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380" w:right="1000" w:hanging="345"/>
        <w:spacing w:after="0" w:line="282" w:lineRule="auto"/>
        <w:tabs>
          <w:tab w:leader="none" w:pos="407"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APRIL 2, 2016 OR</w:t>
      </w:r>
    </w:p>
    <w:p>
      <w:pPr>
        <w:spacing w:after="0" w:line="121"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w:t>
      </w:r>
    </w:p>
    <w:p>
      <w:pPr>
        <w:spacing w:after="0" w:line="29"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EXCHANGE ACT OF 1934 FOR THE TRANSITION PERIOD FROM _____</w:t>
      </w:r>
    </w:p>
    <w:p>
      <w:pPr>
        <w:spacing w:after="0" w:line="7"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TO ______</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001-31829</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CARTER’S,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77" w:right="239" w:bottom="1440" w:gutter="0" w:footer="0" w:header="0"/>
        </w:sectPr>
      </w:pPr>
    </w:p>
    <w:p>
      <w:pPr>
        <w:spacing w:after="0" w:line="151"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13-3912933</w:t>
      </w:r>
    </w:p>
    <w:p>
      <w:pPr>
        <w:spacing w:after="0" w:line="90" w:lineRule="exact"/>
        <w:rPr>
          <w:sz w:val="24"/>
          <w:szCs w:val="24"/>
          <w:color w:val="auto"/>
        </w:rPr>
      </w:pPr>
    </w:p>
    <w:p>
      <w:pPr>
        <w:sectPr>
          <w:pgSz w:w="11900" w:h="16838" w:orient="portrait"/>
          <w:cols w:equalWidth="0" w:num="2">
            <w:col w:w="6760" w:space="720"/>
            <w:col w:w="3940"/>
          </w:cols>
          <w:pgMar w:left="240" w:top="477" w:right="239" w:bottom="1440" w:gutter="0" w:footer="0" w:header="0"/>
          <w:type w:val="continuous"/>
        </w:sectPr>
      </w:pPr>
    </w:p>
    <w:p>
      <w:pPr>
        <w:ind w:left="24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Arial" w:cs="Arial" w:eastAsia="Arial" w:hAnsi="Arial"/>
          <w:sz w:val="16"/>
          <w:szCs w:val="16"/>
          <w:color w:val="auto"/>
        </w:rPr>
        <w:t>(I.R.S. Employer Identification No.)</w:t>
      </w:r>
    </w:p>
    <w:p>
      <w:pPr>
        <w:spacing w:after="0" w:line="86" w:lineRule="exact"/>
        <w:rPr>
          <w:sz w:val="24"/>
          <w:szCs w:val="24"/>
          <w:color w:val="auto"/>
        </w:rPr>
      </w:pPr>
    </w:p>
    <w:p>
      <w:pPr>
        <w:sectPr>
          <w:pgSz w:w="11900" w:h="16838" w:orient="portrait"/>
          <w:cols w:equalWidth="0" w:num="2">
            <w:col w:w="5900" w:space="720"/>
            <w:col w:w="4800"/>
          </w:cols>
          <w:pgMar w:left="240" w:top="477" w:right="239" w:bottom="1440" w:gutter="0" w:footer="0" w:header="0"/>
          <w:type w:val="continuous"/>
        </w:sectPr>
      </w:pPr>
    </w:p>
    <w:p>
      <w:pPr>
        <w:ind w:left="2420"/>
        <w:spacing w:after="0"/>
        <w:rPr>
          <w:sz w:val="20"/>
          <w:szCs w:val="20"/>
          <w:color w:val="auto"/>
        </w:rPr>
      </w:pPr>
      <w:r>
        <w:rPr>
          <w:rFonts w:ascii="Arial" w:cs="Arial" w:eastAsia="Arial" w:hAnsi="Arial"/>
          <w:sz w:val="16"/>
          <w:szCs w:val="16"/>
          <w:color w:val="auto"/>
        </w:rPr>
        <w:t>incorporation or organization)</w:t>
      </w:r>
    </w:p>
    <w:p>
      <w:pPr>
        <w:sectPr>
          <w:pgSz w:w="11900" w:h="16838" w:orient="portrait"/>
          <w:cols w:equalWidth="0" w:num="1">
            <w:col w:w="11420"/>
          </w:cols>
          <w:pgMar w:left="240" w:top="477"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Phipps Tower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3438 Peachtree Road NE, Suite 1800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Atlanta, Georgia 30326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(678) 791-1000</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73" w:lineRule="exact"/>
        <w:rPr>
          <w:sz w:val="24"/>
          <w:szCs w:val="24"/>
          <w:color w:val="auto"/>
        </w:rPr>
      </w:pPr>
    </w:p>
    <w:p>
      <w:pPr>
        <w:jc w:val="both"/>
        <w:spacing w:after="0" w:line="30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ind w:left="2260"/>
        <w:spacing w:after="0"/>
        <w:rPr>
          <w:sz w:val="20"/>
          <w:szCs w:val="20"/>
          <w:color w:val="auto"/>
        </w:rPr>
      </w:pPr>
      <w:r>
        <w:rPr>
          <w:rFonts w:ascii="Arial" w:cs="Arial" w:eastAsia="Arial" w:hAnsi="Arial"/>
          <w:sz w:val="16"/>
          <w:szCs w:val="16"/>
          <w:color w:val="auto"/>
        </w:rPr>
        <w:t>Large Accelerated Filer (X) Accelerated Filer ( ) Non-Accelerated Filer ( ) Smaller Reporting Company ( )</w:t>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w:t>
      </w:r>
      <w:r>
        <w:rPr>
          <w:rFonts w:ascii="Arial" w:cs="Arial" w:eastAsia="Arial" w:hAnsi="Arial"/>
          <w:sz w:val="18"/>
          <w:szCs w:val="18"/>
          <w:color w:val="FFFFFF"/>
        </w:rPr>
        <w:t>X</w:t>
      </w:r>
      <w:r>
        <w:rPr>
          <w:rFonts w:ascii="Arial" w:cs="Arial" w:eastAsia="Arial" w:hAnsi="Arial"/>
          <w:sz w:val="18"/>
          <w:szCs w:val="18"/>
          <w:color w:val="auto"/>
        </w:rPr>
        <w:t>) No (X)</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w w:val="89"/>
              </w:rPr>
              <w:t>Common Stock</w:t>
            </w:r>
          </w:p>
        </w:tc>
        <w:tc>
          <w:tcPr>
            <w:tcW w:w="4560" w:type="dxa"/>
            <w:vAlign w:val="bottom"/>
          </w:tcPr>
          <w:p>
            <w:pPr>
              <w:jc w:val="right"/>
              <w:ind w:right="770"/>
              <w:spacing w:after="0"/>
              <w:rPr>
                <w:sz w:val="20"/>
                <w:szCs w:val="20"/>
                <w:color w:val="auto"/>
              </w:rPr>
            </w:pPr>
            <w:r>
              <w:rPr>
                <w:rFonts w:ascii="Arial" w:cs="Arial" w:eastAsia="Arial" w:hAnsi="Arial"/>
                <w:sz w:val="18"/>
                <w:szCs w:val="18"/>
                <w:b w:val="1"/>
                <w:bCs w:val="1"/>
                <w:color w:val="auto"/>
              </w:rPr>
              <w:t>Outstanding Shares at April 22, 2016</w:t>
            </w:r>
          </w:p>
        </w:tc>
      </w:tr>
      <w:tr>
        <w:trPr>
          <w:trHeight w:val="27"/>
        </w:trPr>
        <w:tc>
          <w:tcPr>
            <w:tcW w:w="4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6860" w:type="dxa"/>
            <w:vAlign w:val="bottom"/>
            <w:gridSpan w:val="2"/>
          </w:tcPr>
          <w:p>
            <w:pPr>
              <w:jc w:val="center"/>
              <w:ind w:right="2380"/>
              <w:spacing w:after="0"/>
              <w:rPr>
                <w:sz w:val="20"/>
                <w:szCs w:val="20"/>
                <w:color w:val="auto"/>
              </w:rPr>
            </w:pPr>
            <w:r>
              <w:rPr>
                <w:rFonts w:ascii="Arial" w:cs="Arial" w:eastAsia="Arial" w:hAnsi="Arial"/>
                <w:sz w:val="18"/>
                <w:szCs w:val="18"/>
                <w:color w:val="auto"/>
                <w:w w:val="89"/>
              </w:rPr>
              <w:t>Common stock, par value $0.01 per share</w:t>
            </w:r>
          </w:p>
        </w:tc>
        <w:tc>
          <w:tcPr>
            <w:tcW w:w="4560" w:type="dxa"/>
            <w:vAlign w:val="bottom"/>
          </w:tcPr>
          <w:p>
            <w:pPr>
              <w:jc w:val="right"/>
              <w:ind w:right="10"/>
              <w:spacing w:after="0"/>
              <w:rPr>
                <w:sz w:val="20"/>
                <w:szCs w:val="20"/>
                <w:color w:val="auto"/>
              </w:rPr>
            </w:pPr>
            <w:r>
              <w:rPr>
                <w:rFonts w:ascii="Arial" w:cs="Arial" w:eastAsia="Arial" w:hAnsi="Arial"/>
                <w:sz w:val="18"/>
                <w:szCs w:val="18"/>
                <w:color w:val="auto"/>
              </w:rPr>
              <w:t>50,770,965</w:t>
            </w:r>
          </w:p>
        </w:tc>
      </w:tr>
      <w:tr>
        <w:trPr>
          <w:trHeight w:val="358"/>
        </w:trPr>
        <w:tc>
          <w:tcPr>
            <w:tcW w:w="44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20" w:type="dxa"/>
            <w:vAlign w:val="bottom"/>
            <w:gridSpan w:val="10"/>
          </w:tcPr>
          <w:p>
            <w:pPr>
              <w:jc w:val="center"/>
              <w:ind w:right="2020"/>
              <w:spacing w:after="0"/>
              <w:rPr>
                <w:sz w:val="20"/>
                <w:szCs w:val="20"/>
                <w:color w:val="auto"/>
              </w:rPr>
            </w:pPr>
            <w:r>
              <w:rPr>
                <w:rFonts w:ascii="Arial" w:cs="Arial" w:eastAsia="Arial" w:hAnsi="Arial"/>
                <w:sz w:val="20"/>
                <w:szCs w:val="20"/>
                <w:b w:val="1"/>
                <w:bCs w:val="1"/>
                <w:color w:val="auto"/>
                <w:w w:val="99"/>
              </w:rPr>
              <w:t>CARTER’S, INC.</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20" w:type="dxa"/>
            <w:vAlign w:val="bottom"/>
            <w:gridSpan w:val="10"/>
          </w:tcPr>
          <w:p>
            <w:pPr>
              <w:jc w:val="center"/>
              <w:ind w:right="2020"/>
              <w:spacing w:after="0"/>
              <w:rPr>
                <w:sz w:val="20"/>
                <w:szCs w:val="20"/>
                <w:color w:val="auto"/>
              </w:rPr>
            </w:pPr>
            <w:r>
              <w:rPr>
                <w:rFonts w:ascii="Arial" w:cs="Arial" w:eastAsia="Arial" w:hAnsi="Arial"/>
                <w:sz w:val="20"/>
                <w:szCs w:val="20"/>
                <w:b w:val="1"/>
                <w:bCs w:val="1"/>
                <w:color w:val="auto"/>
              </w:rPr>
              <w:t>INDEX</w:t>
            </w: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5"/>
          </w:tcPr>
          <w:p>
            <w:pPr>
              <w:ind w:left="64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
        </w:trPr>
        <w:tc>
          <w:tcPr>
            <w:tcW w:w="9340" w:type="dxa"/>
            <w:vAlign w:val="bottom"/>
            <w:gridSpan w:val="29"/>
            <w:vMerge w:val="restart"/>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340" w:type="dxa"/>
            <w:vAlign w:val="bottom"/>
            <w:gridSpan w:val="29"/>
            <w:vMerge w:val="continue"/>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500" w:type="dxa"/>
            <w:vAlign w:val="bottom"/>
            <w:gridSpan w:val="22"/>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2"/>
          </w:tcPr>
          <w:p>
            <w:pPr>
              <w:spacing w:after="0" w:line="202" w:lineRule="exact"/>
              <w:rPr>
                <w:sz w:val="20"/>
                <w:szCs w:val="20"/>
                <w:color w:val="auto"/>
              </w:rPr>
            </w:pPr>
            <w:r>
              <w:rPr>
                <w:rFonts w:ascii="Arial" w:cs="Arial" w:eastAsia="Arial" w:hAnsi="Arial"/>
                <w:sz w:val="18"/>
                <w:szCs w:val="18"/>
                <w:color w:val="0000FF"/>
                <w:w w:val="92"/>
              </w:rPr>
              <w:t>Unaudited Condensed Consolidated Balance Sheets as of April 2, 2016, January 2, 2016 and April 4,</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Borders>
              <w:top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4"/>
              </w:rPr>
              <w:t>2015</w:t>
            </w: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4"/>
          </w:tcPr>
          <w:p>
            <w:pPr>
              <w:jc w:val="center"/>
              <w:ind w:left="689"/>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50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FF"/>
                <w:w w:val="94"/>
              </w:rPr>
              <w:t>Unaudited Condensed Consolidated Statements of Operations for the fiscal quarters ended April 2,</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FF"/>
            </w:tcBorders>
            <w:gridSpan w:val="17"/>
            <w:shd w:val="clear" w:color="auto" w:fill="CCEEFF"/>
          </w:tcPr>
          <w:p>
            <w:pPr>
              <w:spacing w:after="0" w:line="196" w:lineRule="exact"/>
              <w:rPr>
                <w:sz w:val="20"/>
                <w:szCs w:val="20"/>
                <w:color w:val="auto"/>
              </w:rPr>
            </w:pPr>
            <w:r>
              <w:rPr>
                <w:rFonts w:ascii="Arial" w:cs="Arial" w:eastAsia="Arial" w:hAnsi="Arial"/>
                <w:sz w:val="18"/>
                <w:szCs w:val="18"/>
                <w:color w:val="0000FF"/>
              </w:rPr>
              <w:t>2016 and April 4, 2015</w:t>
            </w:r>
          </w:p>
        </w:tc>
        <w:tc>
          <w:tcPr>
            <w:tcW w:w="400" w:type="dxa"/>
            <w:vAlign w:val="bottom"/>
            <w:tcBorders>
              <w:top w:val="single" w:sz="8" w:color="CCEEFF"/>
            </w:tcBorders>
            <w:gridSpan w:val="5"/>
            <w:shd w:val="clear" w:color="auto" w:fill="CCEEFF"/>
          </w:tcPr>
          <w:p>
            <w:pPr>
              <w:spacing w:after="0"/>
              <w:rPr>
                <w:sz w:val="17"/>
                <w:szCs w:val="17"/>
                <w:color w:val="auto"/>
              </w:rPr>
            </w:pPr>
          </w:p>
        </w:tc>
        <w:tc>
          <w:tcPr>
            <w:tcW w:w="980" w:type="dxa"/>
            <w:vAlign w:val="bottom"/>
            <w:tcBorders>
              <w:top w:val="single" w:sz="8" w:color="CCEEFF"/>
            </w:tcBorders>
            <w:gridSpan w:val="4"/>
            <w:shd w:val="clear" w:color="auto" w:fill="CCEEFF"/>
          </w:tcPr>
          <w:p>
            <w:pPr>
              <w:jc w:val="center"/>
              <w:ind w:left="689"/>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7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2"/>
          </w:tcPr>
          <w:p>
            <w:pPr>
              <w:spacing w:after="0" w:line="202" w:lineRule="exact"/>
              <w:rPr>
                <w:sz w:val="20"/>
                <w:szCs w:val="20"/>
                <w:color w:val="auto"/>
              </w:rPr>
            </w:pPr>
            <w:r>
              <w:rPr>
                <w:rFonts w:ascii="Arial" w:cs="Arial" w:eastAsia="Arial" w:hAnsi="Arial"/>
                <w:sz w:val="18"/>
                <w:szCs w:val="18"/>
                <w:color w:val="0000FF"/>
                <w:w w:val="90"/>
              </w:rPr>
              <w:t>Unaudited Condensed Consolidated Statements of Comprehensive Income for the fiscal quarters ended</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20" w:type="dxa"/>
            <w:vAlign w:val="bottom"/>
            <w:tcBorders>
              <w:top w:val="single" w:sz="8" w:color="0000FF"/>
            </w:tcBorders>
            <w:gridSpan w:val="20"/>
          </w:tcPr>
          <w:p>
            <w:pPr>
              <w:spacing w:after="0" w:line="196" w:lineRule="exact"/>
              <w:rPr>
                <w:sz w:val="20"/>
                <w:szCs w:val="20"/>
                <w:color w:val="auto"/>
              </w:rPr>
            </w:pPr>
            <w:r>
              <w:rPr>
                <w:rFonts w:ascii="Arial" w:cs="Arial" w:eastAsia="Arial" w:hAnsi="Arial"/>
                <w:sz w:val="18"/>
                <w:szCs w:val="18"/>
                <w:color w:val="0000FF"/>
              </w:rPr>
              <w:t>April 2, 2016 and April 4, 2015</w:t>
            </w:r>
          </w:p>
        </w:tc>
        <w:tc>
          <w:tcPr>
            <w:tcW w:w="80" w:type="dxa"/>
            <w:vAlign w:val="bottom"/>
            <w:gridSpan w:val="2"/>
          </w:tcPr>
          <w:p>
            <w:pPr>
              <w:spacing w:after="0"/>
              <w:rPr>
                <w:sz w:val="17"/>
                <w:szCs w:val="17"/>
                <w:color w:val="auto"/>
              </w:rPr>
            </w:pPr>
          </w:p>
        </w:tc>
        <w:tc>
          <w:tcPr>
            <w:tcW w:w="980" w:type="dxa"/>
            <w:vAlign w:val="bottom"/>
            <w:gridSpan w:val="4"/>
          </w:tcPr>
          <w:p>
            <w:pPr>
              <w:jc w:val="center"/>
              <w:ind w:left="689"/>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50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FF"/>
                <w:w w:val="90"/>
              </w:rPr>
              <w:t>Unaudited Condensed Consolidated Statement of Changes in Stockholders' Equity for the fiscal quarter</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0000FF"/>
            </w:tcBorders>
            <w:gridSpan w:val="8"/>
            <w:shd w:val="clear" w:color="auto" w:fill="CCEEFF"/>
          </w:tcPr>
          <w:p>
            <w:pPr>
              <w:spacing w:after="0" w:line="196" w:lineRule="exact"/>
              <w:rPr>
                <w:sz w:val="20"/>
                <w:szCs w:val="20"/>
                <w:color w:val="auto"/>
              </w:rPr>
            </w:pPr>
            <w:r>
              <w:rPr>
                <w:rFonts w:ascii="Arial" w:cs="Arial" w:eastAsia="Arial" w:hAnsi="Arial"/>
                <w:sz w:val="18"/>
                <w:szCs w:val="18"/>
                <w:color w:val="0000FF"/>
                <w:w w:val="90"/>
              </w:rPr>
              <w:t>ended April 2, 2016</w:t>
            </w:r>
          </w:p>
        </w:tc>
        <w:tc>
          <w:tcPr>
            <w:tcW w:w="6000" w:type="dxa"/>
            <w:vAlign w:val="bottom"/>
            <w:tcBorders>
              <w:top w:val="single" w:sz="8" w:color="0000FF"/>
            </w:tcBorders>
            <w:gridSpan w:val="13"/>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gridSpan w:val="4"/>
            <w:shd w:val="clear" w:color="auto" w:fill="CCEEFF"/>
          </w:tcPr>
          <w:p>
            <w:pPr>
              <w:jc w:val="center"/>
              <w:ind w:left="689"/>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7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tcBorders>
              <w:bottom w:val="single" w:sz="8" w:color="0000FF"/>
            </w:tcBorders>
            <w:gridSpan w:val="18"/>
          </w:tcPr>
          <w:p>
            <w:pPr>
              <w:spacing w:after="0" w:line="202" w:lineRule="exact"/>
              <w:rPr>
                <w:sz w:val="20"/>
                <w:szCs w:val="20"/>
                <w:color w:val="auto"/>
              </w:rPr>
            </w:pPr>
            <w:r>
              <w:rPr>
                <w:rFonts w:ascii="Arial" w:cs="Arial" w:eastAsia="Arial" w:hAnsi="Arial"/>
                <w:sz w:val="18"/>
                <w:szCs w:val="18"/>
                <w:color w:val="0000FF"/>
                <w:w w:val="89"/>
              </w:rPr>
              <w:t>Unaudited Condensed Consolidated Statements of Cash Flows for the fiscal quarters ended April 2,</w:t>
            </w:r>
          </w:p>
        </w:tc>
        <w:tc>
          <w:tcPr>
            <w:tcW w:w="34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2"/>
          </w:tcPr>
          <w:p>
            <w:pPr>
              <w:spacing w:after="0" w:line="196" w:lineRule="exact"/>
              <w:rPr>
                <w:sz w:val="20"/>
                <w:szCs w:val="20"/>
                <w:color w:val="auto"/>
              </w:rPr>
            </w:pPr>
            <w:r>
              <w:rPr>
                <w:rFonts w:ascii="Arial" w:cs="Arial" w:eastAsia="Arial" w:hAnsi="Arial"/>
                <w:sz w:val="18"/>
                <w:szCs w:val="18"/>
                <w:color w:val="0000FF"/>
              </w:rPr>
              <w:t>2016 and April 4, 2015</w:t>
            </w:r>
          </w:p>
        </w:tc>
        <w:tc>
          <w:tcPr>
            <w:tcW w:w="980" w:type="dxa"/>
            <w:vAlign w:val="bottom"/>
            <w:gridSpan w:val="4"/>
          </w:tcPr>
          <w:p>
            <w:pPr>
              <w:jc w:val="center"/>
              <w:ind w:left="689"/>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500" w:type="dxa"/>
            <w:vAlign w:val="bottom"/>
            <w:gridSpan w:val="22"/>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the Unaudited Condensed Consolidated Financial Statements</w:t>
              </w:r>
            </w:hyperlink>
          </w:p>
        </w:tc>
        <w:tc>
          <w:tcPr>
            <w:tcW w:w="980" w:type="dxa"/>
            <w:vAlign w:val="bottom"/>
            <w:gridSpan w:val="4"/>
            <w:shd w:val="clear" w:color="auto" w:fill="CCEEFF"/>
          </w:tcPr>
          <w:p>
            <w:pPr>
              <w:jc w:val="center"/>
              <w:ind w:left="689"/>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0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800" w:type="dxa"/>
            <w:vAlign w:val="bottom"/>
            <w:gridSpan w:val="6"/>
          </w:tcPr>
          <w:p>
            <w:pPr>
              <w:ind w:left="56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7500" w:type="dxa"/>
            <w:vAlign w:val="bottom"/>
            <w:gridSpan w:val="22"/>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27</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3</w:t>
              </w:r>
            </w:hyperlink>
          </w:p>
        </w:tc>
        <w:tc>
          <w:tcPr>
            <w:tcW w:w="7500" w:type="dxa"/>
            <w:vAlign w:val="bottom"/>
            <w:gridSpan w:val="22"/>
            <w:shd w:val="clear" w:color="auto" w:fill="CCEEFF"/>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0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4</w:t>
              </w:r>
            </w:hyperlink>
          </w:p>
        </w:tc>
        <w:tc>
          <w:tcPr>
            <w:tcW w:w="7500" w:type="dxa"/>
            <w:vAlign w:val="bottom"/>
            <w:gridSpan w:val="22"/>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9340" w:type="dxa"/>
            <w:vAlign w:val="bottom"/>
            <w:gridSpan w:val="29"/>
          </w:tcPr>
          <w:p>
            <w:pPr>
              <w:ind w:left="40"/>
              <w:spacing w:after="0" w:line="202" w:lineRule="exact"/>
              <w:rPr>
                <w:sz w:val="20"/>
                <w:szCs w:val="20"/>
                <w:color w:val="auto"/>
              </w:rPr>
            </w:pPr>
            <w:r>
              <w:rPr>
                <w:rFonts w:ascii="Arial" w:cs="Arial" w:eastAsia="Arial" w:hAnsi="Arial"/>
                <w:sz w:val="18"/>
                <w:szCs w:val="18"/>
                <w:b w:val="1"/>
                <w:bCs w:val="1"/>
                <w:color w:val="0000EE"/>
              </w:rPr>
              <w:t>Part II. Other Information</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0000FF"/>
              </w:rPr>
              <w:t>Item 1</w:t>
            </w:r>
          </w:p>
        </w:tc>
        <w:tc>
          <w:tcPr>
            <w:tcW w:w="750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Legal Proceedings</w:t>
            </w:r>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Item 1A</w:t>
              </w:r>
            </w:hyperlink>
          </w:p>
        </w:tc>
        <w:tc>
          <w:tcPr>
            <w:tcW w:w="7500" w:type="dxa"/>
            <w:vAlign w:val="bottom"/>
            <w:gridSpan w:val="22"/>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Item 2</w:t>
              </w:r>
            </w:hyperlink>
          </w:p>
        </w:tc>
        <w:tc>
          <w:tcPr>
            <w:tcW w:w="7500" w:type="dxa"/>
            <w:vAlign w:val="bottom"/>
            <w:gridSpan w:val="22"/>
            <w:shd w:val="clear" w:color="auto" w:fill="CCEEFF"/>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0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sz w:val="20"/>
                <w:szCs w:val="20"/>
                <w:color w:val="auto"/>
              </w:rPr>
            </w:pPr>
            <w:r>
              <w:rPr>
                <w:rFonts w:ascii="Arial" w:cs="Arial" w:eastAsia="Arial" w:hAnsi="Arial"/>
                <w:sz w:val="18"/>
                <w:szCs w:val="18"/>
                <w:color w:val="0000FF"/>
              </w:rPr>
              <w:t>Item 3</w:t>
            </w:r>
          </w:p>
        </w:tc>
        <w:tc>
          <w:tcPr>
            <w:tcW w:w="7500" w:type="dxa"/>
            <w:vAlign w:val="bottom"/>
            <w:gridSpan w:val="22"/>
          </w:tcPr>
          <w:p>
            <w:pPr>
              <w:spacing w:after="0" w:line="202" w:lineRule="exact"/>
              <w:rPr>
                <w:sz w:val="20"/>
                <w:szCs w:val="20"/>
                <w:color w:val="auto"/>
              </w:rPr>
            </w:pPr>
            <w:r>
              <w:rPr>
                <w:rFonts w:ascii="Arial" w:cs="Arial" w:eastAsia="Arial" w:hAnsi="Arial"/>
                <w:sz w:val="18"/>
                <w:szCs w:val="18"/>
                <w:color w:val="0000FF"/>
              </w:rPr>
              <w:t>Defaults upon Senior Securities</w:t>
            </w:r>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Item 4</w:t>
              </w:r>
            </w:hyperlink>
          </w:p>
        </w:tc>
        <w:tc>
          <w:tcPr>
            <w:tcW w:w="7500" w:type="dxa"/>
            <w:vAlign w:val="bottom"/>
            <w:gridSpan w:val="22"/>
            <w:shd w:val="clear" w:color="auto" w:fill="CCEEFF"/>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Mine Safety Disclosures</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Item 5</w:t>
              </w:r>
            </w:hyperlink>
          </w:p>
        </w:tc>
        <w:tc>
          <w:tcPr>
            <w:tcW w:w="7500" w:type="dxa"/>
            <w:vAlign w:val="bottom"/>
            <w:gridSpan w:val="22"/>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800" w:type="dxa"/>
            <w:vAlign w:val="bottom"/>
            <w:gridSpan w:val="6"/>
            <w:shd w:val="clear" w:color="auto" w:fill="CCEEFF"/>
          </w:tcPr>
          <w:p>
            <w:pPr>
              <w:ind w:left="56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Item 6</w:t>
              </w:r>
            </w:hyperlink>
          </w:p>
        </w:tc>
        <w:tc>
          <w:tcPr>
            <w:tcW w:w="7500" w:type="dxa"/>
            <w:vAlign w:val="bottom"/>
            <w:gridSpan w:val="22"/>
            <w:shd w:val="clear" w:color="auto" w:fill="CCEEFF"/>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20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40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840" w:type="dxa"/>
            <w:vAlign w:val="bottom"/>
            <w:gridSpan w:val="7"/>
            <w:shd w:val="clear" w:color="auto" w:fill="CCEEFF"/>
          </w:tcPr>
          <w:p>
            <w:pPr>
              <w:ind w:left="40"/>
              <w:spacing w:after="0" w:line="202"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Signatures</w:t>
              </w:r>
            </w:hyperlink>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20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40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40" w:type="dxa"/>
            <w:vAlign w:val="bottom"/>
            <w:gridSpan w:val="7"/>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0000EE"/>
              </w:rPr>
              <w:t>Certifications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1048" w:right="5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PART I -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CARTER’S,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except for share data)</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b w:val="1"/>
                <w:bCs w:val="1"/>
                <w:color w:val="auto"/>
              </w:rPr>
              <w:t>April 2, 2016</w:t>
            </w: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2, 2016</w:t>
            </w:r>
          </w:p>
        </w:tc>
        <w:tc>
          <w:tcPr>
            <w:tcW w:w="300" w:type="dxa"/>
            <w:vAlign w:val="bottom"/>
          </w:tcPr>
          <w:p>
            <w:pPr>
              <w:spacing w:after="0"/>
              <w:rPr>
                <w:sz w:val="18"/>
                <w:szCs w:val="18"/>
                <w:color w:val="auto"/>
              </w:rPr>
            </w:pPr>
          </w:p>
        </w:tc>
        <w:tc>
          <w:tcPr>
            <w:tcW w:w="1580" w:type="dxa"/>
            <w:vAlign w:val="bottom"/>
          </w:tcPr>
          <w:p>
            <w:pPr>
              <w:jc w:val="right"/>
              <w:ind w:right="419"/>
              <w:spacing w:after="0"/>
              <w:rPr>
                <w:sz w:val="20"/>
                <w:szCs w:val="20"/>
                <w:color w:val="auto"/>
              </w:rPr>
            </w:pPr>
            <w:r>
              <w:rPr>
                <w:rFonts w:ascii="Arial" w:cs="Arial" w:eastAsia="Arial" w:hAnsi="Arial"/>
                <w:sz w:val="16"/>
                <w:szCs w:val="16"/>
                <w:b w:val="1"/>
                <w:bCs w:val="1"/>
                <w:color w:val="auto"/>
              </w:rPr>
              <w:t>April 4, 2015</w:t>
            </w:r>
          </w:p>
        </w:tc>
        <w:tc>
          <w:tcPr>
            <w:tcW w:w="0" w:type="dxa"/>
            <w:vAlign w:val="bottom"/>
          </w:tcPr>
          <w:p>
            <w:pPr>
              <w:spacing w:after="0"/>
              <w:rPr>
                <w:sz w:val="1"/>
                <w:szCs w:val="1"/>
                <w:color w:val="auto"/>
              </w:rPr>
            </w:pPr>
          </w:p>
        </w:tc>
      </w:tr>
      <w:tr>
        <w:trPr>
          <w:trHeight w:val="33"/>
        </w:trPr>
        <w:tc>
          <w:tcPr>
            <w:tcW w:w="58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8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8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395,141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381,209</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377,400</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192,569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207,570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195,593</w:t>
            </w:r>
          </w:p>
        </w:tc>
        <w:tc>
          <w:tcPr>
            <w:tcW w:w="0" w:type="dxa"/>
            <w:vAlign w:val="bottom"/>
          </w:tcPr>
          <w:p>
            <w:pPr>
              <w:spacing w:after="0"/>
              <w:rPr>
                <w:sz w:val="1"/>
                <w:szCs w:val="1"/>
                <w:color w:val="auto"/>
              </w:rPr>
            </w:pPr>
          </w:p>
        </w:tc>
      </w:tr>
      <w:tr>
        <w:trPr>
          <w:trHeight w:val="237"/>
        </w:trPr>
        <w:tc>
          <w:tcPr>
            <w:tcW w:w="5880" w:type="dxa"/>
            <w:vAlign w:val="bottom"/>
          </w:tcPr>
          <w:p>
            <w:pPr>
              <w:ind w:left="160"/>
              <w:spacing w:after="0"/>
              <w:rPr>
                <w:sz w:val="20"/>
                <w:szCs w:val="20"/>
                <w:color w:val="auto"/>
              </w:rPr>
            </w:pPr>
            <w:r>
              <w:rPr>
                <w:rFonts w:ascii="Arial" w:cs="Arial" w:eastAsia="Arial" w:hAnsi="Arial"/>
                <w:sz w:val="16"/>
                <w:szCs w:val="16"/>
                <w:color w:val="auto"/>
              </w:rPr>
              <w:t>Finished goods inventories</w:t>
            </w: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376,499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469,934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358,014</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33,894</w:t>
            </w:r>
          </w:p>
        </w:tc>
        <w:tc>
          <w:tcPr>
            <w:tcW w:w="0" w:type="dxa"/>
            <w:vAlign w:val="bottom"/>
          </w:tcPr>
          <w:p>
            <w:pPr>
              <w:spacing w:after="0"/>
              <w:rPr>
                <w:sz w:val="1"/>
                <w:szCs w:val="1"/>
                <w:color w:val="auto"/>
              </w:rPr>
            </w:pPr>
          </w:p>
        </w:tc>
      </w:tr>
      <w:tr>
        <w:trPr>
          <w:trHeight w:val="237"/>
        </w:trPr>
        <w:tc>
          <w:tcPr>
            <w:tcW w:w="588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31,841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34,080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32,842</w:t>
            </w:r>
          </w:p>
        </w:tc>
        <w:tc>
          <w:tcPr>
            <w:tcW w:w="0" w:type="dxa"/>
            <w:vAlign w:val="bottom"/>
          </w:tcPr>
          <w:p>
            <w:pPr>
              <w:spacing w:after="0"/>
              <w:rPr>
                <w:sz w:val="1"/>
                <w:szCs w:val="1"/>
                <w:color w:val="auto"/>
              </w:rPr>
            </w:pPr>
          </w:p>
        </w:tc>
      </w:tr>
      <w:tr>
        <w:trPr>
          <w:trHeight w:val="33"/>
        </w:trPr>
        <w:tc>
          <w:tcPr>
            <w:tcW w:w="5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1,032,841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1,130,608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997,743</w:t>
            </w:r>
          </w:p>
        </w:tc>
        <w:tc>
          <w:tcPr>
            <w:tcW w:w="0" w:type="dxa"/>
            <w:vAlign w:val="bottom"/>
          </w:tcPr>
          <w:p>
            <w:pPr>
              <w:spacing w:after="0"/>
              <w:rPr>
                <w:sz w:val="1"/>
                <w:szCs w:val="1"/>
                <w:color w:val="auto"/>
              </w:rPr>
            </w:pP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w w:val="93"/>
              </w:rPr>
              <w:t>Property, plant, and equipment, net of accumulated depreciation of $307,449, $290,636,</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880" w:type="dxa"/>
            <w:vAlign w:val="bottom"/>
          </w:tcPr>
          <w:p>
            <w:pPr>
              <w:ind w:left="20"/>
              <w:spacing w:after="0"/>
              <w:rPr>
                <w:sz w:val="20"/>
                <w:szCs w:val="20"/>
                <w:color w:val="auto"/>
              </w:rPr>
            </w:pPr>
            <w:r>
              <w:rPr>
                <w:rFonts w:ascii="Arial" w:cs="Arial" w:eastAsia="Arial" w:hAnsi="Arial"/>
                <w:sz w:val="16"/>
                <w:szCs w:val="16"/>
                <w:color w:val="auto"/>
              </w:rPr>
              <w:t>and $257,394, respectively</w:t>
            </w:r>
          </w:p>
        </w:tc>
        <w:tc>
          <w:tcPr>
            <w:tcW w:w="22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377,273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371,704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341,658</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Tradenames and other intangibles, net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309,853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310,848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314,955</w:t>
            </w:r>
          </w:p>
        </w:tc>
        <w:tc>
          <w:tcPr>
            <w:tcW w:w="0" w:type="dxa"/>
            <w:vAlign w:val="bottom"/>
          </w:tcPr>
          <w:p>
            <w:pPr>
              <w:spacing w:after="0"/>
              <w:rPr>
                <w:sz w:val="1"/>
                <w:szCs w:val="1"/>
                <w:color w:val="auto"/>
              </w:rPr>
            </w:pPr>
          </w:p>
        </w:tc>
      </w:tr>
      <w:tr>
        <w:trPr>
          <w:trHeight w:val="237"/>
        </w:trPr>
        <w:tc>
          <w:tcPr>
            <w:tcW w:w="58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177,238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174,874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178,859</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13,898</w:t>
            </w:r>
          </w:p>
        </w:tc>
        <w:tc>
          <w:tcPr>
            <w:tcW w:w="0" w:type="dxa"/>
            <w:vAlign w:val="bottom"/>
          </w:tcPr>
          <w:p>
            <w:pPr>
              <w:spacing w:after="0"/>
              <w:rPr>
                <w:sz w:val="1"/>
                <w:szCs w:val="1"/>
                <w:color w:val="auto"/>
              </w:rPr>
            </w:pPr>
          </w:p>
        </w:tc>
      </w:tr>
      <w:tr>
        <w:trPr>
          <w:trHeight w:val="284"/>
        </w:trPr>
        <w:tc>
          <w:tcPr>
            <w:tcW w:w="58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1,912,463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2,003,654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1,847,113</w:t>
            </w: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8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90,387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157,648</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94,133</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105,070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93,403</w:t>
            </w:r>
          </w:p>
        </w:tc>
        <w:tc>
          <w:tcPr>
            <w:tcW w:w="0" w:type="dxa"/>
            <w:vAlign w:val="bottom"/>
          </w:tcPr>
          <w:p>
            <w:pPr>
              <w:spacing w:after="0"/>
              <w:rPr>
                <w:sz w:val="1"/>
                <w:szCs w:val="1"/>
                <w:color w:val="auto"/>
              </w:rPr>
            </w:pPr>
          </w:p>
        </w:tc>
      </w:tr>
      <w:tr>
        <w:trPr>
          <w:trHeight w:val="217"/>
        </w:trPr>
        <w:tc>
          <w:tcPr>
            <w:tcW w:w="5880" w:type="dxa"/>
            <w:vAlign w:val="bottom"/>
          </w:tcPr>
          <w:p>
            <w:pPr>
              <w:ind w:left="26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192,881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262,718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187,536</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8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580,319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578,972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580,273</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128,815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128,838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120,274</w:t>
            </w:r>
          </w:p>
        </w:tc>
        <w:tc>
          <w:tcPr>
            <w:tcW w:w="0" w:type="dxa"/>
            <w:vAlign w:val="bottom"/>
          </w:tcPr>
          <w:p>
            <w:pPr>
              <w:spacing w:after="0"/>
              <w:rPr>
                <w:sz w:val="1"/>
                <w:szCs w:val="1"/>
                <w:color w:val="auto"/>
              </w:rPr>
            </w:pPr>
          </w:p>
        </w:tc>
      </w:tr>
      <w:tr>
        <w:trPr>
          <w:trHeight w:val="237"/>
        </w:trPr>
        <w:tc>
          <w:tcPr>
            <w:tcW w:w="588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161,731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158,075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153,317</w:t>
            </w:r>
          </w:p>
        </w:tc>
        <w:tc>
          <w:tcPr>
            <w:tcW w:w="0" w:type="dxa"/>
            <w:vAlign w:val="bottom"/>
          </w:tcPr>
          <w:p>
            <w:pPr>
              <w:spacing w:after="0"/>
              <w:rPr>
                <w:sz w:val="1"/>
                <w:szCs w:val="1"/>
                <w:color w:val="auto"/>
              </w:rPr>
            </w:pPr>
          </w:p>
        </w:tc>
      </w:tr>
      <w:tr>
        <w:trPr>
          <w:trHeight w:val="33"/>
        </w:trPr>
        <w:tc>
          <w:tcPr>
            <w:tcW w:w="5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1,063,746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1,128,603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1,041,400</w:t>
            </w:r>
          </w:p>
        </w:tc>
        <w:tc>
          <w:tcPr>
            <w:tcW w:w="0" w:type="dxa"/>
            <w:vAlign w:val="bottom"/>
          </w:tcPr>
          <w:p>
            <w:pPr>
              <w:spacing w:after="0"/>
              <w:rPr>
                <w:sz w:val="1"/>
                <w:szCs w:val="1"/>
                <w:color w:val="auto"/>
              </w:rPr>
            </w:pPr>
          </w:p>
        </w:tc>
      </w:tr>
      <w:tr>
        <w:trPr>
          <w:trHeight w:val="189"/>
        </w:trPr>
        <w:tc>
          <w:tcPr>
            <w:tcW w:w="5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Commitments and contingencies - Note 13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w w:val="96"/>
              </w:rPr>
              <w:t>Preferred stock; par value $.01 per share; 100,000 shares authorized; none issued or</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880" w:type="dxa"/>
            <w:vAlign w:val="bottom"/>
          </w:tcPr>
          <w:p>
            <w:pPr>
              <w:ind w:left="20"/>
              <w:spacing w:after="0"/>
              <w:rPr>
                <w:sz w:val="20"/>
                <w:szCs w:val="20"/>
                <w:color w:val="auto"/>
              </w:rPr>
            </w:pPr>
            <w:r>
              <w:rPr>
                <w:rFonts w:ascii="Arial" w:cs="Arial" w:eastAsia="Arial" w:hAnsi="Arial"/>
                <w:sz w:val="16"/>
                <w:szCs w:val="16"/>
                <w:color w:val="auto"/>
              </w:rPr>
              <w:t>outstanding at April 2, 2016, January 2, 2016, and April 4, 2015</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Common stock, voting; par value $.01 per share; 150,000,000 shares authorized;</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shd w:val="clear" w:color="auto" w:fill="CCEEFF"/>
              </w:rPr>
              <w:t>51,206,395, 51,764,309, and 52,615,316 shares issued and outstanding at April 2, 2016,</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January 2, 2016 and April 4, 2015, 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37"/>
        </w:trPr>
        <w:tc>
          <w:tcPr>
            <w:tcW w:w="588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(29,031)</w:t>
            </w:r>
          </w:p>
        </w:tc>
        <w:tc>
          <w:tcPr>
            <w:tcW w:w="0" w:type="dxa"/>
            <w:vAlign w:val="bottom"/>
          </w:tcPr>
          <w:p>
            <w:pPr>
              <w:spacing w:after="0"/>
              <w:rPr>
                <w:sz w:val="1"/>
                <w:szCs w:val="1"/>
                <w:color w:val="auto"/>
              </w:rPr>
            </w:pPr>
          </w:p>
        </w:tc>
      </w:tr>
      <w:tr>
        <w:trPr>
          <w:trHeight w:val="237"/>
        </w:trPr>
        <w:tc>
          <w:tcPr>
            <w:tcW w:w="5880" w:type="dxa"/>
            <w:vAlign w:val="bottom"/>
          </w:tcPr>
          <w:p>
            <w:pPr>
              <w:ind w:left="2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879,286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910,900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834,218</w:t>
            </w:r>
          </w:p>
        </w:tc>
        <w:tc>
          <w:tcPr>
            <w:tcW w:w="0" w:type="dxa"/>
            <w:vAlign w:val="bottom"/>
          </w:tcPr>
          <w:p>
            <w:pPr>
              <w:spacing w:after="0"/>
              <w:rPr>
                <w:sz w:val="1"/>
                <w:szCs w:val="1"/>
                <w:color w:val="auto"/>
              </w:rPr>
            </w:pPr>
          </w:p>
        </w:tc>
      </w:tr>
      <w:tr>
        <w:trPr>
          <w:trHeight w:val="33"/>
        </w:trPr>
        <w:tc>
          <w:tcPr>
            <w:tcW w:w="5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848,717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875,051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805,713</w:t>
            </w:r>
          </w:p>
        </w:tc>
        <w:tc>
          <w:tcPr>
            <w:tcW w:w="0" w:type="dxa"/>
            <w:vAlign w:val="bottom"/>
          </w:tcPr>
          <w:p>
            <w:pPr>
              <w:spacing w:after="0"/>
              <w:rPr>
                <w:sz w:val="1"/>
                <w:szCs w:val="1"/>
                <w:color w:val="auto"/>
              </w:rPr>
            </w:pPr>
          </w:p>
        </w:tc>
      </w:tr>
      <w:tr>
        <w:trPr>
          <w:trHeight w:val="244"/>
        </w:trPr>
        <w:tc>
          <w:tcPr>
            <w:tcW w:w="5880" w:type="dxa"/>
            <w:vAlign w:val="bottom"/>
          </w:tcPr>
          <w:p>
            <w:pPr>
              <w:ind w:left="58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1,912,463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2,003,654</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1,847,113</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364"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5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April 2, 2016</w:t>
            </w:r>
          </w:p>
        </w:tc>
        <w:tc>
          <w:tcPr>
            <w:tcW w:w="180" w:type="dxa"/>
            <w:vAlign w:val="bottom"/>
          </w:tcPr>
          <w:p>
            <w:pPr>
              <w:spacing w:after="0"/>
              <w:rPr>
                <w:sz w:val="20"/>
                <w:szCs w:val="20"/>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April 4, 2015</w:t>
            </w:r>
          </w:p>
        </w:tc>
      </w:tr>
      <w:tr>
        <w:trPr>
          <w:trHeight w:val="33"/>
        </w:trPr>
        <w:tc>
          <w:tcPr>
            <w:tcW w:w="5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724,085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684,764</w:t>
            </w:r>
          </w:p>
        </w:tc>
      </w:tr>
      <w:tr>
        <w:trPr>
          <w:trHeight w:val="237"/>
        </w:trPr>
        <w:tc>
          <w:tcPr>
            <w:tcW w:w="532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413,156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400,712</w:t>
            </w:r>
          </w:p>
        </w:tc>
      </w:tr>
      <w:tr>
        <w:trPr>
          <w:trHeight w:val="33"/>
        </w:trPr>
        <w:tc>
          <w:tcPr>
            <w:tcW w:w="5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310,929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284,052</w:t>
            </w:r>
          </w:p>
        </w:tc>
      </w:tr>
      <w:tr>
        <w:trPr>
          <w:trHeight w:val="237"/>
        </w:trPr>
        <w:tc>
          <w:tcPr>
            <w:tcW w:w="53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228,996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211,183</w:t>
            </w: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(11,636)</w:t>
            </w:r>
          </w:p>
        </w:tc>
      </w:tr>
      <w:tr>
        <w:trPr>
          <w:trHeight w:val="217"/>
        </w:trPr>
        <w:tc>
          <w:tcPr>
            <w:tcW w:w="53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93,008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84,505</w:t>
            </w: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6,692</w:t>
            </w:r>
          </w:p>
        </w:tc>
      </w:tr>
      <w:tr>
        <w:trPr>
          <w:trHeight w:val="237"/>
        </w:trPr>
        <w:tc>
          <w:tcPr>
            <w:tcW w:w="53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1,962</w:t>
            </w:r>
          </w:p>
        </w:tc>
      </w:tr>
      <w:tr>
        <w:trPr>
          <w:trHeight w:val="217"/>
        </w:trPr>
        <w:tc>
          <w:tcPr>
            <w:tcW w:w="53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83,283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75,988</w:t>
            </w: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26,196</w:t>
            </w:r>
          </w:p>
        </w:tc>
      </w:tr>
      <w:tr>
        <w:trPr>
          <w:trHeight w:val="284"/>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53,980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49,792</w:t>
            </w:r>
          </w:p>
        </w:tc>
      </w:tr>
      <w:tr>
        <w:trPr>
          <w:trHeight w:val="311"/>
        </w:trPr>
        <w:tc>
          <w:tcPr>
            <w:tcW w:w="5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6"/>
                <w:szCs w:val="16"/>
                <w:color w:val="auto"/>
              </w:rPr>
              <w:t>Basic net income per common share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0.94</w:t>
            </w: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income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0.94</w:t>
            </w:r>
          </w:p>
        </w:tc>
      </w:tr>
      <w:tr>
        <w:trPr>
          <w:trHeight w:val="237"/>
        </w:trPr>
        <w:tc>
          <w:tcPr>
            <w:tcW w:w="5320" w:type="dxa"/>
            <w:vAlign w:val="bottom"/>
          </w:tcPr>
          <w:p>
            <w:pPr>
              <w:ind w:left="20"/>
              <w:spacing w:after="0"/>
              <w:rPr>
                <w:sz w:val="20"/>
                <w:szCs w:val="20"/>
                <w:color w:val="auto"/>
              </w:rPr>
            </w:pPr>
            <w:r>
              <w:rPr>
                <w:rFonts w:ascii="Arial" w:cs="Arial" w:eastAsia="Arial" w:hAnsi="Arial"/>
                <w:sz w:val="16"/>
                <w:szCs w:val="16"/>
                <w:color w:val="auto"/>
              </w:rPr>
              <w:t>Dividend declared and paid per common share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0.22</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796"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April 2, 2016</w:t>
            </w:r>
          </w:p>
        </w:tc>
        <w:tc>
          <w:tcPr>
            <w:tcW w:w="240" w:type="dxa"/>
            <w:vAlign w:val="bottom"/>
          </w:tcPr>
          <w:p>
            <w:pPr>
              <w:spacing w:after="0"/>
              <w:rPr>
                <w:sz w:val="20"/>
                <w:szCs w:val="20"/>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b w:val="1"/>
                <w:bCs w:val="1"/>
                <w:color w:val="auto"/>
              </w:rPr>
              <w:t>April 4, 2015</w:t>
            </w:r>
          </w:p>
        </w:tc>
      </w:tr>
      <w:tr>
        <w:trPr>
          <w:trHeight w:val="33"/>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53,980</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49,792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(5,994)</w:t>
            </w: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59,266</w:t>
            </w:r>
          </w:p>
        </w:tc>
        <w:tc>
          <w:tcPr>
            <w:tcW w:w="1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43,798</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580"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 other</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64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Common stock -</w:t>
            </w:r>
          </w:p>
        </w:tc>
        <w:tc>
          <w:tcPr>
            <w:tcW w:w="24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paid-in</w:t>
            </w:r>
          </w:p>
        </w:tc>
        <w:tc>
          <w:tcPr>
            <w:tcW w:w="10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comprehensive</w:t>
            </w: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stockholders’</w:t>
            </w:r>
          </w:p>
        </w:tc>
      </w:tr>
      <w:tr>
        <w:trPr>
          <w:trHeight w:val="210"/>
        </w:trPr>
        <w:tc>
          <w:tcPr>
            <w:tcW w:w="264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1"/>
              </w:rPr>
              <w:t>shares</w:t>
            </w:r>
          </w:p>
        </w:tc>
        <w:tc>
          <w:tcPr>
            <w:tcW w:w="2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stock - $</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capital</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4"/>
              </w:rPr>
              <w:t>loss</w:t>
            </w:r>
          </w:p>
        </w:tc>
        <w:tc>
          <w:tcPr>
            <w:tcW w:w="20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26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15"/>
        </w:trPr>
        <w:tc>
          <w:tcPr>
            <w:tcW w:w="26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2, 2016</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51,764,309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875,051</w:t>
            </w:r>
          </w:p>
        </w:tc>
      </w:tr>
      <w:tr>
        <w:trPr>
          <w:trHeight w:val="220"/>
        </w:trPr>
        <w:tc>
          <w:tcPr>
            <w:tcW w:w="2640" w:type="dxa"/>
            <w:vAlign w:val="bottom"/>
          </w:tcPr>
          <w:p>
            <w:pPr>
              <w:spacing w:after="0"/>
              <w:rPr>
                <w:sz w:val="20"/>
                <w:szCs w:val="20"/>
                <w:color w:val="auto"/>
              </w:rPr>
            </w:pPr>
            <w:r>
              <w:rPr>
                <w:rFonts w:ascii="Arial" w:cs="Arial" w:eastAsia="Arial" w:hAnsi="Arial"/>
                <w:sz w:val="16"/>
                <w:szCs w:val="16"/>
                <w:color w:val="auto"/>
              </w:rPr>
              <w:t>Income tax benefit from stock-based</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640" w:type="dxa"/>
            <w:vAlign w:val="bottom"/>
          </w:tcPr>
          <w:p>
            <w:pPr>
              <w:spacing w:after="0"/>
              <w:rPr>
                <w:sz w:val="20"/>
                <w:szCs w:val="20"/>
                <w:color w:val="auto"/>
              </w:rPr>
            </w:pPr>
            <w:r>
              <w:rPr>
                <w:rFonts w:ascii="Arial" w:cs="Arial" w:eastAsia="Arial" w:hAnsi="Arial"/>
                <w:sz w:val="16"/>
                <w:szCs w:val="16"/>
                <w:color w:val="auto"/>
              </w:rPr>
              <w:t>compensation</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3,144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3,144</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87,225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3,747</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w w:val="95"/>
              </w:rPr>
              <w:t>Withholdings from vesting of restricted</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stock</w:t>
            </w:r>
          </w:p>
        </w:tc>
        <w:tc>
          <w:tcPr>
            <w:tcW w:w="1380" w:type="dxa"/>
            <w:vAlign w:val="bottom"/>
          </w:tcPr>
          <w:p>
            <w:pPr>
              <w:jc w:val="right"/>
              <w:spacing w:after="0"/>
              <w:rPr>
                <w:sz w:val="20"/>
                <w:szCs w:val="20"/>
                <w:color w:val="auto"/>
              </w:rPr>
            </w:pPr>
            <w:r>
              <w:rPr>
                <w:rFonts w:ascii="Arial" w:cs="Arial" w:eastAsia="Arial" w:hAnsi="Arial"/>
                <w:sz w:val="16"/>
                <w:szCs w:val="16"/>
                <w:color w:val="auto"/>
              </w:rPr>
              <w:t>(89,368)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(8,454)</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activity</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166,593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4,556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4,556</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stock</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1380" w:type="dxa"/>
            <w:vAlign w:val="bottom"/>
          </w:tcPr>
          <w:p>
            <w:pPr>
              <w:jc w:val="right"/>
              <w:spacing w:after="0"/>
              <w:rPr>
                <w:sz w:val="20"/>
                <w:szCs w:val="20"/>
                <w:color w:val="auto"/>
              </w:rPr>
            </w:pPr>
            <w:r>
              <w:rPr>
                <w:rFonts w:ascii="Arial" w:cs="Arial" w:eastAsia="Arial" w:hAnsi="Arial"/>
                <w:sz w:val="16"/>
                <w:szCs w:val="16"/>
                <w:color w:val="auto"/>
              </w:rPr>
              <w:t>(722,364)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(2,992)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(68,562)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(71,561)</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and paid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(17,032)</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5,286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53,980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59,266</w:t>
            </w:r>
          </w:p>
        </w:tc>
      </w:tr>
      <w:tr>
        <w:trPr>
          <w:trHeight w:val="33"/>
        </w:trPr>
        <w:tc>
          <w:tcPr>
            <w:tcW w:w="26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April 2, 2016</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51,206,395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(31,081)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879,286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848,717</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6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Fiscal quarter ended</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April 2, 2016</w:t>
            </w:r>
          </w:p>
        </w:tc>
        <w:tc>
          <w:tcPr>
            <w:tcW w:w="220" w:type="dxa"/>
            <w:vAlign w:val="bottom"/>
          </w:tcPr>
          <w:p>
            <w:pPr>
              <w:spacing w:after="0"/>
              <w:rPr>
                <w:sz w:val="20"/>
                <w:szCs w:val="20"/>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b w:val="1"/>
                <w:bCs w:val="1"/>
                <w:color w:val="auto"/>
              </w:rPr>
              <w:t>April 4, 2015</w:t>
            </w:r>
          </w:p>
        </w:tc>
        <w:tc>
          <w:tcPr>
            <w:tcW w:w="0" w:type="dxa"/>
            <w:vAlign w:val="bottom"/>
          </w:tcPr>
          <w:p>
            <w:pPr>
              <w:spacing w:after="0"/>
              <w:rPr>
                <w:sz w:val="1"/>
                <w:szCs w:val="1"/>
                <w:color w:val="auto"/>
              </w:rPr>
            </w:pPr>
          </w:p>
        </w:tc>
      </w:tr>
      <w:tr>
        <w:trPr>
          <w:trHeight w:val="33"/>
        </w:trPr>
        <w:tc>
          <w:tcPr>
            <w:tcW w:w="8020" w:type="dxa"/>
            <w:vAlign w:val="bottom"/>
            <w:vMerge w:val="restart"/>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53,980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49,792</w:t>
            </w:r>
          </w:p>
        </w:tc>
        <w:tc>
          <w:tcPr>
            <w:tcW w:w="0" w:type="dxa"/>
            <w:vAlign w:val="bottom"/>
          </w:tcPr>
          <w:p>
            <w:pPr>
              <w:spacing w:after="0"/>
              <w:rPr>
                <w:sz w:val="1"/>
                <w:szCs w:val="1"/>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17,177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14,875</w:t>
            </w: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Arial" w:cs="Arial" w:eastAsia="Arial" w:hAnsi="Arial"/>
                <w:sz w:val="16"/>
                <w:szCs w:val="16"/>
                <w:color w:val="auto"/>
              </w:rPr>
              <w:t>Amortization of tradenames</w:t>
            </w: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995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2,325</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Accretion of contingent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361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Non-cash 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4,740</w:t>
            </w: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Arial" w:cs="Arial" w:eastAsia="Arial" w:hAnsi="Arial"/>
                <w:sz w:val="16"/>
                <w:szCs w:val="16"/>
                <w:color w:val="auto"/>
              </w:rPr>
              <w:t>Unrealized foreign currency exchange loss, net</w:t>
            </w: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3,780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1,652</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tax benefit from 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(5,771)</w:t>
            </w: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Arial" w:cs="Arial" w:eastAsia="Arial" w:hAnsi="Arial"/>
                <w:sz w:val="16"/>
                <w:szCs w:val="16"/>
                <w:color w:val="auto"/>
              </w:rPr>
              <w:t>Loss on disposal of property, plant, and equipment</w:t>
            </w: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2,207</w:t>
            </w: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Arial" w:cs="Arial" w:eastAsia="Arial" w:hAnsi="Arial"/>
                <w:sz w:val="16"/>
                <w:szCs w:val="16"/>
                <w:color w:val="auto"/>
              </w:rPr>
              <w:t>Effect of changes in operating assets and liabilities: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15,247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(11,402)</w:t>
            </w:r>
          </w:p>
        </w:tc>
        <w:tc>
          <w:tcPr>
            <w:tcW w:w="0" w:type="dxa"/>
            <w:vAlign w:val="bottom"/>
          </w:tcPr>
          <w:p>
            <w:pPr>
              <w:spacing w:after="0"/>
              <w:rPr>
                <w:sz w:val="1"/>
                <w:szCs w:val="1"/>
                <w:color w:val="auto"/>
              </w:rPr>
            </w:pPr>
          </w:p>
        </w:tc>
      </w:tr>
      <w:tr>
        <w:trPr>
          <w:trHeight w:val="237"/>
        </w:trPr>
        <w:tc>
          <w:tcPr>
            <w:tcW w:w="8020" w:type="dxa"/>
            <w:vAlign w:val="bottom"/>
          </w:tcPr>
          <w:p>
            <w:pPr>
              <w:ind w:left="360"/>
              <w:spacing w:after="0"/>
              <w:rPr>
                <w:sz w:val="20"/>
                <w:szCs w:val="20"/>
                <w:color w:val="auto"/>
              </w:rPr>
            </w:pPr>
            <w:r>
              <w:rPr>
                <w:rFonts w:ascii="Arial" w:cs="Arial" w:eastAsia="Arial" w:hAnsi="Arial"/>
                <w:sz w:val="16"/>
                <w:szCs w:val="16"/>
                <w:color w:val="auto"/>
              </w:rPr>
              <w:t>Finished goods inventories</w:t>
            </w: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96,056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83,349</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37"/>
        </w:trPr>
        <w:tc>
          <w:tcPr>
            <w:tcW w:w="8020" w:type="dxa"/>
            <w:vAlign w:val="bottom"/>
          </w:tcPr>
          <w:p>
            <w:pPr>
              <w:ind w:left="360"/>
              <w:spacing w:after="0"/>
              <w:rPr>
                <w:sz w:val="20"/>
                <w:szCs w:val="20"/>
                <w:color w:val="auto"/>
              </w:rPr>
            </w:pPr>
            <w:r>
              <w:rPr>
                <w:rFonts w:ascii="Arial" w:cs="Arial" w:eastAsia="Arial" w:hAnsi="Arial"/>
                <w:sz w:val="16"/>
                <w:szCs w:val="16"/>
                <w:color w:val="auto"/>
              </w:rPr>
              <w:t>Accounts payable and other liabilities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(62,568)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(54,886)</w:t>
            </w:r>
          </w:p>
        </w:tc>
        <w:tc>
          <w:tcPr>
            <w:tcW w:w="0" w:type="dxa"/>
            <w:vAlign w:val="bottom"/>
          </w:tcPr>
          <w:p>
            <w:pPr>
              <w:spacing w:after="0"/>
              <w:rPr>
                <w:sz w:val="1"/>
                <w:szCs w:val="1"/>
                <w:color w:val="auto"/>
              </w:rPr>
            </w:pPr>
          </w:p>
        </w:tc>
      </w:tr>
      <w:tr>
        <w:trPr>
          <w:trHeight w:val="33"/>
        </w:trPr>
        <w:tc>
          <w:tcPr>
            <w:tcW w:w="8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128,282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87,224</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Arial" w:cs="Arial" w:eastAsia="Arial" w:hAnsi="Arial"/>
                <w:sz w:val="16"/>
                <w:szCs w:val="16"/>
                <w:color w:val="auto"/>
              </w:rPr>
              <w:t>Capital expenditures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(25,552)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(20,760)</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sale of property, plant, and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7"/>
        </w:trPr>
        <w:tc>
          <w:tcPr>
            <w:tcW w:w="8020" w:type="dxa"/>
            <w:vAlign w:val="bottom"/>
          </w:tcPr>
          <w:p>
            <w:pPr>
              <w:ind w:left="70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(25,552)</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(20,684)</w:t>
            </w:r>
          </w:p>
        </w:tc>
        <w:tc>
          <w:tcPr>
            <w:tcW w:w="0" w:type="dxa"/>
            <w:vAlign w:val="bottom"/>
          </w:tcPr>
          <w:p>
            <w:pPr>
              <w:spacing w:after="0"/>
              <w:rPr>
                <w:sz w:val="1"/>
                <w:szCs w:val="1"/>
                <w:color w:val="auto"/>
              </w:rPr>
            </w:pPr>
          </w:p>
        </w:tc>
      </w:tr>
      <w:tr>
        <w:trPr>
          <w:trHeight w:val="33"/>
        </w:trPr>
        <w:tc>
          <w:tcPr>
            <w:tcW w:w="8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Borrowings under secured revolving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20,349</w:t>
            </w: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Arial" w:cs="Arial" w:eastAsia="Arial" w:hAnsi="Arial"/>
                <w:sz w:val="16"/>
                <w:szCs w:val="16"/>
                <w:color w:val="auto"/>
              </w:rPr>
              <w:t>Payments on secured revolving credit facility</w:t>
            </w:r>
          </w:p>
        </w:tc>
        <w:tc>
          <w:tcPr>
            <w:tcW w:w="20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Repurchase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(71,561)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(14,120)</w:t>
            </w: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Arial" w:cs="Arial" w:eastAsia="Arial" w:hAnsi="Arial"/>
                <w:sz w:val="16"/>
                <w:szCs w:val="16"/>
                <w:color w:val="auto"/>
              </w:rPr>
              <w:t>Dividends paid</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(17,032)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(11,597)</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tax benefit from 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5,771</w:t>
            </w: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Arial" w:cs="Arial" w:eastAsia="Arial" w:hAnsi="Arial"/>
                <w:sz w:val="16"/>
                <w:szCs w:val="16"/>
                <w:color w:val="auto"/>
              </w:rPr>
              <w:t>Withholdings from vesting of restricted stock</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(8,454)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(12,331)</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2,768</w:t>
            </w:r>
          </w:p>
        </w:tc>
        <w:tc>
          <w:tcPr>
            <w:tcW w:w="0" w:type="dxa"/>
            <w:vAlign w:val="bottom"/>
          </w:tcPr>
          <w:p>
            <w:pPr>
              <w:spacing w:after="0"/>
              <w:rPr>
                <w:sz w:val="1"/>
                <w:szCs w:val="1"/>
                <w:color w:val="auto"/>
              </w:rPr>
            </w:pPr>
          </w:p>
        </w:tc>
      </w:tr>
      <w:tr>
        <w:trPr>
          <w:trHeight w:val="217"/>
        </w:trPr>
        <w:tc>
          <w:tcPr>
            <w:tcW w:w="8020" w:type="dxa"/>
            <w:vAlign w:val="bottom"/>
          </w:tcPr>
          <w:p>
            <w:pPr>
              <w:ind w:left="58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(90,156)</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(29,160)</w:t>
            </w:r>
          </w:p>
        </w:tc>
        <w:tc>
          <w:tcPr>
            <w:tcW w:w="0" w:type="dxa"/>
            <w:vAlign w:val="bottom"/>
          </w:tcPr>
          <w:p>
            <w:pPr>
              <w:spacing w:after="0"/>
              <w:rPr>
                <w:sz w:val="1"/>
                <w:szCs w:val="1"/>
                <w:color w:val="auto"/>
              </w:rPr>
            </w:pPr>
          </w:p>
        </w:tc>
      </w:tr>
      <w:tr>
        <w:trPr>
          <w:trHeight w:val="33"/>
        </w:trPr>
        <w:tc>
          <w:tcPr>
            <w:tcW w:w="8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1,358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33"/>
        </w:trPr>
        <w:tc>
          <w:tcPr>
            <w:tcW w:w="8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13,932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36,762</w:t>
            </w:r>
          </w:p>
        </w:tc>
        <w:tc>
          <w:tcPr>
            <w:tcW w:w="0" w:type="dxa"/>
            <w:vAlign w:val="bottom"/>
          </w:tcPr>
          <w:p>
            <w:pPr>
              <w:spacing w:after="0"/>
              <w:rPr>
                <w:sz w:val="1"/>
                <w:szCs w:val="1"/>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381,209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340,638</w:t>
            </w:r>
          </w:p>
        </w:tc>
        <w:tc>
          <w:tcPr>
            <w:tcW w:w="0" w:type="dxa"/>
            <w:vAlign w:val="bottom"/>
          </w:tcPr>
          <w:p>
            <w:pPr>
              <w:spacing w:after="0"/>
              <w:rPr>
                <w:sz w:val="1"/>
                <w:szCs w:val="1"/>
                <w:color w:val="auto"/>
              </w:rPr>
            </w:pPr>
          </w:p>
        </w:tc>
      </w:tr>
      <w:tr>
        <w:trPr>
          <w:trHeight w:val="33"/>
        </w:trPr>
        <w:tc>
          <w:tcPr>
            <w:tcW w:w="8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395,141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377,400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320" w:top="580" w:right="29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21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Carter's, Inc. and its wholly owned subsidiaries (collectively, the "Company," "its," "us" and "our") design, source, and market branded childrenswear under the </w:t>
      </w:r>
      <w:r>
        <w:rPr>
          <w:rFonts w:ascii="Arial" w:cs="Arial" w:eastAsia="Arial" w:hAnsi="Arial"/>
          <w:sz w:val="17"/>
          <w:szCs w:val="17"/>
          <w:i w:val="1"/>
          <w:iCs w:val="1"/>
          <w:color w:val="auto"/>
        </w:rPr>
        <w:t>Carter's, Child of Mine, Just One You, Precious Firsts</w:t>
      </w:r>
      <w:r>
        <w:rPr>
          <w:rFonts w:ascii="Arial" w:cs="Arial" w:eastAsia="Arial" w:hAnsi="Arial"/>
          <w:sz w:val="17"/>
          <w:szCs w:val="17"/>
          <w:color w:val="auto"/>
        </w:rPr>
        <w:t xml:space="preserve">, </w:t>
      </w:r>
      <w:r>
        <w:rPr>
          <w:rFonts w:ascii="Arial" w:cs="Arial" w:eastAsia="Arial" w:hAnsi="Arial"/>
          <w:sz w:val="17"/>
          <w:szCs w:val="17"/>
          <w:i w:val="1"/>
          <w:iCs w:val="1"/>
          <w:color w:val="auto"/>
        </w:rPr>
        <w:t>OshKosh</w:t>
      </w:r>
      <w:r>
        <w:rPr>
          <w:rFonts w:ascii="Arial" w:cs="Arial" w:eastAsia="Arial" w:hAnsi="Arial"/>
          <w:sz w:val="17"/>
          <w:szCs w:val="17"/>
          <w:color w:val="auto"/>
        </w:rPr>
        <w:t>, and other brands. The Company's products are sourced through contractual arrangements with manufacturers worldwide for wholesale distribution to major domestic and international retailers and for the Company's own retail stores and websites that market its brand name merchandise and other licensed products manufactured by other companies. As of April 2, 2016, the Company operated 610 Carter’s stores in the United States, 251 OshKosh stores in the United States, and 149 stores in Canada.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PREPARATION AND ADOPTION OF NEW ACCOUNTING PRONOUNCEMENTS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accompanying unaudited condensed consolidated financial statements include the accounts of Carter's, Inc. and its wholly owned subsidiaries and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stockholders' equity, and cash flows of the Company for the interim periods presented. Except as otherwise disclosed, all such adjustments consist only of those of a normal recurring nature. Operating results for the fiscal quarter ended April 2, 2016 are not necessarily indicative of the results that may be expected for the 2016 fiscal year ending December 31, 2016.</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accompanying condensed consolidated balance sheet as of January 2, 2016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 The accounting policies the Company follows are set forth in its most recently filed Annual Report on Form 10-K. There have been no material subsequent changes to these accounting policies, except as noted below for new accounting pronouncements adopted in the fiscal quarter ended April 2,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Pronouncements During the Fiscal Quarter Ended April 2, 2016</w:t>
      </w:r>
    </w:p>
    <w:p>
      <w:pPr>
        <w:spacing w:after="0" w:line="225"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 xml:space="preserve">At the beginning of fiscal 2016, the Company adopted the following Accounting Standards Updates ("ASU"): ASU No. 2015-05, </w:t>
      </w:r>
      <w:r>
        <w:rPr>
          <w:rFonts w:ascii="Arial" w:cs="Arial" w:eastAsia="Arial" w:hAnsi="Arial"/>
          <w:sz w:val="16"/>
          <w:szCs w:val="16"/>
          <w:i w:val="1"/>
          <w:iCs w:val="1"/>
          <w:color w:val="auto"/>
        </w:rPr>
        <w:t>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Fees Paid in a Cloud Computing Arrangement </w:t>
      </w:r>
      <w:r>
        <w:rPr>
          <w:rFonts w:ascii="Arial" w:cs="Arial" w:eastAsia="Arial" w:hAnsi="Arial"/>
          <w:sz w:val="16"/>
          <w:szCs w:val="16"/>
          <w:color w:val="auto"/>
        </w:rPr>
        <w:t>("ASU 2015-05"); ASU No. 2015-03,</w:t>
      </w:r>
      <w:r>
        <w:rPr>
          <w:rFonts w:ascii="Arial" w:cs="Arial" w:eastAsia="Arial" w:hAnsi="Arial"/>
          <w:sz w:val="16"/>
          <w:szCs w:val="16"/>
          <w:i w:val="1"/>
          <w:iCs w:val="1"/>
          <w:color w:val="auto"/>
        </w:rPr>
        <w:t xml:space="preserve"> Simplifying the Presentation of Debt Issuance Costs </w:t>
      </w:r>
      <w:r>
        <w:rPr>
          <w:rFonts w:ascii="Arial" w:cs="Arial" w:eastAsia="Arial" w:hAnsi="Arial"/>
          <w:sz w:val="16"/>
          <w:szCs w:val="16"/>
          <w:color w:val="auto"/>
        </w:rPr>
        <w:t>("ASU 2015-03");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ASU No. 2015-04, </w:t>
      </w:r>
      <w:r>
        <w:rPr>
          <w:rFonts w:ascii="Arial" w:cs="Arial" w:eastAsia="Arial" w:hAnsi="Arial"/>
          <w:sz w:val="16"/>
          <w:szCs w:val="16"/>
          <w:i w:val="1"/>
          <w:iCs w:val="1"/>
          <w:color w:val="auto"/>
        </w:rPr>
        <w:t>Practical Expedient for the Measurement Date of an Employer's Defined Benefit Obligation and Plan Assets</w:t>
      </w:r>
      <w:r>
        <w:rPr>
          <w:rFonts w:ascii="Arial" w:cs="Arial" w:eastAsia="Arial" w:hAnsi="Arial"/>
          <w:sz w:val="16"/>
          <w:szCs w:val="16"/>
          <w:color w:val="auto"/>
        </w:rPr>
        <w:t xml:space="preserve"> ("ASU 2015-04").</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2015-05</w:t>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The Company prospectively adopted the provisions of ASU No. 2015-05, </w:t>
      </w:r>
      <w:r>
        <w:rPr>
          <w:rFonts w:ascii="Arial" w:cs="Arial" w:eastAsia="Arial" w:hAnsi="Arial"/>
          <w:sz w:val="17"/>
          <w:szCs w:val="17"/>
          <w:i w:val="1"/>
          <w:iCs w:val="1"/>
          <w:color w:val="auto"/>
        </w:rPr>
        <w:t>Customer's Accounting for Fees Paid in a Cloud Computing Arrangement</w:t>
      </w:r>
      <w:r>
        <w:rPr>
          <w:rFonts w:ascii="Arial" w:cs="Arial" w:eastAsia="Arial" w:hAnsi="Arial"/>
          <w:sz w:val="17"/>
          <w:szCs w:val="17"/>
          <w:color w:val="auto"/>
        </w:rPr>
        <w:t xml:space="preserve"> at the beginning of fiscal 2016, as it relates to the accounting for fees paid in connection with arrangements with cloud-based software providers. Under the new guidance, unless a software arrangement includes specific elements enabling customers to possess and operate software on platforms other than those offered by the cloud-based provider, the costs of such arrangements are accounted for as an operating expense in the period in which such costs are incurred. The adoption was not material to the Company's financial position, results of operations, or cash flows.</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364"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For the Company's adoption of ASU 2015-03, refer to Note 6, </w:t>
      </w:r>
      <w:r>
        <w:rPr>
          <w:rFonts w:ascii="Arial" w:cs="Arial" w:eastAsia="Arial" w:hAnsi="Arial"/>
          <w:sz w:val="18"/>
          <w:szCs w:val="18"/>
          <w:i w:val="1"/>
          <w:iCs w:val="1"/>
          <w:color w:val="auto"/>
        </w:rPr>
        <w:t>Long-Term Debt</w:t>
      </w:r>
      <w:r>
        <w:rPr>
          <w:rFonts w:ascii="Arial" w:cs="Arial" w:eastAsia="Arial" w:hAnsi="Arial"/>
          <w:sz w:val="18"/>
          <w:szCs w:val="18"/>
          <w:color w:val="auto"/>
        </w:rPr>
        <w:t>, accompanying the unaudited condensed consolidated financial statements in this Quarterly Report on Form 10-Q. The adoption of this guidance was effective at the beginning of fiscal 2016 and the provisions have been applied to each prior period presented for comparative purposes.</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For the Company's adoption of ASU 2015-04, refer to Note 8, </w:t>
      </w:r>
      <w:r>
        <w:rPr>
          <w:rFonts w:ascii="Arial" w:cs="Arial" w:eastAsia="Arial" w:hAnsi="Arial"/>
          <w:sz w:val="18"/>
          <w:szCs w:val="18"/>
          <w:i w:val="1"/>
          <w:iCs w:val="1"/>
          <w:color w:val="auto"/>
        </w:rPr>
        <w:t>Employee Benefit Plans</w:t>
      </w:r>
      <w:r>
        <w:rPr>
          <w:rFonts w:ascii="Arial" w:cs="Arial" w:eastAsia="Arial" w:hAnsi="Arial"/>
          <w:sz w:val="18"/>
          <w:szCs w:val="18"/>
          <w:color w:val="auto"/>
        </w:rPr>
        <w:t>, accompanying the unaudited condensed consolidated financial statements in this Quarterly Report on Form 10-Q.</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net of applicable income taxes, of accumulated other comprehensive loss consisted of the following:</w:t>
      </w:r>
    </w:p>
    <w:p>
      <w:pPr>
        <w:spacing w:after="0" w:line="185"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376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24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April 2, 2016</w:t>
            </w:r>
          </w:p>
        </w:tc>
        <w:tc>
          <w:tcPr>
            <w:tcW w:w="24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6"/>
                <w:szCs w:val="16"/>
                <w:b w:val="1"/>
                <w:bCs w:val="1"/>
                <w:color w:val="auto"/>
              </w:rPr>
              <w:t>January 2, 2016</w:t>
            </w:r>
          </w:p>
        </w:tc>
        <w:tc>
          <w:tcPr>
            <w:tcW w:w="260" w:type="dxa"/>
            <w:vAlign w:val="bottom"/>
          </w:tcPr>
          <w:p>
            <w:pPr>
              <w:spacing w:after="0"/>
              <w:rPr>
                <w:sz w:val="18"/>
                <w:szCs w:val="18"/>
                <w:color w:val="auto"/>
              </w:rPr>
            </w:pPr>
          </w:p>
        </w:tc>
        <w:tc>
          <w:tcPr>
            <w:tcW w:w="1460" w:type="dxa"/>
            <w:vAlign w:val="bottom"/>
          </w:tcPr>
          <w:p>
            <w:pPr>
              <w:jc w:val="right"/>
              <w:ind w:right="339"/>
              <w:spacing w:after="0"/>
              <w:rPr>
                <w:sz w:val="20"/>
                <w:szCs w:val="20"/>
                <w:color w:val="auto"/>
              </w:rPr>
            </w:pPr>
            <w:r>
              <w:rPr>
                <w:rFonts w:ascii="Arial" w:cs="Arial" w:eastAsia="Arial" w:hAnsi="Arial"/>
                <w:sz w:val="16"/>
                <w:szCs w:val="16"/>
                <w:b w:val="1"/>
                <w:bCs w:val="1"/>
                <w:color w:val="auto"/>
              </w:rPr>
              <w:t>April 4, 2015</w:t>
            </w:r>
          </w:p>
        </w:tc>
      </w:tr>
      <w:tr>
        <w:trPr>
          <w:trHeight w:val="33"/>
        </w:trPr>
        <w:tc>
          <w:tcPr>
            <w:tcW w:w="3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Cumulative foreign currency translation adjustments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(29,586)</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(21,391)</w:t>
            </w:r>
          </w:p>
        </w:tc>
      </w:tr>
      <w:tr>
        <w:trPr>
          <w:trHeight w:val="237"/>
        </w:trPr>
        <w:tc>
          <w:tcPr>
            <w:tcW w:w="3760" w:type="dxa"/>
            <w:vAlign w:val="bottom"/>
          </w:tcPr>
          <w:p>
            <w:pPr>
              <w:ind w:left="20"/>
              <w:spacing w:after="0"/>
              <w:rPr>
                <w:sz w:val="20"/>
                <w:szCs w:val="20"/>
                <w:color w:val="auto"/>
              </w:rPr>
            </w:pPr>
            <w:r>
              <w:rPr>
                <w:rFonts w:ascii="Arial" w:cs="Arial" w:eastAsia="Arial" w:hAnsi="Arial"/>
                <w:sz w:val="16"/>
                <w:szCs w:val="16"/>
                <w:color w:val="auto"/>
              </w:rPr>
              <w:t>Pension and post-retirement liability adjustments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(6,781)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(6,781)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(7,640)</w:t>
            </w:r>
          </w:p>
        </w:tc>
      </w:tr>
      <w:tr>
        <w:trPr>
          <w:trHeight w:val="33"/>
        </w:trPr>
        <w:tc>
          <w:tcPr>
            <w:tcW w:w="3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accumulated other comprehensive loss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(36,367)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(29,031)</w:t>
            </w:r>
          </w:p>
        </w:tc>
      </w:tr>
      <w:tr>
        <w:trPr>
          <w:trHeight w:val="20"/>
        </w:trPr>
        <w:tc>
          <w:tcPr>
            <w:tcW w:w="3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Changes in accumulated other comprehensive loss consisted of additional gains of $5.3 million and additional losses of $6.0 million for foreign currency translation adjustments for the first quarters of fiscal 2016 and fiscal 2015, respectively. During the first quarters of fiscal 2016 and fiscal 2015, no amounts were reclassified from accumulated other comprehensive loss to the statement of operations.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other intangible assets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100330</wp:posOffset>
            </wp:positionV>
            <wp:extent cx="4913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April 2, 2016</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January 2, 2016</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Weighted-</w:t>
            </w: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7"/>
              </w:rPr>
              <w:t>average useful</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Accumulated</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4"/>
              </w:rPr>
              <w:t>life</w:t>
            </w:r>
          </w:p>
        </w:tc>
        <w:tc>
          <w:tcPr>
            <w:tcW w:w="12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Gross amount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amortization</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amount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Carter's goodwill</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Indefinite</w:t>
            </w:r>
          </w:p>
        </w:tc>
        <w:tc>
          <w:tcPr>
            <w:tcW w:w="12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136,570</w:t>
            </w: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136,570</w:t>
            </w:r>
          </w:p>
        </w:tc>
        <w:tc>
          <w:tcPr>
            <w:tcW w:w="2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136,570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136,570</w:t>
            </w:r>
          </w:p>
        </w:tc>
        <w:tc>
          <w:tcPr>
            <w:tcW w:w="0" w:type="dxa"/>
            <w:vAlign w:val="bottom"/>
          </w:tcPr>
          <w:p>
            <w:pPr>
              <w:spacing w:after="0"/>
              <w:rPr>
                <w:sz w:val="1"/>
                <w:szCs w:val="1"/>
                <w:color w:val="auto"/>
              </w:rPr>
            </w:pPr>
          </w:p>
        </w:tc>
      </w:tr>
      <w:tr>
        <w:trPr>
          <w:trHeight w:val="237"/>
        </w:trPr>
        <w:tc>
          <w:tcPr>
            <w:tcW w:w="2300" w:type="dxa"/>
            <w:vAlign w:val="bottom"/>
          </w:tcPr>
          <w:p>
            <w:pPr>
              <w:ind w:left="60"/>
              <w:spacing w:after="0"/>
              <w:rPr>
                <w:sz w:val="20"/>
                <w:szCs w:val="20"/>
                <w:color w:val="auto"/>
              </w:rPr>
            </w:pPr>
            <w:r>
              <w:rPr>
                <w:rFonts w:ascii="Arial" w:cs="Arial" w:eastAsia="Arial" w:hAnsi="Arial"/>
                <w:sz w:val="16"/>
                <w:szCs w:val="16"/>
                <w:color w:val="auto"/>
              </w:rPr>
              <w:t>Bonnie Togs goodwill</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Indefinite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40,668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40,668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38,304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38,304</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goodwill</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177,238</w:t>
            </w: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177,238</w:t>
            </w:r>
          </w:p>
        </w:tc>
        <w:tc>
          <w:tcPr>
            <w:tcW w:w="2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174,874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174,874</w:t>
            </w: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Indefinite</w:t>
            </w:r>
          </w:p>
        </w:tc>
        <w:tc>
          <w:tcPr>
            <w:tcW w:w="12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220,233</w:t>
            </w: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2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220,233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0" w:type="dxa"/>
            <w:vAlign w:val="bottom"/>
          </w:tcPr>
          <w:p>
            <w:pPr>
              <w:spacing w:after="0"/>
              <w:rPr>
                <w:sz w:val="1"/>
                <w:szCs w:val="1"/>
                <w:color w:val="auto"/>
              </w:rPr>
            </w:pPr>
          </w:p>
        </w:tc>
      </w:tr>
      <w:tr>
        <w:trPr>
          <w:trHeight w:val="237"/>
        </w:trPr>
        <w:tc>
          <w:tcPr>
            <w:tcW w:w="2300" w:type="dxa"/>
            <w:vAlign w:val="bottom"/>
          </w:tcPr>
          <w:p>
            <w:pPr>
              <w:ind w:left="6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Indefinite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85,500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85,500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Other tradenames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2-20 years</w:t>
            </w:r>
          </w:p>
        </w:tc>
        <w:tc>
          <w:tcPr>
            <w:tcW w:w="120" w:type="dxa"/>
            <w:vAlign w:val="bottom"/>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4,120</w:t>
            </w:r>
          </w:p>
        </w:tc>
        <w:tc>
          <w:tcPr>
            <w:tcW w:w="220" w:type="dxa"/>
            <w:vAlign w:val="bottom"/>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5,115</w:t>
            </w:r>
          </w:p>
        </w:tc>
        <w:tc>
          <w:tcPr>
            <w:tcW w:w="0" w:type="dxa"/>
            <w:vAlign w:val="bottom"/>
          </w:tcPr>
          <w:p>
            <w:pPr>
              <w:spacing w:after="0"/>
              <w:rPr>
                <w:sz w:val="1"/>
                <w:szCs w:val="1"/>
                <w:color w:val="auto"/>
              </w:rPr>
            </w:pPr>
          </w:p>
        </w:tc>
      </w:tr>
      <w:tr>
        <w:trPr>
          <w:trHeight w:val="217"/>
        </w:trPr>
        <w:tc>
          <w:tcPr>
            <w:tcW w:w="2300" w:type="dxa"/>
            <w:vAlign w:val="bottom"/>
          </w:tcPr>
          <w:p>
            <w:pPr>
              <w:ind w:left="40"/>
              <w:spacing w:after="0"/>
              <w:rPr>
                <w:sz w:val="20"/>
                <w:szCs w:val="20"/>
                <w:color w:val="auto"/>
              </w:rPr>
            </w:pPr>
            <w:r>
              <w:rPr>
                <w:rFonts w:ascii="Arial" w:cs="Arial" w:eastAsia="Arial" w:hAnsi="Arial"/>
                <w:sz w:val="16"/>
                <w:szCs w:val="16"/>
                <w:color w:val="auto"/>
              </w:rPr>
              <w:t>Total tradenames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347,752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37,899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309,853</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347,725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36,877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310,848</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Non-compete agreements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4 years</w:t>
            </w:r>
          </w:p>
        </w:tc>
        <w:tc>
          <w:tcPr>
            <w:tcW w:w="12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00" w:type="dxa"/>
            <w:vAlign w:val="bottom"/>
          </w:tcPr>
          <w:p>
            <w:pPr>
              <w:ind w:left="40"/>
              <w:spacing w:after="0"/>
              <w:rPr>
                <w:sz w:val="20"/>
                <w:szCs w:val="20"/>
                <w:color w:val="auto"/>
              </w:rPr>
            </w:pPr>
            <w:r>
              <w:rPr>
                <w:rFonts w:ascii="Arial" w:cs="Arial" w:eastAsia="Arial" w:hAnsi="Arial"/>
                <w:sz w:val="16"/>
                <w:szCs w:val="16"/>
                <w:color w:val="auto"/>
              </w:rPr>
              <w:t>Total tradenames and other</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intangibles, net</w:t>
            </w:r>
          </w:p>
        </w:tc>
        <w:tc>
          <w:tcPr>
            <w:tcW w:w="1260" w:type="dxa"/>
            <w:vAlign w:val="bottom"/>
          </w:tcPr>
          <w:p>
            <w:pPr>
              <w:spacing w:after="0"/>
              <w:rPr>
                <w:sz w:val="17"/>
                <w:szCs w:val="17"/>
                <w:color w:val="auto"/>
              </w:rPr>
            </w:pPr>
          </w:p>
        </w:tc>
        <w:tc>
          <w:tcPr>
            <w:tcW w:w="3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347,963</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38,110</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309,853</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347,924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37,076</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310,848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7" w:right="2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257810</wp:posOffset>
            </wp:positionV>
            <wp:extent cx="2418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April 4, 2015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average useful</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6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6"/>
              </w:rPr>
              <w:t>life</w:t>
            </w:r>
          </w:p>
        </w:tc>
        <w:tc>
          <w:tcPr>
            <w:tcW w:w="100" w:type="dxa"/>
            <w:vAlign w:val="bottom"/>
          </w:tcPr>
          <w:p>
            <w:pPr>
              <w:spacing w:after="0"/>
              <w:rPr>
                <w:sz w:val="18"/>
                <w:szCs w:val="18"/>
                <w:color w:val="auto"/>
              </w:rPr>
            </w:pPr>
          </w:p>
        </w:tc>
        <w:tc>
          <w:tcPr>
            <w:tcW w:w="1180" w:type="dxa"/>
            <w:vAlign w:val="bottom"/>
            <w:gridSpan w:val="3"/>
          </w:tcPr>
          <w:p>
            <w:pPr>
              <w:ind w:left="60"/>
              <w:spacing w:after="0"/>
              <w:rPr>
                <w:sz w:val="20"/>
                <w:szCs w:val="20"/>
                <w:color w:val="auto"/>
              </w:rPr>
            </w:pPr>
            <w:r>
              <w:rPr>
                <w:rFonts w:ascii="Arial" w:cs="Arial" w:eastAsia="Arial" w:hAnsi="Arial"/>
                <w:sz w:val="16"/>
                <w:szCs w:val="16"/>
                <w:b w:val="1"/>
                <w:bCs w:val="1"/>
                <w:color w:val="auto"/>
              </w:rPr>
              <w:t>Gross amount</w:t>
            </w: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Net amount</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4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Carter's goodwill</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Indefinite</w:t>
            </w:r>
          </w:p>
        </w:tc>
        <w:tc>
          <w:tcPr>
            <w:tcW w:w="10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136,570</w:t>
            </w:r>
          </w:p>
        </w:tc>
        <w:tc>
          <w:tcPr>
            <w:tcW w:w="0" w:type="dxa"/>
            <w:vAlign w:val="bottom"/>
          </w:tcPr>
          <w:p>
            <w:pPr>
              <w:spacing w:after="0"/>
              <w:rPr>
                <w:sz w:val="1"/>
                <w:szCs w:val="1"/>
                <w:color w:val="auto"/>
              </w:rPr>
            </w:pPr>
          </w:p>
        </w:tc>
      </w:tr>
      <w:tr>
        <w:trPr>
          <w:trHeight w:val="237"/>
        </w:trPr>
        <w:tc>
          <w:tcPr>
            <w:tcW w:w="2460" w:type="dxa"/>
            <w:vAlign w:val="bottom"/>
          </w:tcPr>
          <w:p>
            <w:pPr>
              <w:ind w:left="60"/>
              <w:spacing w:after="0"/>
              <w:rPr>
                <w:sz w:val="20"/>
                <w:szCs w:val="20"/>
                <w:color w:val="auto"/>
              </w:rPr>
            </w:pPr>
            <w:r>
              <w:rPr>
                <w:rFonts w:ascii="Arial" w:cs="Arial" w:eastAsia="Arial" w:hAnsi="Arial"/>
                <w:sz w:val="16"/>
                <w:szCs w:val="16"/>
                <w:color w:val="auto"/>
              </w:rPr>
              <w:t>Bonnie Togs goodwill</w:t>
            </w: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Indefinite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42,289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42,289</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goodwill</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178,859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178,859</w:t>
            </w: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Indefinite</w:t>
            </w:r>
          </w:p>
        </w:tc>
        <w:tc>
          <w:tcPr>
            <w:tcW w:w="10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0" w:type="dxa"/>
            <w:vAlign w:val="bottom"/>
          </w:tcPr>
          <w:p>
            <w:pPr>
              <w:spacing w:after="0"/>
              <w:rPr>
                <w:sz w:val="1"/>
                <w:szCs w:val="1"/>
                <w:color w:val="auto"/>
              </w:rPr>
            </w:pPr>
          </w:p>
        </w:tc>
      </w:tr>
      <w:tr>
        <w:trPr>
          <w:trHeight w:val="237"/>
        </w:trPr>
        <w:tc>
          <w:tcPr>
            <w:tcW w:w="2460" w:type="dxa"/>
            <w:vAlign w:val="bottom"/>
          </w:tcPr>
          <w:p>
            <w:pPr>
              <w:ind w:left="6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Indefinite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85,500</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Other tradenames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2-20 years</w:t>
            </w:r>
          </w:p>
        </w:tc>
        <w:tc>
          <w:tcPr>
            <w:tcW w:w="100" w:type="dxa"/>
            <w:vAlign w:val="bottom"/>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9,207</w:t>
            </w:r>
          </w:p>
        </w:tc>
        <w:tc>
          <w:tcPr>
            <w:tcW w:w="0" w:type="dxa"/>
            <w:vAlign w:val="bottom"/>
          </w:tcPr>
          <w:p>
            <w:pPr>
              <w:spacing w:after="0"/>
              <w:rPr>
                <w:sz w:val="1"/>
                <w:szCs w:val="1"/>
                <w:color w:val="auto"/>
              </w:rPr>
            </w:pPr>
          </w:p>
        </w:tc>
      </w:tr>
      <w:tr>
        <w:trPr>
          <w:trHeight w:val="217"/>
        </w:trPr>
        <w:tc>
          <w:tcPr>
            <w:tcW w:w="2460" w:type="dxa"/>
            <w:vAlign w:val="bottom"/>
          </w:tcPr>
          <w:p>
            <w:pPr>
              <w:ind w:left="40"/>
              <w:spacing w:after="0"/>
              <w:rPr>
                <w:sz w:val="20"/>
                <w:szCs w:val="20"/>
                <w:color w:val="auto"/>
              </w:rPr>
            </w:pPr>
            <w:r>
              <w:rPr>
                <w:rFonts w:ascii="Arial" w:cs="Arial" w:eastAsia="Arial" w:hAnsi="Arial"/>
                <w:sz w:val="16"/>
                <w:szCs w:val="16"/>
                <w:color w:val="auto"/>
              </w:rPr>
              <w:t>Total tradenames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347,770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32,830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314,940</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Non-compete agreements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4 years</w:t>
            </w:r>
          </w:p>
        </w:tc>
        <w:tc>
          <w:tcPr>
            <w:tcW w:w="10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0"/>
        </w:trPr>
        <w:tc>
          <w:tcPr>
            <w:tcW w:w="2460" w:type="dxa"/>
            <w:vAlign w:val="bottom"/>
          </w:tcPr>
          <w:p>
            <w:pPr>
              <w:ind w:left="40"/>
              <w:spacing w:after="0"/>
              <w:rPr>
                <w:sz w:val="20"/>
                <w:szCs w:val="20"/>
                <w:color w:val="auto"/>
              </w:rPr>
            </w:pPr>
            <w:r>
              <w:rPr>
                <w:rFonts w:ascii="Arial" w:cs="Arial" w:eastAsia="Arial" w:hAnsi="Arial"/>
                <w:sz w:val="16"/>
                <w:szCs w:val="16"/>
                <w:color w:val="auto"/>
              </w:rPr>
              <w:t>Total tradenames and other</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60" w:type="dxa"/>
            <w:vAlign w:val="bottom"/>
          </w:tcPr>
          <w:p>
            <w:pPr>
              <w:ind w:left="40"/>
              <w:spacing w:after="0"/>
              <w:rPr>
                <w:sz w:val="20"/>
                <w:szCs w:val="20"/>
                <w:color w:val="auto"/>
              </w:rPr>
            </w:pPr>
            <w:r>
              <w:rPr>
                <w:rFonts w:ascii="Arial" w:cs="Arial" w:eastAsia="Arial" w:hAnsi="Arial"/>
                <w:sz w:val="16"/>
                <w:szCs w:val="16"/>
                <w:color w:val="auto"/>
              </w:rPr>
              <w:t>intangibles, net</w:t>
            </w:r>
          </w:p>
        </w:tc>
        <w:tc>
          <w:tcPr>
            <w:tcW w:w="1280" w:type="dxa"/>
            <w:vAlign w:val="bottom"/>
          </w:tcPr>
          <w:p>
            <w:pPr>
              <w:spacing w:after="0"/>
              <w:rPr>
                <w:sz w:val="17"/>
                <w:szCs w:val="17"/>
                <w:color w:val="auto"/>
              </w:rPr>
            </w:pP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347,990</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33,035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314,955</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changes in the carrying value of Bonnie Togs goodwill between the comparative periods were solely due to fluctuations in the foreign currency exchange rates between the Canadian and U.S. dollar that were used in the remeasurement process for preparing the Company's consolidated financial statements. The portion of the changes in the carrying values for other trademarks, including the related accumulated amortization, that was not attributable to amortization expense was also impacted by these same foreign currency exchange rate fluctuations.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recorded approximately $1.0 million and $2.3 million in amortization expense for the fiscal quarters ended April 2, 2016 and April 4, 2015, respectively. At April 2, 2016, the estimated future amortization expense for these assets is approximately $0.9 million for the remainder of fiscal 2016, $0.2 million for fiscal 2017, $0.2 million for each of fiscal year 2018, 2019 and 2020, and $2.5 million thereafter.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the second quarter of fiscal 2013, the Company's Board of Directors authorized the repurchase of shares of the Company's stock in an amount up to $300 million, inclusive of amounts remaining under previous authorizations. In the third quarter of fiscal 2013, the Board approved an additional $400 million accelerated share repurchase authorization, which has been completed. On February 24, 2016, the Company's Board of Directors authorized a new $500 million share repurchase program in addition to amounts remaining under previous authorizations. The total remaining capacity under the outstanding repurchase authorizations as of April 2, 2016 was approximately $503.3 million, based on settled repurchase transactions. The authorizations have no expiration date.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repurchased and retired shares in open market transactions in the following amounts for the fiscal periods indicated:</w:t>
      </w:r>
    </w:p>
    <w:p>
      <w:pPr>
        <w:spacing w:after="0" w:line="172" w:lineRule="exact"/>
        <w:rPr>
          <w:sz w:val="20"/>
          <w:szCs w:val="20"/>
          <w:color w:val="auto"/>
        </w:rPr>
      </w:pPr>
    </w:p>
    <w:tbl>
      <w:tblPr>
        <w:tblLayout w:type="fixed"/>
        <w:tblInd w:w="254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auto"/>
                <w:w w:val="91"/>
              </w:rPr>
              <w:t>Fiscal quarter ended</w:t>
            </w:r>
          </w:p>
        </w:tc>
      </w:tr>
      <w:tr>
        <w:trPr>
          <w:trHeight w:val="47"/>
        </w:trPr>
        <w:tc>
          <w:tcPr>
            <w:tcW w:w="27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31"/>
        </w:trPr>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April 2, 2016</w:t>
            </w:r>
          </w:p>
        </w:tc>
        <w:tc>
          <w:tcPr>
            <w:tcW w:w="280" w:type="dxa"/>
            <w:vAlign w:val="bottom"/>
          </w:tcPr>
          <w:p>
            <w:pPr>
              <w:spacing w:after="0"/>
              <w:rPr>
                <w:sz w:val="20"/>
                <w:szCs w:val="20"/>
                <w:color w:val="auto"/>
              </w:rPr>
            </w:pPr>
          </w:p>
        </w:tc>
        <w:tc>
          <w:tcPr>
            <w:tcW w:w="1560" w:type="dxa"/>
            <w:vAlign w:val="bottom"/>
          </w:tcPr>
          <w:p>
            <w:pPr>
              <w:jc w:val="right"/>
              <w:ind w:right="399"/>
              <w:spacing w:after="0"/>
              <w:rPr>
                <w:sz w:val="20"/>
                <w:szCs w:val="20"/>
                <w:color w:val="auto"/>
              </w:rPr>
            </w:pPr>
            <w:r>
              <w:rPr>
                <w:rFonts w:ascii="Arial" w:cs="Arial" w:eastAsia="Arial" w:hAnsi="Arial"/>
                <w:sz w:val="16"/>
                <w:szCs w:val="16"/>
                <w:b w:val="1"/>
                <w:bCs w:val="1"/>
                <w:color w:val="auto"/>
              </w:rPr>
              <w:t>April 4, 2015</w:t>
            </w:r>
          </w:p>
        </w:tc>
      </w:tr>
      <w:tr>
        <w:trPr>
          <w:trHeight w:val="33"/>
        </w:trPr>
        <w:tc>
          <w:tcPr>
            <w:tcW w:w="2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shares repurchased</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722,364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157,900</w:t>
            </w:r>
          </w:p>
        </w:tc>
      </w:tr>
      <w:tr>
        <w:trPr>
          <w:trHeight w:val="220"/>
        </w:trPr>
        <w:tc>
          <w:tcPr>
            <w:tcW w:w="2780" w:type="dxa"/>
            <w:vAlign w:val="bottom"/>
          </w:tcPr>
          <w:p>
            <w:pPr>
              <w:ind w:left="40"/>
              <w:spacing w:after="0"/>
              <w:rPr>
                <w:sz w:val="20"/>
                <w:szCs w:val="20"/>
                <w:color w:val="auto"/>
              </w:rPr>
            </w:pPr>
            <w:r>
              <w:rPr>
                <w:rFonts w:ascii="Arial" w:cs="Arial" w:eastAsia="Arial" w:hAnsi="Arial"/>
                <w:sz w:val="16"/>
                <w:szCs w:val="16"/>
                <w:color w:val="auto"/>
                <w:w w:val="91"/>
              </w:rPr>
              <w:t>Aggregate cost of shares repurchased - in</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6"/>
        </w:trPr>
        <w:tc>
          <w:tcPr>
            <w:tcW w:w="2780" w:type="dxa"/>
            <w:vAlign w:val="bottom"/>
          </w:tcPr>
          <w:p>
            <w:pPr>
              <w:ind w:left="40"/>
              <w:spacing w:after="0"/>
              <w:rPr>
                <w:sz w:val="20"/>
                <w:szCs w:val="20"/>
                <w:color w:val="auto"/>
              </w:rPr>
            </w:pPr>
            <w:r>
              <w:rPr>
                <w:rFonts w:ascii="Arial" w:cs="Arial" w:eastAsia="Arial" w:hAnsi="Arial"/>
                <w:sz w:val="16"/>
                <w:szCs w:val="16"/>
                <w:color w:val="auto"/>
              </w:rPr>
              <w:t>thousands $</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71,561</w:t>
            </w:r>
          </w:p>
        </w:tc>
        <w:tc>
          <w:tcPr>
            <w:tcW w:w="120" w:type="dxa"/>
            <w:vAlign w:val="bottom"/>
          </w:tcPr>
          <w:p>
            <w:pPr>
              <w:spacing w:after="0"/>
              <w:rPr>
                <w:sz w:val="17"/>
                <w:szCs w:val="17"/>
                <w:color w:val="auto"/>
              </w:rPr>
            </w:pPr>
          </w:p>
        </w:tc>
        <w:tc>
          <w:tcPr>
            <w:tcW w:w="280" w:type="dxa"/>
            <w:vAlign w:val="bottom"/>
          </w:tcPr>
          <w:p>
            <w:pPr>
              <w:jc w:val="center"/>
              <w:ind w:right="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14,120</w:t>
            </w:r>
          </w:p>
        </w:tc>
      </w:tr>
      <w:tr>
        <w:trPr>
          <w:trHeight w:val="33"/>
        </w:trPr>
        <w:tc>
          <w:tcPr>
            <w:tcW w:w="2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2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price per share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89.43</w:t>
            </w:r>
          </w:p>
        </w:tc>
      </w:tr>
      <w:tr>
        <w:trPr>
          <w:trHeight w:val="33"/>
        </w:trPr>
        <w:tc>
          <w:tcPr>
            <w:tcW w:w="2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337" w:right="29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Future repurchases may occur from time to time in the open market, in privately negotiated transactions, or otherwise. The timing and amount of any repurchases will be determined by the Company's management, based on its evaluation of market conditions, share price, other investment priorities, and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the first quarters of fiscal 2016 and fiscal 2015, the Company paid cash dividends per share of $0.33 and $0.22, respectively. Future declarations of dividends and the establishment of future record and payment dates are at the discretion of the Company's Board of Directors and based on a number of factors, including the Company's future financial performance and other investment priorities.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Provisions in the indenture governing the senior notes of The William Carter Company ("TWCC"), a 100% owned subsidiary of the Company, and in TWCC's secured revolving credit facility could have the effect of restricting the Company's ability to pay future cash dividends on, or make future repurchases of, its common stock. Provisions related to the indenture governing the senior notes are described in the Company's Annual Report on Form 10-K for the 2015 fiscal year ended January 2, 2016.</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10"/>
        </w:trPr>
        <w:tc>
          <w:tcPr>
            <w:tcW w:w="474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8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April 2, 2016</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 2016</w:t>
            </w:r>
          </w:p>
        </w:tc>
        <w:tc>
          <w:tcPr>
            <w:tcW w:w="20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rPr>
              <w:t>April 4, 2015</w:t>
            </w:r>
          </w:p>
        </w:tc>
      </w:tr>
      <w:tr>
        <w:trPr>
          <w:trHeight w:val="33"/>
        </w:trPr>
        <w:tc>
          <w:tcPr>
            <w:tcW w:w="4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at amounts repayable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r>
      <w:tr>
        <w:trPr>
          <w:trHeight w:val="237"/>
        </w:trPr>
        <w:tc>
          <w:tcPr>
            <w:tcW w:w="4740" w:type="dxa"/>
            <w:vAlign w:val="bottom"/>
          </w:tcPr>
          <w:p>
            <w:pPr>
              <w:ind w:left="20"/>
              <w:spacing w:after="0"/>
              <w:rPr>
                <w:sz w:val="20"/>
                <w:szCs w:val="20"/>
                <w:color w:val="auto"/>
              </w:rPr>
            </w:pPr>
            <w:r>
              <w:rPr>
                <w:rFonts w:ascii="Arial" w:cs="Arial" w:eastAsia="Arial" w:hAnsi="Arial"/>
                <w:sz w:val="16"/>
                <w:szCs w:val="16"/>
                <w:color w:val="auto"/>
              </w:rPr>
              <w:t>Less unamortized issuance-related costs for senior notes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(6,076)</w:t>
            </w:r>
          </w:p>
        </w:tc>
      </w:tr>
      <w:tr>
        <w:trPr>
          <w:trHeight w:val="33"/>
        </w:trPr>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Senior notes, net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394,541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393,924</w:t>
            </w:r>
          </w:p>
        </w:tc>
      </w:tr>
      <w:tr>
        <w:trPr>
          <w:trHeight w:val="237"/>
        </w:trPr>
        <w:tc>
          <w:tcPr>
            <w:tcW w:w="4740" w:type="dxa"/>
            <w:vAlign w:val="bottom"/>
          </w:tcPr>
          <w:p>
            <w:pPr>
              <w:ind w:left="20"/>
              <w:spacing w:after="0"/>
              <w:rPr>
                <w:sz w:val="20"/>
                <w:szCs w:val="20"/>
                <w:color w:val="auto"/>
              </w:rPr>
            </w:pPr>
            <w:r>
              <w:rPr>
                <w:rFonts w:ascii="Arial" w:cs="Arial" w:eastAsia="Arial" w:hAnsi="Arial"/>
                <w:sz w:val="16"/>
                <w:szCs w:val="16"/>
                <w:color w:val="auto"/>
              </w:rPr>
              <w:t>Secured revolving credit facility</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185,569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184,431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186,349</w:t>
            </w:r>
          </w:p>
        </w:tc>
      </w:tr>
      <w:tr>
        <w:trPr>
          <w:trHeight w:val="33"/>
        </w:trPr>
        <w:tc>
          <w:tcPr>
            <w:tcW w:w="4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4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long-term debt,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580,319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578,972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580,273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the first quarter of fiscal 2015, the Company replaced $20.0 million of outstanding borrowings under the then-existing secured revolving credit facility with CAD 25.5 million of borrowings, which approximated $20.3 million. This transaction is reflected on the Company's consolidated statement of cash flows.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Revolving Credit Facility</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previously disclosed in the Company's most recent Annual Report on Form 10-K for the fiscal year ended January 2, 2016, the secured revolving credit facility was amended and restated in September 2015. The aggregate principal amount of the secured revolving credit facility is $500 million consisting of (i) a $400 million U.S. dollar revolving credit facility (including a $175 million sub-limit for letters of credit and a swing line sub-limit of $50 million) available for borrowings by TWCC and (ii) a $100 million multicurrency revolving credit facility (including a $40 million sub-limit for letters of credit and a swing line sub-limit of $15 million) available for borrowings by TWCC and certain other subsidiaries of TWCC in U.S. dollars, Canadian dollars, Euros, Pounds Sterling, or other currencies agreed to by the applicable lenders. The secured revolving credit facility also provides for incremental facilities in an aggregate amount not to exceed $250 million, either in the form of a commitment increase under the existing revolving credit facility or the incurrence of one or more tranches of term loans (with the aggregate U.S. dollar amount available to the Company not to exceed $200 million and the aggregate multicurrency amount available not to exceed $50 million). The Company's secured revolving credit facility matures September 16, 2020.</w:t>
      </w:r>
    </w:p>
    <w:p>
      <w:pPr>
        <w:spacing w:after="0" w:line="16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As of April 2, 2016, the Company had approximately $185.6 million in outstanding borrowings under its secured revolving credit facility, exclusive of $4.9 million of outstanding letters of credit. As of April 2, 2016, there was approximately $309.6 million available for future borrowing.</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April 2, 2016, the interest rate margins applicable to the secured revolving credit facility were 1.375% for LIBOR (London Interbank Offered Rate) rate loans (which may be adjusted based on a leverage-based pricing grid ranging from 1.125%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37"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1.875%) and 0.375% for base rate loans (which may be adjusted based on a leverage-based pricing grid ranging from 0.125% to 0.875%).</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April 2, 2016, U.S. dollar borrowings outstanding under the secured revolving credit facility accrued interest at a LIBOR rate plus the applicable base rate, which was 1.80% on that date, and Canadian dollar borrowings accrued interest at a CDOR (Canadian Dollar Offered Rate) plus the applicable base rate, which was 2.24% on that date.</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 disclosed in the Company's most recent Annual Report on Form 10-K for the fiscal year ended January 2, 2016, the Company's secured revolving credit facility contains covenants, including affirmative and financial covenants. As of April 2, 2016, the Company was in compliance with the financial and other covenants under the secured revolving credit facility.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As of April 2, 2016, TWCC had outstanding $400 million principal amount of senior notes bearing interest at a fixed rate of 5.25% per annum and maturing on August 15, 2021. The senior notes are unsecured and are fully and unconditionally guaranteed by Carter's, Inc. and certain subsidiaries of TWCC. On the Company's consolidated balance sheet, the senior notes are reported net of certain unamortized issuance-related costs, as described in the following section.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Pronouncement Related to Debt Issuance Costs</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The Company retrospectively adopted the provisions of Accounting Standards Update No.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xml:space="preserve"> ("ASU 2015-03"), at the beginning of fiscal 2016, which requires that debt issuance costs be presented as a direct deduction from the carrying amount of the related debt liability, consistent with the presentation of a debt discount. Prior to the issuance of ASU 2015-03, debt issuance costs were required to be presented as deferred charge assets, separate from the related debt liability. The guidance did not change the recognition and measurement requirements for debt issuance costs. The Company reclassified $5.3 million, $5.5 million, and $6.1 million of unamortized issuance-related debt costs associated with the Company's senior notes from other assets to Long-term debt, net within its consolidated balance sheets as of April 2, 2016, January 2, 2016, and April 4, 2015, respectively. Other than this balance sheet reclassification, the adoption of ASU 2015-03 did not have an impact on the Company's consolidated financial statements. Fees paid to lenders to secure revolving lines of credit continue to be presented as a deferred charge (asset) on the balance sheet.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expense as follows:</w:t>
      </w:r>
    </w:p>
    <w:p>
      <w:pPr>
        <w:spacing w:after="0" w:line="185" w:lineRule="exact"/>
        <w:rPr>
          <w:sz w:val="20"/>
          <w:szCs w:val="20"/>
          <w:color w:val="auto"/>
        </w:rPr>
      </w:pPr>
    </w:p>
    <w:tbl>
      <w:tblPr>
        <w:tblLayout w:type="fixed"/>
        <w:tblInd w:w="26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6"/>
                <w:szCs w:val="16"/>
                <w:color w:val="auto"/>
              </w:rPr>
              <w:t>(dollars in thousands)</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April 2, 2016</w:t>
            </w:r>
          </w:p>
        </w:tc>
        <w:tc>
          <w:tcPr>
            <w:tcW w:w="200" w:type="dxa"/>
            <w:vAlign w:val="bottom"/>
          </w:tcPr>
          <w:p>
            <w:pPr>
              <w:spacing w:after="0"/>
              <w:rPr>
                <w:sz w:val="20"/>
                <w:szCs w:val="20"/>
                <w:color w:val="auto"/>
              </w:rPr>
            </w:pPr>
          </w:p>
        </w:tc>
        <w:tc>
          <w:tcPr>
            <w:tcW w:w="1300" w:type="dxa"/>
            <w:vAlign w:val="bottom"/>
          </w:tcPr>
          <w:p>
            <w:pPr>
              <w:jc w:val="right"/>
              <w:ind w:right="219"/>
              <w:spacing w:after="0"/>
              <w:rPr>
                <w:sz w:val="20"/>
                <w:szCs w:val="20"/>
                <w:color w:val="auto"/>
              </w:rPr>
            </w:pPr>
            <w:r>
              <w:rPr>
                <w:rFonts w:ascii="Arial" w:cs="Arial" w:eastAsia="Arial" w:hAnsi="Arial"/>
                <w:sz w:val="16"/>
                <w:szCs w:val="16"/>
                <w:b w:val="1"/>
                <w:bCs w:val="1"/>
                <w:color w:val="auto"/>
              </w:rPr>
              <w:t>April 4, 2015</w:t>
            </w:r>
          </w:p>
        </w:tc>
      </w:tr>
      <w:tr>
        <w:trPr>
          <w:trHeight w:val="33"/>
        </w:trPr>
        <w:tc>
          <w:tcPr>
            <w:tcW w:w="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 options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r>
      <w:tr>
        <w:trPr>
          <w:trHeight w:val="203"/>
        </w:trPr>
        <w:tc>
          <w:tcPr>
            <w:tcW w:w="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6"/>
                <w:szCs w:val="16"/>
                <w:color w:val="auto"/>
              </w:rPr>
              <w:t>Restricted stock:</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Time-based awards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2,083</w:t>
            </w:r>
          </w:p>
        </w:tc>
      </w:tr>
      <w:tr>
        <w:trPr>
          <w:trHeight w:val="237"/>
        </w:trPr>
        <w:tc>
          <w:tcPr>
            <w:tcW w:w="20" w:type="dxa"/>
            <w:vAlign w:val="bottom"/>
          </w:tcPr>
          <w:p>
            <w:pPr>
              <w:spacing w:after="0"/>
              <w:rPr>
                <w:sz w:val="20"/>
                <w:szCs w:val="20"/>
                <w:color w:val="auto"/>
              </w:rPr>
            </w:pPr>
          </w:p>
        </w:tc>
        <w:tc>
          <w:tcPr>
            <w:tcW w:w="3160" w:type="dxa"/>
            <w:vAlign w:val="bottom"/>
            <w:gridSpan w:val="2"/>
          </w:tcPr>
          <w:p>
            <w:pPr>
              <w:ind w:left="120"/>
              <w:spacing w:after="0"/>
              <w:rPr>
                <w:sz w:val="20"/>
                <w:szCs w:val="20"/>
                <w:color w:val="auto"/>
              </w:rPr>
            </w:pPr>
            <w:r>
              <w:rPr>
                <w:rFonts w:ascii="Arial" w:cs="Arial" w:eastAsia="Arial" w:hAnsi="Arial"/>
                <w:sz w:val="16"/>
                <w:szCs w:val="16"/>
                <w:color w:val="auto"/>
              </w:rPr>
              <w:t>Performance-based awards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1,333</w:t>
            </w:r>
          </w:p>
        </w:tc>
      </w:tr>
      <w:tr>
        <w:trPr>
          <w:trHeight w:val="33"/>
        </w:trPr>
        <w:tc>
          <w:tcPr>
            <w:tcW w:w="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4,740</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February 16, 2016, the Company's Board of Directors approved the issuance of the following new awards to certain key employees under the Company's existing stock-based compensation plan, subject to vesting: 204,100 stock options with an exercise price of $90.66 each; 116,644 shares of time-based restricted stock awards with a grant-date fair value of $90.66 each; and 53,070 shares of performance-based restricted stock awards with a grant-date fair value of $90.66 each.</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the first quarter of fiscal 2016, a total of 199,937 restricted stock awards (time- and performance-based) vested with a weighted-average grant-date fair value of $60.23 each. During the first quarter of fiscal 2015, a total of 331,163 restricted stock awards (time- and performance-based) vested with a weighted average grant-date fair value of $41.16 each.</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37" w:right="259" w:bottom="1440" w:gutter="0" w:footer="0" w:header="0"/>
        </w:sectPr>
      </w:pPr>
    </w:p>
    <w:bookmarkStart w:id="12" w:name="page13"/>
    <w:bookmarkEnd w:id="12"/>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 PLANS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maintains a defined contribution plan and two defined benefit plans. The two defined benefit plans include the OshKosh B'Gosh pension plan and a post-retirement life and medical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OSHKOSH B'GOSH PENSION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pension (benefit) cost included in the statement of operations was comprised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auto"/>
                <w:w w:val="91"/>
              </w:rPr>
              <w:t>Fiscal quarter ended</w:t>
            </w:r>
          </w:p>
        </w:tc>
      </w:tr>
      <w:tr>
        <w:trPr>
          <w:trHeight w:val="33"/>
        </w:trPr>
        <w:tc>
          <w:tcPr>
            <w:tcW w:w="4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418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24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April 2, 2016</w:t>
            </w:r>
          </w:p>
        </w:tc>
        <w:tc>
          <w:tcPr>
            <w:tcW w:w="300" w:type="dxa"/>
            <w:vAlign w:val="bottom"/>
          </w:tcPr>
          <w:p>
            <w:pPr>
              <w:spacing w:after="0"/>
              <w:rPr>
                <w:sz w:val="18"/>
                <w:szCs w:val="18"/>
                <w:color w:val="auto"/>
              </w:rPr>
            </w:pPr>
          </w:p>
        </w:tc>
        <w:tc>
          <w:tcPr>
            <w:tcW w:w="1580" w:type="dxa"/>
            <w:vAlign w:val="bottom"/>
          </w:tcPr>
          <w:p>
            <w:pPr>
              <w:jc w:val="right"/>
              <w:ind w:right="419"/>
              <w:spacing w:after="0"/>
              <w:rPr>
                <w:sz w:val="20"/>
                <w:szCs w:val="20"/>
                <w:color w:val="auto"/>
              </w:rPr>
            </w:pPr>
            <w:r>
              <w:rPr>
                <w:rFonts w:ascii="Arial" w:cs="Arial" w:eastAsia="Arial" w:hAnsi="Arial"/>
                <w:sz w:val="16"/>
                <w:szCs w:val="16"/>
                <w:b w:val="1"/>
                <w:bCs w:val="1"/>
                <w:color w:val="auto"/>
              </w:rPr>
              <w:t>April 4, 2015</w:t>
            </w:r>
          </w:p>
        </w:tc>
      </w:tr>
      <w:tr>
        <w:trPr>
          <w:trHeight w:val="33"/>
        </w:trPr>
        <w:tc>
          <w:tcPr>
            <w:tcW w:w="4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w:t>
            </w: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(785)</w:t>
            </w:r>
          </w:p>
        </w:tc>
      </w:tr>
      <w:tr>
        <w:trPr>
          <w:trHeight w:val="33"/>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Recognized actuarial loss</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44"/>
        </w:trPr>
        <w:tc>
          <w:tcPr>
            <w:tcW w:w="4180" w:type="dxa"/>
            <w:vAlign w:val="bottom"/>
          </w:tcPr>
          <w:p>
            <w:pPr>
              <w:ind w:left="280"/>
              <w:spacing w:after="0"/>
              <w:rPr>
                <w:sz w:val="20"/>
                <w:szCs w:val="20"/>
                <w:color w:val="auto"/>
              </w:rPr>
            </w:pPr>
            <w:r>
              <w:rPr>
                <w:rFonts w:ascii="Arial" w:cs="Arial" w:eastAsia="Arial" w:hAnsi="Arial"/>
                <w:sz w:val="16"/>
                <w:szCs w:val="16"/>
                <w:color w:val="auto"/>
              </w:rPr>
              <w:t>Net periodic pension (benefit) cost</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LIFE AND MEDICAL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post-retirement benefit expense charged to the statement of operations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4"/>
          </w:tcPr>
          <w:p>
            <w:pPr>
              <w:jc w:val="right"/>
              <w:ind w:right="959"/>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4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474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22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b w:val="1"/>
                <w:bCs w:val="1"/>
                <w:color w:val="auto"/>
              </w:rPr>
              <w:t>April 2, 2016</w:t>
            </w:r>
          </w:p>
        </w:tc>
        <w:tc>
          <w:tcPr>
            <w:tcW w:w="300" w:type="dxa"/>
            <w:vAlign w:val="bottom"/>
          </w:tcPr>
          <w:p>
            <w:pPr>
              <w:spacing w:after="0"/>
              <w:rPr>
                <w:sz w:val="20"/>
                <w:szCs w:val="20"/>
                <w:color w:val="auto"/>
              </w:rPr>
            </w:pPr>
          </w:p>
        </w:tc>
        <w:tc>
          <w:tcPr>
            <w:tcW w:w="1540" w:type="dxa"/>
            <w:vAlign w:val="bottom"/>
          </w:tcPr>
          <w:p>
            <w:pPr>
              <w:jc w:val="right"/>
              <w:ind w:right="399"/>
              <w:spacing w:after="0"/>
              <w:rPr>
                <w:sz w:val="20"/>
                <w:szCs w:val="20"/>
                <w:color w:val="auto"/>
              </w:rPr>
            </w:pPr>
            <w:r>
              <w:rPr>
                <w:rFonts w:ascii="Arial" w:cs="Arial" w:eastAsia="Arial" w:hAnsi="Arial"/>
                <w:sz w:val="16"/>
                <w:szCs w:val="16"/>
                <w:b w:val="1"/>
                <w:bCs w:val="1"/>
                <w:color w:val="auto"/>
              </w:rPr>
              <w:t>April 4, 2015</w:t>
            </w:r>
          </w:p>
        </w:tc>
      </w:tr>
      <w:tr>
        <w:trPr>
          <w:trHeight w:val="33"/>
        </w:trPr>
        <w:tc>
          <w:tcPr>
            <w:tcW w:w="4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69"/>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50"/>
        </w:trPr>
        <w:tc>
          <w:tcPr>
            <w:tcW w:w="4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Service cost – benefits attributed to service during the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7"/>
        </w:trPr>
        <w:tc>
          <w:tcPr>
            <w:tcW w:w="4740" w:type="dxa"/>
            <w:vAlign w:val="bottom"/>
          </w:tcPr>
          <w:p>
            <w:pPr>
              <w:ind w:left="60"/>
              <w:spacing w:after="0"/>
              <w:rPr>
                <w:sz w:val="20"/>
                <w:szCs w:val="20"/>
                <w:color w:val="auto"/>
              </w:rPr>
            </w:pPr>
            <w:r>
              <w:rPr>
                <w:rFonts w:ascii="Arial" w:cs="Arial" w:eastAsia="Arial" w:hAnsi="Arial"/>
                <w:sz w:val="16"/>
                <w:szCs w:val="16"/>
                <w:color w:val="auto"/>
              </w:rPr>
              <w:t>Interest cost on accumulated post-retirement benefit obligation</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3"/>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Amortization net actuarial gain</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44"/>
        </w:trPr>
        <w:tc>
          <w:tcPr>
            <w:tcW w:w="4740" w:type="dxa"/>
            <w:vAlign w:val="bottom"/>
          </w:tcPr>
          <w:p>
            <w:pPr>
              <w:ind w:left="200"/>
              <w:spacing w:after="0"/>
              <w:rPr>
                <w:sz w:val="20"/>
                <w:szCs w:val="20"/>
                <w:color w:val="auto"/>
              </w:rPr>
            </w:pPr>
            <w:r>
              <w:rPr>
                <w:rFonts w:ascii="Arial" w:cs="Arial" w:eastAsia="Arial" w:hAnsi="Arial"/>
                <w:sz w:val="16"/>
                <w:szCs w:val="16"/>
                <w:color w:val="auto"/>
              </w:rPr>
              <w:t>Total net periodic post-retirement benefit cost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Simplified Measurement Date for Defined Benefit Plan Assets and Obligations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Company adopted the provisions of ASU No. 2015-04, </w:t>
      </w:r>
      <w:r>
        <w:rPr>
          <w:rFonts w:ascii="Arial" w:cs="Arial" w:eastAsia="Arial" w:hAnsi="Arial"/>
          <w:sz w:val="16"/>
          <w:szCs w:val="16"/>
          <w:i w:val="1"/>
          <w:iCs w:val="1"/>
          <w:color w:val="auto"/>
        </w:rPr>
        <w:t>Practical Expedient for the Measurement Date of an Employer's Defined Benefit Obligation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Plan Assets </w:t>
      </w:r>
      <w:r>
        <w:rPr>
          <w:rFonts w:ascii="Arial" w:cs="Arial" w:eastAsia="Arial" w:hAnsi="Arial"/>
          <w:sz w:val="16"/>
          <w:szCs w:val="16"/>
          <w:color w:val="auto"/>
        </w:rPr>
        <w:t>("ASU 2015-04") at the beginning of fiscal 2016. However, the Company is not required to make any such measurements until the end of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2016. ASU 2015-04 allows employers with fiscal year ends that do not coincide with a calendar month end to make an accounting policy election to measure defined benefit plan assets and obligations as of the end of the month closest to their fiscal year end (i.e., on an alternative measurement date). An employer that makes this election must consistently apply the alternative measurement date from year to year and to all of its defined benefit plans. The Company expects to make the accounting policy election to use December 31 as the measurement date for all of its defined benefit plan assets and obligations for fiscal 2016 and subsequent years. Measurement dates for prior periods will not be impacted. The Company does not expect the use of the alternative measurement date of December 31, 2016 to have a material impact on the Company's results of operations, financial condition, or cash flows.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first quarter of fiscal 2015, the Internal Revenue Service completed an income tax audit for fiscal 2011- 2013. As a result of the settlement of this audit and an ongoing state income tax audit, the Company recognized prior-year income tax benefits of</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337" w:right="31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$1.8 million in the first quarter of fiscal 2015. In most cases, the Company is no longer subject to state and local tax authority examinations for years prior to fiscal 2012.</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April 2, 2016, the Company had gross unrecognized income tax benefits of approximately $9.2 million, of which $6.4 million, if ultimately recognized, may affect the Company's effective tax rate in the periods settled. The Company has recorded tax positions for which the ultimate deductibility is more likely than not, but for which there is uncertainty about the timing of such deductions.</w:t>
      </w:r>
    </w:p>
    <w:p>
      <w:pPr>
        <w:spacing w:after="0" w:line="18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Included in the reserves for unrecognized tax benefits at April 2, 2016 are approximately $1.0 million of reserves for which the statute of limitations is expected to expire within the next fiscal year. If these tax benefits are ultimately recognized, such recognition, net of federal income taxes, may affect the annual effective tax rate for fiscal 2016 or fiscal 2017 along with the effective tax rate in the quarter in which the benefits are recognized.</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recognizes interest related to unrecognized tax benefits as a component of interest expense and recognizes penalties related to unrecognized tax benefits as a component of income tax expense. During the fiscal quarters ended April 2, 2016 and April 4, 2015, interest expense recorded on uncertain tax positions was not significant. The Company had approximately $0.7 million, $0.8 million, and $0.8 million of interest accrued on uncertain tax positions as of April 2, 2016, January 2, 2016, and April 4, 2015,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gridSpan w:val="4"/>
          </w:tcPr>
          <w:p>
            <w:pPr>
              <w:jc w:val="right"/>
              <w:ind w:right="257"/>
              <w:spacing w:after="0"/>
              <w:rPr>
                <w:sz w:val="20"/>
                <w:szCs w:val="20"/>
                <w:color w:val="auto"/>
              </w:rPr>
            </w:pPr>
            <w:r>
              <w:rPr>
                <w:rFonts w:ascii="Arial" w:cs="Arial" w:eastAsia="Arial" w:hAnsi="Arial"/>
                <w:sz w:val="18"/>
                <w:szCs w:val="18"/>
                <w:b w:val="1"/>
                <w:bCs w:val="1"/>
                <w:color w:val="auto"/>
                <w:w w:val="98"/>
              </w:rPr>
              <w:t>NOTE 10 – FAIR VALUE MEASUREMENTS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April 2, 2016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20" w:type="dxa"/>
            <w:vAlign w:val="bottom"/>
            <w:tcBorders>
              <w:right w:val="single" w:sz="8" w:color="auto"/>
            </w:tcBorders>
            <w:gridSpan w:val="8"/>
          </w:tcPr>
          <w:p>
            <w:pPr>
              <w:jc w:val="center"/>
              <w:ind w:right="780"/>
              <w:spacing w:after="0"/>
              <w:rPr>
                <w:sz w:val="20"/>
                <w:szCs w:val="20"/>
                <w:color w:val="auto"/>
              </w:rPr>
            </w:pPr>
            <w:r>
              <w:rPr>
                <w:rFonts w:ascii="Arial" w:cs="Arial" w:eastAsia="Arial" w:hAnsi="Arial"/>
                <w:sz w:val="18"/>
                <w:szCs w:val="18"/>
                <w:b w:val="1"/>
                <w:bCs w:val="1"/>
                <w:color w:val="auto"/>
                <w:w w:val="92"/>
              </w:rPr>
              <w:t>January 2, 2016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gridSpan w:val="5"/>
          </w:tcPr>
          <w:p>
            <w:pPr>
              <w:ind w:left="20"/>
              <w:spacing w:after="0"/>
              <w:rPr>
                <w:sz w:val="20"/>
                <w:szCs w:val="20"/>
                <w:color w:val="auto"/>
              </w:rPr>
            </w:pPr>
            <w:r>
              <w:rPr>
                <w:rFonts w:ascii="Arial" w:cs="Arial" w:eastAsia="Arial" w:hAnsi="Arial"/>
                <w:sz w:val="18"/>
                <w:szCs w:val="18"/>
                <w:b w:val="1"/>
                <w:bCs w:val="1"/>
                <w:color w:val="auto"/>
                <w:w w:val="92"/>
              </w:rPr>
              <w:t>April 4, 2015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(dollars in millions)</w:t>
            </w:r>
          </w:p>
        </w:tc>
        <w:tc>
          <w:tcPr>
            <w:tcW w:w="120" w:type="dxa"/>
            <w:vAlign w:val="bottom"/>
          </w:tcPr>
          <w:p>
            <w:pPr>
              <w:spacing w:after="0"/>
              <w:rPr>
                <w:sz w:val="20"/>
                <w:szCs w:val="20"/>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b w:val="1"/>
                <w:bCs w:val="1"/>
                <w:color w:val="auto"/>
                <w:w w:val="91"/>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2</w:t>
            </w:r>
          </w:p>
        </w:tc>
        <w:tc>
          <w:tcPr>
            <w:tcW w:w="120" w:type="dxa"/>
            <w:vAlign w:val="bottom"/>
          </w:tcPr>
          <w:p>
            <w:pPr>
              <w:spacing w:after="0"/>
              <w:rPr>
                <w:sz w:val="20"/>
                <w:szCs w:val="20"/>
                <w:color w:val="auto"/>
              </w:rPr>
            </w:pPr>
          </w:p>
        </w:tc>
        <w:tc>
          <w:tcPr>
            <w:tcW w:w="8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8"/>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Level 2</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88"/>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7"/>
              <w:spacing w:after="0"/>
              <w:rPr>
                <w:sz w:val="20"/>
                <w:szCs w:val="20"/>
                <w:color w:val="auto"/>
              </w:rPr>
            </w:pPr>
            <w:r>
              <w:rPr>
                <w:rFonts w:ascii="Arial" w:cs="Arial" w:eastAsia="Arial" w:hAnsi="Arial"/>
                <w:sz w:val="18"/>
                <w:szCs w:val="18"/>
                <w:b w:val="1"/>
                <w:bCs w:val="1"/>
                <w:color w:val="auto"/>
                <w:w w:val="85"/>
              </w:rPr>
              <w:t>Level 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8"/>
              </w:rPr>
              <w:t>Level 2</w:t>
            </w:r>
          </w:p>
        </w:tc>
        <w:tc>
          <w:tcPr>
            <w:tcW w:w="100" w:type="dxa"/>
            <w:vAlign w:val="bottom"/>
          </w:tcPr>
          <w:p>
            <w:pPr>
              <w:spacing w:after="0"/>
              <w:rPr>
                <w:sz w:val="20"/>
                <w:szCs w:val="20"/>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b w:val="1"/>
                <w:bCs w:val="1"/>
                <w:color w:val="auto"/>
                <w:w w:val="88"/>
              </w:rPr>
              <w:t>Level 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8.2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right w:val="single" w:sz="8" w:color="auto"/>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7.9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w w:val="91"/>
              </w:rPr>
              <w:t xml:space="preserve">Foreign exchange forward contracts </w:t>
            </w:r>
            <w:r>
              <w:rPr>
                <w:rFonts w:ascii="Arial" w:cs="Arial" w:eastAsia="Arial" w:hAnsi="Arial"/>
                <w:sz w:val="14"/>
                <w:szCs w:val="14"/>
                <w:i w:val="1"/>
                <w:iCs w:val="1"/>
                <w:color w:val="auto"/>
                <w:w w:val="91"/>
              </w:rPr>
              <w:t>(1)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7"/>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7"/>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right w:val="single" w:sz="8" w:color="auto"/>
            </w:tcBorders>
            <w:gridSpan w:val="2"/>
          </w:tcPr>
          <w:p>
            <w:pPr>
              <w:ind w:left="4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7"/>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7"/>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1"/>
              </w:rPr>
              <w:t xml:space="preserve">Foreign exchange forward contracts </w:t>
            </w:r>
            <w:r>
              <w:rPr>
                <w:rFonts w:ascii="Arial" w:cs="Arial" w:eastAsia="Arial" w:hAnsi="Arial"/>
                <w:sz w:val="14"/>
                <w:szCs w:val="14"/>
                <w:i w:val="1"/>
                <w:iCs w:val="1"/>
                <w:color w:val="auto"/>
                <w:w w:val="91"/>
              </w:rPr>
              <w:t>(2)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2.1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right w:val="single" w:sz="8" w:color="auto"/>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7"/>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right w:val="single" w:sz="8" w:color="auto"/>
            </w:tcBorders>
            <w:gridSpan w:val="2"/>
          </w:tcPr>
          <w:p>
            <w:pPr>
              <w:ind w:left="4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7"/>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7"/>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080" w:hanging="26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Prepaid expenses and other current assets in the Company's condensed consolidated balance sheet.</w:t>
      </w:r>
    </w:p>
    <w:p>
      <w:pPr>
        <w:spacing w:after="0" w:line="9" w:lineRule="exact"/>
        <w:rPr>
          <w:rFonts w:ascii="Arial" w:cs="Arial" w:eastAsia="Arial" w:hAnsi="Arial"/>
          <w:sz w:val="18"/>
          <w:szCs w:val="18"/>
          <w:color w:val="auto"/>
        </w:rPr>
      </w:pPr>
    </w:p>
    <w:p>
      <w:pPr>
        <w:ind w:left="1080" w:hanging="26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Other current liabilities in the Company's condensed consolidated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invests in marketable securities, principally equity-based mutual funds, to mitigate the risk associated with the investment return on employee deferrals of compensation.</w:t>
      </w:r>
    </w:p>
    <w:p>
      <w:pPr>
        <w:spacing w:after="0" w:line="17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Losses on the investments in marketable securities were $0.4 million for the fiscal quarter ended April 2, 2016. Gains on the investments in marketable securities were $0.2 million for the fiscal quarter ended April 4, 2015. These amounts are included in Other expense, net on the Company's consolidated statement of operations included in this Quarterly Report on Form 10-Q.</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Fair values for unsettled foreign exchange forward contracts are calculated by using readily observable market inputs (market-quoted currency exchange rates in effect between U.S. and Canadian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April 2, 2016, the notional value of the open foreign currency forward contracts was $44.0 million.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37"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recorded realized gains of approximately $0.8 million for contracts settled during the first quarter of fiscal 2016. These amounts are included in Other expense, net on the Company's consolidated statement of operations. The Company did not apply hedge accounting treatment on any of these foreign currency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approximately $2.0 million of unrealized losses on open contracts that were marked to market as of April 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2015, the Company had no foreign exchange contracts.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00" w:lineRule="exact"/>
        <w:rPr>
          <w:sz w:val="20"/>
          <w:szCs w:val="20"/>
          <w:color w:val="auto"/>
        </w:rPr>
      </w:pPr>
    </w:p>
    <w:p>
      <w:pPr>
        <w:spacing w:after="0" w:line="24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the changes in the contingent consideration liability during the first quarter of fiscal 2015 related to the Company's 2011 acquisition of Bonnie Togs:</w:t>
      </w:r>
    </w:p>
    <w:p>
      <w:pPr>
        <w:sectPr>
          <w:pgSz w:w="11900" w:h="16838" w:orient="portrait"/>
          <w:cols w:equalWidth="0" w:num="1">
            <w:col w:w="11400"/>
          </w:cols>
          <w:pgMar w:left="240" w:top="33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450215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0215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Balance at the beginning of period</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450215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0215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translation adjustment</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at the end of period</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jc w:val="center"/>
        <w:ind w:right="4320"/>
        <w:spacing w:after="0"/>
        <w:rPr>
          <w:sz w:val="20"/>
          <w:szCs w:val="20"/>
          <w:color w:val="auto"/>
        </w:rPr>
      </w:pPr>
      <w:r>
        <w:rPr>
          <w:rFonts w:ascii="Arial" w:cs="Arial" w:eastAsia="Arial" w:hAnsi="Arial"/>
          <w:sz w:val="16"/>
          <w:szCs w:val="16"/>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37465</wp:posOffset>
            </wp:positionV>
            <wp:extent cx="15093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66" w:lineRule="exact"/>
        <w:rPr>
          <w:sz w:val="20"/>
          <w:szCs w:val="20"/>
          <w:color w:val="auto"/>
        </w:rPr>
      </w:pPr>
    </w:p>
    <w:p>
      <w:pPr>
        <w:jc w:val="center"/>
        <w:ind w:right="4320"/>
        <w:spacing w:after="0"/>
        <w:rPr>
          <w:sz w:val="20"/>
          <w:szCs w:val="20"/>
          <w:color w:val="auto"/>
        </w:rPr>
      </w:pPr>
      <w:r>
        <w:rPr>
          <w:rFonts w:ascii="Arial" w:cs="Arial" w:eastAsia="Arial" w:hAnsi="Arial"/>
          <w:sz w:val="16"/>
          <w:szCs w:val="16"/>
          <w:b w:val="1"/>
          <w:bCs w:val="1"/>
          <w:color w:val="auto"/>
        </w:rPr>
        <w:t>April 4, 2015</w:t>
      </w:r>
    </w:p>
    <w:p>
      <w:pPr>
        <w:spacing w:after="0" w:line="90" w:lineRule="exact"/>
        <w:rPr>
          <w:sz w:val="20"/>
          <w:szCs w:val="20"/>
          <w:color w:val="auto"/>
        </w:rPr>
      </w:pPr>
    </w:p>
    <w:p>
      <w:pPr>
        <w:spacing w:after="0"/>
        <w:tabs>
          <w:tab w:leader="none" w:pos="19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7,711</w:t>
      </w:r>
    </w:p>
    <w:p>
      <w:pPr>
        <w:spacing w:after="0" w:line="73"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483</w:t>
      </w:r>
    </w:p>
    <w:p>
      <w:pPr>
        <w:spacing w:after="0" w:line="73" w:lineRule="exact"/>
        <w:rPr>
          <w:sz w:val="20"/>
          <w:szCs w:val="20"/>
          <w:color w:val="auto"/>
        </w:rPr>
      </w:pPr>
    </w:p>
    <w:p>
      <w:pPr>
        <w:jc w:val="right"/>
        <w:ind w:right="4320"/>
        <w:spacing w:after="0"/>
        <w:rPr>
          <w:sz w:val="20"/>
          <w:szCs w:val="20"/>
          <w:color w:val="auto"/>
        </w:rPr>
      </w:pPr>
      <w:r>
        <w:rPr>
          <w:rFonts w:ascii="Arial" w:cs="Arial" w:eastAsia="Arial" w:hAnsi="Arial"/>
          <w:sz w:val="16"/>
          <w:szCs w:val="16"/>
          <w:color w:val="auto"/>
        </w:rPr>
        <w:t>(533)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wp:posOffset>
            </wp:positionV>
            <wp:extent cx="15093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66" w:lineRule="exact"/>
        <w:rPr>
          <w:sz w:val="20"/>
          <w:szCs w:val="20"/>
          <w:color w:val="auto"/>
        </w:rPr>
      </w:pPr>
    </w:p>
    <w:p>
      <w:pPr>
        <w:spacing w:after="0"/>
        <w:tabs>
          <w:tab w:leader="none" w:pos="19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wp:posOffset>
            </wp:positionV>
            <wp:extent cx="15093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52070</wp:posOffset>
            </wp:positionV>
            <wp:extent cx="15093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4020" w:space="720"/>
            <w:col w:w="6660"/>
          </w:cols>
          <w:pgMar w:left="240" w:top="337" w:right="259"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At April 2, 2016 and January 2, 2016, the Company had no remaining contingent consideration liability.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April 2, 2016, the fair value of the Company's $185.6 million in outstanding borrowings under its secured revolving credit facility approximated carrying value.</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fair value of the Company's senior notes at April 2, 2016 was approximately $413 million. The fair value of these senior notes with a notional value and carrying value of $400 million was estimated using a quoted price as provided in the secondary market, which considers the Company’s credit risk and market related conditions, and is therefore within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37" w:right="259" w:bottom="1440" w:gutter="0" w:footer="0" w:header="0"/>
          <w:type w:val="continuous"/>
        </w:sectPr>
      </w:pPr>
    </w:p>
    <w:bookmarkStart w:id="15" w:name="page16"/>
    <w:bookmarkEnd w:id="15"/>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basic common shares outstanding to diluted common and common equivalent shares outstanding:</w:t>
      </w:r>
    </w:p>
    <w:p>
      <w:pPr>
        <w:spacing w:after="0" w:line="195" w:lineRule="exact"/>
        <w:rPr>
          <w:sz w:val="20"/>
          <w:szCs w:val="20"/>
          <w:color w:val="auto"/>
        </w:rPr>
      </w:pPr>
    </w:p>
    <w:tbl>
      <w:tblPr>
        <w:tblLayout w:type="fixed"/>
        <w:tblInd w:w="192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350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rPr>
              <w:t>Fiscal quarter ended</w:t>
            </w:r>
          </w:p>
        </w:tc>
        <w:tc>
          <w:tcPr>
            <w:tcW w:w="0" w:type="dxa"/>
            <w:vAlign w:val="bottom"/>
          </w:tcPr>
          <w:p>
            <w:pPr>
              <w:spacing w:after="0"/>
              <w:rPr>
                <w:sz w:val="1"/>
                <w:szCs w:val="1"/>
                <w:color w:val="auto"/>
              </w:rPr>
            </w:pPr>
          </w:p>
        </w:tc>
      </w:tr>
      <w:tr>
        <w:trPr>
          <w:trHeight w:val="47"/>
        </w:trPr>
        <w:tc>
          <w:tcPr>
            <w:tcW w:w="4100" w:type="dxa"/>
            <w:vAlign w:val="bottom"/>
          </w:tcPr>
          <w:p>
            <w:pPr>
              <w:spacing w:after="0"/>
              <w:rPr>
                <w:sz w:val="4"/>
                <w:szCs w:val="4"/>
                <w:color w:val="auto"/>
              </w:rPr>
            </w:pPr>
          </w:p>
        </w:tc>
        <w:tc>
          <w:tcPr>
            <w:tcW w:w="1660" w:type="dxa"/>
            <w:vAlign w:val="bottom"/>
            <w:tcBorders>
              <w:bottom w:val="single" w:sz="8" w:color="auto"/>
            </w:tcBorders>
            <w:gridSpan w:val="2"/>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100" w:type="dxa"/>
            <w:vAlign w:val="bottom"/>
          </w:tcPr>
          <w:p>
            <w:pPr>
              <w:spacing w:after="0"/>
              <w:rPr>
                <w:sz w:val="20"/>
                <w:szCs w:val="20"/>
                <w:color w:val="auto"/>
              </w:rPr>
            </w:pPr>
          </w:p>
        </w:tc>
        <w:tc>
          <w:tcPr>
            <w:tcW w:w="1660" w:type="dxa"/>
            <w:vAlign w:val="bottom"/>
            <w:gridSpan w:val="2"/>
          </w:tcPr>
          <w:p>
            <w:pPr>
              <w:ind w:left="320"/>
              <w:spacing w:after="0"/>
              <w:rPr>
                <w:sz w:val="20"/>
                <w:szCs w:val="20"/>
                <w:color w:val="auto"/>
              </w:rPr>
            </w:pPr>
            <w:r>
              <w:rPr>
                <w:rFonts w:ascii="Arial" w:cs="Arial" w:eastAsia="Arial" w:hAnsi="Arial"/>
                <w:sz w:val="16"/>
                <w:szCs w:val="16"/>
                <w:b w:val="1"/>
                <w:bCs w:val="1"/>
                <w:color w:val="auto"/>
              </w:rPr>
              <w:t>April 2, 2016</w:t>
            </w:r>
          </w:p>
        </w:tc>
        <w:tc>
          <w:tcPr>
            <w:tcW w:w="1840" w:type="dxa"/>
            <w:vAlign w:val="bottom"/>
          </w:tcPr>
          <w:p>
            <w:pPr>
              <w:jc w:val="right"/>
              <w:ind w:right="399"/>
              <w:spacing w:after="0"/>
              <w:rPr>
                <w:sz w:val="20"/>
                <w:szCs w:val="20"/>
                <w:color w:val="auto"/>
              </w:rPr>
            </w:pPr>
            <w:r>
              <w:rPr>
                <w:rFonts w:ascii="Arial" w:cs="Arial" w:eastAsia="Arial" w:hAnsi="Arial"/>
                <w:sz w:val="16"/>
                <w:szCs w:val="16"/>
                <w:b w:val="1"/>
                <w:bCs w:val="1"/>
                <w:color w:val="auto"/>
              </w:rPr>
              <w:t>April 4, 2015</w:t>
            </w:r>
          </w:p>
        </w:tc>
        <w:tc>
          <w:tcPr>
            <w:tcW w:w="0" w:type="dxa"/>
            <w:vAlign w:val="bottom"/>
          </w:tcPr>
          <w:p>
            <w:pPr>
              <w:spacing w:after="0"/>
              <w:rPr>
                <w:sz w:val="1"/>
                <w:szCs w:val="1"/>
                <w:color w:val="auto"/>
              </w:rPr>
            </w:pPr>
          </w:p>
        </w:tc>
      </w:tr>
      <w:tr>
        <w:trPr>
          <w:trHeight w:val="33"/>
        </w:trPr>
        <w:tc>
          <w:tcPr>
            <w:tcW w:w="4100" w:type="dxa"/>
            <w:vAlign w:val="bottom"/>
            <w:vMerge w:val="restart"/>
          </w:tcPr>
          <w:p>
            <w:pPr>
              <w:ind w:left="20"/>
              <w:spacing w:after="0"/>
              <w:rPr>
                <w:sz w:val="20"/>
                <w:szCs w:val="20"/>
                <w:color w:val="auto"/>
              </w:rPr>
            </w:pPr>
            <w:r>
              <w:rPr>
                <w:rFonts w:ascii="Arial" w:cs="Arial" w:eastAsia="Arial" w:hAnsi="Arial"/>
                <w:sz w:val="16"/>
                <w:szCs w:val="16"/>
                <w:color w:val="auto"/>
              </w:rPr>
              <w:t>Weighted-average number of common and common</w:t>
            </w: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41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180"/>
              <w:spacing w:after="0"/>
              <w:rPr>
                <w:sz w:val="20"/>
                <w:szCs w:val="20"/>
                <w:color w:val="auto"/>
              </w:rPr>
            </w:pPr>
            <w:r>
              <w:rPr>
                <w:rFonts w:ascii="Arial" w:cs="Arial" w:eastAsia="Arial" w:hAnsi="Arial"/>
                <w:sz w:val="16"/>
                <w:szCs w:val="16"/>
                <w:color w:val="auto"/>
              </w:rPr>
              <w:t>equivalent shares outstanding:</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 number of common shares outstanding</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51,176,987</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52,119,215</w:t>
            </w:r>
          </w:p>
        </w:tc>
        <w:tc>
          <w:tcPr>
            <w:tcW w:w="0" w:type="dxa"/>
            <w:vAlign w:val="bottom"/>
          </w:tcPr>
          <w:p>
            <w:pPr>
              <w:spacing w:after="0"/>
              <w:rPr>
                <w:sz w:val="1"/>
                <w:szCs w:val="1"/>
                <w:color w:val="auto"/>
              </w:rPr>
            </w:pPr>
          </w:p>
        </w:tc>
      </w:tr>
      <w:tr>
        <w:trPr>
          <w:trHeight w:val="237"/>
        </w:trPr>
        <w:tc>
          <w:tcPr>
            <w:tcW w:w="4100" w:type="dxa"/>
            <w:vAlign w:val="bottom"/>
          </w:tcPr>
          <w:p>
            <w:pPr>
              <w:ind w:left="340"/>
              <w:spacing w:after="0"/>
              <w:rPr>
                <w:sz w:val="20"/>
                <w:szCs w:val="20"/>
                <w:color w:val="auto"/>
              </w:rPr>
            </w:pPr>
            <w:r>
              <w:rPr>
                <w:rFonts w:ascii="Arial" w:cs="Arial" w:eastAsia="Arial" w:hAnsi="Arial"/>
                <w:sz w:val="16"/>
                <w:szCs w:val="16"/>
                <w:color w:val="auto"/>
              </w:rPr>
              <w:t>Dilutive effect of equity awards</w:t>
            </w:r>
          </w:p>
        </w:tc>
        <w:tc>
          <w:tcPr>
            <w:tcW w:w="1560" w:type="dxa"/>
            <w:vAlign w:val="bottom"/>
          </w:tcPr>
          <w:p>
            <w:pPr>
              <w:jc w:val="right"/>
              <w:spacing w:after="0"/>
              <w:rPr>
                <w:sz w:val="20"/>
                <w:szCs w:val="20"/>
                <w:color w:val="auto"/>
              </w:rPr>
            </w:pPr>
            <w:r>
              <w:rPr>
                <w:rFonts w:ascii="Arial" w:cs="Arial" w:eastAsia="Arial" w:hAnsi="Arial"/>
                <w:sz w:val="16"/>
                <w:szCs w:val="16"/>
                <w:color w:val="auto"/>
              </w:rPr>
              <w:t>467,103</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495,386</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 number of common and common equivalent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51,644,090</w:t>
            </w:r>
          </w:p>
        </w:tc>
        <w:tc>
          <w:tcPr>
            <w:tcW w:w="100" w:type="dxa"/>
            <w:vAlign w:val="bottom"/>
            <w:shd w:val="clear" w:color="auto" w:fill="CCEEFF"/>
          </w:tcPr>
          <w:p>
            <w:pPr>
              <w:spacing w:after="0"/>
              <w:rPr>
                <w:sz w:val="17"/>
                <w:szCs w:val="17"/>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52,614,601</w:t>
            </w:r>
          </w:p>
        </w:tc>
        <w:tc>
          <w:tcPr>
            <w:tcW w:w="0" w:type="dxa"/>
            <w:vAlign w:val="bottom"/>
          </w:tcPr>
          <w:p>
            <w:pPr>
              <w:spacing w:after="0"/>
              <w:rPr>
                <w:sz w:val="1"/>
                <w:szCs w:val="1"/>
                <w:color w:val="auto"/>
              </w:rPr>
            </w:pPr>
          </w:p>
        </w:tc>
      </w:tr>
      <w:tr>
        <w:trPr>
          <w:trHeight w:val="219"/>
        </w:trPr>
        <w:tc>
          <w:tcPr>
            <w:tcW w:w="4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shares outstanding</w:t>
            </w: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428625</wp:posOffset>
            </wp:positionV>
            <wp:extent cx="4827905"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2790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Basic net income per common share (in thousands, except per</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share data):</w:t>
      </w:r>
    </w:p>
    <w:p>
      <w:pPr>
        <w:spacing w:after="0" w:line="82" w:lineRule="exact"/>
        <w:rPr>
          <w:sz w:val="20"/>
          <w:szCs w:val="20"/>
          <w:color w:val="auto"/>
        </w:rPr>
      </w:pPr>
    </w:p>
    <w:tbl>
      <w:tblPr>
        <w:tblLayout w:type="fixed"/>
        <w:tblInd w:w="1920" w:type="dxa"/>
        <w:tblCellMar>
          <w:top w:w="0" w:type="dxa"/>
          <w:left w:w="0" w:type="dxa"/>
          <w:bottom w:w="0" w:type="dxa"/>
          <w:right w:w="0" w:type="dxa"/>
        </w:tblCellMar>
      </w:tblPr>
      <w:tr>
        <w:trPr>
          <w:trHeight w:val="206"/>
        </w:trPr>
        <w:tc>
          <w:tcPr>
            <w:tcW w:w="410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53,980</w:t>
            </w:r>
          </w:p>
        </w:tc>
        <w:tc>
          <w:tcPr>
            <w:tcW w:w="100" w:type="dxa"/>
            <w:vAlign w:val="bottom"/>
          </w:tcPr>
          <w:p>
            <w:pPr>
              <w:spacing w:after="0"/>
              <w:rPr>
                <w:sz w:val="17"/>
                <w:szCs w:val="17"/>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49,792</w:t>
            </w:r>
          </w:p>
        </w:tc>
      </w:tr>
      <w:tr>
        <w:trPr>
          <w:trHeight w:val="33"/>
        </w:trPr>
        <w:tc>
          <w:tcPr>
            <w:tcW w:w="4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Income allocated to participating securities</w:t>
            </w: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w:t>
            </w:r>
          </w:p>
        </w:tc>
      </w:tr>
      <w:tr>
        <w:trPr>
          <w:trHeight w:val="284"/>
        </w:trPr>
        <w:tc>
          <w:tcPr>
            <w:tcW w:w="4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income available to common shareholders</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53,536</w:t>
            </w:r>
          </w:p>
        </w:tc>
        <w:tc>
          <w:tcPr>
            <w:tcW w:w="10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49,232</w:t>
            </w:r>
          </w:p>
        </w:tc>
      </w:tr>
      <w:tr>
        <w:trPr>
          <w:trHeight w:val="217"/>
        </w:trPr>
        <w:tc>
          <w:tcPr>
            <w:tcW w:w="4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7"/>
        </w:trPr>
        <w:tc>
          <w:tcPr>
            <w:tcW w:w="4100" w:type="dxa"/>
            <w:vAlign w:val="bottom"/>
          </w:tcPr>
          <w:p>
            <w:pPr>
              <w:ind w:left="340"/>
              <w:spacing w:after="0"/>
              <w:rPr>
                <w:sz w:val="20"/>
                <w:szCs w:val="20"/>
                <w:color w:val="auto"/>
              </w:rPr>
            </w:pPr>
            <w:r>
              <w:rPr>
                <w:rFonts w:ascii="Arial" w:cs="Arial" w:eastAsia="Arial" w:hAnsi="Arial"/>
                <w:sz w:val="16"/>
                <w:szCs w:val="16"/>
                <w:color w:val="auto"/>
              </w:rPr>
              <w:t>Basic net income per common share</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0.94</w:t>
            </w:r>
          </w:p>
        </w:tc>
      </w:tr>
      <w:tr>
        <w:trPr>
          <w:trHeight w:val="33"/>
        </w:trPr>
        <w:tc>
          <w:tcPr>
            <w:tcW w:w="4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62"/>
        </w:trPr>
        <w:tc>
          <w:tcPr>
            <w:tcW w:w="4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20"/>
        </w:trPr>
        <w:tc>
          <w:tcPr>
            <w:tcW w:w="4100" w:type="dxa"/>
            <w:vAlign w:val="bottom"/>
          </w:tcPr>
          <w:p>
            <w:pPr>
              <w:ind w:left="40"/>
              <w:spacing w:after="0"/>
              <w:rPr>
                <w:sz w:val="20"/>
                <w:szCs w:val="20"/>
                <w:color w:val="auto"/>
              </w:rPr>
            </w:pPr>
            <w:r>
              <w:rPr>
                <w:rFonts w:ascii="Arial" w:cs="Arial" w:eastAsia="Arial" w:hAnsi="Arial"/>
                <w:sz w:val="16"/>
                <w:szCs w:val="16"/>
                <w:color w:val="auto"/>
                <w:w w:val="94"/>
              </w:rPr>
              <w:t>Diluted net income per common share (in thousands, except</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4100" w:type="dxa"/>
            <w:vAlign w:val="bottom"/>
          </w:tcPr>
          <w:p>
            <w:pPr>
              <w:ind w:left="40"/>
              <w:spacing w:after="0"/>
              <w:rPr>
                <w:sz w:val="20"/>
                <w:szCs w:val="20"/>
                <w:color w:val="auto"/>
              </w:rPr>
            </w:pPr>
            <w:r>
              <w:rPr>
                <w:rFonts w:ascii="Arial" w:cs="Arial" w:eastAsia="Arial" w:hAnsi="Arial"/>
                <w:sz w:val="16"/>
                <w:szCs w:val="16"/>
                <w:color w:val="auto"/>
              </w:rPr>
              <w:t>per share data):</w:t>
            </w: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3"/>
        </w:trPr>
        <w:tc>
          <w:tcPr>
            <w:tcW w:w="4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53,980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49,792</w:t>
            </w:r>
          </w:p>
        </w:tc>
      </w:tr>
      <w:tr>
        <w:trPr>
          <w:trHeight w:val="237"/>
        </w:trPr>
        <w:tc>
          <w:tcPr>
            <w:tcW w:w="4100" w:type="dxa"/>
            <w:vAlign w:val="bottom"/>
          </w:tcPr>
          <w:p>
            <w:pPr>
              <w:ind w:left="340"/>
              <w:spacing w:after="0"/>
              <w:rPr>
                <w:sz w:val="20"/>
                <w:szCs w:val="20"/>
                <w:color w:val="auto"/>
              </w:rPr>
            </w:pPr>
            <w:r>
              <w:rPr>
                <w:rFonts w:ascii="Arial" w:cs="Arial" w:eastAsia="Arial" w:hAnsi="Arial"/>
                <w:sz w:val="16"/>
                <w:szCs w:val="16"/>
                <w:color w:val="auto"/>
              </w:rPr>
              <w:t>Income allocated to participating securities</w:t>
            </w: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(556)</w:t>
            </w:r>
          </w:p>
        </w:tc>
      </w:tr>
      <w:tr>
        <w:trPr>
          <w:trHeight w:val="33"/>
        </w:trPr>
        <w:tc>
          <w:tcPr>
            <w:tcW w:w="4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available to common shareholders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53,539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49,236</w:t>
            </w:r>
          </w:p>
        </w:tc>
      </w:tr>
      <w:tr>
        <w:trPr>
          <w:trHeight w:val="20"/>
        </w:trPr>
        <w:tc>
          <w:tcPr>
            <w:tcW w:w="4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Diluted net income per common share</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0.94</w:t>
            </w:r>
          </w:p>
        </w:tc>
      </w:tr>
      <w:tr>
        <w:trPr>
          <w:trHeight w:val="162"/>
        </w:trPr>
        <w:tc>
          <w:tcPr>
            <w:tcW w:w="4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213"/>
        </w:trPr>
        <w:tc>
          <w:tcPr>
            <w:tcW w:w="4100" w:type="dxa"/>
            <w:vAlign w:val="bottom"/>
            <w:shd w:val="clear" w:color="auto" w:fill="CCEEFF"/>
          </w:tcPr>
          <w:p>
            <w:pPr>
              <w:ind w:left="340"/>
              <w:spacing w:after="0"/>
              <w:rPr>
                <w:sz w:val="20"/>
                <w:szCs w:val="20"/>
                <w:color w:val="auto"/>
              </w:rPr>
            </w:pPr>
            <w:r>
              <w:rPr>
                <w:rFonts w:ascii="Arial" w:cs="Arial" w:eastAsia="Arial" w:hAnsi="Arial"/>
                <w:sz w:val="16"/>
                <w:szCs w:val="16"/>
                <w:i w:val="1"/>
                <w:iCs w:val="1"/>
                <w:color w:val="auto"/>
                <w:w w:val="96"/>
              </w:rPr>
              <w:t>Anti-dilutive shares excluded from dilutive earnings per</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6"/>
        </w:trPr>
        <w:tc>
          <w:tcPr>
            <w:tcW w:w="4100" w:type="dxa"/>
            <w:vAlign w:val="bottom"/>
            <w:shd w:val="clear" w:color="auto" w:fill="CCEEFF"/>
          </w:tcPr>
          <w:p>
            <w:pPr>
              <w:ind w:left="340"/>
              <w:spacing w:after="0"/>
              <w:rPr>
                <w:sz w:val="20"/>
                <w:szCs w:val="20"/>
                <w:color w:val="auto"/>
              </w:rPr>
            </w:pPr>
            <w:r>
              <w:rPr>
                <w:rFonts w:ascii="Arial" w:cs="Arial" w:eastAsia="Arial" w:hAnsi="Arial"/>
                <w:sz w:val="16"/>
                <w:szCs w:val="16"/>
                <w:i w:val="1"/>
                <w:iCs w:val="1"/>
                <w:color w:val="auto"/>
              </w:rPr>
              <w:t>share computation</w:t>
            </w: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386,030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183,400</w:t>
            </w:r>
          </w:p>
        </w:tc>
      </w:tr>
      <w:tr>
        <w:trPr>
          <w:trHeight w:val="33"/>
        </w:trPr>
        <w:tc>
          <w:tcPr>
            <w:tcW w:w="4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19"/>
          </w:cols>
          <w:pgMar w:left="240" w:top="337" w:right="1440" w:bottom="1440" w:gutter="0" w:footer="0" w:header="0"/>
        </w:sectPr>
      </w:pPr>
    </w:p>
    <w:bookmarkStart w:id="16" w:name="page17"/>
    <w:bookmarkEnd w:id="16"/>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CURRENT AND LONG-TERM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that exceeded five percent of total current liabilities, at the end of any comparable period, were as follows:</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530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240" w:type="dxa"/>
            <w:vAlign w:val="bottom"/>
          </w:tcPr>
          <w:p>
            <w:pPr>
              <w:spacing w:after="0"/>
              <w:rPr>
                <w:sz w:val="18"/>
                <w:szCs w:val="18"/>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b w:val="1"/>
                <w:bCs w:val="1"/>
                <w:color w:val="auto"/>
              </w:rPr>
              <w:t>April 2, 2016</w:t>
            </w:r>
          </w:p>
        </w:tc>
        <w:tc>
          <w:tcPr>
            <w:tcW w:w="22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January 2, 2016</w:t>
            </w:r>
          </w:p>
        </w:tc>
        <w:tc>
          <w:tcPr>
            <w:tcW w:w="280" w:type="dxa"/>
            <w:vAlign w:val="bottom"/>
          </w:tcPr>
          <w:p>
            <w:pPr>
              <w:spacing w:after="0"/>
              <w:rPr>
                <w:sz w:val="18"/>
                <w:szCs w:val="18"/>
                <w:color w:val="auto"/>
              </w:rPr>
            </w:pPr>
          </w:p>
        </w:tc>
        <w:tc>
          <w:tcPr>
            <w:tcW w:w="1560" w:type="dxa"/>
            <w:vAlign w:val="bottom"/>
          </w:tcPr>
          <w:p>
            <w:pPr>
              <w:jc w:val="right"/>
              <w:ind w:right="399"/>
              <w:spacing w:after="0"/>
              <w:rPr>
                <w:sz w:val="20"/>
                <w:szCs w:val="20"/>
                <w:color w:val="auto"/>
              </w:rPr>
            </w:pPr>
            <w:r>
              <w:rPr>
                <w:rFonts w:ascii="Arial" w:cs="Arial" w:eastAsia="Arial" w:hAnsi="Arial"/>
                <w:sz w:val="16"/>
                <w:szCs w:val="16"/>
                <w:b w:val="1"/>
                <w:bCs w:val="1"/>
                <w:color w:val="auto"/>
              </w:rPr>
              <w:t>April 4, 2015</w:t>
            </w:r>
          </w:p>
        </w:tc>
      </w:tr>
      <w:tr>
        <w:trPr>
          <w:trHeight w:val="33"/>
        </w:trPr>
        <w:tc>
          <w:tcPr>
            <w:tcW w:w="5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bonuses and incentive compensation</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4,396</w:t>
            </w:r>
          </w:p>
        </w:tc>
      </w:tr>
      <w:tr>
        <w:trPr>
          <w:trHeight w:val="237"/>
        </w:trPr>
        <w:tc>
          <w:tcPr>
            <w:tcW w:w="530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19,195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3,802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18,410</w:t>
            </w:r>
          </w:p>
        </w:tc>
      </w:tr>
      <w:tr>
        <w:trPr>
          <w:trHeight w:val="33"/>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customer loyalty program reserve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300" w:type="dxa"/>
            <w:vAlign w:val="bottom"/>
          </w:tcPr>
          <w:p>
            <w:pPr>
              <w:ind w:left="20"/>
              <w:spacing w:after="0"/>
              <w:rPr>
                <w:sz w:val="20"/>
                <w:szCs w:val="20"/>
                <w:color w:val="auto"/>
              </w:rPr>
            </w:pPr>
            <w:r>
              <w:rPr>
                <w:rFonts w:ascii="Arial" w:cs="Arial" w:eastAsia="Arial" w:hAnsi="Arial"/>
                <w:sz w:val="16"/>
                <w:szCs w:val="16"/>
                <w:color w:val="auto"/>
              </w:rPr>
              <w:t>Accrued salaries and wages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10,284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3,377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8,111</w:t>
            </w:r>
          </w:p>
        </w:tc>
      </w:tr>
      <w:tr>
        <w:trPr>
          <w:trHeight w:val="33"/>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Unredeemed gift cards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9,882</w:t>
            </w:r>
          </w:p>
        </w:tc>
      </w:tr>
      <w:tr>
        <w:trPr>
          <w:trHeight w:val="237"/>
        </w:trPr>
        <w:tc>
          <w:tcPr>
            <w:tcW w:w="5300" w:type="dxa"/>
            <w:vAlign w:val="bottom"/>
          </w:tcPr>
          <w:p>
            <w:pPr>
              <w:ind w:left="20"/>
              <w:spacing w:after="0"/>
              <w:rPr>
                <w:sz w:val="20"/>
                <w:szCs w:val="20"/>
                <w:color w:val="auto"/>
              </w:rPr>
            </w:pPr>
            <w:r>
              <w:rPr>
                <w:rFonts w:ascii="Arial" w:cs="Arial" w:eastAsia="Arial" w:hAnsi="Arial"/>
                <w:sz w:val="16"/>
                <w:szCs w:val="16"/>
                <w:color w:val="auto"/>
              </w:rPr>
              <w:t>Accrued employee benefits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8,157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19,751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7,498</w:t>
            </w:r>
          </w:p>
        </w:tc>
      </w:tr>
      <w:tr>
        <w:trPr>
          <w:trHeight w:val="33"/>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and deferred rent</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12,590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12,480</w:t>
            </w:r>
          </w:p>
        </w:tc>
      </w:tr>
      <w:tr>
        <w:trPr>
          <w:trHeight w:val="33"/>
        </w:trPr>
        <w:tc>
          <w:tcPr>
            <w:tcW w:w="5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that exceeded five percent of total liabilities, at the end of any comparable period, were as follows:</w:t>
      </w:r>
    </w:p>
    <w:p>
      <w:pPr>
        <w:spacing w:after="0" w:line="185"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560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April 2, 2016</w:t>
            </w:r>
          </w:p>
        </w:tc>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2, 2016</w:t>
            </w:r>
          </w:p>
        </w:tc>
        <w:tc>
          <w:tcPr>
            <w:tcW w:w="280" w:type="dxa"/>
            <w:vAlign w:val="bottom"/>
          </w:tcPr>
          <w:p>
            <w:pPr>
              <w:spacing w:after="0"/>
              <w:rPr>
                <w:sz w:val="18"/>
                <w:szCs w:val="18"/>
                <w:color w:val="auto"/>
              </w:rPr>
            </w:pPr>
          </w:p>
        </w:tc>
        <w:tc>
          <w:tcPr>
            <w:tcW w:w="1580" w:type="dxa"/>
            <w:vAlign w:val="bottom"/>
          </w:tcPr>
          <w:p>
            <w:pPr>
              <w:jc w:val="right"/>
              <w:ind w:right="399"/>
              <w:spacing w:after="0"/>
              <w:rPr>
                <w:sz w:val="20"/>
                <w:szCs w:val="20"/>
                <w:color w:val="auto"/>
              </w:rPr>
            </w:pPr>
            <w:r>
              <w:rPr>
                <w:rFonts w:ascii="Arial" w:cs="Arial" w:eastAsia="Arial" w:hAnsi="Arial"/>
                <w:sz w:val="16"/>
                <w:szCs w:val="16"/>
                <w:b w:val="1"/>
                <w:bCs w:val="1"/>
                <w:color w:val="auto"/>
              </w:rPr>
              <w:t>April 4, 2015</w:t>
            </w:r>
          </w:p>
        </w:tc>
      </w:tr>
      <w:tr>
        <w:trPr>
          <w:trHeight w:val="33"/>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lease incentives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72,086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70,060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68,652</w:t>
            </w:r>
          </w:p>
        </w:tc>
      </w:tr>
      <w:tr>
        <w:trPr>
          <w:trHeight w:val="33"/>
        </w:trPr>
        <w:tc>
          <w:tcPr>
            <w:tcW w:w="5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337" w:right="419" w:bottom="1440" w:gutter="0" w:footer="0" w:header="0"/>
        </w:sectPr>
      </w:pPr>
    </w:p>
    <w:bookmarkStart w:id="17" w:name="page18"/>
    <w:bookmarkEnd w:id="17"/>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certain information for our reportable segments and unallocated corporate expenses for the periods indicated:</w:t>
      </w:r>
    </w:p>
    <w:p>
      <w:pPr>
        <w:spacing w:after="0" w:line="185" w:lineRule="exact"/>
        <w:rPr>
          <w:sz w:val="20"/>
          <w:szCs w:val="20"/>
          <w:color w:val="auto"/>
        </w:rPr>
      </w:pPr>
    </w:p>
    <w:tbl>
      <w:tblPr>
        <w:tblLayout w:type="fixed"/>
        <w:tblInd w:w="21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Fiscal quarter ended</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April 2,</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April 4,</w:t>
            </w: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6"/>
                <w:szCs w:val="16"/>
                <w:color w:val="auto"/>
              </w:rPr>
              <w:t>(dollars in thousands)</w:t>
            </w:r>
          </w:p>
        </w:tc>
        <w:tc>
          <w:tcPr>
            <w:tcW w:w="18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Total Net Sales</w:t>
            </w:r>
          </w:p>
        </w:tc>
        <w:tc>
          <w:tcPr>
            <w:tcW w:w="220" w:type="dxa"/>
            <w:vAlign w:val="bottom"/>
          </w:tcPr>
          <w:p>
            <w:pPr>
              <w:spacing w:after="0"/>
              <w:rPr>
                <w:sz w:val="18"/>
                <w:szCs w:val="18"/>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w w:val="92"/>
              </w:rPr>
              <w:t>Total Net Sales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1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sales:</w:t>
            </w: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Carter’s Wholesale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280,140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269,315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6"/>
                <w:szCs w:val="16"/>
                <w:color w:val="auto"/>
              </w:rPr>
              <w:t>Carter’s Retail (a)</w:t>
            </w:r>
          </w:p>
        </w:tc>
        <w:tc>
          <w:tcPr>
            <w:tcW w:w="1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272,323</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37.6 %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257,727</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37.7 %</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Carter’s (U.S.)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552,463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527,042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6"/>
                <w:szCs w:val="16"/>
                <w:color w:val="auto"/>
              </w:rPr>
              <w:t>OshKosh Retail (a)</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81,766</w:t>
            </w: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73,042</w:t>
            </w: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OshKosh Wholesale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11,914</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16,051</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gridSpan w:val="2"/>
          </w:tcPr>
          <w:p>
            <w:pPr>
              <w:ind w:left="140"/>
              <w:spacing w:after="0"/>
              <w:rPr>
                <w:sz w:val="20"/>
                <w:szCs w:val="20"/>
                <w:color w:val="auto"/>
              </w:rPr>
            </w:pPr>
            <w:r>
              <w:rPr>
                <w:rFonts w:ascii="Arial" w:cs="Arial" w:eastAsia="Arial" w:hAnsi="Arial"/>
                <w:sz w:val="16"/>
                <w:szCs w:val="16"/>
                <w:color w:val="auto"/>
              </w:rPr>
              <w:t>Total OshKosh (U.S.)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93,680</w:t>
            </w: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12.9 %</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89,093</w:t>
            </w: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International (b)</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77,942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68,629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20" w:type="dxa"/>
            <w:vAlign w:val="bottom"/>
            <w:gridSpan w:val="2"/>
          </w:tcPr>
          <w:p>
            <w:pPr>
              <w:ind w:left="340"/>
              <w:spacing w:after="0"/>
              <w:rPr>
                <w:sz w:val="20"/>
                <w:szCs w:val="20"/>
                <w:color w:val="auto"/>
              </w:rPr>
            </w:pPr>
            <w:r>
              <w:rPr>
                <w:rFonts w:ascii="Arial" w:cs="Arial" w:eastAsia="Arial" w:hAnsi="Arial"/>
                <w:sz w:val="16"/>
                <w:szCs w:val="16"/>
                <w:color w:val="auto"/>
              </w:rPr>
              <w:t>Total net sales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724,085</w:t>
            </w:r>
          </w:p>
        </w:tc>
        <w:tc>
          <w:tcPr>
            <w:tcW w:w="10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684,764</w:t>
            </w:r>
          </w:p>
        </w:tc>
        <w:tc>
          <w:tcPr>
            <w:tcW w:w="10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tbl>
      <w:tblPr>
        <w:tblLayout w:type="fixed"/>
        <w:tblInd w:w="21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rPr>
              <w:t>% of</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r>
      <w:tr>
        <w:trPr>
          <w:trHeight w:val="203"/>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85"/>
              </w:rPr>
              <w:t>Segment</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5"/>
              </w:rPr>
              <w:t>Segment</w:t>
            </w:r>
          </w:p>
        </w:tc>
      </w:tr>
      <w:tr>
        <w:trPr>
          <w:trHeight w:val="176"/>
        </w:trPr>
        <w:tc>
          <w:tcPr>
            <w:tcW w:w="20" w:type="dxa"/>
            <w:vAlign w:val="bottom"/>
          </w:tcPr>
          <w:p>
            <w:pPr>
              <w:spacing w:after="0"/>
              <w:rPr>
                <w:sz w:val="15"/>
                <w:szCs w:val="15"/>
                <w:color w:val="auto"/>
              </w:rPr>
            </w:pPr>
          </w:p>
        </w:tc>
        <w:tc>
          <w:tcPr>
            <w:tcW w:w="212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Operating income (loss):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39"/>
              <w:spacing w:after="0" w:line="176" w:lineRule="exact"/>
              <w:rPr>
                <w:sz w:val="20"/>
                <w:szCs w:val="20"/>
                <w:color w:val="auto"/>
              </w:rPr>
            </w:pPr>
            <w:r>
              <w:rPr>
                <w:rFonts w:ascii="Arial" w:cs="Arial" w:eastAsia="Arial" w:hAnsi="Arial"/>
                <w:sz w:val="16"/>
                <w:szCs w:val="16"/>
                <w:b w:val="1"/>
                <w:bCs w:val="1"/>
                <w:color w:val="auto"/>
                <w:w w:val="86"/>
              </w:rPr>
              <w:t>Net Sales</w:t>
            </w: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Net Sales</w:t>
            </w:r>
          </w:p>
        </w:tc>
      </w:tr>
      <w:tr>
        <w:trPr>
          <w:trHeight w:val="48"/>
        </w:trPr>
        <w:tc>
          <w:tcPr>
            <w:tcW w:w="20" w:type="dxa"/>
            <w:vAlign w:val="bottom"/>
            <w:tcBorders>
              <w:bottom w:val="single" w:sz="8" w:color="CCEEFF"/>
            </w:tcBorders>
          </w:tcPr>
          <w:p>
            <w:pPr>
              <w:spacing w:after="0"/>
              <w:rPr>
                <w:sz w:val="4"/>
                <w:szCs w:val="4"/>
                <w:color w:val="auto"/>
              </w:rPr>
            </w:pPr>
          </w:p>
        </w:tc>
        <w:tc>
          <w:tcPr>
            <w:tcW w:w="1660" w:type="dxa"/>
            <w:vAlign w:val="bottom"/>
            <w:tcBorders>
              <w:top w:val="single" w:sz="8" w:color="auto"/>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Carter’s Wholesale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66,205</w:t>
            </w:r>
          </w:p>
        </w:tc>
        <w:tc>
          <w:tcPr>
            <w:tcW w:w="13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23.6 %</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57,931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21.5 %</w:t>
            </w:r>
          </w:p>
        </w:tc>
      </w:tr>
      <w:tr>
        <w:trPr>
          <w:trHeight w:val="237"/>
        </w:trPr>
        <w:tc>
          <w:tcPr>
            <w:tcW w:w="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6"/>
                <w:szCs w:val="16"/>
                <w:color w:val="auto"/>
              </w:rPr>
              <w:t>Carter’s Retail (a)</w:t>
            </w:r>
          </w:p>
        </w:tc>
        <w:tc>
          <w:tcPr>
            <w:tcW w:w="2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41,254</w:t>
            </w:r>
          </w:p>
        </w:tc>
        <w:tc>
          <w:tcPr>
            <w:tcW w:w="1360" w:type="dxa"/>
            <w:vAlign w:val="bottom"/>
            <w:gridSpan w:val="2"/>
          </w:tcPr>
          <w:p>
            <w:pPr>
              <w:jc w:val="right"/>
              <w:ind w:right="79"/>
              <w:spacing w:after="0"/>
              <w:rPr>
                <w:sz w:val="20"/>
                <w:szCs w:val="20"/>
                <w:color w:val="auto"/>
              </w:rPr>
            </w:pPr>
            <w:r>
              <w:rPr>
                <w:rFonts w:ascii="Arial" w:cs="Arial" w:eastAsia="Arial" w:hAnsi="Arial"/>
                <w:sz w:val="16"/>
                <w:szCs w:val="16"/>
                <w:color w:val="auto"/>
              </w:rPr>
              <w:t>15.1 %</w:t>
            </w:r>
          </w:p>
        </w:tc>
        <w:tc>
          <w:tcPr>
            <w:tcW w:w="4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44,493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17.3 %</w:t>
            </w:r>
          </w:p>
        </w:tc>
      </w:tr>
      <w:tr>
        <w:trPr>
          <w:trHeight w:val="33"/>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Carter’s (U.S.)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107,459</w:t>
            </w:r>
          </w:p>
        </w:tc>
        <w:tc>
          <w:tcPr>
            <w:tcW w:w="13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19.5 %</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102,424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19.4 %</w:t>
            </w:r>
          </w:p>
        </w:tc>
      </w:tr>
      <w:tr>
        <w:trPr>
          <w:trHeight w:val="217"/>
        </w:trPr>
        <w:tc>
          <w:tcPr>
            <w:tcW w:w="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6"/>
                <w:szCs w:val="16"/>
                <w:color w:val="auto"/>
              </w:rPr>
              <w:t>OshKosh Retail (a)</w:t>
            </w: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(1,785)</w:t>
            </w:r>
          </w:p>
        </w:tc>
        <w:tc>
          <w:tcPr>
            <w:tcW w:w="1360" w:type="dxa"/>
            <w:vAlign w:val="bottom"/>
            <w:gridSpan w:val="2"/>
          </w:tcPr>
          <w:p>
            <w:pPr>
              <w:jc w:val="right"/>
              <w:ind w:right="59"/>
              <w:spacing w:after="0"/>
              <w:rPr>
                <w:sz w:val="20"/>
                <w:szCs w:val="20"/>
                <w:color w:val="auto"/>
              </w:rPr>
            </w:pPr>
            <w:r>
              <w:rPr>
                <w:rFonts w:ascii="Arial" w:cs="Arial" w:eastAsia="Arial" w:hAnsi="Arial"/>
                <w:sz w:val="16"/>
                <w:szCs w:val="16"/>
                <w:color w:val="auto"/>
              </w:rPr>
              <w:t>(2.2)%</w:t>
            </w:r>
          </w:p>
        </w:tc>
        <w:tc>
          <w:tcPr>
            <w:tcW w:w="4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OshKosh Wholesale</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2,206</w:t>
            </w:r>
          </w:p>
        </w:tc>
        <w:tc>
          <w:tcPr>
            <w:tcW w:w="13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18.5 %</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2,979</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18.6 %</w:t>
            </w:r>
          </w:p>
        </w:tc>
      </w:tr>
      <w:tr>
        <w:trPr>
          <w:trHeight w:val="217"/>
        </w:trPr>
        <w:tc>
          <w:tcPr>
            <w:tcW w:w="20" w:type="dxa"/>
            <w:vAlign w:val="bottom"/>
          </w:tcPr>
          <w:p>
            <w:pPr>
              <w:spacing w:after="0"/>
              <w:rPr>
                <w:sz w:val="18"/>
                <w:szCs w:val="18"/>
                <w:color w:val="auto"/>
              </w:rPr>
            </w:pPr>
          </w:p>
        </w:tc>
        <w:tc>
          <w:tcPr>
            <w:tcW w:w="2120" w:type="dxa"/>
            <w:vAlign w:val="bottom"/>
            <w:gridSpan w:val="2"/>
          </w:tcPr>
          <w:p>
            <w:pPr>
              <w:ind w:left="120"/>
              <w:spacing w:after="0"/>
              <w:rPr>
                <w:sz w:val="20"/>
                <w:szCs w:val="20"/>
                <w:color w:val="auto"/>
              </w:rPr>
            </w:pPr>
            <w:r>
              <w:rPr>
                <w:rFonts w:ascii="Arial" w:cs="Arial" w:eastAsia="Arial" w:hAnsi="Arial"/>
                <w:sz w:val="16"/>
                <w:szCs w:val="16"/>
                <w:color w:val="auto"/>
              </w:rPr>
              <w:t>Total OshKosh (U.S.)</w:t>
            </w: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421</w:t>
            </w:r>
          </w:p>
        </w:tc>
        <w:tc>
          <w:tcPr>
            <w:tcW w:w="1360" w:type="dxa"/>
            <w:vAlign w:val="bottom"/>
            <w:gridSpan w:val="2"/>
          </w:tcPr>
          <w:p>
            <w:pPr>
              <w:jc w:val="right"/>
              <w:ind w:right="79"/>
              <w:spacing w:after="0"/>
              <w:rPr>
                <w:sz w:val="20"/>
                <w:szCs w:val="20"/>
                <w:color w:val="auto"/>
              </w:rPr>
            </w:pPr>
            <w:r>
              <w:rPr>
                <w:rFonts w:ascii="Arial" w:cs="Arial" w:eastAsia="Arial" w:hAnsi="Arial"/>
                <w:sz w:val="16"/>
                <w:szCs w:val="16"/>
                <w:color w:val="auto"/>
              </w:rPr>
              <w:t>0.4 %</w:t>
            </w:r>
          </w:p>
        </w:tc>
        <w:tc>
          <w:tcPr>
            <w:tcW w:w="4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2,019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2.3 %</w:t>
            </w:r>
          </w:p>
        </w:tc>
      </w:tr>
      <w:tr>
        <w:trPr>
          <w:trHeight w:val="33"/>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International (b) (c)</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8,441</w:t>
            </w:r>
          </w:p>
        </w:tc>
        <w:tc>
          <w:tcPr>
            <w:tcW w:w="13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10.8 %</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9.5 %</w:t>
            </w:r>
          </w:p>
        </w:tc>
      </w:tr>
      <w:tr>
        <w:trPr>
          <w:trHeight w:val="217"/>
        </w:trPr>
        <w:tc>
          <w:tcPr>
            <w:tcW w:w="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6"/>
                <w:szCs w:val="16"/>
                <w:color w:val="auto"/>
              </w:rPr>
              <w:t>Corporate expenses (d) (e)</w:t>
            </w: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(23,313)</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(26,449)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operating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93,008</w:t>
            </w:r>
          </w:p>
        </w:tc>
        <w:tc>
          <w:tcPr>
            <w:tcW w:w="13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12.8 %</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84,505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12.3 %</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eCommerce results.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sales include international retail, eCommerce, and wholesale sales. Operating income includes international licensing income.</w:t>
      </w:r>
    </w:p>
    <w:p>
      <w:pPr>
        <w:spacing w:after="0" w:line="5" w:lineRule="exact"/>
        <w:rPr>
          <w:rFonts w:ascii="Arial" w:cs="Arial" w:eastAsia="Arial" w:hAnsi="Arial"/>
          <w:sz w:val="16"/>
          <w:szCs w:val="16"/>
          <w:color w:val="auto"/>
        </w:rPr>
      </w:pPr>
    </w:p>
    <w:p>
      <w:pPr>
        <w:ind w:left="340" w:right="20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charges associated with the revaluation of the Company's contingent consideration related to the Company's 2011 acquisition of Bonnie Togs of approximately $0.5 million for the fiscal quarter ended April 4, 2015.</w:t>
      </w:r>
    </w:p>
    <w:p>
      <w:pPr>
        <w:ind w:left="340" w:right="22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Corporate expenses include expenses related to incentive compensation, stock-based compensation, executive management, severance and relocation, finance, building occupancy, information technology, certain legal fees, consulting, and audit fees.</w:t>
      </w:r>
    </w:p>
    <w:p>
      <w:pPr>
        <w:ind w:left="340" w:right="120" w:hanging="332"/>
        <w:spacing w:after="0" w:line="257"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charges related to the amortization of tradenames of $1.0 million for the fiscal quarter ended April 2, 2016, and $2.3 million for the fiscal quarter ended April 4, 2015.</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PENDING ADOPTION OF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May 2014, the Financial Accounting Standards Board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which has been codified in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This guidance clarifies the principles for recognizing revenue and will be applicable to all contracts with customers regardless of industry-specific or transaction-specific fact patterns. Further, the guidance will require improved disclosures as well as additional disclosures to help users of financial statements better understand the nature, amount, timing, and uncertainty of revenue that is recognized. The standard is effective for the Company beginning in the first quarter of fiscal 2018, including interim periods within that first fiscal year, and early adoption is now permitted for 2017. Upon becoming effective, the Company will apply the amendments in the updated standard either retrospectively to each prior reporting period presented, or retrospectively with the cumulative effect of initially applying the guidance recognized at the date of initial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7"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application. The Company is currently evaluating the impact of adopting this guidance on its consolidated financial position, results of operations, and cash flows. Since the original issuance of ASU 2014-09, the FASB has issued several amendments and updates to this guidance, and additional amendments and updates are currently being considered by the FASB.</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Simplified Subsequent Measurement of Inventory</w:t>
      </w:r>
    </w:p>
    <w:p>
      <w:pPr>
        <w:spacing w:after="0" w:line="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xml:space="preserve"> ("ASU 2015-11"). Upon adoption by an entity, ASU 2015-11 will simplify the subsequent measurement of inventory by replacing the current lower of cost or market test with a lower of cost and net realizable value test. The new guidance applies only to inventories for which cost is determined by methods other than last-in-first-out (LIFO) and the retail inventory method. For inventory within the scope of ASU 2015-11, entities will be required to compare the cost of inventory to only one measure, its net realizable value, and not the three measures required by current guidance ("market," "subject to a floor," and a "ceiling"). When evidence exists that the net realizable value of inventory is less than its cost (due to damage, physical deterioration, obsolescence, changes in price levels or other causes), entities will recognize the difference as a loss in earnings in the period in which it occurs. ASU 2015-11 is effective for public entities for fiscal years beginning after December 15, 2016, and interim periods within the year of adoption. Early adoption is permitted. The Company expects to adopt the provisions of ASU 2015-11 at the beginning of fiscal 2017. At this time, the Company does not believe the adoption of ASU 2015-11 will have a material impact on its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Classification of Deferred Taxes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November 2015, the FASB issued ASU No.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xml:space="preserve"> ("ASU 2015-17"). Current GAAP requires the deferred taxes for each tax jurisdiction (or tax-paying component of a jurisdiction) to be presented as a net current asset or liability and net noncurrent asset or liability. This requires a jurisdiction-by-jurisdiction analysis based on the classification of the assets and liabilities to which the underlying temporary differences relate based on the period in which the attribute is expected to be realized. Upon adoption of ASU 2015-17, all deferred tax assets and liabilities will be classified as noncurrent on an entity's balance sheet. As a result, each jurisdiction will have only one net noncurrent deferred tax asset or liability. ASU 2015-17 will not change the existing guidance that prohibits the offsetting of deferred tax liabilities of one jurisdiction against the deferred tax assets of another jurisdiction. ASU 2015-17 is effective for public entities in fiscal years beginning after December 15, 2016, including interim periods in the year of adoption. Early adoption is permitted, and adoption may be applied either prospectively or retrospectively. The Company plans to adopt ASU 2015-17 at the beginning of the first quarter of fiscal 2017. ASU 2015-17 will only involve classification of certain deferred tax assets and liabilities on the Company's consolidated balance sheet and will have no impact on the Company's results of operations or cash flows. The Company does not expect the adoption of ASU 2015-17 to be material to the Company's consolidated balance sheet.</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In February 2016, the FASB issued new lease accounting guidance in ASU No. 2016-02, </w:t>
      </w:r>
      <w:r>
        <w:rPr>
          <w:rFonts w:ascii="Arial" w:cs="Arial" w:eastAsia="Arial" w:hAnsi="Arial"/>
          <w:sz w:val="16"/>
          <w:szCs w:val="16"/>
          <w:i w:val="1"/>
          <w:iCs w:val="1"/>
          <w:color w:val="auto"/>
        </w:rPr>
        <w:t>Leases</w:t>
      </w:r>
      <w:r>
        <w:rPr>
          <w:rFonts w:ascii="Arial" w:cs="Arial" w:eastAsia="Arial" w:hAnsi="Arial"/>
          <w:sz w:val="16"/>
          <w:szCs w:val="16"/>
          <w:color w:val="auto"/>
        </w:rPr>
        <w:t>.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The new standard will be effective for the Company at the beginning of fiscal 2019, including interim periods within the year of adoption. The new standard may be applied on a full retrospective basis or a modified retrospective basis, and early adoption is permitted. The Company is still evaluating the potential impacts of ASU 2016-02 on its consolidated financial statements. However, the Company expects that the adoption of ASU 2016-02 will require the Company to recognize right-of-use assets and lease liabilities that will be material to the Company's consolidated balance sheet.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Share-Based Payments to Employees</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Improvements to Employee Share-Based Payment Arrangements</w:t>
      </w:r>
      <w:r>
        <w:rPr>
          <w:rFonts w:ascii="Arial" w:cs="Arial" w:eastAsia="Arial" w:hAnsi="Arial"/>
          <w:sz w:val="16"/>
          <w:szCs w:val="16"/>
          <w:color w:val="auto"/>
        </w:rPr>
        <w:t xml:space="preserve"> ("ASU 2016-09"), which amends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ASU 2016-09 includes provisions intended to simplify various aspects related to how share-based payments are accounted for and presented in the financial statements. All tax benefits and deficiencies related to share-based payments will be recognized and recorded through the statement of operations for all awards settled or expiring after the adoption of ASU 2016-09. Currently, tax benefits in excess of compensation costs ("windfalls") are recorded in equity, and tax deficiencies ("shortfalls") are recorded in equity to the extent of previous windfalls and then to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7"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statement of operations. ASU 2016-09 will also require, either prospectively or retrospectively, that all tax-related cash flows resulting from share-based payments be reported as operating activities on the statement of cash flows, a change from the current requirement to present windfall tax benefits as an inflow from financing activities and an outflow from operating activities on the statement of cash flows. Additionally, ASU 2016-09 will allow entities to make an accounting policy election for the impact of most types of forfeitures on the recognition of expense for share-based payment awards by allowing the forfeitures to be either estimated, as is currently required, or recognized when they actually occur. If elected, the change to recognize forfeitures when they occur will be adopted using a modified retrospective approach, with a cumulative effect adjustment recorded to retained earnings. ASU 2016-09 will be effective for the Company at the beginning of fiscal 2017, including interim periods in the year of adoption. Early adoption is permitted in any interim or annual period. The Company is still evaluating the potential impacts of ASU 2016-09 on its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GUARANTOR UNAUDITED CONDENSED CONSOLIDATING FINANCIAL STATEMENTS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senior notes constitute debt obligations of its wholly-owned subsidiary, The William Carter Company ("TWCC" or the "Subsidiary Issuer"), are unsecured and are fully and unconditionally guaranteed by Carter’s, Inc. (the "Parent"), by certain of the Parent's current domestic subsidiaries (other than TWCC), and, subject to certain exceptions, future restricted subsidiaries that guarantee the Company’s secured revolving credit facility or certain other debt of the Company or the subsidiary guarantors. Under specific customary conditions, the guarantees are not full and unconditional because subsidiary guarantors can be released and relieved of their obligations under customary circumstances contained in the indenture governing the senior notes. These circumstances include, among others, the following, so long as other applicable provisions of the indentures are adhered to: any sale or other disposition of all or substantially all of the assets of any subsidiary guarantor, any sale or other disposition of capital stock of any subsidiary guarantor, or designation of any restricted subsidiary that is a subsidiary guarantor as an unrestricted subsidiary.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refer to the Company's Annual Report on Form 10-K for the 2015 fiscal year ended January 2, 2016.</w:t>
      </w:r>
    </w:p>
    <w:p>
      <w:pPr>
        <w:spacing w:after="0" w:line="9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condensed consolidating financial information for the Parent, the Subsidiary Issuer, and the guarantor and non-guarantor subsidiaries has been prepared from the books and records maintained by the Company. The accompanying condensed consolidating financial information has been prepared and presented pursuant to SEC Regulation S-X Rule 3-10. The financial information may not necessarily be indicative of the financial position, results of operations, comprehensive income (loss), and cash flows, had the Parent, Subsidiary Issuer, guarantor or non-guarantor subsidiaries operated as independent entities.</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Intercompany revenues and expenses included in the subsidiary records are eliminated in consolidation. As a result of this activity, an amount due to/due from affiliates will exist at any time. The principal elimination entries relate to investments in subsidiaries and intercompany balances and transactions. The Company has accounted for investments in subsidiaries under the equity method. The guarantor subsidiaries are 100% owned directly or indirectly by the Parent and all guarantees are joint, several, and unconditional.</w:t>
      </w:r>
    </w:p>
    <w:p>
      <w:pPr>
        <w:spacing w:after="0" w:line="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December 2015, as part of a foreign subsidiary restructuring, certain non-guarantor subsidiaries became subsidiaries of certain other non-guarantor subsidiaries. The restructuring did not retroactively impact the prior status of the guarantor and the non-guarantor subsidiaries, and accordingly the condensed consolidating financial information for periods prior to the restructuring have not been adjusted to reflect the restructuring.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37"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April 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Subsidiary</w:t>
            </w: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Issuer</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26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331,672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19,802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43,667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395,141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166,843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192,569</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Intercompany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67,203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120,901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5,157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(193,261)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Finished goods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189,225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186,901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376,499</w:t>
            </w:r>
          </w:p>
        </w:tc>
        <w:tc>
          <w:tcPr>
            <w:tcW w:w="0" w:type="dxa"/>
            <w:vAlign w:val="bottom"/>
          </w:tcPr>
          <w:p>
            <w:pPr>
              <w:spacing w:after="0"/>
              <w:rPr>
                <w:sz w:val="1"/>
                <w:szCs w:val="1"/>
                <w:color w:val="auto"/>
              </w:rPr>
            </w:pPr>
          </w:p>
        </w:tc>
      </w:tr>
      <w:tr>
        <w:trPr>
          <w:trHeight w:val="220"/>
        </w:trPr>
        <w:tc>
          <w:tcPr>
            <w:tcW w:w="2640" w:type="dxa"/>
            <w:vAlign w:val="bottom"/>
          </w:tcPr>
          <w:p>
            <w:pPr>
              <w:ind w:left="180"/>
              <w:spacing w:after="0"/>
              <w:rPr>
                <w:sz w:val="20"/>
                <w:szCs w:val="20"/>
                <w:color w:val="auto"/>
              </w:rPr>
            </w:pPr>
            <w:r>
              <w:rPr>
                <w:rFonts w:ascii="Arial" w:cs="Arial" w:eastAsia="Arial" w:hAnsi="Arial"/>
                <w:sz w:val="16"/>
                <w:szCs w:val="16"/>
                <w:color w:val="auto"/>
                <w:w w:val="95"/>
              </w:rPr>
              <w:t>Prepaid expenses and other current</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180"/>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17,879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14,273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36,791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14,696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31,841</w:t>
            </w:r>
          </w:p>
        </w:tc>
        <w:tc>
          <w:tcPr>
            <w:tcW w:w="0" w:type="dxa"/>
            <w:vAlign w:val="bottom"/>
          </w:tcPr>
          <w:p>
            <w:pPr>
              <w:spacing w:after="0"/>
              <w:rPr>
                <w:sz w:val="1"/>
                <w:szCs w:val="1"/>
                <w:color w:val="auto"/>
              </w:rPr>
            </w:pPr>
          </w:p>
        </w:tc>
      </w:tr>
      <w:tr>
        <w:trPr>
          <w:trHeight w:val="217"/>
        </w:trPr>
        <w:tc>
          <w:tcPr>
            <w:tcW w:w="264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787,588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376,785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101,777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(233,309)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1,032,841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377,273</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136,570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40,668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177,238</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Tradenames and other intangibles,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224,353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309,853</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14,164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15,258</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long-term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294,017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Intercompany long-term note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receivable</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848,717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676,350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106,542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(1,631,609)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848,717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2,101,135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1,048,187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173,359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(2,258,935)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1,912,463</w:t>
            </w: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rPr>
              <w:t>LIABILITIES AND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58,626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19,554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12,207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90,387</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124,763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23,801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68,514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10,179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102,494</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207,190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153,256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(193,261)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192,881</w:t>
            </w: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560,751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580,319</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83,925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44,890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128,815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long-term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w w:val="97"/>
              </w:rPr>
              <w:t>Intercompany long-term note payable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66,487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161,731</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848,717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888,765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667,014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115,878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(1,671,657)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848,717</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Total liabilities and stockholders'</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848,717</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2,101,135</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1,048,187</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173,359</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(2,258,935)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1,912,463</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Subsidiary</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Guarantor</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Parent</w:t>
            </w:r>
          </w:p>
        </w:tc>
        <w:tc>
          <w:tcPr>
            <w:tcW w:w="18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Issuer</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2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7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325,771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14,652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40,786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381,209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178,842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207,570</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Intercompany receivable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52,676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133,092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(189,085)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Finished goods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184,618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469,934</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w w:val="99"/>
              </w:rPr>
              <w:t>Prepaid expenses and other current</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17,460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14,261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6,094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37,815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34,080</w:t>
            </w:r>
          </w:p>
        </w:tc>
        <w:tc>
          <w:tcPr>
            <w:tcW w:w="0" w:type="dxa"/>
            <w:vAlign w:val="bottom"/>
          </w:tcPr>
          <w:p>
            <w:pPr>
              <w:spacing w:after="0"/>
              <w:rPr>
                <w:sz w:val="1"/>
                <w:szCs w:val="1"/>
                <w:color w:val="auto"/>
              </w:rPr>
            </w:pPr>
          </w:p>
        </w:tc>
      </w:tr>
      <w:tr>
        <w:trPr>
          <w:trHeight w:val="217"/>
        </w:trPr>
        <w:tc>
          <w:tcPr>
            <w:tcW w:w="27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865,399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384,147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104,939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(223,877)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1,130,608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162,031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371,704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136,570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38,304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174,874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Tradenames and other 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310,848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14,634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15,620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long-term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5"/>
              </w:rPr>
              <w:t>Intercompany long-term note receivable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subsidiaries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875,051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652,598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100,146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(1,627,795)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875,051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2,156,580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1,044,850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172,915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(2,245,742)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2,003,654</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LIABILITIES AND</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93,585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44,951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19,112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157,648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12,996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80,908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11,166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105,070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241,275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177,221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(189,085)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262,718</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560,541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578,972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84,038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44,800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128,838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long-term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294,070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Intercompany long-term note payable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158,075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875,051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909,843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643,261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109,483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(1,662,587)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875,051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875,051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2,156,580</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1,044,850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172,915</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(2,245,742)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2,003,654</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7"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As of April 4,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Subsidiary</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Issuer</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2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338,709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17,505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21,186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377,400</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195,593</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Arial" w:cs="Arial" w:eastAsia="Arial" w:hAnsi="Arial"/>
                <w:sz w:val="16"/>
                <w:szCs w:val="16"/>
                <w:color w:val="auto"/>
              </w:rPr>
              <w:t>Intercompany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62,791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84,908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(148,427)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Finished goods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173,892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179,932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358,014</w:t>
            </w:r>
          </w:p>
        </w:tc>
        <w:tc>
          <w:tcPr>
            <w:tcW w:w="0" w:type="dxa"/>
            <w:vAlign w:val="bottom"/>
          </w:tcPr>
          <w:p>
            <w:pPr>
              <w:spacing w:after="0"/>
              <w:rPr>
                <w:sz w:val="1"/>
                <w:szCs w:val="1"/>
                <w:color w:val="auto"/>
              </w:rPr>
            </w:pPr>
          </w:p>
        </w:tc>
      </w:tr>
      <w:tr>
        <w:trPr>
          <w:trHeight w:val="220"/>
        </w:trPr>
        <w:tc>
          <w:tcPr>
            <w:tcW w:w="2620" w:type="dxa"/>
            <w:vAlign w:val="bottom"/>
          </w:tcPr>
          <w:p>
            <w:pPr>
              <w:ind w:left="160"/>
              <w:spacing w:after="0"/>
              <w:rPr>
                <w:sz w:val="20"/>
                <w:szCs w:val="20"/>
                <w:color w:val="auto"/>
              </w:rPr>
            </w:pPr>
            <w:r>
              <w:rPr>
                <w:rFonts w:ascii="Arial" w:cs="Arial" w:eastAsia="Arial" w:hAnsi="Arial"/>
                <w:sz w:val="16"/>
                <w:szCs w:val="16"/>
                <w:color w:val="auto"/>
                <w:w w:val="95"/>
              </w:rPr>
              <w:t>Prepaid expenses and other current</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20" w:type="dxa"/>
            <w:vAlign w:val="bottom"/>
          </w:tcPr>
          <w:p>
            <w:pPr>
              <w:ind w:left="160"/>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12,505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13,369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33,894</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32,842</w:t>
            </w:r>
          </w:p>
        </w:tc>
        <w:tc>
          <w:tcPr>
            <w:tcW w:w="0" w:type="dxa"/>
            <w:vAlign w:val="bottom"/>
          </w:tcPr>
          <w:p>
            <w:pPr>
              <w:spacing w:after="0"/>
              <w:rPr>
                <w:sz w:val="1"/>
                <w:szCs w:val="1"/>
                <w:color w:val="auto"/>
              </w:rPr>
            </w:pPr>
          </w:p>
        </w:tc>
      </w:tr>
      <w:tr>
        <w:trPr>
          <w:trHeight w:val="217"/>
        </w:trPr>
        <w:tc>
          <w:tcPr>
            <w:tcW w:w="262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773,766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330,320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78,457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(184,800)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997,743</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156,962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341,658</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136,570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42,289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178,859</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Tradenames and other intangibles,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314,955</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13,046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13,898</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Intercompany long-term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279,897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(279,897)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Arial" w:cs="Arial" w:eastAsia="Arial" w:hAnsi="Arial"/>
                <w:sz w:val="16"/>
                <w:szCs w:val="16"/>
                <w:color w:val="auto"/>
              </w:rPr>
              <w:t>Intercompany long-term note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20" w:type="dxa"/>
            <w:vAlign w:val="bottom"/>
          </w:tcPr>
          <w:p>
            <w:pPr>
              <w:ind w:left="20"/>
              <w:spacing w:after="0"/>
              <w:rPr>
                <w:sz w:val="20"/>
                <w:szCs w:val="20"/>
                <w:color w:val="auto"/>
              </w:rPr>
            </w:pPr>
            <w:r>
              <w:rPr>
                <w:rFonts w:ascii="Arial" w:cs="Arial" w:eastAsia="Arial" w:hAnsi="Arial"/>
                <w:sz w:val="16"/>
                <w:szCs w:val="16"/>
                <w:color w:val="auto"/>
              </w:rPr>
              <w:t>receivable</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 in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805,713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591,454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(1,407,340)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805,713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2,001,482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863,704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148,251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(1,972,037)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1,847,113</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LIABILITIES AND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61,013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22,937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10,183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94,133</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Intercompany payables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25,078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54,833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13,492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93,403</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170,350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138,621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(148,427)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187,536</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559,928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20,345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580,273</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120,274</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Intercompany long-term liability</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279,897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(279,897)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Intercompany long-term note payable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69,035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72,026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12,256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153,317</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805,713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842,087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512,968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88,659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(1,443,713)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805,713</w:t>
            </w:r>
          </w:p>
        </w:tc>
        <w:tc>
          <w:tcPr>
            <w:tcW w:w="0" w:type="dxa"/>
            <w:vAlign w:val="bottom"/>
          </w:tcPr>
          <w:p>
            <w:pPr>
              <w:spacing w:after="0"/>
              <w:rPr>
                <w:sz w:val="1"/>
                <w:szCs w:val="1"/>
                <w:color w:val="auto"/>
              </w:rPr>
            </w:pPr>
          </w:p>
        </w:tc>
      </w:tr>
      <w:tr>
        <w:trPr>
          <w:trHeight w:val="200"/>
        </w:trPr>
        <w:tc>
          <w:tcPr>
            <w:tcW w:w="2620" w:type="dxa"/>
            <w:vAlign w:val="bottom"/>
          </w:tcPr>
          <w:p>
            <w:pPr>
              <w:ind w:left="380"/>
              <w:spacing w:after="0"/>
              <w:rPr>
                <w:sz w:val="20"/>
                <w:szCs w:val="20"/>
                <w:color w:val="auto"/>
              </w:rPr>
            </w:pPr>
            <w:r>
              <w:rPr>
                <w:rFonts w:ascii="Arial" w:cs="Arial" w:eastAsia="Arial" w:hAnsi="Arial"/>
                <w:sz w:val="16"/>
                <w:szCs w:val="16"/>
                <w:color w:val="auto"/>
                <w:w w:val="96"/>
              </w:rPr>
              <w:t>Total liabilities and stockholders'</w:t>
            </w:r>
          </w:p>
        </w:tc>
        <w:tc>
          <w:tcPr>
            <w:tcW w:w="2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805,713</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2,001,482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863,704</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148,251</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(1,972,037)</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1,847,113</w:t>
            </w:r>
          </w:p>
        </w:tc>
        <w:tc>
          <w:tcPr>
            <w:tcW w:w="0" w:type="dxa"/>
            <w:vAlign w:val="bottom"/>
          </w:tcPr>
          <w:p>
            <w:pPr>
              <w:spacing w:after="0"/>
              <w:rPr>
                <w:sz w:val="1"/>
                <w:szCs w:val="1"/>
                <w:color w:val="auto"/>
              </w:rPr>
            </w:pPr>
          </w:p>
        </w:tc>
      </w:tr>
      <w:tr>
        <w:trPr>
          <w:trHeight w:val="224"/>
        </w:trPr>
        <w:tc>
          <w:tcPr>
            <w:tcW w:w="2620" w:type="dxa"/>
            <w:vAlign w:val="bottom"/>
          </w:tcPr>
          <w:p>
            <w:pPr>
              <w:ind w:left="380"/>
              <w:spacing w:after="0"/>
              <w:rPr>
                <w:sz w:val="20"/>
                <w:szCs w:val="20"/>
                <w:color w:val="auto"/>
              </w:rPr>
            </w:pPr>
            <w:r>
              <w:rPr>
                <w:rFonts w:ascii="Arial" w:cs="Arial" w:eastAsia="Arial" w:hAnsi="Arial"/>
                <w:sz w:val="16"/>
                <w:szCs w:val="16"/>
                <w:color w:val="auto"/>
              </w:rPr>
              <w:t>equity</w:t>
            </w:r>
          </w:p>
        </w:tc>
        <w:tc>
          <w:tcPr>
            <w:tcW w:w="2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37"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CARTER’S, INC.</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Statements of Operations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April 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Guarantor</w:t>
            </w:r>
          </w:p>
        </w:tc>
        <w:tc>
          <w:tcPr>
            <w:tcW w:w="1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Subsidiary Issuer</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451,196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381,280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55,830</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(164,221)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724,085</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321,100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211,028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33,091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(152,063)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413,156</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130,096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170,252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22,739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310,929</w:t>
            </w:r>
          </w:p>
        </w:tc>
      </w:tr>
      <w:tr>
        <w:trPr>
          <w:trHeight w:val="220"/>
        </w:trPr>
        <w:tc>
          <w:tcPr>
            <w:tcW w:w="2500" w:type="dxa"/>
            <w:vAlign w:val="bottom"/>
          </w:tcPr>
          <w:p>
            <w:pPr>
              <w:ind w:left="20"/>
              <w:spacing w:after="0"/>
              <w:rPr>
                <w:sz w:val="20"/>
                <w:szCs w:val="20"/>
                <w:color w:val="auto"/>
              </w:rPr>
            </w:pPr>
            <w:r>
              <w:rPr>
                <w:rFonts w:ascii="Arial" w:cs="Arial" w:eastAsia="Arial" w:hAnsi="Arial"/>
                <w:sz w:val="16"/>
                <w:szCs w:val="16"/>
                <w:color w:val="auto"/>
                <w:w w:val="98"/>
              </w:rPr>
              <w:t>Selling, general, and administrative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500" w:type="dxa"/>
            <w:vAlign w:val="bottom"/>
          </w:tcPr>
          <w:p>
            <w:pPr>
              <w:ind w:left="20"/>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42,587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172,142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23,377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228,996</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(11,075)</w:t>
            </w: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96,581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2,321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(5,256)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93,008</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6,739</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3,207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3,193</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53,980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84,262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83,283</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25,026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29,303</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53,980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59,236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53,980</w:t>
            </w:r>
          </w:p>
        </w:tc>
      </w:tr>
      <w:tr>
        <w:trPr>
          <w:trHeight w:val="20"/>
        </w:trPr>
        <w:tc>
          <w:tcPr>
            <w:tcW w:w="2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37" w:right="259" w:bottom="1440" w:gutter="0" w:footer="0" w:header="0"/>
        </w:sectPr>
      </w:pPr>
    </w:p>
    <w:bookmarkStart w:id="24" w:name="page25"/>
    <w:bookmarkEnd w:id="24"/>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April 4,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3"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Subsidiary</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Guarantor</w:t>
            </w:r>
          </w:p>
        </w:tc>
        <w:tc>
          <w:tcPr>
            <w:tcW w:w="10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Issuer</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435,286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359,396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47,120</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(157,038)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684,764</w:t>
            </w:r>
          </w:p>
        </w:tc>
      </w:tr>
      <w:tr>
        <w:trPr>
          <w:trHeight w:val="237"/>
        </w:trPr>
        <w:tc>
          <w:tcPr>
            <w:tcW w:w="246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298,211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222,915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30,479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(150,893)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400,712</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137,075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136,481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16,641</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284,052</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color w:val="auto"/>
                <w:w w:val="97"/>
              </w:rPr>
              <w:t>Selling, general, and administrative</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2460" w:type="dxa"/>
            <w:vAlign w:val="bottom"/>
          </w:tcPr>
          <w:p>
            <w:pPr>
              <w:ind w:left="20"/>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42,249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157,263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19,831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211,183</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(11,636)</w:t>
            </w:r>
          </w:p>
        </w:tc>
      </w:tr>
      <w:tr>
        <w:trPr>
          <w:trHeight w:val="217"/>
        </w:trPr>
        <w:tc>
          <w:tcPr>
            <w:tcW w:w="24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103,865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(16,071)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84,505</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6,692</w:t>
            </w:r>
          </w:p>
        </w:tc>
      </w:tr>
      <w:tr>
        <w:trPr>
          <w:trHeight w:val="237"/>
        </w:trPr>
        <w:tc>
          <w:tcPr>
            <w:tcW w:w="24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4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1,971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1,962</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75,512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(17,031)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75,988</w:t>
            </w:r>
          </w:p>
        </w:tc>
      </w:tr>
      <w:tr>
        <w:trPr>
          <w:trHeight w:val="237"/>
        </w:trPr>
        <w:tc>
          <w:tcPr>
            <w:tcW w:w="246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25,621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26,196</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49,792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49,891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49,792</w:t>
            </w:r>
          </w:p>
        </w:tc>
      </w:tr>
      <w:tr>
        <w:trPr>
          <w:trHeight w:val="20"/>
        </w:trPr>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33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CARTER’S, INC.</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Statements of Comprehensive Income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April 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Guarantor</w:t>
            </w:r>
          </w:p>
        </w:tc>
        <w:tc>
          <w:tcPr>
            <w:tcW w:w="14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6"/>
              </w:rPr>
              <w:t>Non-Guarantor</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Parent</w:t>
            </w: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rPr>
              <w:t>Subsidiary Issuer</w:t>
            </w: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Subsidiaries</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Subsidiaries</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53,980</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59,236</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(6,496)</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(49,400)</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53,980</w:t>
            </w:r>
          </w:p>
        </w:tc>
      </w:tr>
      <w:tr>
        <w:trPr>
          <w:trHeight w:val="220"/>
        </w:trPr>
        <w:tc>
          <w:tcPr>
            <w:tcW w:w="2540" w:type="dxa"/>
            <w:vAlign w:val="bottom"/>
          </w:tcPr>
          <w:p>
            <w:pPr>
              <w:ind w:left="40"/>
              <w:spacing w:after="0"/>
              <w:rPr>
                <w:sz w:val="20"/>
                <w:szCs w:val="20"/>
                <w:color w:val="auto"/>
              </w:rPr>
            </w:pPr>
            <w:r>
              <w:rPr>
                <w:rFonts w:ascii="Arial" w:cs="Arial" w:eastAsia="Arial" w:hAnsi="Arial"/>
                <w:sz w:val="16"/>
                <w:szCs w:val="16"/>
                <w:color w:val="auto"/>
              </w:rPr>
              <w:t>Foreign currency translation</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254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5,286</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5,286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5,286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5,286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(15,858)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5,286</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59,266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64,522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(65,258)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59,266</w:t>
            </w: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April 4,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Guarantor</w:t>
            </w:r>
          </w:p>
        </w:tc>
        <w:tc>
          <w:tcPr>
            <w:tcW w:w="14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6"/>
              </w:rPr>
              <w:t>Non-Guarantor</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Parent</w:t>
            </w: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rPr>
              <w:t>Subsidiary Issuer</w:t>
            </w: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Subsidiaries</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Subsidiaries</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49,792</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49,891</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(19,011)</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(3,863)</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(27,017)</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49,792</w:t>
            </w:r>
          </w:p>
        </w:tc>
      </w:tr>
      <w:tr>
        <w:trPr>
          <w:trHeight w:val="220"/>
        </w:trPr>
        <w:tc>
          <w:tcPr>
            <w:tcW w:w="2540" w:type="dxa"/>
            <w:vAlign w:val="bottom"/>
          </w:tcPr>
          <w:p>
            <w:pPr>
              <w:ind w:left="40"/>
              <w:spacing w:after="0"/>
              <w:rPr>
                <w:sz w:val="20"/>
                <w:szCs w:val="20"/>
                <w:color w:val="auto"/>
              </w:rPr>
            </w:pPr>
            <w:r>
              <w:rPr>
                <w:rFonts w:ascii="Arial" w:cs="Arial" w:eastAsia="Arial" w:hAnsi="Arial"/>
                <w:sz w:val="16"/>
                <w:szCs w:val="16"/>
                <w:color w:val="auto"/>
              </w:rPr>
              <w:t>Foreign currency translation</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254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(5,994)</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(5,994)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(5,994)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11,980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(5,994)</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43,798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43,897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43,798</w:t>
            </w: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Statements of Cash Flows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April 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Consolidating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Parent</w:t>
            </w:r>
          </w:p>
        </w:tc>
        <w:tc>
          <w:tcPr>
            <w:tcW w:w="1520" w:type="dxa"/>
            <w:vAlign w:val="bottom"/>
            <w:gridSpan w:val="3"/>
          </w:tcPr>
          <w:p>
            <w:pPr>
              <w:ind w:left="100"/>
              <w:spacing w:after="0"/>
              <w:rPr>
                <w:sz w:val="20"/>
                <w:szCs w:val="20"/>
                <w:color w:val="auto"/>
              </w:rPr>
            </w:pPr>
            <w:r>
              <w:rPr>
                <w:rFonts w:ascii="Arial" w:cs="Arial" w:eastAsia="Arial" w:hAnsi="Arial"/>
                <w:sz w:val="16"/>
                <w:szCs w:val="16"/>
                <w:b w:val="1"/>
                <w:bCs w:val="1"/>
                <w:color w:val="auto"/>
              </w:rPr>
              <w:t>Subsidiary Issuer</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provided by operating</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activities: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117,433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128,282</w:t>
            </w: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(25,552)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investing activity</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93,300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100" w:type="dxa"/>
            <w:vAlign w:val="bottom"/>
          </w:tcPr>
          <w:p>
            <w:pPr>
              <w:ind w:left="340"/>
              <w:spacing w:after="0"/>
              <w:rPr>
                <w:sz w:val="20"/>
                <w:szCs w:val="20"/>
                <w:color w:val="auto"/>
              </w:rPr>
            </w:pPr>
            <w:r>
              <w:rPr>
                <w:rFonts w:ascii="Arial" w:cs="Arial" w:eastAsia="Arial" w:hAnsi="Arial"/>
                <w:sz w:val="16"/>
                <w:szCs w:val="16"/>
                <w:color w:val="auto"/>
              </w:rPr>
              <w:t>Net cash provided by (used in)</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340"/>
              <w:spacing w:after="0"/>
              <w:rPr>
                <w:sz w:val="20"/>
                <w:szCs w:val="20"/>
                <w:color w:val="auto"/>
              </w:rPr>
            </w:pPr>
            <w:r>
              <w:rPr>
                <w:rFonts w:ascii="Arial" w:cs="Arial" w:eastAsia="Arial" w:hAnsi="Arial"/>
                <w:sz w:val="16"/>
                <w:szCs w:val="16"/>
                <w:color w:val="auto"/>
              </w:rPr>
              <w:t>investing activities</w:t>
            </w: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93,300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(88,593)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(25,552)</w:t>
            </w:r>
          </w:p>
        </w:tc>
        <w:tc>
          <w:tcPr>
            <w:tcW w:w="0" w:type="dxa"/>
            <w:vAlign w:val="bottom"/>
          </w:tcPr>
          <w:p>
            <w:pPr>
              <w:spacing w:after="0"/>
              <w:rPr>
                <w:sz w:val="1"/>
                <w:szCs w:val="1"/>
                <w:color w:val="auto"/>
              </w:rPr>
            </w:pPr>
          </w:p>
        </w:tc>
      </w:tr>
      <w:tr>
        <w:trPr>
          <w:trHeight w:val="33"/>
        </w:trPr>
        <w:tc>
          <w:tcPr>
            <w:tcW w:w="3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3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financing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88,593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(17,032)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(17,032)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(71,561)</w:t>
            </w:r>
          </w:p>
        </w:tc>
        <w:tc>
          <w:tcPr>
            <w:tcW w:w="0" w:type="dxa"/>
            <w:vAlign w:val="bottom"/>
          </w:tcPr>
          <w:p>
            <w:pPr>
              <w:spacing w:after="0"/>
              <w:rPr>
                <w:sz w:val="1"/>
                <w:szCs w:val="1"/>
                <w:color w:val="auto"/>
              </w:rPr>
            </w:pPr>
          </w:p>
        </w:tc>
      </w:tr>
      <w:tr>
        <w:trPr>
          <w:trHeight w:val="220"/>
        </w:trPr>
        <w:tc>
          <w:tcPr>
            <w:tcW w:w="3100" w:type="dxa"/>
            <w:vAlign w:val="bottom"/>
          </w:tcPr>
          <w:p>
            <w:pPr>
              <w:ind w:left="180"/>
              <w:spacing w:after="0"/>
              <w:rPr>
                <w:sz w:val="20"/>
                <w:szCs w:val="20"/>
                <w:color w:val="auto"/>
              </w:rPr>
            </w:pPr>
            <w:r>
              <w:rPr>
                <w:rFonts w:ascii="Arial" w:cs="Arial" w:eastAsia="Arial" w:hAnsi="Arial"/>
                <w:sz w:val="16"/>
                <w:szCs w:val="16"/>
                <w:color w:val="auto"/>
              </w:rPr>
              <w:t>Income tax benefit from stock-based</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1,687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3,144</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Withholdings from vesting of restricted</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(8,454)</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3,747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3,747</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(used in) provided by</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88,593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(90,156)</w:t>
            </w:r>
          </w:p>
        </w:tc>
        <w:tc>
          <w:tcPr>
            <w:tcW w:w="0" w:type="dxa"/>
            <w:vAlign w:val="bottom"/>
          </w:tcPr>
          <w:p>
            <w:pPr>
              <w:spacing w:after="0"/>
              <w:rPr>
                <w:sz w:val="1"/>
                <w:szCs w:val="1"/>
                <w:color w:val="auto"/>
              </w:rPr>
            </w:pPr>
          </w:p>
        </w:tc>
      </w:tr>
      <w:tr>
        <w:trPr>
          <w:trHeight w:val="217"/>
        </w:trPr>
        <w:tc>
          <w:tcPr>
            <w:tcW w:w="3100" w:type="dxa"/>
            <w:vAlign w:val="bottom"/>
          </w:tcPr>
          <w:p>
            <w:pPr>
              <w:ind w:left="180"/>
              <w:spacing w:after="0"/>
              <w:rPr>
                <w:sz w:val="20"/>
                <w:szCs w:val="20"/>
                <w:color w:val="auto"/>
              </w:rPr>
            </w:pPr>
            <w:r>
              <w:rPr>
                <w:rFonts w:ascii="Arial" w:cs="Arial" w:eastAsia="Arial" w:hAnsi="Arial"/>
                <w:sz w:val="16"/>
                <w:szCs w:val="16"/>
                <w:color w:val="auto"/>
                <w:w w:val="99"/>
              </w:rPr>
              <w:t>Effect of exchange rate changes on cash</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1,358</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6"/>
              </w:rPr>
              <w:t>Net increase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13,932</w:t>
            </w:r>
          </w:p>
        </w:tc>
        <w:tc>
          <w:tcPr>
            <w:tcW w:w="0" w:type="dxa"/>
            <w:vAlign w:val="bottom"/>
          </w:tcPr>
          <w:p>
            <w:pPr>
              <w:spacing w:after="0"/>
              <w:rPr>
                <w:sz w:val="1"/>
                <w:szCs w:val="1"/>
                <w:color w:val="auto"/>
              </w:rPr>
            </w:pPr>
          </w:p>
        </w:tc>
      </w:tr>
      <w:tr>
        <w:trPr>
          <w:trHeight w:val="220"/>
        </w:trPr>
        <w:tc>
          <w:tcPr>
            <w:tcW w:w="3100" w:type="dxa"/>
            <w:vAlign w:val="bottom"/>
          </w:tcPr>
          <w:p>
            <w:pPr>
              <w:ind w:left="180"/>
              <w:spacing w:after="0"/>
              <w:rPr>
                <w:sz w:val="20"/>
                <w:szCs w:val="20"/>
                <w:color w:val="auto"/>
              </w:rPr>
            </w:pPr>
            <w:r>
              <w:rPr>
                <w:rFonts w:ascii="Arial" w:cs="Arial" w:eastAsia="Arial" w:hAnsi="Arial"/>
                <w:sz w:val="16"/>
                <w:szCs w:val="16"/>
                <w:color w:val="auto"/>
              </w:rPr>
              <w:t>Cash and cash equivalents, beginning of</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period</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325,771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14,652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40,786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381,209</w:t>
            </w:r>
          </w:p>
        </w:tc>
        <w:tc>
          <w:tcPr>
            <w:tcW w:w="0" w:type="dxa"/>
            <w:vAlign w:val="bottom"/>
          </w:tcPr>
          <w:p>
            <w:pPr>
              <w:spacing w:after="0"/>
              <w:rPr>
                <w:sz w:val="1"/>
                <w:szCs w:val="1"/>
                <w:color w:val="auto"/>
              </w:rPr>
            </w:pPr>
          </w:p>
        </w:tc>
      </w:tr>
      <w:tr>
        <w:trPr>
          <w:trHeight w:val="33"/>
        </w:trPr>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vMerge w:val="continue"/>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331,672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19,802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43,667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395,141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April 4,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Consolidating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Parent</w:t>
            </w:r>
          </w:p>
        </w:tc>
        <w:tc>
          <w:tcPr>
            <w:tcW w:w="1520" w:type="dxa"/>
            <w:vAlign w:val="bottom"/>
            <w:gridSpan w:val="3"/>
          </w:tcPr>
          <w:p>
            <w:pPr>
              <w:ind w:left="100"/>
              <w:spacing w:after="0"/>
              <w:rPr>
                <w:sz w:val="20"/>
                <w:szCs w:val="20"/>
                <w:color w:val="auto"/>
              </w:rPr>
            </w:pPr>
            <w:r>
              <w:rPr>
                <w:rFonts w:ascii="Arial" w:cs="Arial" w:eastAsia="Arial" w:hAnsi="Arial"/>
                <w:sz w:val="16"/>
                <w:szCs w:val="16"/>
                <w:b w:val="1"/>
                <w:bCs w:val="1"/>
                <w:color w:val="auto"/>
              </w:rPr>
              <w:t>Subsidiary Issuer</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provided by (used in)</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78,186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87,224</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(20,760)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investing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100" w:type="dxa"/>
            <w:vAlign w:val="bottom"/>
          </w:tcPr>
          <w:p>
            <w:pPr>
              <w:ind w:left="180"/>
              <w:spacing w:after="0"/>
              <w:rPr>
                <w:sz w:val="20"/>
                <w:szCs w:val="20"/>
                <w:color w:val="auto"/>
              </w:rPr>
            </w:pPr>
            <w:r>
              <w:rPr>
                <w:rFonts w:ascii="Arial" w:cs="Arial" w:eastAsia="Arial" w:hAnsi="Arial"/>
                <w:sz w:val="16"/>
                <w:szCs w:val="16"/>
                <w:color w:val="auto"/>
                <w:w w:val="95"/>
              </w:rPr>
              <w:t>Proceeds from repayment of intercompany</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loan</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Proceeds from sale of property, plant and</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0"/>
        </w:trPr>
        <w:tc>
          <w:tcPr>
            <w:tcW w:w="3100" w:type="dxa"/>
            <w:vAlign w:val="bottom"/>
          </w:tcPr>
          <w:p>
            <w:pPr>
              <w:ind w:left="340"/>
              <w:spacing w:after="0"/>
              <w:rPr>
                <w:sz w:val="20"/>
                <w:szCs w:val="20"/>
                <w:color w:val="auto"/>
              </w:rPr>
            </w:pPr>
            <w:r>
              <w:rPr>
                <w:rFonts w:ascii="Arial" w:cs="Arial" w:eastAsia="Arial" w:hAnsi="Arial"/>
                <w:sz w:val="16"/>
                <w:szCs w:val="16"/>
                <w:color w:val="auto"/>
              </w:rPr>
              <w:t>Net cash provided by (used in)</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340"/>
              <w:spacing w:after="0"/>
              <w:rPr>
                <w:sz w:val="20"/>
                <w:szCs w:val="20"/>
                <w:color w:val="auto"/>
              </w:rPr>
            </w:pPr>
            <w:r>
              <w:rPr>
                <w:rFonts w:ascii="Arial" w:cs="Arial" w:eastAsia="Arial" w:hAnsi="Arial"/>
                <w:sz w:val="16"/>
                <w:szCs w:val="16"/>
                <w:color w:val="auto"/>
              </w:rPr>
              <w:t>investing activities</w:t>
            </w: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35,280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6,220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(45,716)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(20,684)</w:t>
            </w:r>
          </w:p>
        </w:tc>
        <w:tc>
          <w:tcPr>
            <w:tcW w:w="0" w:type="dxa"/>
            <w:vAlign w:val="bottom"/>
          </w:tcPr>
          <w:p>
            <w:pPr>
              <w:spacing w:after="0"/>
              <w:rPr>
                <w:sz w:val="1"/>
                <w:szCs w:val="1"/>
                <w:color w:val="auto"/>
              </w:rPr>
            </w:pPr>
          </w:p>
        </w:tc>
      </w:tr>
      <w:tr>
        <w:trPr>
          <w:trHeight w:val="33"/>
        </w:trPr>
        <w:tc>
          <w:tcPr>
            <w:tcW w:w="3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3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financing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Repayment of intercompany loan</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Borrowings under secured revolving credit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facility</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20,349</w:t>
            </w:r>
          </w:p>
        </w:tc>
        <w:tc>
          <w:tcPr>
            <w:tcW w:w="0" w:type="dxa"/>
            <w:vAlign w:val="bottom"/>
          </w:tcPr>
          <w:p>
            <w:pPr>
              <w:spacing w:after="0"/>
              <w:rPr>
                <w:sz w:val="1"/>
                <w:szCs w:val="1"/>
                <w:color w:val="auto"/>
              </w:rPr>
            </w:pPr>
          </w:p>
        </w:tc>
      </w:tr>
      <w:tr>
        <w:trPr>
          <w:trHeight w:val="220"/>
        </w:trPr>
        <w:tc>
          <w:tcPr>
            <w:tcW w:w="3100" w:type="dxa"/>
            <w:vAlign w:val="bottom"/>
          </w:tcPr>
          <w:p>
            <w:pPr>
              <w:ind w:left="180"/>
              <w:spacing w:after="0"/>
              <w:rPr>
                <w:sz w:val="20"/>
                <w:szCs w:val="20"/>
                <w:color w:val="auto"/>
              </w:rPr>
            </w:pPr>
            <w:r>
              <w:rPr>
                <w:rFonts w:ascii="Arial" w:cs="Arial" w:eastAsia="Arial" w:hAnsi="Arial"/>
                <w:sz w:val="16"/>
                <w:szCs w:val="16"/>
                <w:color w:val="auto"/>
              </w:rPr>
              <w:t>Payment on secured revolving credit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facility</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(11,597)</w:t>
            </w:r>
          </w:p>
        </w:tc>
        <w:tc>
          <w:tcPr>
            <w:tcW w:w="0" w:type="dxa"/>
            <w:vAlign w:val="bottom"/>
          </w:tcPr>
          <w:p>
            <w:pPr>
              <w:spacing w:after="0"/>
              <w:rPr>
                <w:sz w:val="1"/>
                <w:szCs w:val="1"/>
                <w:color w:val="auto"/>
              </w:rPr>
            </w:pPr>
          </w:p>
        </w:tc>
      </w:tr>
      <w:tr>
        <w:trPr>
          <w:trHeight w:val="220"/>
        </w:trPr>
        <w:tc>
          <w:tcPr>
            <w:tcW w:w="3100" w:type="dxa"/>
            <w:vAlign w:val="bottom"/>
          </w:tcPr>
          <w:p>
            <w:pPr>
              <w:ind w:left="180"/>
              <w:spacing w:after="0"/>
              <w:rPr>
                <w:sz w:val="20"/>
                <w:szCs w:val="20"/>
                <w:color w:val="auto"/>
              </w:rPr>
            </w:pPr>
            <w:r>
              <w:rPr>
                <w:rFonts w:ascii="Arial" w:cs="Arial" w:eastAsia="Arial" w:hAnsi="Arial"/>
                <w:sz w:val="16"/>
                <w:szCs w:val="16"/>
                <w:color w:val="auto"/>
              </w:rPr>
              <w:t>Income tax benefit from stock-based</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4,540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5,771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(14,120)</w:t>
            </w:r>
          </w:p>
        </w:tc>
        <w:tc>
          <w:tcPr>
            <w:tcW w:w="0" w:type="dxa"/>
            <w:vAlign w:val="bottom"/>
          </w:tcPr>
          <w:p>
            <w:pPr>
              <w:spacing w:after="0"/>
              <w:rPr>
                <w:sz w:val="1"/>
                <w:szCs w:val="1"/>
                <w:color w:val="auto"/>
              </w:rPr>
            </w:pPr>
          </w:p>
        </w:tc>
      </w:tr>
      <w:tr>
        <w:trPr>
          <w:trHeight w:val="220"/>
        </w:trPr>
        <w:tc>
          <w:tcPr>
            <w:tcW w:w="3100" w:type="dxa"/>
            <w:vAlign w:val="bottom"/>
          </w:tcPr>
          <w:p>
            <w:pPr>
              <w:ind w:left="180"/>
              <w:spacing w:after="0"/>
              <w:rPr>
                <w:sz w:val="20"/>
                <w:szCs w:val="20"/>
                <w:color w:val="auto"/>
              </w:rPr>
            </w:pPr>
            <w:r>
              <w:rPr>
                <w:rFonts w:ascii="Arial" w:cs="Arial" w:eastAsia="Arial" w:hAnsi="Arial"/>
                <w:sz w:val="16"/>
                <w:szCs w:val="16"/>
                <w:color w:val="auto"/>
              </w:rPr>
              <w:t>Withholdings from vesting of restricted</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stock</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(12,331)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(12,331)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2,768</w:t>
            </w:r>
          </w:p>
        </w:tc>
        <w:tc>
          <w:tcPr>
            <w:tcW w:w="0" w:type="dxa"/>
            <w:vAlign w:val="bottom"/>
          </w:tcPr>
          <w:p>
            <w:pPr>
              <w:spacing w:after="0"/>
              <w:rPr>
                <w:sz w:val="1"/>
                <w:szCs w:val="1"/>
                <w:color w:val="auto"/>
              </w:rPr>
            </w:pPr>
          </w:p>
        </w:tc>
      </w:tr>
      <w:tr>
        <w:trPr>
          <w:trHeight w:val="200"/>
        </w:trPr>
        <w:tc>
          <w:tcPr>
            <w:tcW w:w="3100" w:type="dxa"/>
            <w:vAlign w:val="bottom"/>
          </w:tcPr>
          <w:p>
            <w:pPr>
              <w:ind w:left="340"/>
              <w:spacing w:after="0"/>
              <w:rPr>
                <w:sz w:val="20"/>
                <w:szCs w:val="20"/>
                <w:color w:val="auto"/>
              </w:rPr>
            </w:pPr>
            <w:r>
              <w:rPr>
                <w:rFonts w:ascii="Arial" w:cs="Arial" w:eastAsia="Arial" w:hAnsi="Arial"/>
                <w:sz w:val="16"/>
                <w:szCs w:val="16"/>
                <w:color w:val="auto"/>
              </w:rPr>
              <w:t>Net cash (used in) provided by</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34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(35,280)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(56,775)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17,027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45,716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(29,160)</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27,631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7,063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36,762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311,078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340,638</w:t>
            </w:r>
          </w:p>
        </w:tc>
        <w:tc>
          <w:tcPr>
            <w:tcW w:w="0" w:type="dxa"/>
            <w:vAlign w:val="bottom"/>
          </w:tcPr>
          <w:p>
            <w:pPr>
              <w:spacing w:after="0"/>
              <w:rPr>
                <w:sz w:val="1"/>
                <w:szCs w:val="1"/>
                <w:color w:val="auto"/>
              </w:rPr>
            </w:pP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338,709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17,505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21,186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377,400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the second quarter of fiscal 2016 and fiscal year 2016, or any other future period, assessment of our performance and financial position, and drivers of our sales and earnings growth.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 described under the heading "Risk Factors" in our most recently filed Annual Report on Form 10-K and other reports filed with the Securities and Exchange Commission from time to time.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We are the largest branded marketer in the United States ("U.S.") and in Canada of apparel exclusively for babies and young children. We own two of the most highly recognized and most trusted brand names in the children's apparel industry,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and </w:t>
      </w:r>
      <w:r>
        <w:rPr>
          <w:rFonts w:ascii="Arial" w:cs="Arial" w:eastAsia="Arial" w:hAnsi="Arial"/>
          <w:sz w:val="17"/>
          <w:szCs w:val="17"/>
          <w:i w:val="1"/>
          <w:iCs w:val="1"/>
          <w:color w:val="auto"/>
        </w:rPr>
        <w:t>OshKosh B'gosh</w:t>
      </w:r>
      <w:r>
        <w:rPr>
          <w:rFonts w:ascii="Arial" w:cs="Arial" w:eastAsia="Arial" w:hAnsi="Arial"/>
          <w:sz w:val="17"/>
          <w:szCs w:val="17"/>
          <w:color w:val="auto"/>
        </w:rPr>
        <w:t xml:space="preserv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Established in 1865, our </w:t>
      </w:r>
      <w:r>
        <w:rPr>
          <w:rFonts w:ascii="Arial" w:cs="Arial" w:eastAsia="Arial" w:hAnsi="Arial"/>
          <w:sz w:val="17"/>
          <w:szCs w:val="17"/>
          <w:i w:val="1"/>
          <w:iCs w:val="1"/>
          <w:color w:val="auto"/>
        </w:rPr>
        <w:t xml:space="preserve">Carter's </w:t>
      </w:r>
      <w:r>
        <w:rPr>
          <w:rFonts w:ascii="Arial" w:cs="Arial" w:eastAsia="Arial" w:hAnsi="Arial"/>
          <w:sz w:val="17"/>
          <w:szCs w:val="17"/>
          <w:color w:val="auto"/>
        </w:rPr>
        <w:t>brand is recognized and trusted by consumers for high-quality apparel for children sizes newborn to eight. Established in 1895,</w:t>
      </w:r>
      <w:r>
        <w:rPr>
          <w:rFonts w:ascii="Arial" w:cs="Arial" w:eastAsia="Arial" w:hAnsi="Arial"/>
          <w:sz w:val="17"/>
          <w:szCs w:val="17"/>
          <w:i w:val="1"/>
          <w:iCs w:val="1"/>
          <w:color w:val="auto"/>
        </w:rPr>
        <w:t xml:space="preserve"> OshKosh </w:t>
      </w:r>
      <w:r>
        <w:rPr>
          <w:rFonts w:ascii="Arial" w:cs="Arial" w:eastAsia="Arial" w:hAnsi="Arial"/>
          <w:sz w:val="17"/>
          <w:szCs w:val="17"/>
          <w:color w:val="auto"/>
        </w:rPr>
        <w:t>is a well-known brand, trusted by consumers for apparel for children sizes newborn to 12, with a focus on playclothes for toddlers and young children. Given each brand's product category emphasis and brand aesthetic, we believe they provide a complementary product offering. We have extensive experience in the young children's apparel market and focus on delivering products that satisfy our consumers' needs. Our strategy is to market high-quality, essential core products at prices that deliver an attractive value proposition for consumers.</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2015 fiscal year ended January 2, 2016.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4" w:right="239" w:bottom="1440" w:gutter="0" w:footer="0" w:header="0"/>
        </w:sectPr>
      </w:pPr>
    </w:p>
    <w:bookmarkStart w:id="29" w:name="page30"/>
    <w:bookmarkEnd w:id="29"/>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the periods indicated, (i) selected statement of operations data expressed as a percentage of consolidated net sales and (ii)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number of retail stores open at the end of each period:</w:t>
      </w:r>
    </w:p>
    <w:p>
      <w:pPr>
        <w:spacing w:after="0" w:line="171" w:lineRule="exact"/>
        <w:rPr>
          <w:sz w:val="20"/>
          <w:szCs w:val="20"/>
          <w:color w:val="auto"/>
        </w:rPr>
      </w:pPr>
    </w:p>
    <w:p>
      <w:pPr>
        <w:ind w:left="7400"/>
        <w:spacing w:after="0"/>
        <w:rPr>
          <w:sz w:val="20"/>
          <w:szCs w:val="20"/>
          <w:color w:val="auto"/>
        </w:rPr>
      </w:pPr>
      <w:r>
        <w:rPr>
          <w:rFonts w:ascii="Arial" w:cs="Arial" w:eastAsia="Arial" w:hAnsi="Arial"/>
          <w:sz w:val="16"/>
          <w:szCs w:val="16"/>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37465</wp:posOffset>
            </wp:positionV>
            <wp:extent cx="21355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66" w:lineRule="exact"/>
        <w:rPr>
          <w:sz w:val="20"/>
          <w:szCs w:val="20"/>
          <w:color w:val="auto"/>
        </w:rPr>
      </w:pPr>
    </w:p>
    <w:tbl>
      <w:tblPr>
        <w:tblLayout w:type="fixed"/>
        <w:tblInd w:w="6420" w:type="dxa"/>
        <w:tblCellMar>
          <w:top w:w="0" w:type="dxa"/>
          <w:left w:w="0" w:type="dxa"/>
          <w:bottom w:w="0" w:type="dxa"/>
          <w:right w:w="0" w:type="dxa"/>
        </w:tblCellMar>
      </w:tblPr>
      <w:tr>
        <w:trPr>
          <w:trHeight w:val="203"/>
        </w:trPr>
        <w:tc>
          <w:tcPr>
            <w:tcW w:w="1820" w:type="dxa"/>
            <w:vAlign w:val="bottom"/>
            <w:gridSpan w:val="2"/>
          </w:tcPr>
          <w:p>
            <w:pPr>
              <w:ind w:left="560"/>
              <w:spacing w:after="0"/>
              <w:rPr>
                <w:sz w:val="20"/>
                <w:szCs w:val="20"/>
                <w:color w:val="auto"/>
              </w:rPr>
            </w:pPr>
            <w:r>
              <w:rPr>
                <w:rFonts w:ascii="Arial" w:cs="Arial" w:eastAsia="Arial" w:hAnsi="Arial"/>
                <w:sz w:val="16"/>
                <w:szCs w:val="16"/>
                <w:b w:val="1"/>
                <w:bCs w:val="1"/>
                <w:color w:val="auto"/>
              </w:rPr>
              <w:t>April 2,</w:t>
            </w:r>
          </w:p>
        </w:tc>
        <w:tc>
          <w:tcPr>
            <w:tcW w:w="1540" w:type="dxa"/>
            <w:vAlign w:val="bottom"/>
          </w:tcPr>
          <w:p>
            <w:pPr>
              <w:jc w:val="right"/>
              <w:ind w:right="459"/>
              <w:spacing w:after="0"/>
              <w:rPr>
                <w:sz w:val="20"/>
                <w:szCs w:val="20"/>
                <w:color w:val="auto"/>
              </w:rPr>
            </w:pPr>
            <w:r>
              <w:rPr>
                <w:rFonts w:ascii="Arial" w:cs="Arial" w:eastAsia="Arial" w:hAnsi="Arial"/>
                <w:sz w:val="16"/>
                <w:szCs w:val="16"/>
                <w:b w:val="1"/>
                <w:bCs w:val="1"/>
                <w:color w:val="auto"/>
              </w:rPr>
              <w:t>April 4,</w:t>
            </w:r>
          </w:p>
        </w:tc>
      </w:tr>
      <w:tr>
        <w:trPr>
          <w:trHeight w:val="210"/>
        </w:trPr>
        <w:tc>
          <w:tcPr>
            <w:tcW w:w="170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5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33"/>
        </w:trPr>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130" w:lineRule="exact"/>
        <w:rPr>
          <w:sz w:val="20"/>
          <w:szCs w:val="20"/>
          <w:color w:val="auto"/>
        </w:rPr>
      </w:pPr>
    </w:p>
    <w:p>
      <w:pPr>
        <w:sectPr>
          <w:pgSz w:w="11900" w:h="16838" w:orient="portrait"/>
          <w:cols w:equalWidth="0" w:num="1">
            <w:col w:w="11220"/>
          </w:cols>
          <w:pgMar w:left="240" w:top="121" w:right="439" w:bottom="1440" w:gutter="0" w:footer="0" w:header="0"/>
        </w:sectPr>
      </w:pPr>
    </w:p>
    <w:p>
      <w:pPr>
        <w:ind w:left="1680"/>
        <w:spacing w:after="0"/>
        <w:rPr>
          <w:sz w:val="20"/>
          <w:szCs w:val="20"/>
          <w:color w:val="auto"/>
        </w:rPr>
      </w:pPr>
      <w:r>
        <w:rPr>
          <w:rFonts w:ascii="Arial" w:cs="Arial" w:eastAsia="Arial" w:hAnsi="Arial"/>
          <w:sz w:val="18"/>
          <w:szCs w:val="18"/>
          <w:b w:val="1"/>
          <w:bCs w:val="1"/>
          <w:u w:val="single" w:color="auto"/>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34290</wp:posOffset>
            </wp:positionV>
            <wp:extent cx="51625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2550" cy="171450"/>
                    </a:xfrm>
                    <a:prstGeom prst="rect">
                      <a:avLst/>
                    </a:prstGeom>
                    <a:noFill/>
                  </pic:spPr>
                </pic:pic>
              </a:graphicData>
            </a:graphic>
          </wp:anchor>
        </w:drawing>
      </w:r>
    </w:p>
    <w:p>
      <w:pPr>
        <w:spacing w:after="0" w:line="52"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Carter’s Wholesale</w:t>
      </w:r>
    </w:p>
    <w:p>
      <w:pPr>
        <w:spacing w:after="0" w:line="86"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Carter’s Retail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43815</wp:posOffset>
            </wp:positionV>
            <wp:extent cx="51625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2550" cy="171450"/>
                    </a:xfrm>
                    <a:prstGeom prst="rect">
                      <a:avLst/>
                    </a:prstGeom>
                    <a:noFill/>
                  </pic:spPr>
                </pic:pic>
              </a:graphicData>
            </a:graphic>
          </wp:anchor>
        </w:drawing>
      </w:r>
    </w:p>
    <w:p>
      <w:pPr>
        <w:spacing w:after="0" w:line="66"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Total Carter’s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172720</wp:posOffset>
            </wp:positionV>
            <wp:extent cx="51625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62550" cy="171450"/>
                    </a:xfrm>
                    <a:prstGeom prst="rect">
                      <a:avLst/>
                    </a:prstGeom>
                    <a:noFill/>
                  </pic:spPr>
                </pic:pic>
              </a:graphicData>
            </a:graphic>
          </wp:anchor>
        </w:drawing>
      </w:r>
    </w:p>
    <w:p>
      <w:pPr>
        <w:spacing w:after="0" w:line="269"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OshKosh Retail</w:t>
      </w:r>
    </w:p>
    <w:p>
      <w:pPr>
        <w:spacing w:after="0" w:line="86"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OshKosh Wholesale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43815</wp:posOffset>
            </wp:positionV>
            <wp:extent cx="516255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62550" cy="171450"/>
                    </a:xfrm>
                    <a:prstGeom prst="rect">
                      <a:avLst/>
                    </a:prstGeom>
                    <a:noFill/>
                  </pic:spPr>
                </pic:pic>
              </a:graphicData>
            </a:graphic>
          </wp:anchor>
        </w:drawing>
      </w:r>
    </w:p>
    <w:p>
      <w:pPr>
        <w:spacing w:after="0" w:line="66"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Total OshKosh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172720</wp:posOffset>
            </wp:positionV>
            <wp:extent cx="51625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62550" cy="171450"/>
                    </a:xfrm>
                    <a:prstGeom prst="rect">
                      <a:avLst/>
                    </a:prstGeom>
                    <a:noFill/>
                  </pic:spPr>
                </pic:pic>
              </a:graphicData>
            </a:graphic>
          </wp:anchor>
        </w:drawing>
      </w:r>
    </w:p>
    <w:p>
      <w:pPr>
        <w:spacing w:after="0" w:line="269"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172720</wp:posOffset>
            </wp:positionV>
            <wp:extent cx="516255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62550" cy="171450"/>
                    </a:xfrm>
                    <a:prstGeom prst="rect">
                      <a:avLst/>
                    </a:prstGeom>
                    <a:noFill/>
                  </pic:spPr>
                </pic:pic>
              </a:graphicData>
            </a:graphic>
          </wp:anchor>
        </w:drawing>
      </w:r>
    </w:p>
    <w:p>
      <w:pPr>
        <w:spacing w:after="0" w:line="269"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Consolidated net sales</w:t>
      </w:r>
    </w:p>
    <w:p>
      <w:pPr>
        <w:spacing w:after="0" w:line="86"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43815</wp:posOffset>
            </wp:positionV>
            <wp:extent cx="516255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62550" cy="128905"/>
                    </a:xfrm>
                    <a:prstGeom prst="rect">
                      <a:avLst/>
                    </a:prstGeom>
                    <a:noFill/>
                  </pic:spPr>
                </pic:pic>
              </a:graphicData>
            </a:graphic>
          </wp:anchor>
        </w:drawing>
      </w:r>
    </w:p>
    <w:p>
      <w:pPr>
        <w:spacing w:after="0" w:line="269"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43815</wp:posOffset>
            </wp:positionV>
            <wp:extent cx="516255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62550" cy="171450"/>
                    </a:xfrm>
                    <a:prstGeom prst="rect">
                      <a:avLst/>
                    </a:prstGeom>
                    <a:noFill/>
                  </pic:spPr>
                </pic:pic>
              </a:graphicData>
            </a:graphic>
          </wp:anchor>
        </w:drawing>
      </w:r>
    </w:p>
    <w:p>
      <w:pPr>
        <w:spacing w:after="0" w:line="66"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Selling, general, and administrative expenses</w:t>
      </w:r>
    </w:p>
    <w:p>
      <w:pPr>
        <w:spacing w:after="0" w:line="109"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Royalty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43815</wp:posOffset>
            </wp:positionV>
            <wp:extent cx="516255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62550" cy="146050"/>
                    </a:xfrm>
                    <a:prstGeom prst="rect">
                      <a:avLst/>
                    </a:prstGeom>
                    <a:noFill/>
                  </pic:spPr>
                </pic:pic>
              </a:graphicData>
            </a:graphic>
          </wp:anchor>
        </w:drawing>
      </w:r>
    </w:p>
    <w:p>
      <w:pPr>
        <w:spacing w:after="0" w:line="296"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43815</wp:posOffset>
            </wp:positionV>
            <wp:extent cx="51625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62550" cy="171450"/>
                    </a:xfrm>
                    <a:prstGeom prst="rect">
                      <a:avLst/>
                    </a:prstGeom>
                    <a:noFill/>
                  </pic:spPr>
                </pic:pic>
              </a:graphicData>
            </a:graphic>
          </wp:anchor>
        </w:drawing>
      </w:r>
    </w:p>
    <w:p>
      <w:pPr>
        <w:spacing w:after="0" w:line="66"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43815</wp:posOffset>
            </wp:positionV>
            <wp:extent cx="51625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62550" cy="171450"/>
                    </a:xfrm>
                    <a:prstGeom prst="rect">
                      <a:avLst/>
                    </a:prstGeom>
                    <a:noFill/>
                  </pic:spPr>
                </pic:pic>
              </a:graphicData>
            </a:graphic>
          </wp:anchor>
        </w:drawing>
      </w:r>
    </w:p>
    <w:p>
      <w:pPr>
        <w:spacing w:after="0" w:line="66"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172720</wp:posOffset>
            </wp:positionV>
            <wp:extent cx="51625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62550" cy="171450"/>
                    </a:xfrm>
                    <a:prstGeom prst="rect">
                      <a:avLst/>
                    </a:prstGeom>
                    <a:noFill/>
                  </pic:spPr>
                </pic:pic>
              </a:graphicData>
            </a:graphic>
          </wp:anchor>
        </w:drawing>
      </w:r>
    </w:p>
    <w:p>
      <w:pPr>
        <w:spacing w:after="0" w:line="269"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Income before income taxes</w:t>
      </w:r>
    </w:p>
    <w:p>
      <w:pPr>
        <w:spacing w:after="0" w:line="86"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43815</wp:posOffset>
            </wp:positionV>
            <wp:extent cx="516255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62550" cy="180340"/>
                    </a:xfrm>
                    <a:prstGeom prst="rect">
                      <a:avLst/>
                    </a:prstGeom>
                    <a:noFill/>
                  </pic:spPr>
                </pic:pic>
              </a:graphicData>
            </a:graphic>
          </wp:anchor>
        </w:drawing>
      </w:r>
    </w:p>
    <w:p>
      <w:pPr>
        <w:spacing w:after="0" w:line="93"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172720</wp:posOffset>
            </wp:positionV>
            <wp:extent cx="51625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62550" cy="171450"/>
                    </a:xfrm>
                    <a:prstGeom prst="rect">
                      <a:avLst/>
                    </a:prstGeom>
                    <a:noFill/>
                  </pic:spPr>
                </pic:pic>
              </a:graphicData>
            </a:graphic>
          </wp:anchor>
        </w:drawing>
      </w:r>
    </w:p>
    <w:p>
      <w:pPr>
        <w:spacing w:after="0" w:line="269"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Number of retail stores at end of period:</w:t>
      </w:r>
    </w:p>
    <w:p>
      <w:pPr>
        <w:spacing w:after="0" w:line="100"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Carter’s -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34925</wp:posOffset>
            </wp:positionV>
            <wp:extent cx="51625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62550" cy="171450"/>
                    </a:xfrm>
                    <a:prstGeom prst="rect">
                      <a:avLst/>
                    </a:prstGeom>
                    <a:noFill/>
                  </pic:spPr>
                </pic:pic>
              </a:graphicData>
            </a:graphic>
          </wp:anchor>
        </w:drawing>
      </w:r>
    </w:p>
    <w:p>
      <w:pPr>
        <w:spacing w:after="0" w:line="66"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OshKosh - U.S.</w:t>
      </w:r>
    </w:p>
    <w:p>
      <w:pPr>
        <w:spacing w:after="0" w:line="86"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34925</wp:posOffset>
            </wp:positionV>
            <wp:extent cx="516255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62550" cy="180340"/>
                    </a:xfrm>
                    <a:prstGeom prst="rect">
                      <a:avLst/>
                    </a:prstGeom>
                    <a:noFill/>
                  </pic:spPr>
                </pic:pic>
              </a:graphicData>
            </a:graphic>
          </wp:anchor>
        </w:drawing>
      </w:r>
    </w:p>
    <w:p>
      <w:pPr>
        <w:spacing w:after="0" w:line="80"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Total retail stores</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left="80"/>
        <w:spacing w:after="0"/>
        <w:rPr>
          <w:sz w:val="20"/>
          <w:szCs w:val="20"/>
          <w:color w:val="auto"/>
        </w:rPr>
      </w:pPr>
      <w:r>
        <w:rPr>
          <w:rFonts w:ascii="Arial" w:cs="Arial" w:eastAsia="Arial" w:hAnsi="Arial"/>
          <w:sz w:val="15"/>
          <w:szCs w:val="15"/>
          <w:color w:val="auto"/>
        </w:rPr>
        <w:t>38.7 %</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5"/>
          <w:szCs w:val="15"/>
          <w:color w:val="auto"/>
        </w:rPr>
        <w:t>37.6 %</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5"/>
          <w:szCs w:val="15"/>
          <w:color w:val="auto"/>
        </w:rPr>
        <w:t>76.3 %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42545</wp:posOffset>
            </wp:positionV>
            <wp:extent cx="1080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80"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11.3 %</w:t>
      </w:r>
    </w:p>
    <w:p>
      <w:pPr>
        <w:spacing w:after="0" w:line="8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1.6 %</w:t>
      </w:r>
    </w:p>
    <w:p>
      <w:pPr>
        <w:spacing w:after="0" w:line="8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12.9 %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34925</wp:posOffset>
            </wp:positionV>
            <wp:extent cx="10807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69" w:lineRule="exact"/>
        <w:rPr>
          <w:sz w:val="20"/>
          <w:szCs w:val="20"/>
          <w:color w:val="auto"/>
        </w:rPr>
      </w:pPr>
    </w:p>
    <w:p>
      <w:pPr>
        <w:ind w:left="80"/>
        <w:spacing w:after="0"/>
        <w:rPr>
          <w:sz w:val="20"/>
          <w:szCs w:val="20"/>
          <w:color w:val="auto"/>
        </w:rPr>
      </w:pPr>
      <w:r>
        <w:rPr>
          <w:rFonts w:ascii="Arial" w:cs="Arial" w:eastAsia="Arial" w:hAnsi="Arial"/>
          <w:sz w:val="15"/>
          <w:szCs w:val="15"/>
          <w:color w:val="auto"/>
        </w:rPr>
        <w:t>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42545</wp:posOffset>
            </wp:positionV>
            <wp:extent cx="10807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80"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auto"/>
        </w:rPr>
        <w:t>100.0 %</w:t>
      </w:r>
    </w:p>
    <w:p>
      <w:pPr>
        <w:spacing w:after="0" w:line="109"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57.1 %</w:t>
      </w:r>
    </w:p>
    <w:p>
      <w:pPr>
        <w:spacing w:after="0" w:line="289" w:lineRule="exact"/>
        <w:rPr>
          <w:sz w:val="20"/>
          <w:szCs w:val="20"/>
          <w:color w:val="auto"/>
        </w:rPr>
      </w:pPr>
    </w:p>
    <w:p>
      <w:pPr>
        <w:ind w:left="80"/>
        <w:spacing w:after="0"/>
        <w:rPr>
          <w:sz w:val="20"/>
          <w:szCs w:val="20"/>
          <w:color w:val="auto"/>
        </w:rPr>
      </w:pPr>
      <w:r>
        <w:rPr>
          <w:rFonts w:ascii="Arial" w:cs="Arial" w:eastAsia="Arial" w:hAnsi="Arial"/>
          <w:sz w:val="15"/>
          <w:szCs w:val="15"/>
          <w:color w:val="auto"/>
        </w:rPr>
        <w:t>42.9 %</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5"/>
          <w:szCs w:val="15"/>
          <w:color w:val="auto"/>
        </w:rPr>
        <w:t>31.6 %</w:t>
      </w:r>
    </w:p>
    <w:p>
      <w:pPr>
        <w:spacing w:after="0" w:line="98" w:lineRule="exact"/>
        <w:rPr>
          <w:sz w:val="20"/>
          <w:szCs w:val="20"/>
          <w:color w:val="auto"/>
        </w:rPr>
      </w:pPr>
    </w:p>
    <w:p>
      <w:pPr>
        <w:jc w:val="right"/>
        <w:ind w:right="380"/>
        <w:spacing w:after="0"/>
        <w:rPr>
          <w:sz w:val="20"/>
          <w:szCs w:val="20"/>
          <w:color w:val="auto"/>
        </w:rPr>
      </w:pPr>
      <w:r>
        <w:rPr>
          <w:rFonts w:ascii="Arial" w:cs="Arial" w:eastAsia="Arial" w:hAnsi="Arial"/>
          <w:sz w:val="16"/>
          <w:szCs w:val="16"/>
          <w:color w:val="auto"/>
        </w:rPr>
        <w:t>(1.5)%</w:t>
      </w:r>
    </w:p>
    <w:p>
      <w:pPr>
        <w:spacing w:after="0" w:line="316" w:lineRule="exact"/>
        <w:rPr>
          <w:sz w:val="20"/>
          <w:szCs w:val="20"/>
          <w:color w:val="auto"/>
        </w:rPr>
      </w:pPr>
    </w:p>
    <w:p>
      <w:pPr>
        <w:ind w:left="80"/>
        <w:spacing w:after="0"/>
        <w:rPr>
          <w:sz w:val="20"/>
          <w:szCs w:val="20"/>
          <w:color w:val="auto"/>
        </w:rPr>
      </w:pPr>
      <w:r>
        <w:rPr>
          <w:rFonts w:ascii="Arial" w:cs="Arial" w:eastAsia="Arial" w:hAnsi="Arial"/>
          <w:sz w:val="15"/>
          <w:szCs w:val="15"/>
          <w:color w:val="auto"/>
        </w:rPr>
        <w:t>12.8 %</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0.9 %</w:t>
      </w:r>
    </w:p>
    <w:p>
      <w:pPr>
        <w:spacing w:after="0" w:line="9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n/m</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42545</wp:posOffset>
            </wp:positionV>
            <wp:extent cx="10807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80"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11.5 %</w:t>
      </w:r>
    </w:p>
    <w:p>
      <w:pPr>
        <w:spacing w:after="0" w:line="8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4.0 %</w:t>
      </w:r>
    </w:p>
    <w:p>
      <w:pPr>
        <w:spacing w:after="0" w:line="8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52070</wp:posOffset>
            </wp:positionV>
            <wp:extent cx="10807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right"/>
        <w:ind w:right="580"/>
        <w:spacing w:after="0"/>
        <w:rPr>
          <w:sz w:val="20"/>
          <w:szCs w:val="20"/>
          <w:color w:val="auto"/>
        </w:rPr>
      </w:pPr>
      <w:r>
        <w:rPr>
          <w:rFonts w:ascii="Arial" w:cs="Arial" w:eastAsia="Arial" w:hAnsi="Arial"/>
          <w:sz w:val="16"/>
          <w:szCs w:val="16"/>
          <w:color w:val="auto"/>
        </w:rPr>
        <w:t>610</w:t>
      </w:r>
    </w:p>
    <w:p>
      <w:pPr>
        <w:spacing w:after="0" w:line="86" w:lineRule="exact"/>
        <w:rPr>
          <w:sz w:val="20"/>
          <w:szCs w:val="20"/>
          <w:color w:val="auto"/>
        </w:rPr>
      </w:pPr>
    </w:p>
    <w:p>
      <w:pPr>
        <w:jc w:val="right"/>
        <w:ind w:right="580"/>
        <w:spacing w:after="0"/>
        <w:rPr>
          <w:sz w:val="20"/>
          <w:szCs w:val="20"/>
          <w:color w:val="auto"/>
        </w:rPr>
      </w:pPr>
      <w:r>
        <w:rPr>
          <w:rFonts w:ascii="Arial" w:cs="Arial" w:eastAsia="Arial" w:hAnsi="Arial"/>
          <w:sz w:val="16"/>
          <w:szCs w:val="16"/>
          <w:color w:val="auto"/>
        </w:rPr>
        <w:t>251</w:t>
      </w:r>
    </w:p>
    <w:p>
      <w:pPr>
        <w:spacing w:after="0" w:line="86" w:lineRule="exact"/>
        <w:rPr>
          <w:sz w:val="20"/>
          <w:szCs w:val="20"/>
          <w:color w:val="auto"/>
        </w:rPr>
      </w:pPr>
    </w:p>
    <w:p>
      <w:pPr>
        <w:jc w:val="right"/>
        <w:ind w:right="580"/>
        <w:spacing w:after="0"/>
        <w:rPr>
          <w:sz w:val="20"/>
          <w:szCs w:val="20"/>
          <w:color w:val="auto"/>
        </w:rPr>
      </w:pPr>
      <w:r>
        <w:rPr>
          <w:rFonts w:ascii="Arial" w:cs="Arial" w:eastAsia="Arial" w:hAnsi="Arial"/>
          <w:sz w:val="16"/>
          <w:szCs w:val="16"/>
          <w:color w:val="auto"/>
        </w:rPr>
        <w:t>149</w:t>
      </w:r>
    </w:p>
    <w:p>
      <w:pPr>
        <w:spacing w:after="0" w:line="86" w:lineRule="exact"/>
        <w:rPr>
          <w:sz w:val="20"/>
          <w:szCs w:val="20"/>
          <w:color w:val="auto"/>
        </w:rPr>
      </w:pPr>
    </w:p>
    <w:p>
      <w:pPr>
        <w:jc w:val="right"/>
        <w:ind w:right="580"/>
        <w:spacing w:after="0"/>
        <w:rPr>
          <w:sz w:val="20"/>
          <w:szCs w:val="20"/>
          <w:color w:val="auto"/>
        </w:rPr>
      </w:pPr>
      <w:r>
        <w:rPr>
          <w:rFonts w:ascii="Arial" w:cs="Arial" w:eastAsia="Arial" w:hAnsi="Arial"/>
          <w:sz w:val="14"/>
          <w:szCs w:val="14"/>
          <w:color w:val="auto"/>
        </w:rPr>
        <w:t>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66675</wp:posOffset>
            </wp:positionV>
            <wp:extent cx="1080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left="80"/>
        <w:spacing w:after="0"/>
        <w:rPr>
          <w:sz w:val="20"/>
          <w:szCs w:val="20"/>
          <w:color w:val="auto"/>
        </w:rPr>
      </w:pPr>
      <w:r>
        <w:rPr>
          <w:rFonts w:ascii="Arial" w:cs="Arial" w:eastAsia="Arial" w:hAnsi="Arial"/>
          <w:sz w:val="15"/>
          <w:szCs w:val="15"/>
          <w:color w:val="auto"/>
        </w:rPr>
        <w:t>39.3 %</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5"/>
          <w:szCs w:val="15"/>
          <w:color w:val="auto"/>
        </w:rPr>
        <w:t>37.7 %</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5"/>
          <w:szCs w:val="15"/>
          <w:color w:val="auto"/>
        </w:rPr>
        <w:t>77.0 %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42545</wp:posOffset>
            </wp:positionV>
            <wp:extent cx="9861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80" w:lineRule="exact"/>
        <w:rPr>
          <w:sz w:val="20"/>
          <w:szCs w:val="20"/>
          <w:color w:val="auto"/>
        </w:rPr>
      </w:pPr>
    </w:p>
    <w:p>
      <w:pPr>
        <w:jc w:val="right"/>
        <w:ind w:right="1480"/>
        <w:spacing w:after="0"/>
        <w:rPr>
          <w:sz w:val="20"/>
          <w:szCs w:val="20"/>
          <w:color w:val="auto"/>
        </w:rPr>
      </w:pPr>
      <w:r>
        <w:rPr>
          <w:rFonts w:ascii="Arial" w:cs="Arial" w:eastAsia="Arial" w:hAnsi="Arial"/>
          <w:sz w:val="16"/>
          <w:szCs w:val="16"/>
          <w:color w:val="auto"/>
        </w:rPr>
        <w:t>10.7 %</w:t>
      </w:r>
    </w:p>
    <w:p>
      <w:pPr>
        <w:spacing w:after="0" w:line="86" w:lineRule="exact"/>
        <w:rPr>
          <w:sz w:val="20"/>
          <w:szCs w:val="20"/>
          <w:color w:val="auto"/>
        </w:rPr>
      </w:pPr>
    </w:p>
    <w:p>
      <w:pPr>
        <w:jc w:val="right"/>
        <w:ind w:right="1480"/>
        <w:spacing w:after="0"/>
        <w:rPr>
          <w:sz w:val="20"/>
          <w:szCs w:val="20"/>
          <w:color w:val="auto"/>
        </w:rPr>
      </w:pPr>
      <w:r>
        <w:rPr>
          <w:rFonts w:ascii="Arial" w:cs="Arial" w:eastAsia="Arial" w:hAnsi="Arial"/>
          <w:sz w:val="16"/>
          <w:szCs w:val="16"/>
          <w:color w:val="auto"/>
        </w:rPr>
        <w:t>2.3 %</w:t>
      </w:r>
    </w:p>
    <w:p>
      <w:pPr>
        <w:spacing w:after="0" w:line="86" w:lineRule="exact"/>
        <w:rPr>
          <w:sz w:val="20"/>
          <w:szCs w:val="20"/>
          <w:color w:val="auto"/>
        </w:rPr>
      </w:pPr>
    </w:p>
    <w:p>
      <w:pPr>
        <w:jc w:val="right"/>
        <w:ind w:right="1480"/>
        <w:spacing w:after="0"/>
        <w:rPr>
          <w:sz w:val="20"/>
          <w:szCs w:val="20"/>
          <w:color w:val="auto"/>
        </w:rPr>
      </w:pPr>
      <w:r>
        <w:rPr>
          <w:rFonts w:ascii="Arial" w:cs="Arial" w:eastAsia="Arial" w:hAnsi="Arial"/>
          <w:sz w:val="16"/>
          <w:szCs w:val="16"/>
          <w:color w:val="auto"/>
        </w:rPr>
        <w:t>13.0 %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34925</wp:posOffset>
            </wp:positionV>
            <wp:extent cx="9861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69" w:lineRule="exact"/>
        <w:rPr>
          <w:sz w:val="20"/>
          <w:szCs w:val="20"/>
          <w:color w:val="auto"/>
        </w:rPr>
      </w:pPr>
    </w:p>
    <w:p>
      <w:pPr>
        <w:ind w:left="80"/>
        <w:spacing w:after="0"/>
        <w:rPr>
          <w:sz w:val="20"/>
          <w:szCs w:val="20"/>
          <w:color w:val="auto"/>
        </w:rPr>
      </w:pPr>
      <w:r>
        <w:rPr>
          <w:rFonts w:ascii="Arial" w:cs="Arial" w:eastAsia="Arial" w:hAnsi="Arial"/>
          <w:sz w:val="15"/>
          <w:szCs w:val="15"/>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42545</wp:posOffset>
            </wp:positionV>
            <wp:extent cx="9861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80" w:lineRule="exact"/>
        <w:rPr>
          <w:sz w:val="20"/>
          <w:szCs w:val="20"/>
          <w:color w:val="auto"/>
        </w:rPr>
      </w:pPr>
    </w:p>
    <w:p>
      <w:pPr>
        <w:jc w:val="right"/>
        <w:ind w:right="1480"/>
        <w:spacing w:after="0"/>
        <w:rPr>
          <w:sz w:val="20"/>
          <w:szCs w:val="20"/>
          <w:color w:val="auto"/>
        </w:rPr>
      </w:pPr>
      <w:r>
        <w:rPr>
          <w:rFonts w:ascii="Arial" w:cs="Arial" w:eastAsia="Arial" w:hAnsi="Arial"/>
          <w:sz w:val="14"/>
          <w:szCs w:val="14"/>
          <w:color w:val="auto"/>
        </w:rPr>
        <w:t>100.0 %</w:t>
      </w:r>
    </w:p>
    <w:p>
      <w:pPr>
        <w:spacing w:after="0" w:line="109" w:lineRule="exact"/>
        <w:rPr>
          <w:sz w:val="20"/>
          <w:szCs w:val="20"/>
          <w:color w:val="auto"/>
        </w:rPr>
      </w:pPr>
    </w:p>
    <w:p>
      <w:pPr>
        <w:jc w:val="right"/>
        <w:ind w:right="1480"/>
        <w:spacing w:after="0"/>
        <w:rPr>
          <w:sz w:val="20"/>
          <w:szCs w:val="20"/>
          <w:color w:val="auto"/>
        </w:rPr>
      </w:pPr>
      <w:r>
        <w:rPr>
          <w:rFonts w:ascii="Arial" w:cs="Arial" w:eastAsia="Arial" w:hAnsi="Arial"/>
          <w:sz w:val="16"/>
          <w:szCs w:val="16"/>
          <w:color w:val="auto"/>
        </w:rPr>
        <w:t>58.5 %</w:t>
      </w:r>
    </w:p>
    <w:p>
      <w:pPr>
        <w:spacing w:after="0" w:line="289" w:lineRule="exact"/>
        <w:rPr>
          <w:sz w:val="20"/>
          <w:szCs w:val="20"/>
          <w:color w:val="auto"/>
        </w:rPr>
      </w:pPr>
    </w:p>
    <w:p>
      <w:pPr>
        <w:ind w:left="80"/>
        <w:spacing w:after="0"/>
        <w:rPr>
          <w:sz w:val="20"/>
          <w:szCs w:val="20"/>
          <w:color w:val="auto"/>
        </w:rPr>
      </w:pPr>
      <w:r>
        <w:rPr>
          <w:rFonts w:ascii="Arial" w:cs="Arial" w:eastAsia="Arial" w:hAnsi="Arial"/>
          <w:sz w:val="15"/>
          <w:szCs w:val="15"/>
          <w:color w:val="auto"/>
        </w:rPr>
        <w:t>41.5 %</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5"/>
          <w:szCs w:val="15"/>
          <w:color w:val="auto"/>
        </w:rPr>
        <w:t>30.8 %</w:t>
      </w:r>
    </w:p>
    <w:p>
      <w:pPr>
        <w:spacing w:after="0" w:line="98" w:lineRule="exact"/>
        <w:rPr>
          <w:sz w:val="20"/>
          <w:szCs w:val="20"/>
          <w:color w:val="auto"/>
        </w:rPr>
      </w:pPr>
    </w:p>
    <w:p>
      <w:pPr>
        <w:jc w:val="right"/>
        <w:ind w:right="1460"/>
        <w:spacing w:after="0"/>
        <w:rPr>
          <w:sz w:val="20"/>
          <w:szCs w:val="20"/>
          <w:color w:val="auto"/>
        </w:rPr>
      </w:pPr>
      <w:r>
        <w:rPr>
          <w:rFonts w:ascii="Arial" w:cs="Arial" w:eastAsia="Arial" w:hAnsi="Arial"/>
          <w:sz w:val="16"/>
          <w:szCs w:val="16"/>
          <w:color w:val="auto"/>
        </w:rPr>
        <w:t>(1.7)%</w:t>
      </w:r>
    </w:p>
    <w:p>
      <w:pPr>
        <w:spacing w:after="0" w:line="316" w:lineRule="exact"/>
        <w:rPr>
          <w:sz w:val="20"/>
          <w:szCs w:val="20"/>
          <w:color w:val="auto"/>
        </w:rPr>
      </w:pPr>
    </w:p>
    <w:p>
      <w:pPr>
        <w:ind w:left="80"/>
        <w:spacing w:after="0"/>
        <w:rPr>
          <w:sz w:val="20"/>
          <w:szCs w:val="20"/>
          <w:color w:val="auto"/>
        </w:rPr>
      </w:pPr>
      <w:r>
        <w:rPr>
          <w:rFonts w:ascii="Arial" w:cs="Arial" w:eastAsia="Arial" w:hAnsi="Arial"/>
          <w:sz w:val="15"/>
          <w:szCs w:val="15"/>
          <w:color w:val="auto"/>
        </w:rPr>
        <w:t>12.3 %</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1.0 %</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n/m</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42545</wp:posOffset>
            </wp:positionV>
            <wp:extent cx="9861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80" w:lineRule="exact"/>
        <w:rPr>
          <w:sz w:val="20"/>
          <w:szCs w:val="20"/>
          <w:color w:val="auto"/>
        </w:rPr>
      </w:pPr>
    </w:p>
    <w:p>
      <w:pPr>
        <w:jc w:val="right"/>
        <w:ind w:right="1480"/>
        <w:spacing w:after="0"/>
        <w:rPr>
          <w:sz w:val="20"/>
          <w:szCs w:val="20"/>
          <w:color w:val="auto"/>
        </w:rPr>
      </w:pPr>
      <w:r>
        <w:rPr>
          <w:rFonts w:ascii="Arial" w:cs="Arial" w:eastAsia="Arial" w:hAnsi="Arial"/>
          <w:sz w:val="16"/>
          <w:szCs w:val="16"/>
          <w:color w:val="auto"/>
        </w:rPr>
        <w:t>11.1 %</w:t>
      </w:r>
    </w:p>
    <w:p>
      <w:pPr>
        <w:spacing w:after="0" w:line="86" w:lineRule="exact"/>
        <w:rPr>
          <w:sz w:val="20"/>
          <w:szCs w:val="20"/>
          <w:color w:val="auto"/>
        </w:rPr>
      </w:pPr>
    </w:p>
    <w:p>
      <w:pPr>
        <w:jc w:val="right"/>
        <w:ind w:right="1480"/>
        <w:spacing w:after="0"/>
        <w:rPr>
          <w:sz w:val="20"/>
          <w:szCs w:val="20"/>
          <w:color w:val="auto"/>
        </w:rPr>
      </w:pPr>
      <w:r>
        <w:rPr>
          <w:rFonts w:ascii="Arial" w:cs="Arial" w:eastAsia="Arial" w:hAnsi="Arial"/>
          <w:sz w:val="16"/>
          <w:szCs w:val="16"/>
          <w:color w:val="auto"/>
        </w:rPr>
        <w:t>3.8 %</w:t>
      </w:r>
    </w:p>
    <w:p>
      <w:pPr>
        <w:spacing w:after="0" w:line="86" w:lineRule="exact"/>
        <w:rPr>
          <w:sz w:val="20"/>
          <w:szCs w:val="20"/>
          <w:color w:val="auto"/>
        </w:rPr>
      </w:pPr>
    </w:p>
    <w:p>
      <w:pPr>
        <w:jc w:val="right"/>
        <w:ind w:right="1480"/>
        <w:spacing w:after="0"/>
        <w:rPr>
          <w:sz w:val="20"/>
          <w:szCs w:val="20"/>
          <w:color w:val="auto"/>
        </w:rPr>
      </w:pPr>
      <w:r>
        <w:rPr>
          <w:rFonts w:ascii="Arial" w:cs="Arial" w:eastAsia="Arial" w:hAnsi="Arial"/>
          <w:sz w:val="16"/>
          <w:szCs w:val="16"/>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52070</wp:posOffset>
            </wp:positionV>
            <wp:extent cx="9861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549</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208</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127</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52070</wp:posOffset>
            </wp:positionV>
            <wp:extent cx="9861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3">
            <w:col w:w="6820" w:space="720"/>
            <w:col w:w="940" w:space="720"/>
            <w:col w:w="2020"/>
          </w:cols>
          <w:pgMar w:left="240" w:top="121" w:right="439" w:bottom="1440" w:gutter="0" w:footer="0" w:header="0"/>
          <w:type w:val="continuous"/>
        </w:sectPr>
      </w:pP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 rounds to less than 0.1%, therefore not material.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Results may not be additive due to rounding.</w:t>
      </w:r>
    </w:p>
    <w:p>
      <w:pPr>
        <w:spacing w:after="0" w:line="200" w:lineRule="exact"/>
        <w:rPr>
          <w:sz w:val="20"/>
          <w:szCs w:val="20"/>
          <w:color w:val="auto"/>
        </w:rPr>
      </w:pPr>
    </w:p>
    <w:p>
      <w:pPr>
        <w:spacing w:after="0" w:line="2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operate "side-by-side" locations wherein adjacent retail stores for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are connected, allowing customers to shop for both brands in a single location. Each "side-by-side" location is counted as one Carter's retail store and one Oshkosh retail store. As of April 2, 2016 and April 4, 2015, the U.S. store count data presented in the preceding table included 107 and 60 "side-by-side" locations for Carter's and OshKosh, respectively.</w:t>
      </w:r>
    </w:p>
    <w:p>
      <w:pPr>
        <w:spacing w:after="0" w:line="1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121" w:right="439" w:bottom="1440" w:gutter="0" w:footer="0" w:header="0"/>
          <w:type w:val="continuous"/>
        </w:sectPr>
      </w:pPr>
    </w:p>
    <w:bookmarkStart w:id="30" w:name="page31"/>
    <w:bookmarkEnd w:id="30"/>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STORE COUNT DATA</w:t>
            </w:r>
          </w:p>
        </w:tc>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80" w:type="dxa"/>
            <w:vAlign w:val="bottom"/>
            <w:gridSpan w:val="2"/>
          </w:tcPr>
          <w:p>
            <w:pPr>
              <w:ind w:left="200"/>
              <w:spacing w:after="0"/>
              <w:rPr>
                <w:sz w:val="20"/>
                <w:szCs w:val="20"/>
                <w:color w:val="auto"/>
              </w:rPr>
            </w:pPr>
            <w:r>
              <w:rPr>
                <w:rFonts w:ascii="Arial" w:cs="Arial" w:eastAsia="Arial" w:hAnsi="Arial"/>
                <w:sz w:val="18"/>
                <w:szCs w:val="18"/>
                <w:b w:val="1"/>
                <w:bCs w:val="1"/>
                <w:color w:val="auto"/>
              </w:rPr>
              <w:t>Carter's Retail</w:t>
            </w:r>
          </w:p>
        </w:tc>
        <w:tc>
          <w:tcPr>
            <w:tcW w:w="1880" w:type="dxa"/>
            <w:vAlign w:val="bottom"/>
            <w:gridSpan w:val="2"/>
          </w:tcPr>
          <w:p>
            <w:pPr>
              <w:ind w:left="220"/>
              <w:spacing w:after="0"/>
              <w:rPr>
                <w:sz w:val="20"/>
                <w:szCs w:val="20"/>
                <w:color w:val="auto"/>
              </w:rPr>
            </w:pPr>
            <w:r>
              <w:rPr>
                <w:rFonts w:ascii="Arial" w:cs="Arial" w:eastAsia="Arial" w:hAnsi="Arial"/>
                <w:sz w:val="18"/>
                <w:szCs w:val="18"/>
                <w:b w:val="1"/>
                <w:bCs w:val="1"/>
                <w:color w:val="auto"/>
              </w:rPr>
              <w:t>OshKosh Retail</w:t>
            </w: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Canada</w:t>
            </w:r>
          </w:p>
        </w:tc>
        <w:tc>
          <w:tcPr>
            <w:tcW w:w="88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r>
      <w:tr>
        <w:trPr>
          <w:trHeight w:val="27"/>
        </w:trPr>
        <w:tc>
          <w:tcPr>
            <w:tcW w:w="1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0"/>
        </w:trPr>
        <w:tc>
          <w:tcPr>
            <w:tcW w:w="18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 of fiscal 2016:</w:t>
            </w:r>
          </w:p>
        </w:tc>
        <w:tc>
          <w:tcPr>
            <w:tcW w:w="1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Openings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78"/>
              </w:rPr>
              <w:t>11</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237"/>
        </w:trPr>
        <w:tc>
          <w:tcPr>
            <w:tcW w:w="1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60" w:type="dxa"/>
            <w:vAlign w:val="bottom"/>
          </w:tcPr>
          <w:p>
            <w:pPr>
              <w:ind w:left="540"/>
              <w:spacing w:after="0"/>
              <w:rPr>
                <w:sz w:val="20"/>
                <w:szCs w:val="20"/>
                <w:color w:val="auto"/>
              </w:rPr>
            </w:pPr>
            <w:r>
              <w:rPr>
                <w:rFonts w:ascii="Arial" w:cs="Arial" w:eastAsia="Arial" w:hAnsi="Arial"/>
                <w:sz w:val="16"/>
                <w:szCs w:val="16"/>
                <w:color w:val="auto"/>
              </w:rPr>
              <w:t>Closings</w:t>
            </w:r>
          </w:p>
        </w:tc>
        <w:tc>
          <w:tcPr>
            <w:tcW w:w="178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w:t>
            </w: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33"/>
        </w:trPr>
        <w:tc>
          <w:tcPr>
            <w:tcW w:w="1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180" w:type="dxa"/>
            <w:vAlign w:val="bottom"/>
          </w:tcPr>
          <w:p>
            <w:pPr>
              <w:spacing w:after="0"/>
              <w:rPr>
                <w:sz w:val="24"/>
                <w:szCs w:val="24"/>
                <w:color w:val="auto"/>
              </w:rPr>
            </w:pPr>
          </w:p>
        </w:tc>
        <w:tc>
          <w:tcPr>
            <w:tcW w:w="34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Approximate projections for fiscal 2016:</w:t>
            </w:r>
          </w:p>
        </w:tc>
        <w:tc>
          <w:tcPr>
            <w:tcW w:w="1860" w:type="dxa"/>
            <w:vAlign w:val="bottom"/>
          </w:tcPr>
          <w:p>
            <w:pPr>
              <w:ind w:left="540"/>
              <w:spacing w:after="0"/>
              <w:rPr>
                <w:sz w:val="20"/>
                <w:szCs w:val="20"/>
                <w:color w:val="auto"/>
              </w:rPr>
            </w:pPr>
            <w:r>
              <w:rPr>
                <w:rFonts w:ascii="Arial" w:cs="Arial" w:eastAsia="Arial" w:hAnsi="Arial"/>
                <w:sz w:val="16"/>
                <w:szCs w:val="16"/>
                <w:color w:val="auto"/>
              </w:rPr>
              <w:t>Openings</w:t>
            </w:r>
          </w:p>
        </w:tc>
        <w:tc>
          <w:tcPr>
            <w:tcW w:w="156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2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2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20</w:t>
            </w:r>
          </w:p>
        </w:tc>
        <w:tc>
          <w:tcPr>
            <w:tcW w:w="3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130</w:t>
            </w:r>
          </w:p>
        </w:tc>
      </w:tr>
      <w:tr>
        <w:trPr>
          <w:trHeight w:val="27"/>
        </w:trPr>
        <w:tc>
          <w:tcPr>
            <w:tcW w:w="1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18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Closings</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r>
      <w:tr>
        <w:trPr>
          <w:trHeight w:val="33"/>
        </w:trPr>
        <w:tc>
          <w:tcPr>
            <w:tcW w:w="180" w:type="dxa"/>
            <w:vAlign w:val="bottom"/>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OshKosh retail store openings included in the above table are in a "side-by-side" format with a Carter's retail store.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 METRICS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comparable store sales metrics include sales for all stores and eCommerce websites that were open during the comparable fiscal period, including remodeled stores and certain relocated stores. A store or eCommerce website becomes comparable following 13 consecutive full months of operations. If a store relocates within the same center with no business interruption or material change in square footage, the sales of such store will continue to be included in the comparable store metrics. If a store relocates to another center, or if there is a material change in square footage, such store is treated as a new store. Stores that are closed during the relevant fiscal period are included in the comparable store sales metrics up to and including the last full fiscal month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QUARTER ENDED APRIL 2, 2016 COMPARED TO FISCAL QUARTER ENDED APRIL 4,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COMPARABLE RETAIL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comparable sales for our two U.S. retail segments, Carter's Retail and Oshkosh Retail, were as follows:</w:t>
      </w:r>
    </w:p>
    <w:p>
      <w:pPr>
        <w:spacing w:after="0" w:line="375" w:lineRule="exact"/>
        <w:rPr>
          <w:sz w:val="20"/>
          <w:szCs w:val="20"/>
          <w:color w:val="auto"/>
        </w:rPr>
      </w:pPr>
    </w:p>
    <w:tbl>
      <w:tblPr>
        <w:tblLayout w:type="fixed"/>
        <w:tblInd w:w="3000" w:type="dxa"/>
        <w:tblCellMar>
          <w:top w:w="0" w:type="dxa"/>
          <w:left w:w="0" w:type="dxa"/>
          <w:bottom w:w="0" w:type="dxa"/>
          <w:right w:w="0" w:type="dxa"/>
        </w:tblCellMar>
      </w:tblPr>
      <w:tr>
        <w:trPr>
          <w:trHeight w:val="264"/>
        </w:trPr>
        <w:tc>
          <w:tcPr>
            <w:tcW w:w="18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Comparable Sales</w:t>
            </w:r>
          </w:p>
        </w:tc>
      </w:tr>
      <w:tr>
        <w:trPr>
          <w:trHeight w:val="216"/>
        </w:trPr>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Change for First Fiscal Quarter from 2015 to</w:t>
            </w:r>
          </w:p>
        </w:tc>
      </w:tr>
      <w:tr>
        <w:trPr>
          <w:trHeight w:val="243"/>
        </w:trPr>
        <w:tc>
          <w:tcPr>
            <w:tcW w:w="1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339"/>
              <w:spacing w:after="0"/>
              <w:rPr>
                <w:sz w:val="20"/>
                <w:szCs w:val="20"/>
                <w:color w:val="auto"/>
              </w:rPr>
            </w:pPr>
            <w:r>
              <w:rPr>
                <w:rFonts w:ascii="Arial" w:cs="Arial" w:eastAsia="Arial" w:hAnsi="Arial"/>
                <w:sz w:val="16"/>
                <w:szCs w:val="16"/>
                <w:b w:val="1"/>
                <w:bCs w:val="1"/>
                <w:color w:val="auto"/>
                <w:w w:val="89"/>
              </w:rPr>
              <w:t>2016</w:t>
            </w:r>
          </w:p>
        </w:tc>
      </w:tr>
      <w:tr>
        <w:trPr>
          <w:trHeight w:val="258"/>
        </w:trPr>
        <w:tc>
          <w:tcPr>
            <w:tcW w:w="1800" w:type="dxa"/>
            <w:vAlign w:val="bottom"/>
          </w:tcPr>
          <w:p>
            <w:pPr>
              <w:ind w:left="40"/>
              <w:spacing w:after="0"/>
              <w:rPr>
                <w:sz w:val="20"/>
                <w:szCs w:val="20"/>
                <w:color w:val="auto"/>
              </w:rPr>
            </w:pPr>
            <w:r>
              <w:rPr>
                <w:rFonts w:ascii="Arial" w:cs="Arial" w:eastAsia="Arial" w:hAnsi="Arial"/>
                <w:sz w:val="14"/>
                <w:szCs w:val="14"/>
                <w:i w:val="1"/>
                <w:iCs w:val="1"/>
                <w:color w:val="auto"/>
              </w:rPr>
              <w:t>Increase (Decrease)</w:t>
            </w:r>
          </w:p>
        </w:tc>
        <w:tc>
          <w:tcPr>
            <w:tcW w:w="280" w:type="dxa"/>
            <w:vAlign w:val="bottom"/>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r>
      <w:tr>
        <w:trPr>
          <w:trHeight w:val="276"/>
        </w:trPr>
        <w:tc>
          <w:tcPr>
            <w:tcW w:w="18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Carter's Retail</w:t>
            </w:r>
          </w:p>
        </w:tc>
        <w:tc>
          <w:tcPr>
            <w:tcW w:w="26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OshKosh Retail</w:t>
            </w:r>
          </w:p>
        </w:tc>
      </w:tr>
      <w:tr>
        <w:trPr>
          <w:trHeight w:val="318"/>
        </w:trPr>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r>
        <w:trPr>
          <w:trHeight w:val="250"/>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Stores</w:t>
            </w:r>
          </w:p>
        </w:tc>
        <w:tc>
          <w:tcPr>
            <w:tcW w:w="1680" w:type="dxa"/>
            <w:vAlign w:val="bottom"/>
            <w:tcBorders>
              <w:bottom w:val="single" w:sz="8" w:color="CCEEFF"/>
            </w:tcBorders>
            <w:gridSpan w:val="2"/>
            <w:shd w:val="clear" w:color="auto" w:fill="CCEEFF"/>
          </w:tcPr>
          <w:p>
            <w:pPr>
              <w:jc w:val="center"/>
              <w:ind w:left="199"/>
              <w:spacing w:after="0"/>
              <w:rPr>
                <w:sz w:val="20"/>
                <w:szCs w:val="20"/>
                <w:color w:val="auto"/>
              </w:rPr>
            </w:pPr>
            <w:r>
              <w:rPr>
                <w:rFonts w:ascii="Arial" w:cs="Arial" w:eastAsia="Arial" w:hAnsi="Arial"/>
                <w:sz w:val="16"/>
                <w:szCs w:val="16"/>
                <w:color w:val="auto"/>
                <w:w w:val="93"/>
              </w:rPr>
              <w:t>(4.0)%</w:t>
            </w:r>
          </w:p>
        </w:tc>
        <w:tc>
          <w:tcPr>
            <w:tcW w:w="1940" w:type="dxa"/>
            <w:vAlign w:val="bottom"/>
            <w:tcBorders>
              <w:bottom w:val="single" w:sz="8" w:color="CCEEFF"/>
            </w:tcBorders>
            <w:gridSpan w:val="2"/>
            <w:shd w:val="clear" w:color="auto" w:fill="CCEEFF"/>
          </w:tcPr>
          <w:p>
            <w:pPr>
              <w:jc w:val="center"/>
              <w:ind w:left="179"/>
              <w:spacing w:after="0"/>
              <w:rPr>
                <w:sz w:val="20"/>
                <w:szCs w:val="20"/>
                <w:color w:val="auto"/>
              </w:rPr>
            </w:pPr>
            <w:r>
              <w:rPr>
                <w:rFonts w:ascii="Arial" w:cs="Arial" w:eastAsia="Arial" w:hAnsi="Arial"/>
                <w:sz w:val="16"/>
                <w:szCs w:val="16"/>
                <w:color w:val="auto"/>
                <w:w w:val="93"/>
              </w:rPr>
              <w:t>(1.9)%</w:t>
            </w:r>
          </w:p>
        </w:tc>
      </w:tr>
      <w:tr>
        <w:trPr>
          <w:trHeight w:val="237"/>
        </w:trPr>
        <w:tc>
          <w:tcPr>
            <w:tcW w:w="1800" w:type="dxa"/>
            <w:vAlign w:val="bottom"/>
          </w:tcPr>
          <w:p>
            <w:pPr>
              <w:ind w:left="40"/>
              <w:spacing w:after="0"/>
              <w:rPr>
                <w:sz w:val="20"/>
                <w:szCs w:val="20"/>
                <w:color w:val="auto"/>
              </w:rPr>
            </w:pPr>
            <w:r>
              <w:rPr>
                <w:rFonts w:ascii="Arial" w:cs="Arial" w:eastAsia="Arial" w:hAnsi="Arial"/>
                <w:sz w:val="16"/>
                <w:szCs w:val="16"/>
                <w:color w:val="auto"/>
              </w:rPr>
              <w:t>eCommerce</w:t>
            </w:r>
          </w:p>
        </w:tc>
        <w:tc>
          <w:tcPr>
            <w:tcW w:w="1680" w:type="dxa"/>
            <w:vAlign w:val="bottom"/>
            <w:gridSpan w:val="2"/>
          </w:tcPr>
          <w:p>
            <w:pPr>
              <w:jc w:val="center"/>
              <w:ind w:left="179"/>
              <w:spacing w:after="0"/>
              <w:rPr>
                <w:sz w:val="20"/>
                <w:szCs w:val="20"/>
                <w:color w:val="auto"/>
              </w:rPr>
            </w:pPr>
            <w:r>
              <w:rPr>
                <w:rFonts w:ascii="Arial" w:cs="Arial" w:eastAsia="Arial" w:hAnsi="Arial"/>
                <w:sz w:val="16"/>
                <w:szCs w:val="16"/>
                <w:color w:val="auto"/>
                <w:w w:val="91"/>
              </w:rPr>
              <w:t>+15.2%</w:t>
            </w:r>
          </w:p>
        </w:tc>
        <w:tc>
          <w:tcPr>
            <w:tcW w:w="1940" w:type="dxa"/>
            <w:vAlign w:val="bottom"/>
            <w:gridSpan w:val="2"/>
          </w:tcPr>
          <w:p>
            <w:pPr>
              <w:jc w:val="center"/>
              <w:ind w:left="179"/>
              <w:spacing w:after="0"/>
              <w:rPr>
                <w:sz w:val="20"/>
                <w:szCs w:val="20"/>
                <w:color w:val="auto"/>
              </w:rPr>
            </w:pPr>
            <w:r>
              <w:rPr>
                <w:rFonts w:ascii="Arial" w:cs="Arial" w:eastAsia="Arial" w:hAnsi="Arial"/>
                <w:sz w:val="16"/>
                <w:szCs w:val="16"/>
                <w:color w:val="auto"/>
                <w:w w:val="94"/>
              </w:rPr>
              <w:t>+19.8%</w:t>
            </w:r>
          </w:p>
        </w:tc>
      </w:tr>
      <w:tr>
        <w:trPr>
          <w:trHeight w:val="33"/>
        </w:trPr>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Retail</w:t>
            </w:r>
          </w:p>
        </w:tc>
        <w:tc>
          <w:tcPr>
            <w:tcW w:w="1680" w:type="dxa"/>
            <w:vAlign w:val="bottom"/>
            <w:gridSpan w:val="2"/>
            <w:shd w:val="clear" w:color="auto" w:fill="CCEEFF"/>
          </w:tcPr>
          <w:p>
            <w:pPr>
              <w:jc w:val="center"/>
              <w:ind w:left="199"/>
              <w:spacing w:after="0"/>
              <w:rPr>
                <w:sz w:val="20"/>
                <w:szCs w:val="20"/>
                <w:color w:val="auto"/>
              </w:rPr>
            </w:pPr>
            <w:r>
              <w:rPr>
                <w:rFonts w:ascii="Arial" w:cs="Arial" w:eastAsia="Arial" w:hAnsi="Arial"/>
                <w:sz w:val="16"/>
                <w:szCs w:val="16"/>
                <w:color w:val="auto"/>
                <w:w w:val="93"/>
              </w:rPr>
              <w:t>(0.1)%</w:t>
            </w:r>
          </w:p>
        </w:tc>
        <w:tc>
          <w:tcPr>
            <w:tcW w:w="1940" w:type="dxa"/>
            <w:vAlign w:val="bottom"/>
            <w:gridSpan w:val="2"/>
            <w:shd w:val="clear" w:color="auto" w:fill="CCEEFF"/>
          </w:tcPr>
          <w:p>
            <w:pPr>
              <w:jc w:val="center"/>
              <w:ind w:left="199"/>
              <w:spacing w:after="0"/>
              <w:rPr>
                <w:sz w:val="20"/>
                <w:szCs w:val="20"/>
                <w:color w:val="auto"/>
              </w:rPr>
            </w:pPr>
            <w:r>
              <w:rPr>
                <w:rFonts w:ascii="Arial" w:cs="Arial" w:eastAsia="Arial" w:hAnsi="Arial"/>
                <w:sz w:val="16"/>
                <w:szCs w:val="16"/>
                <w:color w:val="auto"/>
                <w:w w:val="91"/>
              </w:rPr>
              <w:t>+2.7%</w:t>
            </w:r>
          </w:p>
        </w:tc>
      </w:tr>
      <w:tr>
        <w:trPr>
          <w:trHeight w:val="33"/>
        </w:trPr>
        <w:tc>
          <w:tcPr>
            <w:tcW w:w="1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decrease in Carter's Retail comparable store sales during the first quarter of fiscal 2016 as compared to the first quarter of fiscal 2015 was primarily due to a decrease in the number of transactions, partially offset by higher average price per unit. The decrease in OshKosh Retail comparable store sales during the first quarter of fiscal 2016 as compared to the first quarter of fiscal 2015 was primarily due to a decrease in the number of transactions and lower average price per unit.</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During the first quarter of fiscal 2016, we believe that total retail comparable sales were negatively impacted by lower demand from international tourists shopping in our U.S. stores and eCommerce websites, likely resulting from the strength of the U.S. dollar relative to other global currencies.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increases in eCommerce comparable store sales during the first quarter of fiscal 2016 as compared to the first quarter of fiscal 2015 were primarily due to increases in the number of transactions.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NET SALES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31" w:name="page32"/>
    <w:bookmarkEnd w:id="31"/>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first quarter of fiscal 2016, consolidated net sales increased $39.3 million, or 5.7%, to $724.1 million from $684.8 million in the first quarter of fiscal 2015. The increase reflected sales growth in all of our segments except for the OshKosh Wholesale segment, as presented below. Changes in foreign currency exchange rates in the first quarter of fiscal 2016, as compared to the first quarter of fiscal 2015, negatively impacted our consolidated net sales by approximately $4.5 million, or 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Net sales by segment, and each segment's percentage of consolidated net sales, were as follows:</w:t>
      </w:r>
    </w:p>
    <w:p>
      <w:pPr>
        <w:spacing w:after="0" w:line="388" w:lineRule="exact"/>
        <w:rPr>
          <w:sz w:val="20"/>
          <w:szCs w:val="20"/>
          <w:color w:val="auto"/>
        </w:rPr>
      </w:pPr>
    </w:p>
    <w:tbl>
      <w:tblPr>
        <w:tblLayout w:type="fixed"/>
        <w:tblInd w:w="24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ind w:left="320"/>
              <w:spacing w:after="0"/>
              <w:rPr>
                <w:sz w:val="20"/>
                <w:szCs w:val="20"/>
                <w:color w:val="auto"/>
              </w:rPr>
            </w:pPr>
            <w:r>
              <w:rPr>
                <w:rFonts w:ascii="Arial" w:cs="Arial" w:eastAsia="Arial" w:hAnsi="Arial"/>
                <w:sz w:val="16"/>
                <w:szCs w:val="16"/>
                <w:b w:val="1"/>
                <w:bCs w:val="1"/>
                <w:color w:val="auto"/>
              </w:rPr>
              <w:t>Fiscal quarter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2000" w:type="dxa"/>
            <w:vAlign w:val="bottom"/>
            <w:gridSpan w:val="3"/>
          </w:tcPr>
          <w:p>
            <w:pPr>
              <w:ind w:left="20"/>
              <w:spacing w:after="0"/>
              <w:rPr>
                <w:sz w:val="20"/>
                <w:szCs w:val="20"/>
                <w:color w:val="auto"/>
              </w:rPr>
            </w:pPr>
            <w:r>
              <w:rPr>
                <w:rFonts w:ascii="Arial" w:cs="Arial" w:eastAsia="Arial" w:hAnsi="Arial"/>
                <w:sz w:val="16"/>
                <w:szCs w:val="16"/>
                <w:color w:val="auto"/>
              </w:rPr>
              <w:t>(dollars in thousands)</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April 2, 2016</w:t>
            </w:r>
          </w:p>
        </w:tc>
        <w:tc>
          <w:tcPr>
            <w:tcW w:w="1060" w:type="dxa"/>
            <w:vAlign w:val="bottom"/>
            <w:gridSpan w:val="2"/>
          </w:tcPr>
          <w:p>
            <w:pPr>
              <w:ind w:left="30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April 4, 2015</w:t>
            </w: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0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Net sales:</w:t>
            </w: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0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Carter’s Wholesale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280,140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269,315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37"/>
        </w:trPr>
        <w:tc>
          <w:tcPr>
            <w:tcW w:w="2000" w:type="dxa"/>
            <w:vAlign w:val="bottom"/>
            <w:gridSpan w:val="3"/>
          </w:tcPr>
          <w:p>
            <w:pPr>
              <w:ind w:left="20"/>
              <w:spacing w:after="0"/>
              <w:rPr>
                <w:sz w:val="20"/>
                <w:szCs w:val="20"/>
                <w:color w:val="auto"/>
              </w:rPr>
            </w:pPr>
            <w:r>
              <w:rPr>
                <w:rFonts w:ascii="Arial" w:cs="Arial" w:eastAsia="Arial" w:hAnsi="Arial"/>
                <w:sz w:val="16"/>
                <w:szCs w:val="16"/>
                <w:color w:val="auto"/>
              </w:rPr>
              <w:t>Carter’s Retail</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272,323</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257,727</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color w:val="auto"/>
                <w:w w:val="92"/>
              </w:rPr>
              <w:t>Total Carter’s (U.S.)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552,463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527,042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OshKosh Retail</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81,766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73,042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7"/>
        </w:trPr>
        <w:tc>
          <w:tcPr>
            <w:tcW w:w="2000" w:type="dxa"/>
            <w:vAlign w:val="bottom"/>
            <w:gridSpan w:val="3"/>
          </w:tcPr>
          <w:p>
            <w:pPr>
              <w:ind w:left="20"/>
              <w:spacing w:after="0"/>
              <w:rPr>
                <w:sz w:val="20"/>
                <w:szCs w:val="20"/>
                <w:color w:val="auto"/>
              </w:rPr>
            </w:pPr>
            <w:r>
              <w:rPr>
                <w:rFonts w:ascii="Arial" w:cs="Arial" w:eastAsia="Arial" w:hAnsi="Arial"/>
                <w:sz w:val="16"/>
                <w:szCs w:val="16"/>
                <w:color w:val="auto"/>
              </w:rPr>
              <w:t>OshKosh Wholesale</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11,914</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16,051</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3"/>
              </w:rPr>
              <w:t>Total OshKosh (U.S.)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93,680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89,093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7"/>
        </w:trPr>
        <w:tc>
          <w:tcPr>
            <w:tcW w:w="2000" w:type="dxa"/>
            <w:vAlign w:val="bottom"/>
            <w:gridSpan w:val="3"/>
          </w:tcPr>
          <w:p>
            <w:pPr>
              <w:ind w:left="20"/>
              <w:spacing w:after="0"/>
              <w:rPr>
                <w:sz w:val="20"/>
                <w:szCs w:val="20"/>
                <w:color w:val="auto"/>
              </w:rPr>
            </w:pPr>
            <w:r>
              <w:rPr>
                <w:rFonts w:ascii="Arial" w:cs="Arial" w:eastAsia="Arial" w:hAnsi="Arial"/>
                <w:sz w:val="16"/>
                <w:szCs w:val="16"/>
                <w:color w:val="auto"/>
              </w:rPr>
              <w:t>International</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77,942</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68,629</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724,085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684,764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CARTER'S WHOLESALE SALES (U.S.)</w:t>
      </w:r>
    </w:p>
    <w:p>
      <w:pPr>
        <w:spacing w:after="0" w:line="225"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Carter's Wholesale segment net sales increased $10.8 million, or 4.0%, in the first quarter of fiscal 2016 to $280.1 million from $269.3 million in the first quarter of fiscal 2015. This 4.0% increase in net sales was primarily due to a 2.7% increase in the number of units shipped reflecting increased product demand, in part due to timing of orders, and a new playwear initiative. Additionally, the average price per unit increased by 1.3%, reflecting product mix.</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CARTER'S RETAIL SALES (U.S.)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Carter's Retail segment net sales increased $14.6 million, or 5.7%, in the first quarter of fiscal 2016 to $272.3 million from $257.7 million in the first quarter of fiscal 2015. This increase in net sales primarily reflected a/an:</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of $15.8 million from new stores;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of $7.6 million from eCommerce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 of $8.2 million in comparable store sales;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 of $0.8 million due to the impact of store closings.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OSHKOSH RETAIL SALES (U.S.)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OshKosh Retail segment net sales increased $8.7 million, or 11.9%, in the first quarter of fiscal 2016 to $81.8 million from $73.0 million in the first quarter of fiscal 2015. This increase in net sales primarily reflected a/an:</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of $8.4 million from new stores;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of $2.8 million from eCommerce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 of $1.5 million due to the impact of store closings;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 of $1.0 million in comparable store sales.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OSHKOSH WHOLESALE SALES (U.S.)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OshKosh Wholesale segment net sales decreased $4.1 million, or 25.8%, in the first quarter of fiscal 2016 to $11.9 million from $16.1 million in the first quarter of fiscal 2015. This decrease was primarily due to a 26.8% decrease in the number of units shipped mainly due to lower seasonal bookings, partially offset by a 1.0% increase in the average price per unit.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International segment net sales increased $9.3 million, or 13.6%, in the first quarter of fiscal 2016 to $77.9 million from $68.6 million in the first quarter of fiscal 2015. Changes in foreign currency exchange rates, primarily between the U.S. dollar and the Canadian dollar, negatively impacted International segment net sales by approximately $4.5 million, or 6.6%, in the first quarter of fiscal 2016 compared to the first quarter of fiscal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$9.3 million increase in net sales primarily reflected a/an:</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of $5.6 million from our Canadian retail stores;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of $3.3 million from eCommerce, primarily driven by the 2015 launch of our eCommerce website in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of $2.9 million from international wholesale locations, excluding Canada;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Decrease of $2.2 million in our Canada wholesale business primarily due to the Target Canada bankruptcy that occurred in early 2015.</w:t>
      </w:r>
    </w:p>
    <w:p>
      <w:pPr>
        <w:spacing w:after="0" w:line="22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Compared to the first quarter of fiscal 2015, our Canadian total retail comparable sales increased 14.9% in the first quarter of fiscal 2016, primarily due to retail stores comparable sales growth of 12.8% and eCommerce comparable sales growth of 46.6%.</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 AND GROSS PROFIT</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consolidated gross margin increased from 41.5% in the first quarter of fiscal 2015 to 42.9% in the first quarter of fiscal 2016, primarily due to lower product costs and increased margin in our International segment.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consolidated gross profit increased $26.9 million, or 9.5%, to $310.9 million in the first quarter of fiscal 2016 from $284.1 million in the first quarter of fiscal 2015, primarily due to the increase in sales as previously discussed.</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include distribution costs in selling, general, and administrative ("SG&amp;A") expenses. Accordingly, our gross margin and gross profit may not be comparable to other entities that include such distribution costs in their cost of goods sold.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("SG&amp;A") EXPENSES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Consolidated SG&amp;A expenses in the first quarter of fiscal 2016 increased $17.8 million, or 8.4%, to $229.0 million from $211.2 million in the first quarter of fiscal 2015. As a percentage of net sales, SG&amp;A expenses increased from 30.8% in the first quarter of fiscal 2015 to 31.6% in the first quarter of fiscal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SG&amp;A expenses, as a percentage of net sales, in the first quarter of fiscal 2016 primarily reflected a:</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$15.2 million increase in expenses related to retail store operations, primarily due to new store openings;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$3.0 million increase in expenses related to our domestic and international eCommerce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$2.2 million increase in expenses related to marketing and brand management;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which were partially offset by a:</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$1.8 million decrease in amortization expense, primarily for the H.W. Carter &amp; Sons trademarks;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$1.6 million decrease in insurance and other employee related benefits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 million decrease in legal, general management, and wholesale territory management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$0.8 million decrease in provisions for accounts receivable;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$0.4 million decrease in performance-based compensation expenses.</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121" w:right="319" w:bottom="1440" w:gutter="0" w:footer="0" w:header="0"/>
        </w:sectPr>
      </w:pPr>
    </w:p>
    <w:bookmarkStart w:id="33" w:name="page34"/>
    <w:bookmarkEnd w:id="33"/>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INCOME</w:t>
      </w:r>
    </w:p>
    <w:p>
      <w:pPr>
        <w:spacing w:after="0" w:line="22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 xml:space="preserve">We license the use of our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w:t>
      </w:r>
      <w:r>
        <w:rPr>
          <w:rFonts w:ascii="Arial" w:cs="Arial" w:eastAsia="Arial" w:hAnsi="Arial"/>
          <w:sz w:val="17"/>
          <w:szCs w:val="17"/>
          <w:i w:val="1"/>
          <w:iCs w:val="1"/>
          <w:color w:val="auto"/>
        </w:rPr>
        <w:t>Just One You</w:t>
      </w:r>
      <w:r>
        <w:rPr>
          <w:rFonts w:ascii="Arial" w:cs="Arial" w:eastAsia="Arial" w:hAnsi="Arial"/>
          <w:sz w:val="17"/>
          <w:szCs w:val="17"/>
          <w:color w:val="auto"/>
        </w:rPr>
        <w:t xml:space="preserve">, </w:t>
      </w:r>
      <w:r>
        <w:rPr>
          <w:rFonts w:ascii="Arial" w:cs="Arial" w:eastAsia="Arial" w:hAnsi="Arial"/>
          <w:sz w:val="17"/>
          <w:szCs w:val="17"/>
          <w:i w:val="1"/>
          <w:iCs w:val="1"/>
          <w:color w:val="auto"/>
        </w:rPr>
        <w:t>Child of Mine</w:t>
      </w:r>
      <w:r>
        <w:rPr>
          <w:rFonts w:ascii="Arial" w:cs="Arial" w:eastAsia="Arial" w:hAnsi="Arial"/>
          <w:sz w:val="17"/>
          <w:szCs w:val="17"/>
          <w:color w:val="auto"/>
        </w:rPr>
        <w:t xml:space="preserve">, </w:t>
      </w:r>
      <w:r>
        <w:rPr>
          <w:rFonts w:ascii="Arial" w:cs="Arial" w:eastAsia="Arial" w:hAnsi="Arial"/>
          <w:sz w:val="17"/>
          <w:szCs w:val="17"/>
          <w:i w:val="1"/>
          <w:iCs w:val="1"/>
          <w:color w:val="auto"/>
        </w:rPr>
        <w:t>OshKosh B'gosh</w:t>
      </w:r>
      <w:r>
        <w:rPr>
          <w:rFonts w:ascii="Arial" w:cs="Arial" w:eastAsia="Arial" w:hAnsi="Arial"/>
          <w:sz w:val="17"/>
          <w:szCs w:val="17"/>
          <w:color w:val="auto"/>
        </w:rPr>
        <w:t xml:space="preserv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w:t>
      </w:r>
      <w:r>
        <w:rPr>
          <w:rFonts w:ascii="Arial" w:cs="Arial" w:eastAsia="Arial" w:hAnsi="Arial"/>
          <w:sz w:val="17"/>
          <w:szCs w:val="17"/>
          <w:i w:val="1"/>
          <w:iCs w:val="1"/>
          <w:color w:val="auto"/>
        </w:rPr>
        <w:t>Genuine Kids from 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Precious Firsts</w:t>
      </w:r>
      <w:r>
        <w:rPr>
          <w:rFonts w:ascii="Arial" w:cs="Arial" w:eastAsia="Arial" w:hAnsi="Arial"/>
          <w:sz w:val="17"/>
          <w:szCs w:val="17"/>
          <w:color w:val="auto"/>
        </w:rPr>
        <w:t xml:space="preserve"> brand names. Royalty income from these brands for the first quarter of fiscal 2016 was approximately $11.1 million. This reflects a decrease of $0.6 million, or 4.8%, from $11.6 million in the first quarter of fiscal 2015, primarily due to the absence of favorable settlements in the first quarter of fiscal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Consolidated operating income increased $8.5 million, or 10.1%, to $93.0 million in the first quarter of fiscal 2016 from $84.5 million in the first quarter of fiscal 2015. Consolidated operating margin increased from 12.3% in the first quarter of fiscal 2015 to 12.8% in the first quarter of fiscal 2016. The table below summarizes the changes in each of our segments' operating results and unallocated corporate expenses between the fiscal periods indicated: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Carter's</w:t>
            </w:r>
          </w:p>
        </w:tc>
        <w:tc>
          <w:tcPr>
            <w:tcW w:w="16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Carter's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OshKosh</w:t>
            </w:r>
          </w:p>
        </w:tc>
        <w:tc>
          <w:tcPr>
            <w:tcW w:w="1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OshKosh</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Corporate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Wholesale</w:t>
            </w:r>
          </w:p>
        </w:tc>
        <w:tc>
          <w:tcPr>
            <w:tcW w:w="16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Retail</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Wholesale</w:t>
            </w: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Retail</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International</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Expenses</w:t>
            </w:r>
          </w:p>
        </w:tc>
        <w:tc>
          <w:tcPr>
            <w:tcW w:w="220" w:type="dxa"/>
            <w:vAlign w:val="bottom"/>
          </w:tcPr>
          <w:p>
            <w:pPr>
              <w:spacing w:after="0"/>
              <w:rPr>
                <w:sz w:val="20"/>
                <w:szCs w:val="20"/>
                <w:color w:val="auto"/>
              </w:rPr>
            </w:pPr>
          </w:p>
        </w:tc>
        <w:tc>
          <w:tcPr>
            <w:tcW w:w="800" w:type="dxa"/>
            <w:vAlign w:val="bottom"/>
          </w:tcPr>
          <w:p>
            <w:pPr>
              <w:jc w:val="right"/>
              <w:ind w:right="217"/>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 for first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quarter of fiscal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57,931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44,493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2,979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6,511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(26,449)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84,505</w:t>
            </w:r>
          </w:p>
        </w:tc>
        <w:tc>
          <w:tcPr>
            <w:tcW w:w="0" w:type="dxa"/>
            <w:vAlign w:val="bottom"/>
          </w:tcPr>
          <w:p>
            <w:pPr>
              <w:spacing w:after="0"/>
              <w:rPr>
                <w:sz w:val="1"/>
                <w:szCs w:val="1"/>
                <w:color w:val="auto"/>
              </w:rPr>
            </w:pPr>
          </w:p>
        </w:tc>
      </w:tr>
      <w:tr>
        <w:trPr>
          <w:trHeight w:val="157"/>
        </w:trPr>
        <w:tc>
          <w:tcPr>
            <w:tcW w:w="2540" w:type="dxa"/>
            <w:vAlign w:val="bottom"/>
          </w:tcPr>
          <w:p>
            <w:pPr>
              <w:ind w:left="140"/>
              <w:spacing w:after="0" w:line="157" w:lineRule="exact"/>
              <w:rPr>
                <w:sz w:val="20"/>
                <w:szCs w:val="20"/>
                <w:color w:val="auto"/>
              </w:rPr>
            </w:pPr>
            <w:r>
              <w:rPr>
                <w:rFonts w:ascii="Arial" w:cs="Arial" w:eastAsia="Arial" w:hAnsi="Arial"/>
                <w:sz w:val="14"/>
                <w:szCs w:val="14"/>
                <w:color w:val="auto"/>
              </w:rPr>
              <w:t>Favorable (unfavorable) change in the</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40" w:type="dxa"/>
            <w:vAlign w:val="bottom"/>
          </w:tcPr>
          <w:p>
            <w:pPr>
              <w:ind w:left="180"/>
              <w:spacing w:after="0"/>
              <w:rPr>
                <w:sz w:val="20"/>
                <w:szCs w:val="20"/>
                <w:color w:val="auto"/>
              </w:rPr>
            </w:pPr>
            <w:r>
              <w:rPr>
                <w:rFonts w:ascii="Arial" w:cs="Arial" w:eastAsia="Arial" w:hAnsi="Arial"/>
                <w:sz w:val="14"/>
                <w:szCs w:val="14"/>
                <w:color w:val="auto"/>
              </w:rPr>
              <w:t>first quarter of fiscal 2016</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7,516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10,383</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4,138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6,470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26,877</w:t>
            </w:r>
          </w:p>
        </w:tc>
        <w:tc>
          <w:tcPr>
            <w:tcW w:w="0" w:type="dxa"/>
            <w:vAlign w:val="bottom"/>
          </w:tcPr>
          <w:p>
            <w:pPr>
              <w:spacing w:after="0"/>
              <w:rPr>
                <w:sz w:val="1"/>
                <w:szCs w:val="1"/>
                <w:color w:val="auto"/>
              </w:rPr>
            </w:pPr>
          </w:p>
        </w:tc>
      </w:tr>
      <w:tr>
        <w:trPr>
          <w:trHeight w:val="237"/>
        </w:trPr>
        <w:tc>
          <w:tcPr>
            <w:tcW w:w="2540" w:type="dxa"/>
            <w:vAlign w:val="bottom"/>
          </w:tcPr>
          <w:p>
            <w:pPr>
              <w:jc w:val="right"/>
              <w:ind w:right="81"/>
              <w:spacing w:after="0"/>
              <w:rPr>
                <w:sz w:val="20"/>
                <w:szCs w:val="20"/>
                <w:color w:val="auto"/>
              </w:rPr>
            </w:pPr>
            <w:r>
              <w:rPr>
                <w:rFonts w:ascii="Arial" w:cs="Arial" w:eastAsia="Arial" w:hAnsi="Arial"/>
                <w:sz w:val="16"/>
                <w:szCs w:val="16"/>
                <w:color w:val="auto"/>
              </w:rPr>
              <w:t>Royalty income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Arial" w:cs="Arial" w:eastAsia="Arial" w:hAnsi="Arial"/>
                <w:sz w:val="16"/>
                <w:szCs w:val="16"/>
                <w:color w:val="auto"/>
              </w:rPr>
              <w:t>229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SG&amp;A expenses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1,405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(13,851)</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3,539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(17,813)</w:t>
            </w:r>
          </w:p>
        </w:tc>
        <w:tc>
          <w:tcPr>
            <w:tcW w:w="0" w:type="dxa"/>
            <w:vAlign w:val="bottom"/>
          </w:tcPr>
          <w:p>
            <w:pPr>
              <w:spacing w:after="0"/>
              <w:rPr>
                <w:sz w:val="1"/>
                <w:szCs w:val="1"/>
                <w:color w:val="auto"/>
              </w:rPr>
            </w:pPr>
          </w:p>
        </w:tc>
      </w:tr>
      <w:tr>
        <w:trPr>
          <w:trHeight w:val="196"/>
        </w:trPr>
        <w:tc>
          <w:tcPr>
            <w:tcW w:w="254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 for first</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6"/>
                <w:szCs w:val="16"/>
                <w:b w:val="1"/>
                <w:bCs w:val="1"/>
                <w:color w:val="auto"/>
              </w:rPr>
              <w:t>66,205</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6"/>
                <w:szCs w:val="16"/>
                <w:b w:val="1"/>
                <w:bCs w:val="1"/>
                <w:color w:val="auto"/>
              </w:rPr>
              <w:t>41,254</w:t>
            </w:r>
          </w:p>
        </w:tc>
        <w:tc>
          <w:tcPr>
            <w:tcW w:w="14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6"/>
                <w:szCs w:val="16"/>
                <w:b w:val="1"/>
                <w:bCs w:val="1"/>
                <w:color w:val="auto"/>
              </w:rPr>
              <w:t>2,206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(1,785)</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6"/>
                <w:szCs w:val="16"/>
                <w:b w:val="1"/>
                <w:bCs w:val="1"/>
                <w:color w:val="auto"/>
              </w:rPr>
              <w:t>8,441</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(23,313)</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6"/>
                <w:szCs w:val="16"/>
                <w:b w:val="1"/>
                <w:bCs w:val="1"/>
                <w:color w:val="auto"/>
              </w:rPr>
              <w:t>93,008</w:t>
            </w:r>
          </w:p>
        </w:tc>
        <w:tc>
          <w:tcPr>
            <w:tcW w:w="0" w:type="dxa"/>
            <w:vAlign w:val="bottom"/>
          </w:tcPr>
          <w:p>
            <w:pPr>
              <w:spacing w:after="0"/>
              <w:rPr>
                <w:sz w:val="1"/>
                <w:szCs w:val="1"/>
                <w:color w:val="auto"/>
              </w:rPr>
            </w:pPr>
          </w:p>
        </w:tc>
      </w:tr>
      <w:tr>
        <w:trPr>
          <w:trHeight w:val="263"/>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quarter of fiscal 2016</w:t>
            </w:r>
          </w:p>
        </w:tc>
        <w:tc>
          <w:tcPr>
            <w:tcW w:w="14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following table summarizes the operating margin for each of our five operating segments in the first quarter of fiscal 2016 and fiscal 2015, as well as the primary drivers of the change in operating margin between those two periods. Each driver is presented in terms of the difference in that driver's margin (based on net sales) between the first quarter of fiscal 2016 and the first quarter of fiscal 2015, in each case expressed in basis points ("bps").</w:t>
      </w:r>
    </w:p>
    <w:p>
      <w:pPr>
        <w:spacing w:after="0" w:line="32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Carter's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OshKosh</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Wholesale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Carter's Retail</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Wholesale</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OshKosh Retail</w:t>
            </w:r>
          </w:p>
        </w:tc>
        <w:tc>
          <w:tcPr>
            <w:tcW w:w="1460" w:type="dxa"/>
            <w:vAlign w:val="bottom"/>
          </w:tcPr>
          <w:p>
            <w:pPr>
              <w:jc w:val="right"/>
              <w:ind w:right="138"/>
              <w:spacing w:after="0"/>
              <w:rPr>
                <w:sz w:val="20"/>
                <w:szCs w:val="20"/>
                <w:color w:val="auto"/>
              </w:rPr>
            </w:pPr>
            <w:r>
              <w:rPr>
                <w:rFonts w:ascii="Arial" w:cs="Arial" w:eastAsia="Arial" w:hAnsi="Arial"/>
                <w:sz w:val="18"/>
                <w:szCs w:val="18"/>
                <w:b w:val="1"/>
                <w:bCs w:val="1"/>
                <w:color w:val="auto"/>
              </w:rPr>
              <w:t>International</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margin for the first</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quarter of fiscal 2015</w:t>
            </w:r>
          </w:p>
        </w:tc>
        <w:tc>
          <w:tcPr>
            <w:tcW w:w="1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21.5%</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18.6%</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57"/>
        </w:trPr>
        <w:tc>
          <w:tcPr>
            <w:tcW w:w="2620" w:type="dxa"/>
            <w:vAlign w:val="bottom"/>
          </w:tcPr>
          <w:p>
            <w:pPr>
              <w:ind w:left="140"/>
              <w:spacing w:after="0" w:line="157" w:lineRule="exact"/>
              <w:rPr>
                <w:sz w:val="20"/>
                <w:szCs w:val="20"/>
                <w:color w:val="auto"/>
              </w:rPr>
            </w:pPr>
            <w:r>
              <w:rPr>
                <w:rFonts w:ascii="Arial" w:cs="Arial" w:eastAsia="Arial" w:hAnsi="Arial"/>
                <w:sz w:val="14"/>
                <w:szCs w:val="14"/>
                <w:color w:val="auto"/>
              </w:rPr>
              <w:t>Favorable (unfavorable) bps change in</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20" w:type="dxa"/>
            <w:vAlign w:val="bottom"/>
          </w:tcPr>
          <w:p>
            <w:pPr>
              <w:ind w:left="160"/>
              <w:spacing w:after="0"/>
              <w:rPr>
                <w:sz w:val="20"/>
                <w:szCs w:val="20"/>
                <w:color w:val="auto"/>
              </w:rPr>
            </w:pPr>
            <w:r>
              <w:rPr>
                <w:rFonts w:ascii="Arial" w:cs="Arial" w:eastAsia="Arial" w:hAnsi="Arial"/>
                <w:sz w:val="14"/>
                <w:szCs w:val="14"/>
                <w:color w:val="auto"/>
              </w:rPr>
              <w:t>the first quarter of fiscal 2016</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Gross profit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160 bps</w:t>
            </w: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90 bps</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(230) bps</w:t>
            </w:r>
          </w:p>
        </w:tc>
        <w:tc>
          <w:tcPr>
            <w:tcW w:w="14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330 bps</w:t>
            </w:r>
          </w:p>
        </w:tc>
        <w:tc>
          <w:tcPr>
            <w:tcW w:w="0" w:type="dxa"/>
            <w:vAlign w:val="bottom"/>
          </w:tcPr>
          <w:p>
            <w:pPr>
              <w:spacing w:after="0"/>
              <w:rPr>
                <w:sz w:val="1"/>
                <w:szCs w:val="1"/>
                <w:color w:val="auto"/>
              </w:rPr>
            </w:pPr>
          </w:p>
        </w:tc>
      </w:tr>
      <w:tr>
        <w:trPr>
          <w:trHeight w:val="237"/>
        </w:trPr>
        <w:tc>
          <w:tcPr>
            <w:tcW w:w="2620" w:type="dxa"/>
            <w:vAlign w:val="bottom"/>
          </w:tcPr>
          <w:p>
            <w:pPr>
              <w:jc w:val="right"/>
              <w:ind w:right="61"/>
              <w:spacing w:after="0"/>
              <w:rPr>
                <w:sz w:val="20"/>
                <w:szCs w:val="20"/>
                <w:color w:val="auto"/>
              </w:rPr>
            </w:pPr>
            <w:r>
              <w:rPr>
                <w:rFonts w:ascii="Arial" w:cs="Arial" w:eastAsia="Arial" w:hAnsi="Arial"/>
                <w:sz w:val="16"/>
                <w:szCs w:val="16"/>
                <w:color w:val="auto"/>
              </w:rPr>
              <w:t>Royalty income</w:t>
            </w: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(30) bps</w:t>
            </w: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380 bps</w:t>
            </w:r>
          </w:p>
        </w:tc>
        <w:tc>
          <w:tcPr>
            <w:tcW w:w="1420" w:type="dxa"/>
            <w:vAlign w:val="bottom"/>
            <w:gridSpan w:val="2"/>
          </w:tcPr>
          <w:p>
            <w:pPr>
              <w:ind w:left="520"/>
              <w:spacing w:after="0"/>
              <w:rPr>
                <w:sz w:val="20"/>
                <w:szCs w:val="20"/>
                <w:color w:val="auto"/>
              </w:rPr>
            </w:pPr>
            <w:r>
              <w:rPr>
                <w:rFonts w:ascii="Arial" w:cs="Arial" w:eastAsia="Arial" w:hAnsi="Arial"/>
                <w:sz w:val="16"/>
                <w:szCs w:val="16"/>
                <w:color w:val="auto"/>
              </w:rPr>
              <w:t>(10) bps</w:t>
            </w:r>
          </w:p>
        </w:tc>
        <w:tc>
          <w:tcPr>
            <w:tcW w:w="1460" w:type="dxa"/>
            <w:vAlign w:val="bottom"/>
          </w:tcPr>
          <w:p>
            <w:pPr>
              <w:jc w:val="right"/>
              <w:ind w:right="98"/>
              <w:spacing w:after="0"/>
              <w:rPr>
                <w:sz w:val="20"/>
                <w:szCs w:val="20"/>
                <w:color w:val="auto"/>
              </w:rPr>
            </w:pPr>
            <w:r>
              <w:rPr>
                <w:rFonts w:ascii="Arial" w:cs="Arial" w:eastAsia="Arial" w:hAnsi="Arial"/>
                <w:sz w:val="16"/>
                <w:szCs w:val="16"/>
                <w:color w:val="auto"/>
              </w:rPr>
              <w:t>(20) bps</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SG&amp;A expenses</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80 bps</w:t>
            </w: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(310) bps</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(160) bps</w:t>
            </w:r>
          </w:p>
        </w:tc>
        <w:tc>
          <w:tcPr>
            <w:tcW w:w="14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(80) bps</w:t>
            </w:r>
          </w:p>
        </w:tc>
        <w:tc>
          <w:tcPr>
            <w:tcW w:w="14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(180) bps</w:t>
            </w: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Operating margin for the first</w:t>
            </w:r>
          </w:p>
        </w:tc>
        <w:tc>
          <w:tcPr>
            <w:tcW w:w="1180" w:type="dxa"/>
            <w:vAlign w:val="bottom"/>
            <w:tcBorders>
              <w:top w:val="single" w:sz="8" w:color="auto"/>
            </w:tcBorders>
            <w:vMerge w:val="restart"/>
          </w:tcPr>
          <w:p>
            <w:pPr>
              <w:ind w:left="720"/>
              <w:spacing w:after="0"/>
              <w:rPr>
                <w:sz w:val="20"/>
                <w:szCs w:val="20"/>
                <w:color w:val="auto"/>
              </w:rPr>
            </w:pPr>
            <w:r>
              <w:rPr>
                <w:rFonts w:ascii="Arial" w:cs="Arial" w:eastAsia="Arial" w:hAnsi="Arial"/>
                <w:sz w:val="16"/>
                <w:szCs w:val="16"/>
                <w:b w:val="1"/>
                <w:bCs w:val="1"/>
                <w:color w:val="auto"/>
                <w:w w:val="96"/>
              </w:rPr>
              <w:t>23.6%</w:t>
            </w:r>
          </w:p>
        </w:tc>
        <w:tc>
          <w:tcPr>
            <w:tcW w:w="120" w:type="dxa"/>
            <w:vAlign w:val="bottom"/>
          </w:tcPr>
          <w:p>
            <w:pPr>
              <w:spacing w:after="0"/>
              <w:rPr>
                <w:sz w:val="17"/>
                <w:szCs w:val="17"/>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15.1%</w:t>
            </w:r>
          </w:p>
        </w:tc>
        <w:tc>
          <w:tcPr>
            <w:tcW w:w="100" w:type="dxa"/>
            <w:vAlign w:val="bottom"/>
          </w:tcPr>
          <w:p>
            <w:pPr>
              <w:spacing w:after="0"/>
              <w:rPr>
                <w:sz w:val="17"/>
                <w:szCs w:val="17"/>
                <w:color w:val="auto"/>
              </w:rPr>
            </w:pPr>
          </w:p>
        </w:tc>
        <w:tc>
          <w:tcPr>
            <w:tcW w:w="1180" w:type="dxa"/>
            <w:vAlign w:val="bottom"/>
            <w:tcBorders>
              <w:top w:val="single" w:sz="8" w:color="auto"/>
            </w:tcBorders>
            <w:vMerge w:val="restart"/>
          </w:tcPr>
          <w:p>
            <w:pPr>
              <w:ind w:left="720"/>
              <w:spacing w:after="0"/>
              <w:rPr>
                <w:sz w:val="20"/>
                <w:szCs w:val="20"/>
                <w:color w:val="auto"/>
              </w:rPr>
            </w:pPr>
            <w:r>
              <w:rPr>
                <w:rFonts w:ascii="Arial" w:cs="Arial" w:eastAsia="Arial" w:hAnsi="Arial"/>
                <w:sz w:val="16"/>
                <w:szCs w:val="16"/>
                <w:b w:val="1"/>
                <w:bCs w:val="1"/>
                <w:color w:val="auto"/>
                <w:w w:val="96"/>
              </w:rPr>
              <w:t>18.5%</w:t>
            </w:r>
          </w:p>
        </w:tc>
        <w:tc>
          <w:tcPr>
            <w:tcW w:w="120" w:type="dxa"/>
            <w:vAlign w:val="bottom"/>
          </w:tcPr>
          <w:p>
            <w:pPr>
              <w:spacing w:after="0"/>
              <w:rPr>
                <w:sz w:val="17"/>
                <w:szCs w:val="17"/>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(2.2)%</w:t>
            </w:r>
          </w:p>
        </w:tc>
        <w:tc>
          <w:tcPr>
            <w:tcW w:w="120" w:type="dxa"/>
            <w:vAlign w:val="bottom"/>
          </w:tcPr>
          <w:p>
            <w:pPr>
              <w:spacing w:after="0"/>
              <w:rPr>
                <w:sz w:val="17"/>
                <w:szCs w:val="17"/>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10.8%</w:t>
            </w:r>
          </w:p>
        </w:tc>
        <w:tc>
          <w:tcPr>
            <w:tcW w:w="0" w:type="dxa"/>
            <w:vAlign w:val="bottom"/>
          </w:tcPr>
          <w:p>
            <w:pPr>
              <w:spacing w:after="0"/>
              <w:rPr>
                <w:sz w:val="1"/>
                <w:szCs w:val="1"/>
                <w:color w:val="auto"/>
              </w:rPr>
            </w:pPr>
          </w:p>
        </w:tc>
      </w:tr>
      <w:tr>
        <w:trPr>
          <w:trHeight w:val="26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quarter of fiscal 2016</w:t>
            </w:r>
          </w:p>
        </w:tc>
        <w:tc>
          <w:tcPr>
            <w:tcW w:w="11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(a)</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(b)</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(c)</w:t>
            </w: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(d)</w:t>
            </w:r>
          </w:p>
        </w:tc>
        <w:tc>
          <w:tcPr>
            <w:tcW w:w="1460" w:type="dxa"/>
            <w:vAlign w:val="bottom"/>
            <w:shd w:val="clear" w:color="auto" w:fill="CCEEFF"/>
          </w:tcPr>
          <w:p>
            <w:pPr>
              <w:jc w:val="right"/>
              <w:ind w:right="558"/>
              <w:spacing w:after="0"/>
              <w:rPr>
                <w:sz w:val="20"/>
                <w:szCs w:val="20"/>
                <w:color w:val="auto"/>
              </w:rPr>
            </w:pPr>
            <w:r>
              <w:rPr>
                <w:rFonts w:ascii="Arial" w:cs="Arial" w:eastAsia="Arial" w:hAnsi="Arial"/>
                <w:sz w:val="16"/>
                <w:szCs w:val="16"/>
                <w:color w:val="auto"/>
              </w:rPr>
              <w:t>(e)</w:t>
            </w:r>
          </w:p>
        </w:tc>
        <w:tc>
          <w:tcPr>
            <w:tcW w:w="0" w:type="dxa"/>
            <w:vAlign w:val="bottom"/>
          </w:tcPr>
          <w:p>
            <w:pPr>
              <w:spacing w:after="0"/>
              <w:rPr>
                <w:sz w:val="1"/>
                <w:szCs w:val="1"/>
                <w:color w:val="auto"/>
              </w:rPr>
            </w:pPr>
          </w:p>
        </w:tc>
      </w:tr>
      <w:tr>
        <w:trPr>
          <w:trHeight w:val="33"/>
        </w:trPr>
        <w:tc>
          <w:tcPr>
            <w:tcW w:w="26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8"/>
        <w:spacing w:after="0" w:line="264"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Carter's Wholesale segment operating income in the first quarter of fiscal 2016 increased $8.3 million, or 14.3%, to $66.2 million from $57.9 million in the first quarter of fiscal 2015. The segment's operating margin increased 210 bps from 21.5% in the first quarter of fiscal 2015 to 23.6% in the first quarter of fiscal 2016. The primary drivers of the change in operating margin were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0" w:right="400" w:hanging="324"/>
        <w:spacing w:after="0" w:line="258"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160 bps increase in gross profit due to favorable product costs and higher average price per unit, partially offset by higher inventory related charges;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80 bps decrease in SG&amp;A expenses, primarily due to a:</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
        </w:numPr>
        <w:rPr>
          <w:rFonts w:ascii="Arial" w:cs="Arial" w:eastAsia="Arial" w:hAnsi="Arial"/>
          <w:sz w:val="16"/>
          <w:szCs w:val="16"/>
          <w:color w:val="auto"/>
        </w:rPr>
      </w:pPr>
      <w:r>
        <w:rPr>
          <w:rFonts w:ascii="Arial" w:cs="Arial" w:eastAsia="Arial" w:hAnsi="Arial"/>
          <w:sz w:val="16"/>
          <w:szCs w:val="16"/>
          <w:color w:val="auto"/>
        </w:rPr>
        <w:t>40 bps decrease primarily in distribution expenses, driven primarily by efficiencies at our Braselton, Georgia distribution center; and</w:t>
      </w:r>
    </w:p>
    <w:p>
      <w:pPr>
        <w:spacing w:after="0" w:line="32" w:lineRule="exact"/>
        <w:rPr>
          <w:rFonts w:ascii="Arial" w:cs="Arial" w:eastAsia="Arial" w:hAnsi="Arial"/>
          <w:sz w:val="16"/>
          <w:szCs w:val="16"/>
          <w:color w:val="auto"/>
        </w:rPr>
      </w:pPr>
    </w:p>
    <w:p>
      <w:pPr>
        <w:ind w:left="1620" w:hanging="315"/>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30 bps decrease in provisions for accounts receivable;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30 bps decrease in royalty income.</w:t>
      </w:r>
    </w:p>
    <w:p>
      <w:pPr>
        <w:spacing w:after="0" w:line="210" w:lineRule="exact"/>
        <w:rPr>
          <w:rFonts w:ascii="Arial" w:cs="Arial" w:eastAsia="Arial" w:hAnsi="Arial"/>
          <w:sz w:val="18"/>
          <w:szCs w:val="18"/>
          <w:color w:val="auto"/>
        </w:rPr>
      </w:pPr>
    </w:p>
    <w:p>
      <w:pPr>
        <w:ind w:right="120" w:firstLine="8"/>
        <w:spacing w:after="0" w:line="264"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Carter's Retail segment operating income decreased by $3.2 million, or 7.3%, to $41.3 million in the first quarter of fiscal 2016 from $44.5 million in the first quarter of fiscal 2015. This segment's operating margin decreased 220 bps from 17.3% in the first quarter of fiscal 2015 to 15.1% in the first quarter of fiscal 2016. The primary drivers of the change in operating margin were a:</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90 bps increase in gross profit primarily due to favorable product costs, partially offset by lower average price per unit;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310 bps increase in SG&amp;A expenses, primarily due to a:</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220 bps increase in expenses associated with new retail stores;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60 bps increase in marketing expenses; and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30 bps increase in performance-based compensation expenses.</w:t>
      </w:r>
    </w:p>
    <w:p>
      <w:pPr>
        <w:spacing w:after="0" w:line="210" w:lineRule="exact"/>
        <w:rPr>
          <w:rFonts w:ascii="Arial" w:cs="Arial" w:eastAsia="Arial" w:hAnsi="Arial"/>
          <w:sz w:val="18"/>
          <w:szCs w:val="18"/>
          <w:color w:val="auto"/>
        </w:rPr>
      </w:pPr>
    </w:p>
    <w:p>
      <w:pPr>
        <w:jc w:val="both"/>
        <w:ind w:right="40" w:firstLine="8"/>
        <w:spacing w:after="0" w:line="264"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OshKosh Wholesale segment operating income decreased by $0.8 million, or 25.9%, to $2.2 million in the first quarter of fiscal 2016 from $3.0 million in the first quarter of fiscal 2015. This segment's operating margin decreased 10 bps from 18.6% in the first quarter of fiscal 2015 to 18.5% in the first quarter of fiscal 2016. The primary drivers of the change in operating margin were a:</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380 bps increase in royalty income primarily due to sales growth from our licensees;</w:t>
      </w:r>
    </w:p>
    <w:p>
      <w:pPr>
        <w:spacing w:after="0" w:line="23" w:lineRule="exact"/>
        <w:rPr>
          <w:rFonts w:ascii="Arial" w:cs="Arial" w:eastAsia="Arial" w:hAnsi="Arial"/>
          <w:sz w:val="18"/>
          <w:szCs w:val="18"/>
          <w:color w:val="auto"/>
        </w:rPr>
      </w:pPr>
    </w:p>
    <w:p>
      <w:pPr>
        <w:ind w:left="980" w:right="280" w:hanging="324"/>
        <w:spacing w:after="0" w:line="250"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230 bps decrease in gross profit primarily due to higher inventory related charges; partially offset by lower product costs, and higher average price per unit; and</w:t>
      </w: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160 bps increase in SG&amp;A expenses primarily due to a:</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160 bps increase in marketing expenses;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110 bps increase in provisions for accounts receivable;</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100 bps increase in distribution expenses; and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250 bps decrease in performance-based compensation expenses.</w:t>
      </w:r>
    </w:p>
    <w:p>
      <w:pPr>
        <w:spacing w:after="0" w:line="210" w:lineRule="exact"/>
        <w:rPr>
          <w:rFonts w:ascii="Arial" w:cs="Arial" w:eastAsia="Arial" w:hAnsi="Arial"/>
          <w:sz w:val="18"/>
          <w:szCs w:val="18"/>
          <w:color w:val="auto"/>
        </w:rPr>
      </w:pPr>
    </w:p>
    <w:p>
      <w:pPr>
        <w:ind w:firstLine="8"/>
        <w:spacing w:after="0" w:line="291"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OshKosh Retail segment operating income decreased by $0.8 million, or 85.9%, from an operating loss of $1.0 million in the first quarter of fiscal 2015 to an operating loss of $1.8 million in the first quarter of fiscal 2016. The segment's operating margin decreased 90 bps from (1.3)% in the first quarter of fiscal</w:t>
      </w:r>
    </w:p>
    <w:p>
      <w:pPr>
        <w:spacing w:after="0"/>
        <w:rPr>
          <w:rFonts w:ascii="Arial" w:cs="Arial" w:eastAsia="Arial" w:hAnsi="Arial"/>
          <w:sz w:val="16"/>
          <w:szCs w:val="16"/>
          <w:color w:val="auto"/>
        </w:rPr>
      </w:pPr>
      <w:r>
        <w:rPr>
          <w:rFonts w:ascii="Arial" w:cs="Arial" w:eastAsia="Arial" w:hAnsi="Arial"/>
          <w:sz w:val="18"/>
          <w:szCs w:val="18"/>
          <w:color w:val="auto"/>
        </w:rPr>
        <w:t>2015 to (2.2)% in the first quarter of fiscal 2016. The primary drivers of the change in operating margin were a:</w:t>
      </w:r>
    </w:p>
    <w:p>
      <w:pPr>
        <w:spacing w:after="0" w:line="210" w:lineRule="exact"/>
        <w:rPr>
          <w:rFonts w:ascii="Arial" w:cs="Arial" w:eastAsia="Arial" w:hAnsi="Arial"/>
          <w:sz w:val="16"/>
          <w:szCs w:val="16"/>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80 bps increase in SG&amp;A expenses primarily due to a:</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140 bps increase in expenses associated with new retail stores;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40 bps increase in marketing expenses; and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80 bps decrease primarily in distribution expenses.</w:t>
      </w:r>
    </w:p>
    <w:p>
      <w:pPr>
        <w:spacing w:after="0" w:line="210" w:lineRule="exact"/>
        <w:rPr>
          <w:rFonts w:ascii="Arial" w:cs="Arial" w:eastAsia="Arial" w:hAnsi="Arial"/>
          <w:sz w:val="18"/>
          <w:szCs w:val="18"/>
          <w:color w:val="auto"/>
        </w:rPr>
      </w:pPr>
    </w:p>
    <w:p>
      <w:pPr>
        <w:ind w:right="20" w:firstLine="8"/>
        <w:spacing w:after="0" w:line="264"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segment operating income increased by $1.9 million, or 29.6%, to $8.4 million in the first quarter of fiscal 2016 from $6.5 million in the first quarter of 2015. This segment's operating margin increased 130 bps from 9.5% in the first quarter of fiscal 2015 to 10.8% in the first quarter of fiscal 2016. The primary drivers of the change in operating margin were a:</w:t>
      </w:r>
    </w:p>
    <w:p>
      <w:pPr>
        <w:spacing w:after="0" w:line="181" w:lineRule="exact"/>
        <w:rPr>
          <w:rFonts w:ascii="Arial" w:cs="Arial" w:eastAsia="Arial" w:hAnsi="Arial"/>
          <w:sz w:val="18"/>
          <w:szCs w:val="18"/>
          <w:color w:val="auto"/>
        </w:rPr>
      </w:pPr>
    </w:p>
    <w:p>
      <w:pPr>
        <w:ind w:left="980" w:right="800" w:hanging="324"/>
        <w:spacing w:after="0" w:line="258"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330 bps increase in gross profit, primarily driven by growth in higher margin retail store and eCommerce channels, partially offset by unfavorable foreign currency impacts;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20 bps decrease in royalty income;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180 bps increase in SG&amp;A expenses primarily due to a:</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200 bps increase in expenses associated with new retail stores and China eCommerce;</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90 bps increase in performance-based compensation expenses;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50 bps decrease in marketing expenses; and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20 bps decrease in provisions for accounts receivable.</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5" w:name="page36"/>
    <w:bookmarkEnd w:id="35"/>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Unallocated corporate expenses decreased by $3.1 million, or 11.9%, in the first quarter of fiscal 2016 compared to the first quarter of fiscal 2015. Unallocated corporate expenses as a percentage of consolidated net sales decreased from 3.9% in the first quarter of fiscal 2015 to 3.2% in the first quarter of fiscal 2016. The decrease in corporate expenses primarily reflected a/an:</w:t>
      </w:r>
    </w:p>
    <w:p>
      <w:pPr>
        <w:spacing w:after="0" w:line="18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 of $1.6 million in insurance and other employee related benefits costs;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 of $1.3 million in amortization of the H.W. Carter &amp; Sons tradenames;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 of $1.2 million in performance-based compensation;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of $1.0 million in expenses related to information technology.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and effective interest rate calculations include the amortization of debt issuance costs.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Interest expense in the first quarter of both fiscal 2016 and 2015 was approximately $6.7 million. Weighted-average borrowings for the first quarter of fiscal 2016 were approximately $584.6 million with an effective interest rate of 4.59%, compared to weighted-average borrowings for the first quarter of fiscal 2015 of $586.0 million with an effective interest rate of 4.64%. The decrease in the effective interest rate for the first quarter of fiscal 2016 compared to the first quarter of fiscal 2015 was primarily due to lower interest rates on the U.S. and Canadian borrowings outstanding under our secured revolving credit facility in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Other expense, net is comprised primarily of net losses and gains on foreign currency transactions and foreign currency contracts. The amounts related to foreign currency represented a net loss of $3.2 million and $2.0 million for the first quarter of fiscal 2016 and the first quarter of fiscal 2015, respectively. There were no foreign currency contracts in the first quarter of fiscal 2015.</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consolidated effective income tax rate for the first quarter of fiscal 2016 was 35.2% compared to 34.5% for the first quarter of fiscal 2015. The lower effective rate for the first quarter of fiscal 2015 compared to the first quarter of fiscal 2016 was primarily due to favorable settlements of federal and state tax audits for 2011, 2012, and 2013 during the first quarter of fiscal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the full fiscal year 2016, we estimate our consolidated effective income tax rate to be approximately 35.4%.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consolidated net income for the first quarter of fiscal 2016 increased by $4.2 million, or 8.4%, to $54.0 million compared to $49.8 million in the first quarter of fiscal 2015, due to the factors previously discussed.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Our primary cash needs are for working capital and capital expenditures. We expect that our primary sources of liquidity will continue to be cash and cash equivalents on hand, cash flow from operations, and borrowings available under our secured revolving credit facility. We expect that these sources will fund our ongoing requirements for the foreseeable future. Further, we do not expect current economic conditions to prevent us from meeting our cash requirements. These sources of liquidity may be affected by events described in our risk factors, as further discussed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2015 fiscal year ended January 2, 2016.</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April 2, 2016, the Company had approximately $395.1 million of cash and cash equivalents in major financial institutions, including approximately $43.7 million in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accounts receivable at April 2, 2016 were $192.6 million compared to $195.6 million at April 4, 2015 and $207.6 million at January 2, 2016. The overall decrease of $3.0 million, or 1.5%, at April 2, 2016 compared to April 4, 2015 primarily reflected improvements in the timing of payments from customers, partially offset by lower provisions for accounts receivable. Due to the seasonal nature of our operations, the net accounts receivable balance at April 2, 2016 is not comparable to the net accounts receivable balance of $207.6 million at January 2, 2016.</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Inventories at April 2, 2016 were $376.5 million compared to $358.0 million at April 4, 2015 and $469.9 million at January 2, 2016. The increase of $18.5 million, or 5.2%, at April 2, 2016 compared to April 4, 2015 primarily reflected business growth. Due to the seasonal nature of our operations, the inventories balance at April 2, 2016 is not comparable to the inventories balance of $469.9 million at January 2, 2016.</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cash provided by operating activities for the first quarter of fiscal 2016 was $128.3 million compared to net cash provided by operating activities of $87.2 million in the first quarter of fiscal 2015. This increase in operating cash flow primarily reflected an increase in net income and favorable movements in net working capital due in part to the timing of collections of accounts receivable.</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Capital expenditures were $25.6 million in the first quarter of fiscal 2016 compared to $20.8 million in the first quarter of fiscal 2015, primarily reflecting 2016 expenditures of approximately $15.3 million for our U.S. and international retail store openings and re-modelings, $7.0 million for information technology initiatives, and $2.6 million for distribution and office facilities.</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plan to invest approximately $115.0 million in total capital expenditures for all of fiscal 2016, primarily for our U.S. and international retail store openings and re-modelings, and information technology initiatives.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cash used in financing activities was $90.2 million in the first quarter of fiscal 2016 compared to $29.2 million in the first quarter of fiscal 2015. This increase in fiscal 2016 primarily reflected increases in repurchases of our common stock and higher dividend payments.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REVOLVING CREDIT FACILITY</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secured revolving credit facility, which was amended and restated in September 2015, provides for (i) a $400 million U.S. dollar revolving facility (including a $175 million sub-limit for letters of credit and a swing line sub-limit of $50 million) available for borrowings in U.S. dollars and (ii) a $100 million multicurrency revolving facility (including a $40 million sub-limit for letters of credit and a swing line sub-limit of $15 million) available for borrowings denominated in U.S. dollars, Canadian dollars, Euros, Pounds Sterling, or other currencies agreed to by the applicable lenders. Our secured revolving credit facility also provides for incremental facilities in an aggregate amount not to exceed $250 million, either in the form of a commitment increase under the existing credit facility or the incurrence of one or more tranches of term loans (with the aggregate U.S. dollar amount not to exceed $200 million and the aggregate multicurrency amount not to exceed $50 million). Our secured revolving credit facility matures September 16, 2020.</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April 2, 2016, we had $185.6 million in outstanding borrowings under our secured revolving credit facility, exclusive of $4.9 million of outstanding letters of credit. As of April 2, 2016, there was approximately $309.6 million available for future borrowing.</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1" w:right="279" w:bottom="1440" w:gutter="0" w:footer="0" w:header="0"/>
        </w:sectPr>
      </w:pPr>
    </w:p>
    <w:bookmarkStart w:id="37" w:name="page38"/>
    <w:bookmarkEnd w:id="37"/>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interest rate margins applicable to our secured revolving credit facility are presently 1.375% for LIBOR rate loans (which may be adjusted based on a leverage-based pricing grid ranging from 1.125% to 1.875%) and 0.375% for base rate loans (which may be adjusted based on a leverage-based pricing grid ranging from 0.125% to 0.875%).</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of April 2, 2016, U.S. dollar borrowings outstanding under the secured revolving credit facility accrued interest at a LIBOR rate plus the applicable base rate, which was equal to 1.80% on that date, and Canadian borrowings accrued interest at a CDOR (Canadian Dollar Offered Rate) plus the applicable base rate, which was 2.24% on that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April 2, 2016, we were in compliance with the financial and other covenants under our secured revolving credit facility.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As of April 2, 2016, our wholly-owned operating subsidiary The William Carter Company ("TWCC") had $400.0 million principal amount of senior notes outstanding, bearing interest at a fixed rate of 5.25% per annum, and maturing on August 15, 2021. On our consolidated balance sheet, the $400.0 million outstanding is reported net of $5.3 million, $5.5 million and $6.1 million unamortized issuance-related debt costs at April 2, 2016, January 2, 2016 and April 4, 2015, respectively. The senior notes are unsecured and are fully and unconditionally guaranteed by Carter's, Inc. and certain subsidiaries of TWCC.</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February 24, 2016, our Board of Directors authorized a new $500 million share repurchase program, in addition to the amounts remaining under previous authorizations. In the first quarter of fiscal 2016, the Company repurchased and retired 722,364 shares in open market transactions for approximately $71.6 million at an average price of $99.07 per share. In the first quarter of fiscal 2015, the Company repurchased and retired 157,900 shares in open market transactions for approximately $14.1 million, at an average price of $89.43 per share.</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total remaining capacity under all remaining repurchase authorizations as of April 2, 2016 was approximately $503.3 million. Future repurchases may be made in the open market or in privately negotiated transactions, with the level and timing of activity being at management's discretion depending on market conditions, share price, other investment priorities, and other factors. The share repurchase authorizations have no expiration date.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the first quarters of fiscal 2016 and 2015, we paid quarterly cash dividends of $0.33 and $0.22 per share, respectively. Future declarations of quarterly dividends and the establishment of future record and payment dates are at the discretion of our Board of Directors and will be based on a number of factors, including our future financial performance and other investment priorities.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disclosed in our most recent Annual Report on Form 10-K for the fiscal year ended January 2, 2016, provisions in our secured revolving credit facility and indenture governing our senior notes could have the effect of restricting our ability to pay future cash dividends on or make future repurchases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experience seasonal fluctuations in our sales and profitability due to the timing of certain holidays and key retail shopping periods, which generally have resulted in declines in our net sales and gross profit in the first half of our fiscal year versus the second half. Accordingly, our results of operations during any interim period during the fiscal year may not be indicative of the results we expect for the full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Preparation of these financial statements requires us to make estimates and judgments that affect the reported amounts of assets, liabilities, revenues, expenses, and related disclosure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Our critical accounting policies and estimates are described under the heading "Critical Accounting Policies and Estimates" in Item 7 of our most recent Annual Report on Form 10-K for the 2015 fiscal year ended January 2, 2016.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 except to update the Company's accounting policy for the measurement date used for defined benefit plan assets and obligations as disclosed in Note 8, </w:t>
      </w:r>
      <w:r>
        <w:rPr>
          <w:rFonts w:ascii="Arial" w:cs="Arial" w:eastAsia="Arial" w:hAnsi="Arial"/>
          <w:sz w:val="16"/>
          <w:szCs w:val="16"/>
          <w:i w:val="1"/>
          <w:iCs w:val="1"/>
          <w:color w:val="auto"/>
        </w:rPr>
        <w:t>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Benefit Plans</w:t>
      </w:r>
      <w:r>
        <w:rPr>
          <w:rFonts w:ascii="Arial" w:cs="Arial" w:eastAsia="Arial" w:hAnsi="Arial"/>
          <w:sz w:val="16"/>
          <w:szCs w:val="16"/>
          <w:color w:val="auto"/>
        </w:rPr>
        <w:t>, to the accompanying unaudited condensed consolidated financial statements contained in Item 1 of this Quarterly Report on Form 10-Q.</w:t>
      </w:r>
    </w:p>
    <w:p>
      <w:pPr>
        <w:spacing w:after="0" w:line="16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Additionally, information related to the pending adoption of recently issued accounting standards is provided in Note 15, </w:t>
      </w:r>
      <w:r>
        <w:rPr>
          <w:rFonts w:ascii="Arial" w:cs="Arial" w:eastAsia="Arial" w:hAnsi="Arial"/>
          <w:sz w:val="18"/>
          <w:szCs w:val="18"/>
          <w:i w:val="1"/>
          <w:iCs w:val="1"/>
          <w:color w:val="auto"/>
        </w:rPr>
        <w:t>Pending Adoption of Recent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Pronouncements</w:t>
      </w:r>
      <w:r>
        <w:rPr>
          <w:rFonts w:ascii="Arial" w:cs="Arial" w:eastAsia="Arial" w:hAnsi="Arial"/>
          <w:sz w:val="18"/>
          <w:szCs w:val="18"/>
          <w:color w:val="auto"/>
        </w:rPr>
        <w:t>, to the accompanying unaudited condensed consolidated financial statements contained in Item 1 of this Quarterly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10-Q.</w:t>
      </w:r>
    </w:p>
    <w:p>
      <w:pPr>
        <w:spacing w:after="0" w:line="3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and Interest Rate Risks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the operation of our business, we have market risk exposures including those related to foreign currency and interest rates. We employ various strategies to attempt to minimize or our exposure to these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Risk</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of future currency fluctuations on our financial position, results of operations, or cash flows for future periods.</w:t>
      </w:r>
    </w:p>
    <w:p>
      <w:pPr>
        <w:spacing w:after="0" w:line="187"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4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Fluctuations in exchange rates, primarily between the U.S. dollar and the Canadian dollar, may affect our results of operations, financial position, and cash flows. Transactions by our Canadian subsidiary may be denominated in a currency other than the entity's functional currency, which is the Canadian dollar. Foreign currency transaction gains and losses also include the impact of non-current intercompany loans with foreign subsidiaries that are marked to market. In our statement of operations, these gains and losses are recorded within Other expense, net.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overall strategy to manage the level of exposure to the risk of foreign currency exchange rate fluctuations, primarily between the U.S. dollar and Canadian dollar, our Canadian subsidiary may use foreign currency forward contracts to hedge purchases that are made in U.S. dollars, primarily for inventory purchases. As part of this strategy, we use foreign currency forward exchange contracts that have maturities of less than 12 months to provide continuing coverage throughout the hedging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operating results are subject to risk from interest rate fluctuations on our secured revolving credit facility, which carries variable interest rates. Our weighted-average variable rate borrowings outstanding as of April 2, 2016 were $185.6 million. 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ind w:right="100"/>
        <w:spacing w:after="0" w:line="277" w:lineRule="auto"/>
        <w:rPr>
          <w:sz w:val="20"/>
          <w:szCs w:val="20"/>
          <w:color w:val="auto"/>
        </w:rPr>
      </w:pPr>
      <w:r>
        <w:rPr>
          <w:rFonts w:ascii="Arial" w:cs="Arial" w:eastAsia="Arial" w:hAnsi="Arial"/>
          <w:sz w:val="18"/>
          <w:szCs w:val="18"/>
          <w:color w:val="auto"/>
        </w:rPr>
        <w:t>increase or decrease of 1% in the effective interest rate on that amount would increase or decrease our annual pre-tax interest expense by approximately $1.9 million.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April 2,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during the first quarter of fiscal 2016 that have materially affected, or are reasonably likely to materially affect, the Company's internal control over financial reporting.</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described in our Form 10-K for the 2015 fiscal year ended January 2, 2016.</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368"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during the first quarter of fiscal 2016:</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4"/>
              </w:rPr>
              <w:t>Approximate</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89"/>
              </w:rPr>
              <w:t>dollar value of shares</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91"/>
              </w:rPr>
              <w:t>Total number of</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4"/>
              </w:rPr>
              <w:t>that may</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92"/>
              </w:rPr>
              <w:t>Total number</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85"/>
              </w:rPr>
              <w:t>shares purchased as</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85"/>
              </w:rPr>
              <w:t>yet be</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84"/>
              </w:rPr>
              <w:t>of shares</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91"/>
              </w:rPr>
              <w:t>part of publicly</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86"/>
              </w:rPr>
              <w:t>purchased</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88"/>
              </w:rPr>
              <w:t>purchased</w:t>
            </w:r>
          </w:p>
        </w:tc>
        <w:tc>
          <w:tcPr>
            <w:tcW w:w="12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Average price paid</w:t>
            </w: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89"/>
              </w:rPr>
              <w:t>announced plans or</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0"/>
              </w:rPr>
              <w:t>under the plans</w:t>
            </w:r>
          </w:p>
        </w:tc>
      </w:tr>
      <w:tr>
        <w:trPr>
          <w:trHeight w:val="222"/>
        </w:trPr>
        <w:tc>
          <w:tcPr>
            <w:tcW w:w="4240" w:type="dxa"/>
            <w:vAlign w:val="bottom"/>
            <w:gridSpan w:val="2"/>
          </w:tcPr>
          <w:p>
            <w:pPr>
              <w:ind w:left="40"/>
              <w:spacing w:after="0"/>
              <w:rPr>
                <w:sz w:val="20"/>
                <w:szCs w:val="20"/>
                <w:color w:val="auto"/>
              </w:rPr>
            </w:pPr>
            <w:r>
              <w:rPr>
                <w:rFonts w:ascii="Arial" w:cs="Arial" w:eastAsia="Arial" w:hAnsi="Arial"/>
                <w:sz w:val="17"/>
                <w:szCs w:val="17"/>
                <w:b w:val="1"/>
                <w:bCs w:val="1"/>
                <w:color w:val="auto"/>
              </w:rPr>
              <w:t>Period</w:t>
            </w: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96"/>
              </w:rPr>
              <w:t>(1)</w:t>
            </w:r>
          </w:p>
        </w:tc>
        <w:tc>
          <w:tcPr>
            <w:tcW w:w="12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8"/>
              </w:rPr>
              <w:t>per share</w:t>
            </w: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92"/>
              </w:rPr>
              <w:t>programs (2)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0"/>
              </w:rPr>
              <w:t>or programs (3)</w:t>
            </w:r>
          </w:p>
        </w:tc>
      </w:tr>
      <w:tr>
        <w:trPr>
          <w:trHeight w:val="31"/>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426"/>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January 3, 2016 through January 30, 2016</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101,864</w:t>
            </w:r>
          </w:p>
        </w:tc>
        <w:tc>
          <w:tcPr>
            <w:tcW w:w="18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$91.34</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101,864</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$65,542,885</w:t>
            </w:r>
          </w:p>
        </w:tc>
      </w:tr>
      <w:tr>
        <w:trPr>
          <w:trHeight w:val="432"/>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January 31, 2016 through February 27, 2016</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182,268</w:t>
            </w:r>
          </w:p>
        </w:tc>
        <w:tc>
          <w:tcPr>
            <w:tcW w:w="18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$90.35</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92,900</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$557,148,977</w:t>
            </w:r>
          </w:p>
        </w:tc>
      </w:tr>
      <w:tr>
        <w:trPr>
          <w:trHeight w:val="432"/>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February 28, 2016 through April 2, 2016</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527,600</w:t>
            </w:r>
          </w:p>
        </w:tc>
        <w:tc>
          <w:tcPr>
            <w:tcW w:w="18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$102.09</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527,600</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$503,285,958</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4"/>
        </w:trPr>
        <w:tc>
          <w:tcPr>
            <w:tcW w:w="424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811,732</w:t>
            </w: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722,364</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shares of our common stock surrendered by our employees to satisfy required tax withholding upon the vesting of restricted stock awards. There were 89,368 shares surrendered between January 3, 2016 and April 2, 2016.</w:t>
      </w:r>
    </w:p>
    <w:p>
      <w:pPr>
        <w:spacing w:after="0" w:line="170"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 purchases during the first quarter of fiscal 2016 were made in compliance with all applicable rules and regulations and in accordance with the share repurchase authorizations described in Note 5 to our accompanying unaudited condensed consolidated financial statements included in Item 1 of this Quarterly Report on Form 10-Q.</w:t>
      </w:r>
    </w:p>
    <w:p>
      <w:pPr>
        <w:spacing w:after="0" w:line="181"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February 24, 2016, our Board of Directors authorized a new $500 million share repurchase program. The new share repurchase authorization permits us to repurchase shares of our common stock up to $500 million, in addition to the approximately $65.5 million remaining at April 2, 2016 under previous authorizations described above.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gridSpan w:val="3"/>
          </w:tcPr>
          <w:p>
            <w:pP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800" w:type="dxa"/>
            <w:vAlign w:val="bottom"/>
          </w:tcPr>
          <w:p>
            <w:pPr>
              <w:spacing w:after="0"/>
              <w:rPr>
                <w:sz w:val="20"/>
                <w:szCs w:val="20"/>
                <w:color w:val="auto"/>
              </w:rPr>
            </w:pPr>
          </w:p>
        </w:tc>
      </w:tr>
      <w:tr>
        <w:trPr>
          <w:trHeight w:val="432"/>
        </w:trPr>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800" w:type="dxa"/>
            <w:vAlign w:val="bottom"/>
          </w:tcPr>
          <w:p>
            <w:pPr>
              <w:spacing w:after="0"/>
              <w:rPr>
                <w:sz w:val="24"/>
                <w:szCs w:val="24"/>
                <w:color w:val="auto"/>
              </w:rPr>
            </w:pPr>
          </w:p>
        </w:tc>
      </w:tr>
      <w:tr>
        <w:trPr>
          <w:trHeight w:val="338"/>
        </w:trPr>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 Number</w:t>
            </w:r>
          </w:p>
        </w:tc>
        <w:tc>
          <w:tcPr>
            <w:tcW w:w="96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Description of Exhibits</w:t>
            </w:r>
          </w:p>
        </w:tc>
      </w:tr>
      <w:tr>
        <w:trPr>
          <w:trHeight w:val="20"/>
        </w:trPr>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533"/>
        </w:trPr>
        <w:tc>
          <w:tcPr>
            <w:tcW w:w="40" w:type="dxa"/>
            <w:vAlign w:val="bottom"/>
          </w:tcPr>
          <w:p>
            <w:pPr>
              <w:spacing w:after="0"/>
              <w:rPr>
                <w:sz w:val="24"/>
                <w:szCs w:val="24"/>
                <w:color w:val="auto"/>
              </w:rPr>
            </w:pPr>
          </w:p>
        </w:tc>
        <w:tc>
          <w:tcPr>
            <w:tcW w:w="1260" w:type="dxa"/>
            <w:vAlign w:val="bottom"/>
          </w:tcPr>
          <w:p>
            <w:pPr>
              <w:jc w:val="center"/>
              <w:ind w:left="310"/>
              <w:spacing w:after="0"/>
              <w:rPr>
                <w:sz w:val="20"/>
                <w:szCs w:val="20"/>
                <w:color w:val="auto"/>
              </w:rPr>
            </w:pPr>
            <w:r>
              <w:rPr>
                <w:rFonts w:ascii="Arial" w:cs="Arial" w:eastAsia="Arial" w:hAnsi="Arial"/>
                <w:sz w:val="18"/>
                <w:szCs w:val="18"/>
                <w:color w:val="auto"/>
                <w:w w:val="87"/>
              </w:rPr>
              <w:t>3.1</w:t>
            </w:r>
          </w:p>
        </w:tc>
        <w:tc>
          <w:tcPr>
            <w:tcW w:w="360" w:type="dxa"/>
            <w:vAlign w:val="bottom"/>
          </w:tcPr>
          <w:p>
            <w:pPr>
              <w:spacing w:after="0"/>
              <w:rPr>
                <w:sz w:val="24"/>
                <w:szCs w:val="24"/>
                <w:color w:val="auto"/>
              </w:rPr>
            </w:pPr>
          </w:p>
        </w:tc>
        <w:tc>
          <w:tcPr>
            <w:tcW w:w="9660" w:type="dxa"/>
            <w:vAlign w:val="bottom"/>
            <w:gridSpan w:val="3"/>
          </w:tcPr>
          <w:p>
            <w:pPr>
              <w:ind w:left="100"/>
              <w:spacing w:after="0"/>
              <w:rPr>
                <w:sz w:val="20"/>
                <w:szCs w:val="20"/>
                <w:color w:val="auto"/>
              </w:rPr>
            </w:pPr>
            <w:r>
              <w:rPr>
                <w:rFonts w:ascii="Arial" w:cs="Arial" w:eastAsia="Arial" w:hAnsi="Arial"/>
                <w:sz w:val="18"/>
                <w:szCs w:val="18"/>
                <w:color w:val="auto"/>
                <w:w w:val="93"/>
              </w:rPr>
              <w:t>Certificate of Incorporation of Carter's, Inc., as amended on May 12, 2006 (incorporated by reference to Carter's, Inc.'s Quarterly</w:t>
            </w:r>
          </w:p>
        </w:tc>
      </w:tr>
      <w:tr>
        <w:trPr>
          <w:trHeight w:val="230"/>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60" w:type="dxa"/>
            <w:vAlign w:val="bottom"/>
            <w:gridSpan w:val="3"/>
          </w:tcPr>
          <w:p>
            <w:pPr>
              <w:ind w:left="100"/>
              <w:spacing w:after="0"/>
              <w:rPr>
                <w:sz w:val="20"/>
                <w:szCs w:val="20"/>
                <w:color w:val="auto"/>
              </w:rPr>
            </w:pPr>
            <w:r>
              <w:rPr>
                <w:rFonts w:ascii="Arial" w:cs="Arial" w:eastAsia="Arial" w:hAnsi="Arial"/>
                <w:sz w:val="18"/>
                <w:szCs w:val="18"/>
                <w:color w:val="auto"/>
              </w:rPr>
              <w:t>Report on Form 10-Q filed on October 29, 2015).</w:t>
            </w:r>
          </w:p>
        </w:tc>
      </w:tr>
      <w:tr>
        <w:trPr>
          <w:trHeight w:val="256"/>
        </w:trPr>
        <w:tc>
          <w:tcPr>
            <w:tcW w:w="1300" w:type="dxa"/>
            <w:vAlign w:val="bottom"/>
            <w:gridSpan w:val="2"/>
          </w:tcPr>
          <w:p>
            <w:pPr>
              <w:jc w:val="center"/>
              <w:ind w:left="350"/>
              <w:spacing w:after="0"/>
              <w:rPr>
                <w:sz w:val="20"/>
                <w:szCs w:val="20"/>
                <w:color w:val="auto"/>
              </w:rPr>
            </w:pPr>
            <w:r>
              <w:rPr>
                <w:rFonts w:ascii="Arial" w:cs="Arial" w:eastAsia="Arial" w:hAnsi="Arial"/>
                <w:sz w:val="18"/>
                <w:szCs w:val="18"/>
                <w:color w:val="auto"/>
                <w:w w:val="87"/>
              </w:rPr>
              <w:t>3.2</w:t>
            </w:r>
          </w:p>
        </w:tc>
        <w:tc>
          <w:tcPr>
            <w:tcW w:w="360" w:type="dxa"/>
            <w:vAlign w:val="bottom"/>
          </w:tcPr>
          <w:p>
            <w:pPr>
              <w:spacing w:after="0"/>
              <w:rPr>
                <w:sz w:val="22"/>
                <w:szCs w:val="22"/>
                <w:color w:val="auto"/>
              </w:rPr>
            </w:pPr>
          </w:p>
        </w:tc>
        <w:tc>
          <w:tcPr>
            <w:tcW w:w="9660" w:type="dxa"/>
            <w:vAlign w:val="bottom"/>
            <w:gridSpan w:val="3"/>
          </w:tcPr>
          <w:p>
            <w:pPr>
              <w:ind w:left="100"/>
              <w:spacing w:after="0"/>
              <w:rPr>
                <w:sz w:val="20"/>
                <w:szCs w:val="20"/>
                <w:color w:val="auto"/>
              </w:rPr>
            </w:pPr>
            <w:r>
              <w:rPr>
                <w:rFonts w:ascii="Arial" w:cs="Arial" w:eastAsia="Arial" w:hAnsi="Arial"/>
                <w:sz w:val="18"/>
                <w:szCs w:val="18"/>
                <w:color w:val="auto"/>
                <w:w w:val="90"/>
              </w:rPr>
              <w:t>Amended and Restated By-Laws of Carter's, Inc. (incorporated by reference to Exhibit 3.2 of Carter's, Inc.'s Current Report on Form</w:t>
            </w:r>
          </w:p>
        </w:tc>
      </w:tr>
      <w:tr>
        <w:trPr>
          <w:trHeight w:val="230"/>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60" w:type="dxa"/>
            <w:vAlign w:val="bottom"/>
            <w:gridSpan w:val="3"/>
          </w:tcPr>
          <w:p>
            <w:pPr>
              <w:ind w:left="100"/>
              <w:spacing w:after="0"/>
              <w:rPr>
                <w:sz w:val="20"/>
                <w:szCs w:val="20"/>
                <w:color w:val="auto"/>
              </w:rPr>
            </w:pPr>
            <w:r>
              <w:rPr>
                <w:rFonts w:ascii="Arial" w:cs="Arial" w:eastAsia="Arial" w:hAnsi="Arial"/>
                <w:sz w:val="18"/>
                <w:szCs w:val="18"/>
                <w:color w:val="auto"/>
              </w:rPr>
              <w:t>8-K filed with the Securities and Exchange Commission on August 26, 2015).</w:t>
            </w:r>
          </w:p>
        </w:tc>
      </w:tr>
      <w:tr>
        <w:trPr>
          <w:trHeight w:val="270"/>
        </w:trPr>
        <w:tc>
          <w:tcPr>
            <w:tcW w:w="130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31.1</w:t>
            </w:r>
          </w:p>
        </w:tc>
        <w:tc>
          <w:tcPr>
            <w:tcW w:w="360" w:type="dxa"/>
            <w:vAlign w:val="bottom"/>
          </w:tcPr>
          <w:p>
            <w:pPr>
              <w:spacing w:after="0"/>
              <w:rPr>
                <w:sz w:val="23"/>
                <w:szCs w:val="23"/>
                <w:color w:val="auto"/>
              </w:rPr>
            </w:pPr>
          </w:p>
        </w:tc>
        <w:tc>
          <w:tcPr>
            <w:tcW w:w="9660" w:type="dxa"/>
            <w:vAlign w:val="bottom"/>
            <w:gridSpan w:val="3"/>
          </w:tcPr>
          <w:p>
            <w:pPr>
              <w:ind w:left="100"/>
              <w:spacing w:after="0"/>
              <w:rPr>
                <w:sz w:val="20"/>
                <w:szCs w:val="20"/>
                <w:color w:val="auto"/>
              </w:rPr>
            </w:pPr>
            <w:r>
              <w:rPr>
                <w:rFonts w:ascii="Arial" w:cs="Arial" w:eastAsia="Arial" w:hAnsi="Arial"/>
                <w:sz w:val="18"/>
                <w:szCs w:val="18"/>
                <w:color w:val="auto"/>
              </w:rPr>
              <w:t>Rule 13a-15(e)/15d-15(e) and 13a-15(f)/15d-15(f) Certification.</w:t>
            </w:r>
          </w:p>
        </w:tc>
      </w:tr>
      <w:tr>
        <w:trPr>
          <w:trHeight w:val="270"/>
        </w:trPr>
        <w:tc>
          <w:tcPr>
            <w:tcW w:w="130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31.2</w:t>
            </w:r>
          </w:p>
        </w:tc>
        <w:tc>
          <w:tcPr>
            <w:tcW w:w="360" w:type="dxa"/>
            <w:vAlign w:val="bottom"/>
          </w:tcPr>
          <w:p>
            <w:pPr>
              <w:spacing w:after="0"/>
              <w:rPr>
                <w:sz w:val="23"/>
                <w:szCs w:val="23"/>
                <w:color w:val="auto"/>
              </w:rPr>
            </w:pPr>
          </w:p>
        </w:tc>
        <w:tc>
          <w:tcPr>
            <w:tcW w:w="9660" w:type="dxa"/>
            <w:vAlign w:val="bottom"/>
            <w:gridSpan w:val="3"/>
          </w:tcPr>
          <w:p>
            <w:pPr>
              <w:ind w:left="100"/>
              <w:spacing w:after="0"/>
              <w:rPr>
                <w:sz w:val="20"/>
                <w:szCs w:val="20"/>
                <w:color w:val="auto"/>
              </w:rPr>
            </w:pPr>
            <w:r>
              <w:rPr>
                <w:rFonts w:ascii="Arial" w:cs="Arial" w:eastAsia="Arial" w:hAnsi="Arial"/>
                <w:sz w:val="18"/>
                <w:szCs w:val="18"/>
                <w:color w:val="auto"/>
              </w:rPr>
              <w:t>Rule 13a-15(e)/15d-15(e) and 13a-15(f)/15d-15(f) Certification.</w:t>
            </w:r>
          </w:p>
        </w:tc>
      </w:tr>
      <w:tr>
        <w:trPr>
          <w:trHeight w:val="270"/>
        </w:trPr>
        <w:tc>
          <w:tcPr>
            <w:tcW w:w="130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32</w:t>
            </w:r>
          </w:p>
        </w:tc>
        <w:tc>
          <w:tcPr>
            <w:tcW w:w="360" w:type="dxa"/>
            <w:vAlign w:val="bottom"/>
          </w:tcPr>
          <w:p>
            <w:pPr>
              <w:spacing w:after="0"/>
              <w:rPr>
                <w:sz w:val="23"/>
                <w:szCs w:val="23"/>
                <w:color w:val="auto"/>
              </w:rPr>
            </w:pPr>
          </w:p>
        </w:tc>
        <w:tc>
          <w:tcPr>
            <w:tcW w:w="9660" w:type="dxa"/>
            <w:vAlign w:val="bottom"/>
            <w:gridSpan w:val="3"/>
          </w:tcPr>
          <w:p>
            <w:pPr>
              <w:ind w:left="100"/>
              <w:spacing w:after="0"/>
              <w:rPr>
                <w:sz w:val="20"/>
                <w:szCs w:val="20"/>
                <w:color w:val="auto"/>
              </w:rPr>
            </w:pPr>
            <w:r>
              <w:rPr>
                <w:rFonts w:ascii="Arial" w:cs="Arial" w:eastAsia="Arial" w:hAnsi="Arial"/>
                <w:sz w:val="18"/>
                <w:szCs w:val="18"/>
                <w:color w:val="auto"/>
              </w:rPr>
              <w:t>Section 1350 Certification.</w:t>
            </w:r>
          </w:p>
        </w:tc>
      </w:tr>
      <w:tr>
        <w:trPr>
          <w:trHeight w:val="270"/>
        </w:trPr>
        <w:tc>
          <w:tcPr>
            <w:tcW w:w="1300" w:type="dxa"/>
            <w:vAlign w:val="bottom"/>
            <w:gridSpan w:val="2"/>
          </w:tcPr>
          <w:p>
            <w:pPr>
              <w:jc w:val="center"/>
              <w:ind w:left="350"/>
              <w:spacing w:after="0"/>
              <w:rPr>
                <w:sz w:val="20"/>
                <w:szCs w:val="20"/>
                <w:color w:val="auto"/>
              </w:rPr>
            </w:pPr>
            <w:r>
              <w:rPr>
                <w:rFonts w:ascii="Arial" w:cs="Arial" w:eastAsia="Arial" w:hAnsi="Arial"/>
                <w:sz w:val="18"/>
                <w:szCs w:val="18"/>
                <w:color w:val="auto"/>
                <w:w w:val="86"/>
              </w:rPr>
              <w:t>101</w:t>
            </w:r>
          </w:p>
        </w:tc>
        <w:tc>
          <w:tcPr>
            <w:tcW w:w="360" w:type="dxa"/>
            <w:vAlign w:val="bottom"/>
          </w:tcPr>
          <w:p>
            <w:pPr>
              <w:spacing w:after="0"/>
              <w:rPr>
                <w:sz w:val="23"/>
                <w:szCs w:val="23"/>
                <w:color w:val="auto"/>
              </w:rPr>
            </w:pPr>
          </w:p>
        </w:tc>
        <w:tc>
          <w:tcPr>
            <w:tcW w:w="9660" w:type="dxa"/>
            <w:vAlign w:val="bottom"/>
            <w:gridSpan w:val="3"/>
          </w:tcPr>
          <w:p>
            <w:pPr>
              <w:ind w:left="100"/>
              <w:spacing w:after="0"/>
              <w:rPr>
                <w:sz w:val="20"/>
                <w:szCs w:val="20"/>
                <w:color w:val="auto"/>
              </w:rPr>
            </w:pPr>
            <w:r>
              <w:rPr>
                <w:rFonts w:ascii="Arial" w:cs="Arial" w:eastAsia="Arial" w:hAnsi="Arial"/>
                <w:sz w:val="18"/>
                <w:szCs w:val="18"/>
                <w:color w:val="auto"/>
              </w:rPr>
              <w:t>Interactive Data File.</w:t>
            </w:r>
          </w:p>
        </w:tc>
      </w:tr>
      <w:tr>
        <w:trPr>
          <w:trHeight w:val="702"/>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60" w:type="dxa"/>
            <w:vAlign w:val="bottom"/>
            <w:gridSpan w:val="3"/>
          </w:tcPr>
          <w:p>
            <w:pPr>
              <w:ind w:left="396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320"/>
          </w:cols>
          <w:pgMar w:left="240" w:top="364" w:right="339" w:bottom="1440" w:gutter="0" w:footer="0" w:header="0"/>
        </w:sectPr>
      </w:pPr>
    </w:p>
    <w:bookmarkStart w:id="42" w:name="page43"/>
    <w:bookmarkEnd w:id="42"/>
    <w:p>
      <w:pPr>
        <w:ind w:left="5080"/>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38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300"/>
        <w:spacing w:after="0"/>
        <w:tabs>
          <w:tab w:leader="none" w:pos="6140" w:val="left"/>
        </w:tabs>
        <w:rPr>
          <w:sz w:val="20"/>
          <w:szCs w:val="20"/>
          <w:color w:val="auto"/>
        </w:rPr>
      </w:pPr>
      <w:r>
        <w:rPr>
          <w:rFonts w:ascii="Arial" w:cs="Arial" w:eastAsia="Arial" w:hAnsi="Arial"/>
          <w:sz w:val="18"/>
          <w:szCs w:val="18"/>
          <w:color w:val="auto"/>
        </w:rPr>
        <w:t>April 28, 2016</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60731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300"/>
        <w:spacing w:after="0"/>
        <w:tabs>
          <w:tab w:leader="none" w:pos="5740" w:val="left"/>
        </w:tabs>
        <w:rPr>
          <w:sz w:val="20"/>
          <w:szCs w:val="20"/>
          <w:color w:val="auto"/>
        </w:rPr>
      </w:pPr>
      <w:r>
        <w:rPr>
          <w:rFonts w:ascii="Arial" w:cs="Arial" w:eastAsia="Arial" w:hAnsi="Arial"/>
          <w:sz w:val="18"/>
          <w:szCs w:val="18"/>
          <w:color w:val="auto"/>
        </w:rPr>
        <w:t>April 28, 2016</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60731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Executive Vice President and</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00"/>
          </w:cols>
          <w:pgMar w:left="240" w:top="589" w:right="11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D. Casey, certify that:</w:t>
      </w:r>
    </w:p>
    <w:p>
      <w:pPr>
        <w:spacing w:after="0" w:line="2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60" w:firstLine="5"/>
        <w:spacing w:after="0" w:line="342" w:lineRule="auto"/>
        <w:tabs>
          <w:tab w:leader="none" w:pos="1545"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80" w:firstLine="5"/>
        <w:spacing w:after="0" w:line="277" w:lineRule="auto"/>
        <w:tabs>
          <w:tab w:leader="none" w:pos="155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60"/>
        <w:spacing w:after="0"/>
        <w:tabs>
          <w:tab w:leader="none" w:pos="6980" w:val="left"/>
        </w:tabs>
        <w:rPr>
          <w:sz w:val="20"/>
          <w:szCs w:val="20"/>
          <w:color w:val="auto"/>
        </w:rPr>
      </w:pPr>
      <w:r>
        <w:rPr>
          <w:rFonts w:ascii="Arial" w:cs="Arial" w:eastAsia="Arial" w:hAnsi="Arial"/>
          <w:sz w:val="18"/>
          <w:szCs w:val="18"/>
          <w:color w:val="auto"/>
        </w:rPr>
        <w:t>April 28, 2016</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18351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35150" cy="17145"/>
                    </a:xfrm>
                    <a:prstGeom prst="rect">
                      <a:avLst/>
                    </a:prstGeom>
                    <a:noFill/>
                  </pic:spPr>
                </pic:pic>
              </a:graphicData>
            </a:graphic>
          </wp:anchor>
        </w:drawing>
      </w:r>
    </w:p>
    <w:p>
      <w:pPr>
        <w:spacing w:after="0" w:line="70" w:lineRule="exact"/>
        <w:rPr>
          <w:sz w:val="20"/>
          <w:szCs w:val="20"/>
          <w:color w:val="auto"/>
        </w:rPr>
      </w:pPr>
    </w:p>
    <w:p>
      <w:pPr>
        <w:jc w:val="center"/>
        <w:ind w:left="446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44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34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Richard F. Westenberger, certify that:</w:t>
      </w:r>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60" w:firstLine="5"/>
        <w:spacing w:after="0" w:line="342" w:lineRule="auto"/>
        <w:tabs>
          <w:tab w:leader="none" w:pos="1545"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80" w:firstLine="5"/>
        <w:spacing w:after="0" w:line="277" w:lineRule="auto"/>
        <w:tabs>
          <w:tab w:leader="none" w:pos="15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1960"/>
        <w:spacing w:after="0"/>
        <w:tabs>
          <w:tab w:leader="none" w:pos="6420" w:val="left"/>
        </w:tabs>
        <w:rPr>
          <w:sz w:val="20"/>
          <w:szCs w:val="20"/>
          <w:color w:val="auto"/>
        </w:rPr>
      </w:pPr>
      <w:r>
        <w:rPr>
          <w:rFonts w:ascii="Arial" w:cs="Arial" w:eastAsia="Arial" w:hAnsi="Arial"/>
          <w:sz w:val="18"/>
          <w:szCs w:val="18"/>
          <w:color w:val="auto"/>
        </w:rPr>
        <w:t>April 28, 2016</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16979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8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9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247"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Each of the undersigned in the capacity indicated hereby certifies that, to his knowledge, this Report on Form 10-Q for the fiscal quarter ended April 2, 2016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60"/>
        <w:spacing w:after="0"/>
        <w:tabs>
          <w:tab w:leader="none" w:pos="6580" w:val="left"/>
        </w:tabs>
        <w:rPr>
          <w:sz w:val="20"/>
          <w:szCs w:val="20"/>
          <w:color w:val="auto"/>
        </w:rPr>
      </w:pPr>
      <w:r>
        <w:rPr>
          <w:rFonts w:ascii="Arial" w:cs="Arial" w:eastAsia="Arial" w:hAnsi="Arial"/>
          <w:sz w:val="18"/>
          <w:szCs w:val="18"/>
          <w:color w:val="auto"/>
        </w:rPr>
        <w:t>April 28, 2016</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28473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84" w:lineRule="exact"/>
        <w:rPr>
          <w:sz w:val="20"/>
          <w:szCs w:val="20"/>
          <w:color w:val="auto"/>
        </w:rPr>
      </w:pPr>
    </w:p>
    <w:p>
      <w:pPr>
        <w:jc w:val="center"/>
        <w:ind w:left="368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368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60"/>
        <w:spacing w:after="0"/>
        <w:tabs>
          <w:tab w:leader="none" w:pos="6180" w:val="left"/>
        </w:tabs>
        <w:rPr>
          <w:sz w:val="20"/>
          <w:szCs w:val="20"/>
          <w:color w:val="auto"/>
        </w:rPr>
      </w:pPr>
      <w:r>
        <w:rPr>
          <w:rFonts w:ascii="Arial" w:cs="Arial" w:eastAsia="Arial" w:hAnsi="Arial"/>
          <w:sz w:val="18"/>
          <w:szCs w:val="18"/>
          <w:color w:val="auto"/>
        </w:rPr>
        <w:t>April 28, 2016</w:t>
      </w:r>
      <w:r>
        <w:rPr>
          <w:sz w:val="20"/>
          <w:szCs w:val="20"/>
          <w:color w:val="auto"/>
        </w:rPr>
        <w:tab/>
      </w:r>
      <w:r>
        <w:rPr>
          <w:rFonts w:ascii="Arial" w:cs="Arial" w:eastAsia="Arial" w:hAnsi="Arial"/>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28473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8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420"/>
      </w:cols>
      <w:pgMar w:left="240" w:top="2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2019-12-29T12:20:45Z</dcterms:created>
  <dcterms:modified xsi:type="dcterms:W3CDTF">2019-12-29T12:20:45Z</dcterms:modified>
</cp:coreProperties>
</file>