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49" w:lineRule="exact"/>
        <w:rPr>
          <w:sz w:val="24"/>
          <w:szCs w:val="24"/>
          <w:color w:val="auto"/>
        </w:rPr>
      </w:pPr>
    </w:p>
    <w:p>
      <w:pPr>
        <w:ind w:left="360" w:right="440" w:hanging="336"/>
        <w:spacing w:after="0" w:line="303" w:lineRule="auto"/>
        <w:tabs>
          <w:tab w:leader="none" w:pos="38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29, 2018 OR</w:t>
      </w:r>
    </w:p>
    <w:p>
      <w:pPr>
        <w:spacing w:after="0" w:line="92" w:lineRule="exact"/>
        <w:rPr>
          <w:sz w:val="24"/>
          <w:szCs w:val="24"/>
          <w:color w:val="auto"/>
        </w:rPr>
      </w:pPr>
    </w:p>
    <w:p>
      <w:pPr>
        <w:ind w:left="360" w:hanging="336"/>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w:t>
      </w:r>
    </w:p>
    <w:p>
      <w:pPr>
        <w:spacing w:after="0" w:line="35" w:lineRule="exact"/>
        <w:rPr>
          <w:rFonts w:ascii="MS PGothic" w:cs="MS PGothic" w:eastAsia="MS PGothic" w:hAnsi="MS PGothic"/>
          <w:sz w:val="16"/>
          <w:szCs w:val="16"/>
          <w:color w:val="auto"/>
        </w:rPr>
      </w:pPr>
    </w:p>
    <w:p>
      <w:pPr>
        <w:ind w:left="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EXCHANGE ACT OF 1934 FOR THE TRANSITION PERIOD FROM _____</w:t>
      </w:r>
    </w:p>
    <w:p>
      <w:pPr>
        <w:spacing w:after="0" w:line="12" w:lineRule="exact"/>
        <w:rPr>
          <w:rFonts w:ascii="MS PGothic" w:cs="MS PGothic" w:eastAsia="MS PGothic" w:hAnsi="MS PGothic"/>
          <w:sz w:val="16"/>
          <w:szCs w:val="16"/>
          <w:color w:val="auto"/>
        </w:rPr>
      </w:pPr>
    </w:p>
    <w:p>
      <w:pPr>
        <w:ind w:left="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TO 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001-31829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CARTER’S,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420"/>
          </w:cols>
          <w:pgMar w:left="240" w:top="222" w:right="239" w:bottom="1440" w:gutter="0" w:footer="0" w:header="0"/>
        </w:sectPr>
      </w:pPr>
    </w:p>
    <w:p>
      <w:pPr>
        <w:spacing w:after="0" w:line="140"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280"/>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67" w:lineRule="exact"/>
        <w:rPr>
          <w:sz w:val="24"/>
          <w:szCs w:val="24"/>
          <w:color w:val="auto"/>
        </w:rPr>
      </w:pPr>
    </w:p>
    <w:p>
      <w:pPr>
        <w:sectPr>
          <w:pgSz w:w="11900" w:h="16838" w:orient="portrait"/>
          <w:cols w:equalWidth="0" w:num="2">
            <w:col w:w="6620" w:space="720"/>
            <w:col w:w="4080"/>
          </w:cols>
          <w:pgMar w:left="240" w:top="222" w:right="239" w:bottom="1440" w:gutter="0" w:footer="0" w:header="0"/>
          <w:type w:val="continuous"/>
        </w:sectPr>
      </w:pPr>
    </w:p>
    <w:p>
      <w:pPr>
        <w:ind w:left="27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63"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47" w:lineRule="exact"/>
        <w:rPr>
          <w:sz w:val="24"/>
          <w:szCs w:val="24"/>
          <w:color w:val="auto"/>
        </w:rPr>
      </w:pPr>
    </w:p>
    <w:p>
      <w:pPr>
        <w:sectPr>
          <w:pgSz w:w="11900" w:h="16838" w:orient="portrait"/>
          <w:cols w:equalWidth="0" w:num="2">
            <w:col w:w="5820" w:space="720"/>
            <w:col w:w="4880"/>
          </w:cols>
          <w:pgMar w:left="240" w:top="222" w:right="2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Phipps Tower</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3438 Peachtree Road NE, Suite 1800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Atlanta, Georgia 30326</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(678) 791-1000</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color w:val="auto"/>
        </w:rPr>
        <w:t>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62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5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
        </w:trPr>
        <w:tc>
          <w:tcPr>
            <w:tcW w:w="57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5"/>
        </w:trPr>
        <w:tc>
          <w:tcPr>
            <w:tcW w:w="62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Carter's, Inc.'s common stock par value $0.01 per share</w:t>
            </w:r>
          </w:p>
        </w:tc>
        <w:tc>
          <w:tcPr>
            <w:tcW w:w="5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None</w:t>
      </w:r>
    </w:p>
    <w:p>
      <w:pPr>
        <w:spacing w:after="0" w:line="1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 (X) No ( )</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 ( ) No (X)</w:t>
      </w:r>
    </w:p>
    <w:p>
      <w:pPr>
        <w:spacing w:after="0" w:line="211" w:lineRule="exact"/>
        <w:rPr>
          <w:sz w:val="24"/>
          <w:szCs w:val="24"/>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46"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4"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ectPr>
          <w:pgSz w:w="11900" w:h="16838" w:orient="portrait"/>
          <w:cols w:equalWidth="0" w:num="1">
            <w:col w:w="11420"/>
          </w:cols>
          <w:pgMar w:left="240" w:top="222" w:right="239" w:bottom="1440" w:gutter="0" w:footer="0" w:header="0"/>
          <w:type w:val="continuous"/>
        </w:sectPr>
      </w:pPr>
    </w:p>
    <w:bookmarkStart w:id="1" w:name="page2"/>
    <w:bookmarkEnd w:id="1"/>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Large Accelerated Filer (X) Accelerated Filer (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Non-Accelerated Filer ( ) (Do not check if a smaller reporting company) Smaller Reporting Company (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Emerging Growth Company ( )</w:t>
      </w:r>
    </w:p>
    <w:p>
      <w:pPr>
        <w:spacing w:after="0" w:line="194"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 ( ) No (X)</w:t>
      </w:r>
    </w:p>
    <w:p>
      <w:pPr>
        <w:spacing w:after="0" w:line="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approximate aggregate market value of the voting stock held by non-affiliates of the Registrant as of June 30, 2018 (the last business day of our most recently completed second quarter) was $4,867,389,196.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45,526,000 shares of Carter's, Inc. common stock with a par value of $0.01 per share outstanding as of the close of business on February 19, 2019.</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Portions of the definitive proxy statement to be filed with the Securities and Exchange Commission pursuant to Regulation 14A relating to the Annual Meeting of shareholders of Carter's, Inc., scheduled to be held on May 16, 2019, will be incorporated by reference in Part III of this Form 10-K. Carter's, Inc. intends to file such proxy statement with the Securities and Exchange Commission not later than 120 days after its fiscal year ended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728345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3450" cy="4127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ANNUAL REPORT ON FORM 10-K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 ENDED DECEMBER 29, 2018</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tcBorders>
              <w:bottom w:val="single" w:sz="8" w:color="auto"/>
            </w:tcBorders>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8"/>
        </w:trPr>
        <w:tc>
          <w:tcPr>
            <w:tcW w:w="20" w:type="dxa"/>
            <w:vAlign w:val="bottom"/>
          </w:tcPr>
          <w:p>
            <w:pPr>
              <w:spacing w:after="0"/>
              <w:rPr>
                <w:sz w:val="15"/>
                <w:szCs w:val="15"/>
                <w:color w:val="auto"/>
              </w:rPr>
            </w:pPr>
          </w:p>
        </w:tc>
        <w:tc>
          <w:tcPr>
            <w:tcW w:w="1880" w:type="dxa"/>
            <w:vAlign w:val="bottom"/>
            <w:gridSpan w:val="10"/>
          </w:tcPr>
          <w:p>
            <w:pPr>
              <w:spacing w:after="0" w:line="178" w:lineRule="exact"/>
              <w:rPr>
                <w:rFonts w:ascii="Times New Roman" w:cs="Times New Roman" w:eastAsia="Times New Roman" w:hAnsi="Times New Roman"/>
                <w:sz w:val="16"/>
                <w:szCs w:val="16"/>
                <w:b w:val="1"/>
                <w:bCs w:val="1"/>
                <w:color w:val="0000FF"/>
              </w:rPr>
            </w:pPr>
            <w:hyperlink w:anchor="page24">
              <w:r>
                <w:rPr>
                  <w:rFonts w:ascii="Times New Roman" w:cs="Times New Roman" w:eastAsia="Times New Roman" w:hAnsi="Times New Roman"/>
                  <w:sz w:val="16"/>
                  <w:szCs w:val="16"/>
                  <w:b w:val="1"/>
                  <w:bCs w:val="1"/>
                  <w:color w:val="0000FF"/>
                </w:rPr>
                <w:t>Part I</w:t>
              </w:r>
            </w:hyperlink>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5"/>
          </w:tcPr>
          <w:p>
            <w:pPr>
              <w:jc w:val="right"/>
              <w:ind w:right="20"/>
              <w:spacing w:after="0" w:line="178"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1</w:t>
              </w:r>
            </w:hyperlink>
          </w:p>
        </w:tc>
      </w:tr>
      <w:tr>
        <w:trPr>
          <w:trHeight w:val="42"/>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Item 1</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Business</w:t>
              </w:r>
            </w:hyperlink>
          </w:p>
        </w:tc>
        <w:tc>
          <w:tcPr>
            <w:tcW w:w="1360" w:type="dxa"/>
            <w:vAlign w:val="bottom"/>
            <w:gridSpan w:val="5"/>
            <w:shd w:val="clear" w:color="auto" w:fill="CCEEFF"/>
          </w:tcPr>
          <w:p>
            <w:pPr>
              <w:jc w:val="right"/>
              <w:ind w:right="20"/>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1</w:t>
              </w:r>
            </w:hyperlink>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6"/>
          </w:tcPr>
          <w:p>
            <w:pPr>
              <w:spacing w:after="0"/>
              <w:rPr>
                <w:rFonts w:ascii="Times New Roman" w:cs="Times New Roman" w:eastAsia="Times New Roman" w:hAnsi="Times New Roman"/>
                <w:sz w:val="16"/>
                <w:szCs w:val="16"/>
                <w:color w:val="0000EE"/>
              </w:rPr>
            </w:pPr>
            <w:hyperlink w:anchor="page12">
              <w:r>
                <w:rPr>
                  <w:rFonts w:ascii="Times New Roman" w:cs="Times New Roman" w:eastAsia="Times New Roman" w:hAnsi="Times New Roman"/>
                  <w:sz w:val="16"/>
                  <w:szCs w:val="16"/>
                  <w:color w:val="0000EE"/>
                </w:rPr>
                <w:t>Item 1A</w:t>
              </w:r>
            </w:hyperlink>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12">
              <w:r>
                <w:rPr>
                  <w:rFonts w:ascii="Times New Roman" w:cs="Times New Roman" w:eastAsia="Times New Roman" w:hAnsi="Times New Roman"/>
                  <w:sz w:val="16"/>
                  <w:szCs w:val="16"/>
                  <w:color w:val="0000FF"/>
                </w:rPr>
                <w:t>Risk Factors</w:t>
              </w:r>
            </w:hyperlink>
          </w:p>
        </w:tc>
        <w:tc>
          <w:tcPr>
            <w:tcW w:w="1360" w:type="dxa"/>
            <w:vAlign w:val="bottom"/>
            <w:gridSpan w:val="5"/>
          </w:tcPr>
          <w:p>
            <w:pPr>
              <w:jc w:val="right"/>
              <w:ind w:right="20"/>
              <w:spacing w:after="0"/>
              <w:rPr>
                <w:rFonts w:ascii="Times New Roman" w:cs="Times New Roman" w:eastAsia="Times New Roman" w:hAnsi="Times New Roman"/>
                <w:sz w:val="16"/>
                <w:szCs w:val="16"/>
                <w:color w:val="0000FF"/>
              </w:rPr>
            </w:pPr>
            <w:hyperlink w:anchor="page12">
              <w:r>
                <w:rPr>
                  <w:rFonts w:ascii="Times New Roman" w:cs="Times New Roman" w:eastAsia="Times New Roman" w:hAnsi="Times New Roman"/>
                  <w:sz w:val="16"/>
                  <w:szCs w:val="16"/>
                  <w:color w:val="0000FF"/>
                </w:rPr>
                <w:t>9</w:t>
              </w:r>
            </w:hyperlink>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gridSpan w:val="5"/>
            <w:shd w:val="clear" w:color="auto" w:fill="CCEEFF"/>
          </w:tcPr>
          <w:p>
            <w:pPr>
              <w:spacing w:after="0"/>
              <w:rPr>
                <w:rFonts w:ascii="Times New Roman" w:cs="Times New Roman" w:eastAsia="Times New Roman" w:hAnsi="Times New Roman"/>
                <w:sz w:val="16"/>
                <w:szCs w:val="16"/>
                <w:color w:val="0000EE"/>
                <w:w w:val="99"/>
              </w:rPr>
            </w:pPr>
            <w:hyperlink w:anchor="page22">
              <w:r>
                <w:rPr>
                  <w:rFonts w:ascii="Times New Roman" w:cs="Times New Roman" w:eastAsia="Times New Roman" w:hAnsi="Times New Roman"/>
                  <w:sz w:val="16"/>
                  <w:szCs w:val="16"/>
                  <w:color w:val="0000EE"/>
                  <w:w w:val="99"/>
                </w:rPr>
                <w:t>Item 1B</w:t>
              </w:r>
            </w:hyperlink>
          </w:p>
        </w:tc>
        <w:tc>
          <w:tcPr>
            <w:tcW w:w="300" w:type="dxa"/>
            <w:vAlign w:val="bottom"/>
            <w:shd w:val="clear" w:color="auto" w:fill="CCEEFF"/>
          </w:tcPr>
          <w:p>
            <w:pPr>
              <w:spacing w:after="0"/>
              <w:rPr>
                <w:sz w:val="16"/>
                <w:szCs w:val="16"/>
                <w:color w:val="auto"/>
              </w:rPr>
            </w:pPr>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Unresolved Staff Comments</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19</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gridSpan w:val="5"/>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Item 2</w:t>
              </w:r>
            </w:hyperlink>
          </w:p>
        </w:tc>
        <w:tc>
          <w:tcPr>
            <w:tcW w:w="300" w:type="dxa"/>
            <w:vAlign w:val="bottom"/>
          </w:tcPr>
          <w:p>
            <w:pPr>
              <w:spacing w:after="0"/>
              <w:rPr>
                <w:sz w:val="16"/>
                <w:szCs w:val="16"/>
                <w:color w:val="auto"/>
              </w:rPr>
            </w:pPr>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Properties</w:t>
              </w:r>
            </w:hyperlink>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19</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Item 3</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23">
              <w:r>
                <w:rPr>
                  <w:rFonts w:ascii="Times New Roman" w:cs="Times New Roman" w:eastAsia="Times New Roman" w:hAnsi="Times New Roman"/>
                  <w:sz w:val="16"/>
                  <w:szCs w:val="16"/>
                  <w:color w:val="0000FF"/>
                </w:rPr>
                <w:t>Legal Proceedings</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23">
              <w:r>
                <w:rPr>
                  <w:rFonts w:ascii="Times New Roman" w:cs="Times New Roman" w:eastAsia="Times New Roman" w:hAnsi="Times New Roman"/>
                  <w:sz w:val="16"/>
                  <w:szCs w:val="16"/>
                  <w:color w:val="0000FF"/>
                </w:rPr>
                <w:t>20</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6"/>
          </w:tcPr>
          <w:p>
            <w:pPr>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Item 4</w:t>
              </w:r>
            </w:hyperlink>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23">
              <w:r>
                <w:rPr>
                  <w:rFonts w:ascii="Times New Roman" w:cs="Times New Roman" w:eastAsia="Times New Roman" w:hAnsi="Times New Roman"/>
                  <w:sz w:val="16"/>
                  <w:szCs w:val="16"/>
                  <w:color w:val="0000FF"/>
                </w:rPr>
                <w:t>Mine Safety Disclosures</w:t>
              </w:r>
            </w:hyperlink>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23">
              <w:r>
                <w:rPr>
                  <w:rFonts w:ascii="Times New Roman" w:cs="Times New Roman" w:eastAsia="Times New Roman" w:hAnsi="Times New Roman"/>
                  <w:sz w:val="16"/>
                  <w:szCs w:val="16"/>
                  <w:color w:val="0000FF"/>
                </w:rPr>
                <w:t>20</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1880" w:type="dxa"/>
            <w:vAlign w:val="bottom"/>
            <w:gridSpan w:val="10"/>
            <w:shd w:val="clear" w:color="auto" w:fill="CCEEFF"/>
          </w:tcPr>
          <w:p>
            <w:pPr>
              <w:spacing w:after="0"/>
              <w:rPr>
                <w:rFonts w:ascii="Times New Roman" w:cs="Times New Roman" w:eastAsia="Times New Roman" w:hAnsi="Times New Roman"/>
                <w:sz w:val="16"/>
                <w:szCs w:val="16"/>
                <w:b w:val="1"/>
                <w:bCs w:val="1"/>
                <w:color w:val="0000FF"/>
              </w:rPr>
            </w:pPr>
            <w:hyperlink w:anchor="page24">
              <w:r>
                <w:rPr>
                  <w:rFonts w:ascii="Times New Roman" w:cs="Times New Roman" w:eastAsia="Times New Roman" w:hAnsi="Times New Roman"/>
                  <w:sz w:val="16"/>
                  <w:szCs w:val="16"/>
                  <w:b w:val="1"/>
                  <w:bCs w:val="1"/>
                  <w:color w:val="0000FF"/>
                </w:rPr>
                <w:t>Part II</w:t>
              </w:r>
            </w:hyperlink>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21</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6"/>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Item 5</w:t>
              </w:r>
            </w:hyperlink>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Market for Registrant's Common Equity, Related Stockholder Matters, and Issuer Purchases of Equity Securities</w:t>
              </w:r>
            </w:hyperlink>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21</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19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26">
              <w:r>
                <w:rPr>
                  <w:rFonts w:ascii="Times New Roman" w:cs="Times New Roman" w:eastAsia="Times New Roman" w:hAnsi="Times New Roman"/>
                  <w:sz w:val="16"/>
                  <w:szCs w:val="16"/>
                  <w:color w:val="0000EE"/>
                </w:rPr>
                <w:t>Item 6</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Selected Financial Data</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23</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6"/>
          </w:tcPr>
          <w:p>
            <w:pPr>
              <w:spacing w:after="0"/>
              <w:rPr>
                <w:rFonts w:ascii="Times New Roman" w:cs="Times New Roman" w:eastAsia="Times New Roman" w:hAnsi="Times New Roman"/>
                <w:sz w:val="16"/>
                <w:szCs w:val="16"/>
                <w:color w:val="0000EE"/>
              </w:rPr>
            </w:pPr>
            <w:hyperlink w:anchor="page27">
              <w:r>
                <w:rPr>
                  <w:rFonts w:ascii="Times New Roman" w:cs="Times New Roman" w:eastAsia="Times New Roman" w:hAnsi="Times New Roman"/>
                  <w:sz w:val="16"/>
                  <w:szCs w:val="16"/>
                  <w:color w:val="0000EE"/>
                </w:rPr>
                <w:t>Item 7</w:t>
              </w:r>
            </w:hyperlink>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Management's Discussion and Analysis of Financial Condition and Results of Operations</w:t>
              </w:r>
            </w:hyperlink>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24</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19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46">
              <w:r>
                <w:rPr>
                  <w:rFonts w:ascii="Times New Roman" w:cs="Times New Roman" w:eastAsia="Times New Roman" w:hAnsi="Times New Roman"/>
                  <w:sz w:val="16"/>
                  <w:szCs w:val="16"/>
                  <w:color w:val="0000EE"/>
                </w:rPr>
                <w:t>Item 7A</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46">
              <w:r>
                <w:rPr>
                  <w:rFonts w:ascii="Times New Roman" w:cs="Times New Roman" w:eastAsia="Times New Roman" w:hAnsi="Times New Roman"/>
                  <w:sz w:val="16"/>
                  <w:szCs w:val="16"/>
                  <w:color w:val="0000FF"/>
                </w:rPr>
                <w:t>Quantitative and Qualitative Disclosures about Market Risk</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46">
              <w:r>
                <w:rPr>
                  <w:rFonts w:ascii="Times New Roman" w:cs="Times New Roman" w:eastAsia="Times New Roman" w:hAnsi="Times New Roman"/>
                  <w:sz w:val="16"/>
                  <w:szCs w:val="16"/>
                  <w:color w:val="0000FF"/>
                </w:rPr>
                <w:t>43</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gridSpan w:val="5"/>
          </w:tcPr>
          <w:p>
            <w:pPr>
              <w:spacing w:after="0"/>
              <w:rPr>
                <w:rFonts w:ascii="Times New Roman" w:cs="Times New Roman" w:eastAsia="Times New Roman" w:hAnsi="Times New Roman"/>
                <w:sz w:val="16"/>
                <w:szCs w:val="16"/>
                <w:color w:val="0000EE"/>
              </w:rPr>
            </w:pPr>
            <w:hyperlink w:anchor="page48">
              <w:r>
                <w:rPr>
                  <w:rFonts w:ascii="Times New Roman" w:cs="Times New Roman" w:eastAsia="Times New Roman" w:hAnsi="Times New Roman"/>
                  <w:sz w:val="16"/>
                  <w:szCs w:val="16"/>
                  <w:color w:val="0000EE"/>
                </w:rPr>
                <w:t>Item 8</w:t>
              </w:r>
            </w:hyperlink>
          </w:p>
        </w:tc>
        <w:tc>
          <w:tcPr>
            <w:tcW w:w="300" w:type="dxa"/>
            <w:vAlign w:val="bottom"/>
          </w:tcPr>
          <w:p>
            <w:pPr>
              <w:spacing w:after="0"/>
              <w:rPr>
                <w:sz w:val="16"/>
                <w:szCs w:val="16"/>
                <w:color w:val="auto"/>
              </w:rPr>
            </w:pPr>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Financial Statements and Supplementary Data</w:t>
              </w:r>
            </w:hyperlink>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45</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99">
              <w:r>
                <w:rPr>
                  <w:rFonts w:ascii="Times New Roman" w:cs="Times New Roman" w:eastAsia="Times New Roman" w:hAnsi="Times New Roman"/>
                  <w:sz w:val="16"/>
                  <w:szCs w:val="16"/>
                  <w:color w:val="0000EE"/>
                </w:rPr>
                <w:t>Item 9</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99">
              <w:r>
                <w:rPr>
                  <w:rFonts w:ascii="Times New Roman" w:cs="Times New Roman" w:eastAsia="Times New Roman" w:hAnsi="Times New Roman"/>
                  <w:sz w:val="16"/>
                  <w:szCs w:val="16"/>
                  <w:color w:val="0000FF"/>
                </w:rPr>
                <w:t>Changes in and Disagreements with Accountants on Accounting and Financial Disclosure</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99">
              <w:r>
                <w:rPr>
                  <w:rFonts w:ascii="Times New Roman" w:cs="Times New Roman" w:eastAsia="Times New Roman" w:hAnsi="Times New Roman"/>
                  <w:sz w:val="16"/>
                  <w:szCs w:val="16"/>
                  <w:color w:val="0000FF"/>
                </w:rPr>
                <w:t>96</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19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6"/>
          </w:tcPr>
          <w:p>
            <w:pPr>
              <w:spacing w:after="0"/>
              <w:rPr>
                <w:rFonts w:ascii="Times New Roman" w:cs="Times New Roman" w:eastAsia="Times New Roman" w:hAnsi="Times New Roman"/>
                <w:sz w:val="16"/>
                <w:szCs w:val="16"/>
                <w:color w:val="0000EE"/>
              </w:rPr>
            </w:pPr>
            <w:hyperlink w:anchor="page99">
              <w:r>
                <w:rPr>
                  <w:rFonts w:ascii="Times New Roman" w:cs="Times New Roman" w:eastAsia="Times New Roman" w:hAnsi="Times New Roman"/>
                  <w:sz w:val="16"/>
                  <w:szCs w:val="16"/>
                  <w:color w:val="0000EE"/>
                </w:rPr>
                <w:t>Item 9A</w:t>
              </w:r>
            </w:hyperlink>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99">
              <w:r>
                <w:rPr>
                  <w:rFonts w:ascii="Times New Roman" w:cs="Times New Roman" w:eastAsia="Times New Roman" w:hAnsi="Times New Roman"/>
                  <w:sz w:val="16"/>
                  <w:szCs w:val="16"/>
                  <w:color w:val="0000FF"/>
                </w:rPr>
                <w:t>Controls and Procedures</w:t>
              </w:r>
            </w:hyperlink>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99">
              <w:r>
                <w:rPr>
                  <w:rFonts w:ascii="Times New Roman" w:cs="Times New Roman" w:eastAsia="Times New Roman" w:hAnsi="Times New Roman"/>
                  <w:sz w:val="16"/>
                  <w:szCs w:val="16"/>
                  <w:color w:val="0000FF"/>
                </w:rPr>
                <w:t>96</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gridSpan w:val="5"/>
            <w:shd w:val="clear" w:color="auto" w:fill="CCEEFF"/>
          </w:tcPr>
          <w:p>
            <w:pPr>
              <w:spacing w:after="0"/>
              <w:rPr>
                <w:rFonts w:ascii="Times New Roman" w:cs="Times New Roman" w:eastAsia="Times New Roman" w:hAnsi="Times New Roman"/>
                <w:sz w:val="16"/>
                <w:szCs w:val="16"/>
                <w:color w:val="0000EE"/>
                <w:w w:val="99"/>
              </w:rPr>
            </w:pPr>
            <w:hyperlink w:anchor="page100">
              <w:r>
                <w:rPr>
                  <w:rFonts w:ascii="Times New Roman" w:cs="Times New Roman" w:eastAsia="Times New Roman" w:hAnsi="Times New Roman"/>
                  <w:sz w:val="16"/>
                  <w:szCs w:val="16"/>
                  <w:color w:val="0000EE"/>
                  <w:w w:val="99"/>
                </w:rPr>
                <w:t>Item 9B</w:t>
              </w:r>
            </w:hyperlink>
          </w:p>
        </w:tc>
        <w:tc>
          <w:tcPr>
            <w:tcW w:w="300" w:type="dxa"/>
            <w:vAlign w:val="bottom"/>
            <w:shd w:val="clear" w:color="auto" w:fill="CCEEFF"/>
          </w:tcPr>
          <w:p>
            <w:pPr>
              <w:spacing w:after="0"/>
              <w:rPr>
                <w:sz w:val="16"/>
                <w:szCs w:val="16"/>
                <w:color w:val="auto"/>
              </w:rPr>
            </w:pPr>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Other Information</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97</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4"/>
          </w:tcPr>
          <w:p>
            <w:pPr>
              <w:spacing w:after="0"/>
              <w:rPr>
                <w:rFonts w:ascii="Times New Roman" w:cs="Times New Roman" w:eastAsia="Times New Roman" w:hAnsi="Times New Roman"/>
                <w:sz w:val="16"/>
                <w:szCs w:val="16"/>
                <w:b w:val="1"/>
                <w:bCs w:val="1"/>
                <w:color w:val="0000FF"/>
              </w:rPr>
            </w:pPr>
            <w:hyperlink w:anchor="page100">
              <w:r>
                <w:rPr>
                  <w:rFonts w:ascii="Times New Roman" w:cs="Times New Roman" w:eastAsia="Times New Roman" w:hAnsi="Times New Roman"/>
                  <w:sz w:val="16"/>
                  <w:szCs w:val="16"/>
                  <w:b w:val="1"/>
                  <w:bCs w:val="1"/>
                  <w:color w:val="0000FF"/>
                </w:rPr>
                <w:t>Part III</w:t>
              </w:r>
            </w:hyperlink>
          </w:p>
        </w:tc>
        <w:tc>
          <w:tcPr>
            <w:tcW w:w="540" w:type="dxa"/>
            <w:vAlign w:val="bottom"/>
            <w:gridSpan w:val="5"/>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97</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100">
              <w:r>
                <w:rPr>
                  <w:rFonts w:ascii="Times New Roman" w:cs="Times New Roman" w:eastAsia="Times New Roman" w:hAnsi="Times New Roman"/>
                  <w:sz w:val="16"/>
                  <w:szCs w:val="16"/>
                  <w:color w:val="0000EE"/>
                </w:rPr>
                <w:t>Item 10</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Directors and Executive Officers of the Registrant</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97</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6"/>
          </w:tcPr>
          <w:p>
            <w:pPr>
              <w:spacing w:after="0"/>
              <w:rPr>
                <w:rFonts w:ascii="Times New Roman" w:cs="Times New Roman" w:eastAsia="Times New Roman" w:hAnsi="Times New Roman"/>
                <w:sz w:val="16"/>
                <w:szCs w:val="16"/>
                <w:color w:val="0000EE"/>
              </w:rPr>
            </w:pPr>
            <w:hyperlink w:anchor="page100">
              <w:r>
                <w:rPr>
                  <w:rFonts w:ascii="Times New Roman" w:cs="Times New Roman" w:eastAsia="Times New Roman" w:hAnsi="Times New Roman"/>
                  <w:sz w:val="16"/>
                  <w:szCs w:val="16"/>
                  <w:color w:val="0000EE"/>
                </w:rPr>
                <w:t>Item 11</w:t>
              </w:r>
            </w:hyperlink>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Executive Compensation</w:t>
              </w:r>
            </w:hyperlink>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97</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100">
              <w:r>
                <w:rPr>
                  <w:rFonts w:ascii="Times New Roman" w:cs="Times New Roman" w:eastAsia="Times New Roman" w:hAnsi="Times New Roman"/>
                  <w:sz w:val="16"/>
                  <w:szCs w:val="16"/>
                  <w:color w:val="0000EE"/>
                </w:rPr>
                <w:t>Item 12</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Security Ownership of Certain Beneficial Owners and Management and Related Stockholder Matters</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97</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19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6"/>
          </w:tcPr>
          <w:p>
            <w:pPr>
              <w:spacing w:after="0"/>
              <w:rPr>
                <w:rFonts w:ascii="Times New Roman" w:cs="Times New Roman" w:eastAsia="Times New Roman" w:hAnsi="Times New Roman"/>
                <w:sz w:val="16"/>
                <w:szCs w:val="16"/>
                <w:color w:val="0000EE"/>
              </w:rPr>
            </w:pPr>
            <w:hyperlink w:anchor="page100">
              <w:r>
                <w:rPr>
                  <w:rFonts w:ascii="Times New Roman" w:cs="Times New Roman" w:eastAsia="Times New Roman" w:hAnsi="Times New Roman"/>
                  <w:sz w:val="16"/>
                  <w:szCs w:val="16"/>
                  <w:color w:val="0000EE"/>
                </w:rPr>
                <w:t>Item 13</w:t>
              </w:r>
            </w:hyperlink>
          </w:p>
        </w:tc>
        <w:tc>
          <w:tcPr>
            <w:tcW w:w="8160" w:type="dxa"/>
            <w:vAlign w:val="bottom"/>
            <w:gridSpan w:val="22"/>
          </w:tcPr>
          <w:p>
            <w:pPr>
              <w:ind w:left="300"/>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Certain Relationships and Related Transactions</w:t>
              </w:r>
            </w:hyperlink>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97</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100">
              <w:r>
                <w:rPr>
                  <w:rFonts w:ascii="Times New Roman" w:cs="Times New Roman" w:eastAsia="Times New Roman" w:hAnsi="Times New Roman"/>
                  <w:sz w:val="16"/>
                  <w:szCs w:val="16"/>
                  <w:color w:val="0000EE"/>
                </w:rPr>
                <w:t>Item 14</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Principal Accountant Fees and Services</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97</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4"/>
          </w:tcPr>
          <w:p>
            <w:pPr>
              <w:spacing w:after="0"/>
              <w:rPr>
                <w:rFonts w:ascii="Times New Roman" w:cs="Times New Roman" w:eastAsia="Times New Roman" w:hAnsi="Times New Roman"/>
                <w:sz w:val="16"/>
                <w:szCs w:val="16"/>
                <w:b w:val="1"/>
                <w:bCs w:val="1"/>
                <w:color w:val="0000FF"/>
              </w:rPr>
            </w:pPr>
            <w:hyperlink w:anchor="page101">
              <w:r>
                <w:rPr>
                  <w:rFonts w:ascii="Times New Roman" w:cs="Times New Roman" w:eastAsia="Times New Roman" w:hAnsi="Times New Roman"/>
                  <w:sz w:val="16"/>
                  <w:szCs w:val="16"/>
                  <w:b w:val="1"/>
                  <w:bCs w:val="1"/>
                  <w:color w:val="0000FF"/>
                </w:rPr>
                <w:t>Part IV</w:t>
              </w:r>
            </w:hyperlink>
          </w:p>
        </w:tc>
        <w:tc>
          <w:tcPr>
            <w:tcW w:w="500" w:type="dxa"/>
            <w:vAlign w:val="bottom"/>
            <w:gridSpan w:val="4"/>
          </w:tcPr>
          <w:p>
            <w:pPr>
              <w:spacing w:after="0"/>
              <w:rPr>
                <w:sz w:val="16"/>
                <w:szCs w:val="16"/>
                <w:color w:val="auto"/>
              </w:rPr>
            </w:pPr>
          </w:p>
        </w:tc>
        <w:tc>
          <w:tcPr>
            <w:tcW w:w="34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4"/>
          </w:tcPr>
          <w:p>
            <w:pPr>
              <w:jc w:val="right"/>
              <w:spacing w:after="0"/>
              <w:rPr>
                <w:rFonts w:ascii="Times New Roman" w:cs="Times New Roman" w:eastAsia="Times New Roman" w:hAnsi="Times New Roman"/>
                <w:sz w:val="16"/>
                <w:szCs w:val="16"/>
                <w:color w:val="0000FF"/>
              </w:rPr>
            </w:pPr>
            <w:hyperlink w:anchor="page101">
              <w:r>
                <w:rPr>
                  <w:rFonts w:ascii="Times New Roman" w:cs="Times New Roman" w:eastAsia="Times New Roman" w:hAnsi="Times New Roman"/>
                  <w:sz w:val="16"/>
                  <w:szCs w:val="16"/>
                  <w:color w:val="0000FF"/>
                </w:rPr>
                <w:t>98</w:t>
              </w:r>
            </w:hyperlink>
          </w:p>
        </w:tc>
        <w:tc>
          <w:tcPr>
            <w:tcW w:w="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6"/>
            <w:shd w:val="clear" w:color="auto" w:fill="CCEEFF"/>
          </w:tcPr>
          <w:p>
            <w:pPr>
              <w:spacing w:after="0"/>
              <w:rPr>
                <w:rFonts w:ascii="Times New Roman" w:cs="Times New Roman" w:eastAsia="Times New Roman" w:hAnsi="Times New Roman"/>
                <w:sz w:val="16"/>
                <w:szCs w:val="16"/>
                <w:color w:val="0000EE"/>
              </w:rPr>
            </w:pPr>
            <w:hyperlink w:anchor="page101">
              <w:r>
                <w:rPr>
                  <w:rFonts w:ascii="Times New Roman" w:cs="Times New Roman" w:eastAsia="Times New Roman" w:hAnsi="Times New Roman"/>
                  <w:sz w:val="16"/>
                  <w:szCs w:val="16"/>
                  <w:color w:val="0000EE"/>
                </w:rPr>
                <w:t>Item 15</w:t>
              </w:r>
            </w:hyperlink>
          </w:p>
        </w:tc>
        <w:tc>
          <w:tcPr>
            <w:tcW w:w="8160" w:type="dxa"/>
            <w:vAlign w:val="bottom"/>
            <w:gridSpan w:val="22"/>
            <w:shd w:val="clear" w:color="auto" w:fill="CCEEFF"/>
          </w:tcPr>
          <w:p>
            <w:pPr>
              <w:ind w:left="300"/>
              <w:spacing w:after="0"/>
              <w:rPr>
                <w:rFonts w:ascii="Times New Roman" w:cs="Times New Roman" w:eastAsia="Times New Roman" w:hAnsi="Times New Roman"/>
                <w:sz w:val="16"/>
                <w:szCs w:val="16"/>
                <w:color w:val="0000FF"/>
              </w:rPr>
            </w:pPr>
            <w:hyperlink w:anchor="page101">
              <w:r>
                <w:rPr>
                  <w:rFonts w:ascii="Times New Roman" w:cs="Times New Roman" w:eastAsia="Times New Roman" w:hAnsi="Times New Roman"/>
                  <w:sz w:val="16"/>
                  <w:szCs w:val="16"/>
                  <w:color w:val="0000FF"/>
                </w:rPr>
                <w:t>Exhibits and Financial Statement Schedules</w:t>
              </w:r>
            </w:hyperlink>
          </w:p>
        </w:tc>
        <w:tc>
          <w:tcPr>
            <w:tcW w:w="1340" w:type="dxa"/>
            <w:vAlign w:val="bottom"/>
            <w:gridSpan w:val="4"/>
            <w:shd w:val="clear" w:color="auto" w:fill="CCEEFF"/>
          </w:tcPr>
          <w:p>
            <w:pPr>
              <w:jc w:val="right"/>
              <w:spacing w:after="0"/>
              <w:rPr>
                <w:rFonts w:ascii="Times New Roman" w:cs="Times New Roman" w:eastAsia="Times New Roman" w:hAnsi="Times New Roman"/>
                <w:sz w:val="16"/>
                <w:szCs w:val="16"/>
                <w:color w:val="0000FF"/>
              </w:rPr>
            </w:pPr>
            <w:hyperlink w:anchor="page101">
              <w:r>
                <w:rPr>
                  <w:rFonts w:ascii="Times New Roman" w:cs="Times New Roman" w:eastAsia="Times New Roman" w:hAnsi="Times New Roman"/>
                  <w:sz w:val="16"/>
                  <w:szCs w:val="16"/>
                  <w:color w:val="0000FF"/>
                </w:rPr>
                <w:t>98</w:t>
              </w:r>
            </w:hyperlink>
          </w:p>
        </w:tc>
        <w:tc>
          <w:tcPr>
            <w:tcW w:w="2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6"/>
          </w:tcPr>
          <w:p>
            <w:pPr>
              <w:spacing w:after="0"/>
              <w:rPr>
                <w:rFonts w:ascii="Times New Roman" w:cs="Times New Roman" w:eastAsia="Times New Roman" w:hAnsi="Times New Roman"/>
                <w:sz w:val="16"/>
                <w:szCs w:val="16"/>
                <w:color w:val="0000EE"/>
              </w:rPr>
            </w:pPr>
            <w:hyperlink w:anchor="page104">
              <w:r>
                <w:rPr>
                  <w:rFonts w:ascii="Times New Roman" w:cs="Times New Roman" w:eastAsia="Times New Roman" w:hAnsi="Times New Roman"/>
                  <w:sz w:val="16"/>
                  <w:szCs w:val="16"/>
                  <w:color w:val="0000EE"/>
                </w:rPr>
                <w:t>Item 16</w:t>
              </w:r>
            </w:hyperlink>
          </w:p>
        </w:tc>
        <w:tc>
          <w:tcPr>
            <w:tcW w:w="8160" w:type="dxa"/>
            <w:vAlign w:val="bottom"/>
            <w:gridSpan w:val="22"/>
          </w:tcPr>
          <w:p>
            <w:pPr>
              <w:ind w:left="300"/>
              <w:spacing w:after="0"/>
              <w:rPr>
                <w:sz w:val="20"/>
                <w:szCs w:val="20"/>
                <w:color w:val="auto"/>
              </w:rPr>
            </w:pPr>
            <w:r>
              <w:rPr>
                <w:rFonts w:ascii="Times New Roman" w:cs="Times New Roman" w:eastAsia="Times New Roman" w:hAnsi="Times New Roman"/>
                <w:sz w:val="16"/>
                <w:szCs w:val="16"/>
                <w:color w:val="0000FF"/>
              </w:rPr>
              <w:t>Form 10-K Summary</w:t>
            </w:r>
          </w:p>
        </w:tc>
        <w:tc>
          <w:tcPr>
            <w:tcW w:w="136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104">
              <w:r>
                <w:rPr>
                  <w:rFonts w:ascii="Times New Roman" w:cs="Times New Roman" w:eastAsia="Times New Roman" w:hAnsi="Times New Roman"/>
                  <w:sz w:val="16"/>
                  <w:szCs w:val="16"/>
                  <w:color w:val="0000EE"/>
                </w:rPr>
                <w:t>101</w:t>
              </w:r>
            </w:hyperlink>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1880" w:type="dxa"/>
            <w:vAlign w:val="bottom"/>
            <w:gridSpan w:val="10"/>
            <w:shd w:val="clear" w:color="auto" w:fill="CCEEFF"/>
          </w:tcPr>
          <w:p>
            <w:pPr>
              <w:spacing w:after="0"/>
              <w:rPr>
                <w:rFonts w:ascii="Times New Roman" w:cs="Times New Roman" w:eastAsia="Times New Roman" w:hAnsi="Times New Roman"/>
                <w:sz w:val="16"/>
                <w:szCs w:val="16"/>
                <w:b w:val="1"/>
                <w:bCs w:val="1"/>
                <w:color w:val="0000FF"/>
              </w:rPr>
            </w:pPr>
            <w:hyperlink w:anchor="page104">
              <w:r>
                <w:rPr>
                  <w:rFonts w:ascii="Times New Roman" w:cs="Times New Roman" w:eastAsia="Times New Roman" w:hAnsi="Times New Roman"/>
                  <w:sz w:val="16"/>
                  <w:szCs w:val="16"/>
                  <w:b w:val="1"/>
                  <w:bCs w:val="1"/>
                  <w:color w:val="0000FF"/>
                </w:rPr>
                <w:t>SIGNATURES</w:t>
              </w:r>
            </w:hyperlink>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60" w:type="dxa"/>
            <w:vAlign w:val="bottom"/>
            <w:gridSpan w:val="5"/>
            <w:shd w:val="clear" w:color="auto" w:fill="CCEEFF"/>
          </w:tcPr>
          <w:p>
            <w:pPr>
              <w:jc w:val="right"/>
              <w:ind w:right="20"/>
              <w:spacing w:after="0"/>
              <w:rPr>
                <w:rFonts w:ascii="Times New Roman" w:cs="Times New Roman" w:eastAsia="Times New Roman" w:hAnsi="Times New Roman"/>
                <w:sz w:val="16"/>
                <w:szCs w:val="16"/>
                <w:color w:val="0000FF"/>
              </w:rPr>
            </w:pPr>
            <w:hyperlink w:anchor="page104">
              <w:r>
                <w:rPr>
                  <w:rFonts w:ascii="Times New Roman" w:cs="Times New Roman" w:eastAsia="Times New Roman" w:hAnsi="Times New Roman"/>
                  <w:sz w:val="16"/>
                  <w:szCs w:val="16"/>
                  <w:color w:val="0000FF"/>
                </w:rPr>
                <w:t>101</w:t>
              </w:r>
            </w:hyperlink>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8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0000FF"/>
              </w:rPr>
              <w:t>CERTIFICATIONS</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3" w:name="page4"/>
    <w:bookmarkEnd w:id="3"/>
    <w:p>
      <w:pPr>
        <w:ind w:right="20"/>
        <w:spacing w:after="0" w:line="262" w:lineRule="auto"/>
        <w:rPr>
          <w:sz w:val="20"/>
          <w:szCs w:val="20"/>
          <w:color w:val="auto"/>
        </w:rPr>
      </w:pPr>
      <w:r>
        <w:rPr>
          <w:rFonts w:ascii="Times New Roman" w:cs="Times New Roman" w:eastAsia="Times New Roman" w:hAnsi="Times New Roman"/>
          <w:sz w:val="16"/>
          <w:szCs w:val="16"/>
          <w:color w:val="auto"/>
        </w:rPr>
        <w:t>This Annual Report on Form 10-K contains certain forward-looking statements regarding future circumstances. Forward-looking statements provide current expectations of future events based on certain assumptions and include any statement that does not directly relate to any historical or current fact. Forward-looking statements can also be identified by words such as "anticipates," "believes," "estimates," "expects," "intends," "plans," "predicts," and similar terms. These forward-looking statements are based upon current expectations and assumptions of the Company and are subject to various risks and uncertainties that could cause actual results to differ materially from those contemplated in such forward-looking statements including, but not limited to, those discussed in the subsection entitled "Risk Factors" under Part I, Item 1A of this Annual Report on Form 10-K. Actual results, events, and performance may differ significantly from the results discussed in the forward-looking statements. Readers of this Annual Report on Form 10-K are cautioned not to place undue reliance on these forward-looking statements, which speak only as of the date hereof. Except for any ongoing obligations to disclose material information as required by federal securities laws, the Company does not have any intention or obligation to update forward-looking statements after the filing of this Annual Report on Form 10-K. The inclusion of any statement in this Annual Report on Form 10-K does not constitute an admission by the Company or any other person that the events or circumstances described in such statement are material.</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5"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6"/>
          <w:szCs w:val="16"/>
          <w:color w:val="auto"/>
        </w:rPr>
        <w:t xml:space="preserve">Our market share data is based on information provided by the NPD Group, Inc ("NPD"). Unless otherwise indicated, references to market share in this Annual Report on Form 10-K are expressed as a percentage of total retail sales of the stated market. The baby and young children’s apparel market includes apparel products for ages zero to seven. NPD data is based upon Consumer Panel Track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6"/>
          <w:szCs w:val="16"/>
          <w:color w:val="auto"/>
        </w:rPr>
        <w:t xml:space="preserve"> (consumer-reported sales) calibrated with selected retailers' point of sale data. Certain NPD data cited in prior Annual Reports on Form 10-K were based on an alternate methodology no longer employed by NPD and are not comparable to the current year presentation.</w:t>
      </w:r>
    </w:p>
    <w:p>
      <w:pPr>
        <w:spacing w:after="0" w:line="182"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6"/>
          <w:szCs w:val="16"/>
          <w:color w:val="auto"/>
        </w:rPr>
        <w:t xml:space="preserve">The NPD market share data presented is based on NPD's definition of the baby and playclothes categories, which are different from the Company's definitions of these categories. The data presented is based upon The NPD Group/Consumer Tracking Service for Children's Apparel in the United States ("U.S.") and </w:t>
      </w:r>
      <w:r>
        <w:rPr>
          <w:rFonts w:ascii="Times New Roman" w:cs="Times New Roman" w:eastAsia="Times New Roman" w:hAnsi="Times New Roman"/>
          <w:sz w:val="16"/>
          <w:szCs w:val="16"/>
          <w:color w:val="1F497D"/>
        </w:rPr>
        <w:t>r</w:t>
      </w:r>
      <w:r>
        <w:rPr>
          <w:rFonts w:ascii="Times New Roman" w:cs="Times New Roman" w:eastAsia="Times New Roman" w:hAnsi="Times New Roman"/>
          <w:sz w:val="16"/>
          <w:szCs w:val="16"/>
          <w:color w:val="auto"/>
        </w:rPr>
        <w:t>epresents the twelve month period through the end of December 2018.</w:t>
      </w:r>
    </w:p>
    <w:p>
      <w:pPr>
        <w:spacing w:after="0" w:line="154"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Unless the context indicates otherwise, in this filing on Form 10-K, "Carter's," the "Company," "we," "us," "its," and "our" refers to Carter's, Inc. and its wholly owned subsidiaries.</w:t>
      </w:r>
    </w:p>
    <w:p>
      <w:pPr>
        <w:spacing w:after="0" w:line="13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6"/>
          <w:szCs w:val="16"/>
          <w:color w:val="auto"/>
        </w:rPr>
        <w:t xml:space="preserve">Our trademarks and copyrights that are referred to in this Annual Report, including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 B’gosh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Baby B'gosh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You</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Simple Joys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Precious Firsts, Precious Baby, Little Collections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Little Planet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Carter's little baby basics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Carter’s KID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Rewarding Moments</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Count on Carter’s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many of which are registered in the United States and in over 100 other countries and territories, are each the property of one or more subsidiaries of Carter’s, Inc.</w:t>
      </w:r>
    </w:p>
    <w:p>
      <w:pPr>
        <w:spacing w:after="0" w:line="15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Our fiscal year ends on the Saturday, in December or January nearest the last day of December, resulting in an additional week of results every five or six years. Fiscal 2018, which ended on December 29, 2018, fiscal 2017, which ended on December 30, 2017, and fiscal 2016, which ended on December 31, 2016, all contained 52 weeks.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2"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 xml:space="preserve">We are the largest branded marketer in North America of apparel exclusively for babies and young children. We own two of the most highly recognized and most trusted brand names in the children’s apparel industry,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 B’gosh</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and a leading baby and young child lifestyle brand,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Established in 1865,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is recognized and trusted by consumers for high-quality apparel for children in sizes newborn to 14 and accessories.</w:t>
      </w:r>
    </w:p>
    <w:p>
      <w:pPr>
        <w:spacing w:after="0" w:line="174"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6"/>
          <w:szCs w:val="16"/>
          <w:color w:val="auto"/>
        </w:rPr>
        <w:t xml:space="preserve">Established in 1895,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is a well-known brand, trusted by consumers for apparel for children in sizes newborn to 14, with a focus on playclothes for toddlers and young children, and accessories.</w:t>
      </w:r>
    </w:p>
    <w:p>
      <w:pPr>
        <w:spacing w:after="0" w:line="96"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6"/>
          <w:szCs w:val="16"/>
          <w:color w:val="auto"/>
        </w:rPr>
        <w:t xml:space="preserve">Established in 2003, the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re-thinks, re-energizes, and re-imagines durable childhood necessities to create higher value, superior quality, and top-performance goods for parents, babies, and toddlers. We acquired the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in February 2017.</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380"/>
          </w:cols>
          <w:pgMar w:left="240" w:top="345" w:right="279" w:bottom="1440" w:gutter="0" w:footer="0" w:header="0"/>
        </w:sectPr>
      </w:pPr>
    </w:p>
    <w:bookmarkStart w:id="4" w:name="page5"/>
    <w:bookmarkEnd w:id="4"/>
    <w:p>
      <w:pPr>
        <w:spacing w:after="0" w:line="271" w:lineRule="auto"/>
        <w:rPr>
          <w:sz w:val="20"/>
          <w:szCs w:val="20"/>
          <w:color w:val="auto"/>
        </w:rPr>
      </w:pPr>
      <w:r>
        <w:rPr>
          <w:rFonts w:ascii="Times New Roman" w:cs="Times New Roman" w:eastAsia="Times New Roman" w:hAnsi="Times New Roman"/>
          <w:sz w:val="16"/>
          <w:szCs w:val="16"/>
          <w:color w:val="auto"/>
        </w:rPr>
        <w:t xml:space="preserve">Our vision is to be the leader in baby and young children’s apparel and accessories, and to consistently provide high-quality products at a compelling value to consumers. We believe our brands provide a complementary product offering and aesthetic, and are each uniquely positioned in the marketplace. In the approximately $21 billion baby and young children's apparel market ages zero to seven in the U.S.,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has the #1 position with approximately 14% market share and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has approximately 2% market share.</w:t>
      </w:r>
    </w:p>
    <w:p>
      <w:pPr>
        <w:spacing w:after="0" w:line="1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Our multi-channel global business model - which includes retail store, e-commerce, and wholesale sales channels - enables us to reach a broad range of consumers around the world. As of December 29, 2018, our channels included 844 stores in the United States (excluding five temporary Skip Hop stores that were closed in January 2019), 188 stores in Canada, 42 stores in Mexico, over 17,000 wholesale locations in the United States (including department stores, national chain stores, specialty stores and discount retailers), our eCommerce sites in the United States, Canada, and China, as well as our other international wholesale accounts and licensees.</w:t>
      </w:r>
    </w:p>
    <w:p>
      <w:pPr>
        <w:spacing w:after="0" w:line="12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have extensive experience in the young children’s apparel and accessories market and focus on delivering products that satisfy our consumers’ needs. Our long-term growth strategy is focused on:</w:t>
      </w:r>
    </w:p>
    <w:p>
      <w:pPr>
        <w:spacing w:after="0" w:line="13" w:lineRule="exact"/>
        <w:rPr>
          <w:sz w:val="20"/>
          <w:szCs w:val="20"/>
          <w:color w:val="auto"/>
        </w:rPr>
      </w:pPr>
    </w:p>
    <w:p>
      <w:pPr>
        <w:ind w:left="600" w:hanging="305"/>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the best value and experience in young children's apparel and accessories;</w:t>
      </w:r>
    </w:p>
    <w:p>
      <w:pPr>
        <w:spacing w:after="0" w:line="63" w:lineRule="exact"/>
        <w:rPr>
          <w:rFonts w:ascii="Times New Roman" w:cs="Times New Roman" w:eastAsia="Times New Roman" w:hAnsi="Times New Roman"/>
          <w:sz w:val="16"/>
          <w:szCs w:val="16"/>
          <w:color w:val="auto"/>
        </w:rPr>
      </w:pPr>
    </w:p>
    <w:p>
      <w:pPr>
        <w:ind w:left="600" w:hanging="305"/>
        <w:spacing w:after="0" w:line="290" w:lineRule="auto"/>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extending the reach of our brands by improving the convenience of shopping for our products, and our omni-channel experience, as well as expanding our international operations;</w:t>
      </w:r>
    </w:p>
    <w:p>
      <w:pPr>
        <w:ind w:left="600" w:hanging="305"/>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profitability by strengthening distribution and direct-sourcing capabilities, as well as pricing and inventory management disciplines; and</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new sources of growth.</w:t>
      </w:r>
    </w:p>
    <w:p>
      <w:pPr>
        <w:spacing w:after="0" w:line="1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The three segments we use to manage and evaluate our performance are: U.S. Retail, U.S. Wholesale, and International. These segments are our operating and reporting segments. Our U.S. Retail segment consists of revenue primarily from sales of products in the United States through our retail and online stores.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in Canada and Mexico, our eCommerce sites in Canada and China, and sales to our international wholesale accounts and licensees.</w:t>
      </w:r>
    </w:p>
    <w:p>
      <w:pPr>
        <w:spacing w:after="0" w:line="124" w:lineRule="exact"/>
        <w:rPr>
          <w:sz w:val="20"/>
          <w:szCs w:val="20"/>
          <w:color w:val="auto"/>
        </w:rPr>
      </w:pPr>
    </w:p>
    <w:p>
      <w:pPr>
        <w:ind w:right="460"/>
        <w:spacing w:after="0" w:line="300" w:lineRule="auto"/>
        <w:rPr>
          <w:sz w:val="20"/>
          <w:szCs w:val="20"/>
          <w:color w:val="auto"/>
        </w:rPr>
      </w:pPr>
      <w:r>
        <w:rPr>
          <w:rFonts w:ascii="Times New Roman" w:cs="Times New Roman" w:eastAsia="Times New Roman" w:hAnsi="Times New Roman"/>
          <w:sz w:val="16"/>
          <w:szCs w:val="16"/>
          <w:color w:val="auto"/>
        </w:rPr>
        <w:t xml:space="preserve">Additional financial and geographical information about our segments is contained in Item 8 “Financial Statements and Supplementary Data” under Note 14, </w:t>
      </w:r>
      <w:r>
        <w:rPr>
          <w:rFonts w:ascii="Times New Roman" w:cs="Times New Roman" w:eastAsia="Times New Roman" w:hAnsi="Times New Roman"/>
          <w:sz w:val="16"/>
          <w:szCs w:val="16"/>
          <w:i w:val="1"/>
          <w:iCs w:val="1"/>
          <w:color w:val="auto"/>
        </w:rPr>
        <w:t>Segment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 to the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Brands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Carter's</w:t>
      </w:r>
    </w:p>
    <w:p>
      <w:pPr>
        <w:spacing w:after="0" w:line="9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6"/>
          <w:szCs w:val="16"/>
          <w:color w:val="auto"/>
        </w:rPr>
        <w:t xml:space="preserve">Under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we design, source, and market products for sizes newborn to 14. Our focus is on essential, high-volume apparel products for babies and young children. We believe that a majority of our products are consumer essentials and are therefore less affected by changes in fashion trends and economic cycles. Our product categories include the following: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Baby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brand baby products include bodysuits, pants, dresses, multi-piece knit sets, blankets, layette essentials, bibs, booties, sleep and play, rompers, and jumpers.</w:t>
      </w:r>
    </w:p>
    <w:p>
      <w:pPr>
        <w:spacing w:after="0" w:line="17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 xml:space="preserve">We sell a complete range of baby apparel products for newborns, including a preemie collection which we expanded in late 2018. These products are primarily made of cotton, including organic cotton as part of our </w:t>
      </w:r>
      <w:r>
        <w:rPr>
          <w:rFonts w:ascii="Times New Roman" w:cs="Times New Roman" w:eastAsia="Times New Roman" w:hAnsi="Times New Roman"/>
          <w:sz w:val="16"/>
          <w:szCs w:val="16"/>
          <w:i w:val="1"/>
          <w:iCs w:val="1"/>
          <w:color w:val="auto"/>
        </w:rPr>
        <w:t>Little Planet</w:t>
      </w:r>
      <w:r>
        <w:rPr>
          <w:rFonts w:ascii="Times New Roman" w:cs="Times New Roman" w:eastAsia="Times New Roman" w:hAnsi="Times New Roman"/>
          <w:sz w:val="16"/>
          <w:szCs w:val="16"/>
          <w:color w:val="auto"/>
        </w:rPr>
        <w:t xml:space="preserve"> collection. We attribute our leading market position to our strong value proposition, brand strength, unique colors, distinctive prints, commitment to quality, and ability to manage our dedicated floor space with our wholesale customers. Our marketing programs are targeted toward experienced mothers, first-time mothers, and gift-givers. Our </w:t>
      </w:r>
      <w:r>
        <w:rPr>
          <w:rFonts w:ascii="Times New Roman" w:cs="Times New Roman" w:eastAsia="Times New Roman" w:hAnsi="Times New Roman"/>
          <w:sz w:val="16"/>
          <w:szCs w:val="16"/>
          <w:i w:val="1"/>
          <w:iCs w:val="1"/>
          <w:color w:val="auto"/>
        </w:rPr>
        <w:t>Carter's little baby basics</w:t>
      </w:r>
      <w:r>
        <w:rPr>
          <w:rFonts w:ascii="Times New Roman" w:cs="Times New Roman" w:eastAsia="Times New Roman" w:hAnsi="Times New Roman"/>
          <w:sz w:val="16"/>
          <w:szCs w:val="16"/>
          <w:color w:val="auto"/>
        </w:rPr>
        <w:t xml:space="preserve"> product line, the largest component of our baby business, provides parents with essential products and accessories, including value-focused multi-piece sets. Our </w:t>
      </w:r>
      <w:r>
        <w:rPr>
          <w:rFonts w:ascii="Times New Roman" w:cs="Times New Roman" w:eastAsia="Times New Roman" w:hAnsi="Times New Roman"/>
          <w:sz w:val="16"/>
          <w:szCs w:val="16"/>
          <w:i w:val="1"/>
          <w:iCs w:val="1"/>
          <w:color w:val="auto"/>
        </w:rPr>
        <w:t>Little Collections</w:t>
      </w:r>
      <w:r>
        <w:rPr>
          <w:rFonts w:ascii="Times New Roman" w:cs="Times New Roman" w:eastAsia="Times New Roman" w:hAnsi="Times New Roman"/>
          <w:sz w:val="16"/>
          <w:szCs w:val="16"/>
          <w:color w:val="auto"/>
        </w:rPr>
        <w:t xml:space="preserve"> product line consists of coordinated baby items designed for first-time mothers and gift-givers.</w:t>
      </w:r>
    </w:p>
    <w:p>
      <w:pPr>
        <w:spacing w:after="0" w:line="322"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is the leading brand in the baby category in the United States. In fiscal 2018, our multi-channel business model enabled our</w:t>
      </w:r>
      <w:r>
        <w:rPr>
          <w:rFonts w:ascii="Times New Roman" w:cs="Times New Roman" w:eastAsia="Times New Roman" w:hAnsi="Times New Roman"/>
          <w:sz w:val="16"/>
          <w:szCs w:val="16"/>
          <w:i w:val="1"/>
          <w:iCs w:val="1"/>
          <w:color w:val="auto"/>
        </w:rPr>
        <w:t xml:space="preserve"> Carter’s </w:t>
      </w:r>
      <w:r>
        <w:rPr>
          <w:rFonts w:ascii="Times New Roman" w:cs="Times New Roman" w:eastAsia="Times New Roman" w:hAnsi="Times New Roman"/>
          <w:sz w:val="16"/>
          <w:szCs w:val="16"/>
          <w:color w:val="auto"/>
        </w:rPr>
        <w:t>brand to maintain its leading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 share in the United States of approximately 24% in the zero to two year market, which represented nearly five times the market share of the next largest brand.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Playclothes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brand playclothes include knit and woven apparel, primarily in cotton, for everyday use in sizes newborn to 14.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345" w:right="239" w:bottom="1440" w:gutter="0" w:footer="0" w:header="0"/>
        </w:sectPr>
      </w:pPr>
    </w:p>
    <w:bookmarkStart w:id="5" w:name="page6"/>
    <w:bookmarkEnd w:id="5"/>
    <w:p>
      <w:pPr>
        <w:spacing w:after="0" w:line="279" w:lineRule="auto"/>
        <w:rPr>
          <w:sz w:val="20"/>
          <w:szCs w:val="20"/>
          <w:color w:val="auto"/>
        </w:rPr>
      </w:pPr>
      <w:r>
        <w:rPr>
          <w:rFonts w:ascii="Times New Roman" w:cs="Times New Roman" w:eastAsia="Times New Roman" w:hAnsi="Times New Roman"/>
          <w:sz w:val="16"/>
          <w:szCs w:val="16"/>
          <w:color w:val="auto"/>
        </w:rPr>
        <w:t xml:space="preserve">We continue to focus on building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in the playclothes market by developing a base of essential, high-volume products that utilize unique, special, or must-have print designs and innovative artistic applications. Our aggregate fiscal 2018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playclothes market share in the United States was approximately 14% in the $14 billion young children’s playclothes market, which represents nearly two times the market share of the next largest brand.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Sleepwear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brand sleepwear products include a full range of pajamas in cotton, fleece and poly-jersey, primarily in sizes 12 to 14 months.</w:t>
      </w:r>
    </w:p>
    <w:p>
      <w:pPr>
        <w:spacing w:after="0" w:line="176"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6"/>
          <w:szCs w:val="16"/>
          <w:color w:val="auto"/>
        </w:rPr>
        <w:t xml:space="preserve">As with our baby product line, we differentiate our sleepwear products by offering a wide assortment of high-quality, high-value products with distinctive designs and artwork.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is the leading brand of sleepwear for babies and young children in the United States. In fiscal 2018, in these channels,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sleepwear brand market share was approximately 28%, which represents nearly six times the market share of the next largest brand.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Products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other product offerings include bedding, cribs, diaper bags, footwear, gift sets, hair accessories, jewelry, outerwear, paper goods, socks, swimwear, and toys.</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 xml:space="preserve">We license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 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Precious Firsts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Precious Baby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Carter's little baby basics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Simple Joys</w:t>
      </w:r>
      <w:r>
        <w:rPr>
          <w:rFonts w:ascii="Times New Roman" w:cs="Times New Roman" w:eastAsia="Times New Roman" w:hAnsi="Times New Roman"/>
          <w:sz w:val="16"/>
          <w:szCs w:val="16"/>
          <w:color w:val="auto"/>
        </w:rPr>
        <w:t xml:space="preserve"> brands to partners to expand our product offerings. As of December 29, 2018, we had 10 licensees in the United States who manufacture products under these brands. These licensing partners develop and sell products through our multiple sales channels, while leveraging our brand strength, customer relationships, and designs. Licensed products provide our customers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their products to ensure that they fit within our brand vision of high-quality products at attractive prices to provide value to the consumer.</w:t>
      </w:r>
    </w:p>
    <w:p>
      <w:pPr>
        <w:spacing w:after="0" w:line="12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 xml:space="preserve">We employ cross-functional product teams to focus on the development of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brands and products.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team is skilled and experienced in identifying and developing high-volume, high-value products. The team includes members from merchandising, art, design, sourcing, product development, and planning, and follows a disciplined approach to fabric usage, color selection, and productivity. We believe this disciplined approach to product design, which includes consumer research, results in a compelling product offering to consumers, reduces our exposure to short-term trends, and supports efficient operations.</w:t>
      </w:r>
    </w:p>
    <w:p>
      <w:pPr>
        <w:spacing w:after="0" w:line="117"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6"/>
          <w:szCs w:val="16"/>
          <w:color w:val="auto"/>
        </w:rPr>
        <w:t xml:space="preserve">With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brands, we believe that we continuously strengthen our brand image with the consumer by differentiating our products through fabric and material improvements, new artistic applications, and new packaging and presentation strategies. We also attempt to differentiate our products and presentation through in-store fixturing, branding, signage, photography, and advertising, both in our stores and with our major wholesale customers.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OshKosh</w:t>
      </w:r>
    </w:p>
    <w:p>
      <w:pPr>
        <w:spacing w:after="0" w:line="90"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16"/>
          <w:szCs w:val="16"/>
          <w:color w:val="auto"/>
        </w:rPr>
        <w:t xml:space="preserve">Under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we design, source, and market apparel with an emphasis on high-quality playclothes for children in sizes newborn to 14.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is generally positioned towards an older age segment and at slightly higher average prices relative to the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We believe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has significant brand name recognition, which consumers associate with high-quality, durable, and authentic playclothes for young children. Our product categories include the following: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Playclothes</w:t>
      </w:r>
    </w:p>
    <w:p>
      <w:pPr>
        <w:spacing w:after="0" w:line="8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is best known for its playclothes products.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playclothes include denim apparel products with multiple wash treatments and coordinating garments, overalls, woven bottoms, knit tops, and bodysuits for everyday use in sizes newborn to 14. Our fiscal 2018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playclothes market share in the United States was approximately 3% of the $14 billion young children’s playclothes market.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Products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remainder of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product offering includes baby, sleepwear, outerwear, footwear, hosiery, and accessories.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380"/>
          </w:cols>
          <w:pgMar w:left="240" w:top="343" w:right="279" w:bottom="1440" w:gutter="0" w:footer="0" w:header="0"/>
        </w:sectPr>
      </w:pPr>
    </w:p>
    <w:bookmarkStart w:id="6" w:name="page7"/>
    <w:bookmarkEnd w:id="6"/>
    <w:p>
      <w:pPr>
        <w:ind w:right="140"/>
        <w:spacing w:after="0" w:line="279" w:lineRule="auto"/>
        <w:rPr>
          <w:sz w:val="20"/>
          <w:szCs w:val="20"/>
          <w:color w:val="auto"/>
        </w:rPr>
      </w:pPr>
      <w:r>
        <w:rPr>
          <w:rFonts w:ascii="Times New Roman" w:cs="Times New Roman" w:eastAsia="Times New Roman" w:hAnsi="Times New Roman"/>
          <w:sz w:val="16"/>
          <w:szCs w:val="16"/>
          <w:color w:val="auto"/>
        </w:rPr>
        <w:t xml:space="preserve">Additionally, we partner with a number of licensees to extend the reach of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As of December 29, 2018, we had five licensees in the United States selling </w:t>
      </w: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apparel and accessories. Our licensed products provide our customers and consumers with a range of</w:t>
      </w:r>
      <w:r>
        <w:rPr>
          <w:rFonts w:ascii="Times New Roman" w:cs="Times New Roman" w:eastAsia="Times New Roman" w:hAnsi="Times New Roman"/>
          <w:sz w:val="16"/>
          <w:szCs w:val="16"/>
          <w:i w:val="1"/>
          <w:iCs w:val="1"/>
          <w:color w:val="auto"/>
        </w:rPr>
        <w:t xml:space="preserve"> OshKosh </w:t>
      </w:r>
      <w:r>
        <w:rPr>
          <w:rFonts w:ascii="Times New Roman" w:cs="Times New Roman" w:eastAsia="Times New Roman" w:hAnsi="Times New Roman"/>
          <w:sz w:val="16"/>
          <w:szCs w:val="16"/>
          <w:color w:val="auto"/>
        </w:rPr>
        <w:t>products including outerwear, socks, shoes,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accessories.</w:t>
      </w:r>
    </w:p>
    <w:p>
      <w:pPr>
        <w:spacing w:after="0" w:line="112"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 xml:space="preserve">As with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brands, we employ cross-functional product teams to focus on the development of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and products, including members from merchandising, art, design, sourcing, product development, and planning, and these teams follow a disciplined approach to fabric usage, color selection, and productivity. We believe this disciplined approach to product design, which includes consumer research, results in a compelling product offering to consumers, reduces our exposure to short-term trends, and supports efficient operations.</w:t>
      </w:r>
    </w:p>
    <w:p>
      <w:pPr>
        <w:spacing w:after="0" w:line="117"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6"/>
          <w:szCs w:val="16"/>
          <w:color w:val="auto"/>
        </w:rPr>
        <w:t xml:space="preserve">As with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brands, we believe that we strengthen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image with the consumer by differentiating our products through fabric and material improvements, new artistic applications, and new packaging and presentation strategies. We also attempt to differentiate our products and presentation through in-store fixturing, branding and signage packages, and advertising, both in our stores and with our major wholesale customers.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Skip Hop</w:t>
      </w:r>
    </w:p>
    <w:p>
      <w:pPr>
        <w:spacing w:after="0" w:line="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 xml:space="preserve">Under our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we design, source, and market products that are sold primarily to families with young children. Our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is best known for its diaper bags, which we believe combine innovative functionality with attractive design. The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offering also includes products for playtime, travel, mealtime, kid’s bags, bathtime, and homegear.</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With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we believe we have acquired a global lifestyle brand.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’s core philosophy and positioning begins and ends with its brand promise -- “</w:t>
      </w:r>
      <w:r>
        <w:rPr>
          <w:rFonts w:ascii="Times New Roman" w:cs="Times New Roman" w:eastAsia="Times New Roman" w:hAnsi="Times New Roman"/>
          <w:sz w:val="16"/>
          <w:szCs w:val="16"/>
          <w:i w:val="1"/>
          <w:iCs w:val="1"/>
          <w:color w:val="auto"/>
        </w:rPr>
        <w:t>Must-Haves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Made Better.</w:t>
      </w:r>
      <w:r>
        <w:rPr>
          <w:rFonts w:ascii="Times New Roman" w:cs="Times New Roman" w:eastAsia="Times New Roman" w:hAnsi="Times New Roman"/>
          <w:sz w:val="16"/>
          <w:szCs w:val="16"/>
          <w:color w:val="auto"/>
        </w:rPr>
        <w:t>” This reflects the brand’s goal of creating innovative, smartly designed, and highly functional essentials for parents, babies, and toddlers. The</w:t>
      </w:r>
      <w:r>
        <w:rPr>
          <w:rFonts w:ascii="Times New Roman" w:cs="Times New Roman" w:eastAsia="Times New Roman" w:hAnsi="Times New Roman"/>
          <w:sz w:val="16"/>
          <w:szCs w:val="16"/>
          <w:i w:val="1"/>
          <w:iCs w:val="1"/>
          <w:color w:val="auto"/>
        </w:rPr>
        <w:t xml:space="preserve"> Skip Hop </w:t>
      </w:r>
      <w:r>
        <w:rPr>
          <w:rFonts w:ascii="Times New Roman" w:cs="Times New Roman" w:eastAsia="Times New Roman" w:hAnsi="Times New Roman"/>
          <w:sz w:val="16"/>
          <w:szCs w:val="16"/>
          <w:color w:val="auto"/>
        </w:rPr>
        <w:t>team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includes in-house design and creative teams, which are made up of people who strive to improve the functionality, form, and design of must-have baby and young child products. We believe the brand is positioned as a competitively priced source of iconic products that offer greater value through innovation and design. We have recently introduced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products in our retail stores, and have increased investments in in-store fixturing, branding, and signage packages, along with digital advertising, to further strengthen the position of the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Sales Channels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We sell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branded products through multiple channels, both in the United States and globally.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Retail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U.S. retail sales channel includes sales of our products through our U.S. retail stores and eCommerce sites.</w:t>
      </w:r>
    </w:p>
    <w:p>
      <w:pPr>
        <w:spacing w:after="0" w:line="174"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Our U.S. retail stores are generally located in high-traffic strip shopping centers in or near major cities or in outlet centers that are near densely-populated areas. We believe our brand strength and our assortment of products have made our retail stores a destination for consumers who shop for young children’s apparel and accessories.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retail stores in three different formats:</w:t>
      </w:r>
    </w:p>
    <w:p>
      <w:pPr>
        <w:spacing w:after="0" w:line="86" w:lineRule="exact"/>
        <w:rPr>
          <w:sz w:val="20"/>
          <w:szCs w:val="20"/>
          <w:color w:val="auto"/>
        </w:rPr>
      </w:pPr>
    </w:p>
    <w:p>
      <w:pPr>
        <w:ind w:left="600" w:hanging="305"/>
        <w:spacing w:after="0" w:line="290" w:lineRule="auto"/>
        <w:tabs>
          <w:tab w:leader="none" w:pos="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Carter’s stand-alone stores, which carry an extensive assortment of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baby and young children’s apparel, accessories, and gift items, and average approximately 4,200 square feet per location.</w:t>
      </w:r>
    </w:p>
    <w:p>
      <w:pPr>
        <w:ind w:left="600" w:hanging="305"/>
        <w:spacing w:after="0" w:line="291" w:lineRule="auto"/>
        <w:tabs>
          <w:tab w:leader="none" w:pos="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OshKosh stand-alone stores, which carry a wide assortment of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young children’s apparel, accessories, and gift items, and average approximately 4,600 square feet per location.</w:t>
      </w:r>
    </w:p>
    <w:p>
      <w:pPr>
        <w:ind w:left="600" w:hanging="305"/>
        <w:spacing w:after="0"/>
        <w:tabs>
          <w:tab w:leader="none" w:pos="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Dual-branded stores, which include:</w:t>
      </w:r>
    </w:p>
    <w:p>
      <w:pPr>
        <w:spacing w:after="0" w:line="61" w:lineRule="exact"/>
        <w:rPr>
          <w:rFonts w:ascii="Times New Roman" w:cs="Times New Roman" w:eastAsia="Times New Roman" w:hAnsi="Times New Roman"/>
          <w:sz w:val="16"/>
          <w:szCs w:val="16"/>
          <w:color w:val="auto"/>
        </w:rPr>
      </w:pPr>
    </w:p>
    <w:p>
      <w:pPr>
        <w:ind w:left="1180" w:hanging="291"/>
        <w:spacing w:after="0" w:line="290" w:lineRule="auto"/>
        <w:tabs>
          <w:tab w:leader="none" w:pos="11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“Co-branded” locations, which consist of single retail stores that offer products from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brands, and average approximately 5,000 square feet per location; and</w:t>
      </w:r>
    </w:p>
    <w:p>
      <w:pPr>
        <w:ind w:left="1180" w:hanging="291"/>
        <w:spacing w:after="0" w:line="300" w:lineRule="auto"/>
        <w:tabs>
          <w:tab w:leader="none" w:pos="11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“Side-by-side” locations, which consist of adjacent retail stores for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brands that are connected, and average approximately 7,300 square feet per location.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We also sell a selection of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products at our retail store locations and open temporary Skip Hop stores from time to time to sell select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merchandise.</w:t>
      </w:r>
    </w:p>
    <w:p>
      <w:pPr>
        <w:spacing w:after="0" w:line="17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As of December 29, 2018, in the United States we operated 418 Carter’s stand-alone stores, 107 OshKosh stand-alone stores, 163 “side-by-side” locations, 153 “co-branded” locations. In addition, as of February 25, 2019, we had three temporary Skip Hop stores.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343" w:right="239" w:bottom="1440" w:gutter="0" w:footer="0" w:header="0"/>
        </w:sectPr>
      </w:pPr>
    </w:p>
    <w:bookmarkStart w:id="7" w:name="page8"/>
    <w:bookmarkEnd w:id="7"/>
    <w:p>
      <w:pPr>
        <w:jc w:val="both"/>
        <w:spacing w:after="0" w:line="298" w:lineRule="auto"/>
        <w:rPr>
          <w:sz w:val="20"/>
          <w:szCs w:val="20"/>
          <w:color w:val="auto"/>
        </w:rPr>
      </w:pPr>
      <w:r>
        <w:rPr>
          <w:rFonts w:ascii="Times New Roman" w:cs="Times New Roman" w:eastAsia="Times New Roman" w:hAnsi="Times New Roman"/>
          <w:sz w:val="16"/>
          <w:szCs w:val="16"/>
          <w:color w:val="auto"/>
        </w:rPr>
        <w:t>We regularly assess potential new retail store locations and closures based on demographic factors, retail adjacencies, competitive factors, and population density, as part of a rigorous real estate portfolio optimization process.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sell our products through our online U.S. eCommerce sites at www.carters.com, www.oshkoshbgosh.com, www.oshkosh.com, and www.skiphop.com.</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both our retail stores and eCommerce sites, we focus on the customer experience through store and eCommerce site design, visual aesthetics, clear product presentation, and experienced customer service. We strive to create a seamless omni-channel experience as more fully described below under “Our Customer and Marketing Strategy.”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Wholesale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U.S. wholesale channel includes sales of our products to our U.S. wholesale accounts.</w:t>
      </w:r>
    </w:p>
    <w:p>
      <w:pPr>
        <w:spacing w:after="0" w:line="17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wholesale customers in the United States include major retailers, such as, in alphabetical order, Costco, JCPenney, Kohl’s, and Macy’s. Additionally, we sell our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brand at Walmart, our </w:t>
      </w:r>
      <w:r>
        <w:rPr>
          <w:rFonts w:ascii="Times New Roman" w:cs="Times New Roman" w:eastAsia="Times New Roman" w:hAnsi="Times New Roman"/>
          <w:sz w:val="16"/>
          <w:szCs w:val="16"/>
          <w:i w:val="1"/>
          <w:iCs w:val="1"/>
          <w:color w:val="auto"/>
        </w:rPr>
        <w:t>Just One You</w:t>
      </w:r>
      <w:r>
        <w:rPr>
          <w:rFonts w:ascii="Times New Roman" w:cs="Times New Roman" w:eastAsia="Times New Roman" w:hAnsi="Times New Roman"/>
          <w:sz w:val="16"/>
          <w:szCs w:val="16"/>
          <w:color w:val="auto"/>
        </w:rPr>
        <w:t xml:space="preserve"> brand at Target, and our </w:t>
      </w:r>
      <w:r>
        <w:rPr>
          <w:rFonts w:ascii="Times New Roman" w:cs="Times New Roman" w:eastAsia="Times New Roman" w:hAnsi="Times New Roman"/>
          <w:sz w:val="16"/>
          <w:szCs w:val="16"/>
          <w:i w:val="1"/>
          <w:iCs w:val="1"/>
          <w:color w:val="auto"/>
        </w:rPr>
        <w:t>Simple Joys</w:t>
      </w:r>
      <w:r>
        <w:rPr>
          <w:rFonts w:ascii="Times New Roman" w:cs="Times New Roman" w:eastAsia="Times New Roman" w:hAnsi="Times New Roman"/>
          <w:sz w:val="16"/>
          <w:szCs w:val="16"/>
          <w:color w:val="auto"/>
        </w:rPr>
        <w:t xml:space="preserve"> brand on Amazon.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wholesale customers in the United States include major retailers, such as, in alphabetical order, Costco, JCPenney, and Kohl’s.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wholesale customers in the United States include major retailers, such as, in alphabetical order, Amazon, Buy Buy Baby, and Target.</w:t>
      </w:r>
    </w:p>
    <w:p>
      <w:pPr>
        <w:spacing w:after="0" w:line="176"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We collaborate with our wholesale customers to provide a consistent, high-level of service, and to drive growth through eCommerce, replenishment, product mix, and brand presentation. We also have frequent meetings with the senior management of key accounts to align on strategic growth plans.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Our International segment includes sales of our products through our retail stores in Canada and Mexico, and eCommerce sites in Canada and China, and to international wholesale accounts. In addition, we license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brands to international licensees. These licensees sell our products through branded retail and online stores, as well as to wholesale accounts, within their territories. Our International segment also includes sales of our products to these licensees, and royalty income based on sales made by certain licensees.</w:t>
      </w:r>
    </w:p>
    <w:p>
      <w:pPr>
        <w:spacing w:after="0" w:line="12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December 29, 2018, in Canada we operated 188 co-branded Carter’s and OshKosh retail stores and an eCommerce site at www.cartersoshkosh.ca, in Mexico we operated 42 retail stores and franchisees operated an additional 16 retail stores, and in China we operated an eCommerce site.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as of December 29, 2018, we had approximately 40 international licensees who operated in over 80 countries.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Customer and Marketing Strategy</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For all of our brands, our marketing is predominantly focused on driving brand preference and engagement with millennial customers, including through strengthening and evolving our digital programs. Our omni-channel approach allows the customer to experience the brand as a seamless shopping experience in the channel of their choice. For instance, our website capabilities have been designed to optimize the experience for consumers shopping on a mobile device and, during fiscal 2017, we launched our mobile application in the United States.</w:t>
      </w:r>
    </w:p>
    <w:p>
      <w:pPr>
        <w:spacing w:after="0" w:line="118"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6"/>
          <w:szCs w:val="16"/>
          <w:color w:val="auto"/>
        </w:rPr>
        <w:t xml:space="preserve">We operate our </w:t>
      </w:r>
      <w:r>
        <w:rPr>
          <w:rFonts w:ascii="Times New Roman" w:cs="Times New Roman" w:eastAsia="Times New Roman" w:hAnsi="Times New Roman"/>
          <w:sz w:val="16"/>
          <w:szCs w:val="16"/>
          <w:i w:val="1"/>
          <w:iCs w:val="1"/>
          <w:color w:val="auto"/>
        </w:rPr>
        <w:t>Rewarding Moments</w:t>
      </w:r>
      <w:r>
        <w:rPr>
          <w:rFonts w:ascii="Times New Roman" w:cs="Times New Roman" w:eastAsia="Times New Roman" w:hAnsi="Times New Roman"/>
          <w:sz w:val="16"/>
          <w:szCs w:val="16"/>
          <w:color w:val="auto"/>
        </w:rPr>
        <w:t xml:space="preserve"> loyalty and rewards program in the United States to drive customer traffic, sales, and brand loyalty. This program is integrated across our U.S. retail stores and online businesses. During fiscal 2018, our U.S. retail sales were predominantly made to customers who are members of </w:t>
      </w:r>
      <w:r>
        <w:rPr>
          <w:rFonts w:ascii="Times New Roman" w:cs="Times New Roman" w:eastAsia="Times New Roman" w:hAnsi="Times New Roman"/>
          <w:sz w:val="16"/>
          <w:szCs w:val="16"/>
          <w:i w:val="1"/>
          <w:iCs w:val="1"/>
          <w:color w:val="auto"/>
        </w:rPr>
        <w:t>Rewarding Moments.</w:t>
      </w:r>
    </w:p>
    <w:p>
      <w:pPr>
        <w:spacing w:after="0" w:line="9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Our investments in marketing, our loyalty program, and new technologies are focused on acquiring new customers, developing stronger connections with our existing customers, and extending their relationship with our brands. Our goal is to have the most top-of-mind, preferred brands in the young children’s market and to connect with a diverse, digitally-savvy customer.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345"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Our Global Sourcing Network</w:t>
      </w:r>
    </w:p>
    <w:p>
      <w:pPr>
        <w:spacing w:after="0" w:line="19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6"/>
          <w:szCs w:val="16"/>
          <w:color w:val="auto"/>
        </w:rPr>
        <w:t>We do not own any manufacturing facilities. We source all of our garments and other products from a global network of third party suppliers, primarily located in Asia. The remainder of our products are sourced primarily through Central America. During fiscal 2018, approximately 80%, based on cost, of our product was sourced from Cambodia, China, Vietnam, and Bangladesh.</w:t>
      </w:r>
    </w:p>
    <w:p>
      <w:pPr>
        <w:spacing w:after="0" w:line="21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color w:val="auto"/>
        </w:rPr>
        <w:t>Our sourcing operations are based in Hong Kong in order to facilitate better service and accommodate the volume of manufacturing in Asia. Our Hong Kong office acts as an agent for substantially all of our production in Asia and monitors production at manufacturers’ facilities to ensure quality control, compliance with our manufacturing specifications and social responsibility standards, as well as timely delivery of finished garments to our distribution facilities. We also have representative offices in Cambodia and Bangladesh to help support these efforts.</w:t>
      </w:r>
    </w:p>
    <w:p>
      <w:pPr>
        <w:spacing w:after="0" w:line="2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Prior to placing production, and on a recurring basis, we conduct assessments of political, social, economic, trade, labor and intellectual property protection conditions in the countries in which we source our products. In connection with the manufacture of our products, manufacturers purchase raw materials including fabric and other materials (such as linings, zippers, buttons, and trim) at our direction. Prior to commencing the manufacture of products, samples of raw materials are sent to us for approval. We regularly inspect and supervise the manufacture of our products in order to ensure timely delivery, maintain quality control and monitor compliance with our manufacturing specifications and social responsibility standards. We also inspect finished products at the factory site.</w:t>
      </w:r>
    </w:p>
    <w:p>
      <w:pPr>
        <w:spacing w:after="0" w:line="22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198"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6"/>
          <w:szCs w:val="16"/>
          <w:color w:val="auto"/>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11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Responsibility</w:t>
      </w:r>
    </w:p>
    <w:p>
      <w:pPr>
        <w:spacing w:after="0" w:line="9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6"/>
          <w:szCs w:val="16"/>
          <w:color w:val="auto"/>
        </w:rPr>
        <w:t>We have adopted a factory on-boarding program that allows us to assess each factory’s compliance with our social responsibility standards before we place orders for product with that factory, including factories that were used by companies that we acquire. Additionally, we regularly assess the manufacturing facilities we use through periodic on-site facility inspections, including the use of independent auditors to supplement our internal staff. We use audit data and performance results to suggest improvements when necessary, and we integrate this information into our on-going sourcing decisions. Our vendor code of conduct, with which we require our factories to comply, covers employment practices, such as wages and benefits, working hours, health and safety, working age, and discriminatory practices, as well as environmental, ethical, and other legal matters.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Global Distribution Network</w:t>
      </w:r>
    </w:p>
    <w:p>
      <w:pPr>
        <w:spacing w:after="0" w:line="19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6"/>
          <w:szCs w:val="16"/>
          <w:color w:val="auto"/>
        </w:rPr>
        <w:t>The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based upon needs, costs, and timing considerations.</w:t>
      </w:r>
    </w:p>
    <w:p>
      <w:pPr>
        <w:spacing w:after="0" w:line="21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In the United States, we operate two distribution centers in Georgia: an approximately 1.1 million square-foot multi-channel facility in Braselton and a 505,000 square-foot facility in Stockbridge. We also outsource distribution activities to third party logistics providers in California. Our distribution center activities include receiving finished goods from our vendors, inspecting those products, preparing them for retail and wholesale presentation, and shipping them to our wholesale customers, retail stores, and eCommerce customers.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ind w:right="180"/>
        <w:spacing w:after="0" w:line="298" w:lineRule="auto"/>
        <w:rPr>
          <w:sz w:val="20"/>
          <w:szCs w:val="20"/>
          <w:color w:val="auto"/>
        </w:rPr>
      </w:pPr>
      <w:r>
        <w:rPr>
          <w:rFonts w:ascii="Times New Roman" w:cs="Times New Roman" w:eastAsia="Times New Roman" w:hAnsi="Times New Roman"/>
          <w:sz w:val="16"/>
          <w:szCs w:val="16"/>
          <w:color w:val="auto"/>
        </w:rPr>
        <w:t>Internationally, we operate directly or outsource our distribution activities to third party logistics providers in Canada, China, United Kingdom, and Mexico to support our international wholesale accounts, international licensees, international eCommerce operations, and Canadian and Mexican retail store network.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Governmental Regulation and Environmental Matters</w:t>
      </w:r>
    </w:p>
    <w:p>
      <w:pPr>
        <w:spacing w:after="0" w:line="191"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Our products are subject to regulation of and regulatory standards with respect to quality and safety set by various governmental authorities around the world, including in the United States, Canada, China, Mexico, and the European Union. Our operations also are subject to various international trade agreements and regulations.</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are also subject to various other federal, state, local and foreign laws and regulations that govern our activities, operations, and products, including data privacy, truth-in-advertising, accessibility, customs, wage and hour laws and regulations, and zoning and occupancy ordinances that regulate retailers generally and govern the promotion and sale of merchandise and the operation of retail stores and e-commerce sites. Noncompliance with these laws and regulations may result in substantial monetary penalties and criminal sanctions.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9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The baby and young children’s apparel and accessories market is highly competitive. Competition is generally based on a variety of factors, including comfort and fit, value, pricing, experience, and selection. Both branded and private label manufacturers as well as specialty apparel retailers aggressively compete in the baby and young children’s apparel market. Our primary competitors include: The Children's Place, Gap, and Old Navy (specialty apparel); Cat &amp; Jack and Garanimals (private label); and Disney, Gerber, and Nike (national brand). Because of the highly-fragmented nature of the industry, we also compete with many small manufacturers and retailers. We believe that the strength of our brand names, combined with our breadth of product offerings, distribution footprint, and operational expertise, position us well against these competitors.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 and Weather</w:t>
      </w:r>
    </w:p>
    <w:p>
      <w:pPr>
        <w:spacing w:after="0" w:line="9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 In addition, our business is susceptible to unseasonable weather conditions, which could influence customer trends, consumer traffic, and shopping habits. For example, extended periods of unseasonably warm temperatures during the winter season or cool temperatures during the summer season could affect the timing of, and reduce or shift, demand.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Trademarks and Copyrights</w:t>
      </w:r>
    </w:p>
    <w:p>
      <w:pPr>
        <w:spacing w:after="0" w:line="9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6"/>
          <w:szCs w:val="16"/>
          <w:color w:val="auto"/>
        </w:rPr>
        <w:t xml:space="preserve">Our trademarks and copyrights that are referred to in this Annual Report, including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 B’gosh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Baby B'gosh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You</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Simple Joys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Precious Firsts, Precious Baby, Little Collections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Little Planet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Carter's little baby basics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Carter’s KID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Rewarding Moments</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Count on Carter’s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many of which are registered in the United States and in over 100 other countries and territories, are each the property of one or more subsidiaries of Carter’s,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Employees</w:t>
      </w:r>
    </w:p>
    <w:p>
      <w:pPr>
        <w:spacing w:after="0" w:line="92"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As of December 29, 2018, we had approximately 21,000 employees globally. As of December 29, 2018, approximately 245 employees were unionized employees, all of whom were in Mexico. We believe that our labor relations are good.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9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 xml:space="preserve">Our primary internet address is www.carters.com. The information contained on our website is not included as part of, or incorporated by reference into, this Annual Report on Form 10-K or any other reports we file with or furnish to the Securities and Exchange Commission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Our SEC reports can be accessed through the investor relations section of our website. We also make available on our website the </w:t>
      </w:r>
      <w:r>
        <w:rPr>
          <w:rFonts w:ascii="Times New Roman" w:cs="Times New Roman" w:eastAsia="Times New Roman" w:hAnsi="Times New Roman"/>
          <w:sz w:val="16"/>
          <w:szCs w:val="16"/>
          <w:i w:val="1"/>
          <w:iCs w:val="1"/>
          <w:color w:val="auto"/>
        </w:rPr>
        <w:t>Carter’s Code of Ethics</w:t>
      </w:r>
      <w:r>
        <w:rPr>
          <w:rFonts w:ascii="Times New Roman" w:cs="Times New Roman" w:eastAsia="Times New Roman" w:hAnsi="Times New Roman"/>
          <w:sz w:val="16"/>
          <w:szCs w:val="16"/>
          <w:color w:val="auto"/>
        </w:rPr>
        <w:t>, our corporate governance principles, and the charters for the Compensation, Audit, and Nominating and Corporate Governance Committees of the Board of Directors. The SEC maintains an internet site, www.sec.gov, containing reports, proxy and information statements, and other information regarding issuers, including us, that file electronically with the SEC.</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00"/>
          </w:cols>
          <w:pgMar w:left="240" w:top="345"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9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Carter’s, Inc. is a Delaware corporation, with its principal executive offices located at Phipps Tower, 3438 Peachtree Road NE, Suite 1800, Atlanta, Georgia 30326. Our telephone number is (678) 791-1000. Carter’s, Inc. and its predecessors have been doing business since 1865.</w:t>
      </w:r>
    </w:p>
    <w:p>
      <w:pPr>
        <w:spacing w:after="0" w:line="32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80"/>
          </w:cols>
          <w:pgMar w:left="240" w:top="341"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6"/>
          <w:szCs w:val="16"/>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difficulties for, or the loss of one or more of, our major wholesale customers could result in a material loss of revenues.</w:t>
      </w:r>
    </w:p>
    <w:p>
      <w:pPr>
        <w:spacing w:after="0" w:line="9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A significant amount of our business is with our U.S. wholesale customers. For fiscal 2018, we derived approximately 34% of our consolidated net sales from our U.S. Wholesale segment and approximately 30% of our consolidated net sales from our top ten wholesale customers. As of the end of fiscal 2018, approximately 80% of our gross accounts receivable were from our ten largest wholesale customers, with three of these customers having individual receivable balances in excess of 10% of our total accounts receivable. Furthermore, we do not enter into long-term sales contracts with our major wholesale customers, relying instead on product performance, long-standing relationships, and our position in the marketplace.</w:t>
      </w:r>
    </w:p>
    <w:p>
      <w:pPr>
        <w:spacing w:after="0" w:line="12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As a result, we face the risk that one or more of these or other customers may significantly decrease their business or terminate their relationship with us as a result of financial difficulties (including bankruptcy or insolvency), competitive forces, consolidation, reorganization, or other reasons, which in turn could result in significant levels of excess inventory, a material decrease in our sales, or material impact on our operating results. In addition, our reserves for doubtful accounts for estimated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were to deteriorate, or such customer fails, or is unable to pay the amounts owed to us in a timely manner, this could have a significant adverse impact on our business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sensitive to overall levels of consumer spending, particularly in the young children’s apparel market.</w:t>
      </w:r>
    </w:p>
    <w:p>
      <w:pPr>
        <w:spacing w:after="0" w:line="9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Both retail and wholesale consumer demand for young children apparel, specifically brand name apparel products, is affected by the overall level of end consumer spending. Discretionary consumer spending is affected by a number of factors, such as the weather, the overall economy and employment levels, uncertainty in the political climate, gasoline and utility costs, business conditions, availability of consumer credit, tax rates, the availability of tax credits, interest rates, levels of consumer indebtedness, foreign currency exchange rates, and overall levels of consumer confidence. Reductions, or lower-than-expected growth, in the level of discretionary or overall end consumer spending may have a material adverse effect on our sales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acceptance of our products in the marketplace is affected by consumer tastes and preferences, along with fashion trends.</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We believe that our continued success depends on our ability to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move seasonal merchandise, and our gross margins and results of operations could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and the size and resources of some of our competitors may allow them to compete more effectively than we can.</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baby and young children’s apparel market is very competitive, and includes both branded and private label manufacturers. Because of the fragmented nature of the industry, we also compete with many other manufacturers and retailers. Some of our competitors have greater financial resources and larger customer bases than we have. As a result, these competitors may be able to adapt to changes in customer requirements more quickly, take advantage of acquisition and other opportunities more readily, devote greater resources to the marketing and sale of their products, and adopt more aggressive pricing strategies than we can.</w:t>
      </w:r>
    </w:p>
    <w:p>
      <w:pPr>
        <w:spacing w:after="0" w:line="116" w:lineRule="exact"/>
        <w:rPr>
          <w:sz w:val="20"/>
          <w:szCs w:val="20"/>
          <w:color w:val="auto"/>
        </w:rPr>
      </w:pPr>
    </w:p>
    <w:p>
      <w:pPr>
        <w:ind w:right="6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value of our brands, and our sales, could be diminished if we are associated with negative publicity, including through actions by our vendors, independent manufacturers, and licensees, over whom we have limited control.</w:t>
      </w:r>
    </w:p>
    <w:p>
      <w:pPr>
        <w:spacing w:after="0" w:line="9" w:lineRule="exact"/>
        <w:rPr>
          <w:sz w:val="20"/>
          <w:szCs w:val="20"/>
          <w:color w:val="auto"/>
        </w:rPr>
      </w:pPr>
    </w:p>
    <w:p>
      <w:pPr>
        <w:jc w:val="both"/>
        <w:ind w:right="280"/>
        <w:spacing w:after="0" w:line="277" w:lineRule="auto"/>
        <w:rPr>
          <w:sz w:val="20"/>
          <w:szCs w:val="20"/>
          <w:color w:val="auto"/>
        </w:rPr>
      </w:pPr>
      <w:r>
        <w:rPr>
          <w:rFonts w:ascii="Times New Roman" w:cs="Times New Roman" w:eastAsia="Times New Roman" w:hAnsi="Times New Roman"/>
          <w:sz w:val="16"/>
          <w:szCs w:val="16"/>
          <w:color w:val="auto"/>
        </w:rPr>
        <w:t>Although we maintain policies with our vendors, independent manufacturers, and licensees that promote ethical business practices, and our employees, agents, and third-party compliance auditors periodically visit and monitor the operations of these entities, we do not control our vendors, independent manufacturers, or licensees, or their practices. A violation of our vendor policies, licensee agreements, health and safety standards, labor laws, anti-bribery laws, or other policies or laws by these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ind w:right="20"/>
        <w:spacing w:after="0" w:line="271" w:lineRule="auto"/>
        <w:rPr>
          <w:sz w:val="20"/>
          <w:szCs w:val="20"/>
          <w:color w:val="auto"/>
        </w:rPr>
      </w:pPr>
      <w:r>
        <w:rPr>
          <w:rFonts w:ascii="Times New Roman" w:cs="Times New Roman" w:eastAsia="Times New Roman" w:hAnsi="Times New Roman"/>
          <w:sz w:val="16"/>
          <w:szCs w:val="16"/>
          <w:color w:val="auto"/>
        </w:rPr>
        <w:t>vendors, independent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or vendors.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protect our intellectual property rights could diminish the value of our brand, weaken our competitive position, and adversely affect our results.</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We currently rely on a combination of trademark, unfair competition, and copyright laws, as well as licensing and vendor arrangements, to establish and protect our intellectual property assets and rights. The steps taken by us or by our licensees and vendors to protect our proprietary rights may not be adequate to prevent either the counterfeit production of our products or the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or through acquisitions, and any such claim could be expensive and time consuming to defend, regardless of its merit. Successful infringement claims against us could result in significant monetary liability or prevent us from selling some of our products, which could have an adverse effect on our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delays, product recalls, or loss of revenues if our products do not meet our quality standards or applicable regulatory requirements.</w:t>
      </w:r>
    </w:p>
    <w:p>
      <w:pPr>
        <w:spacing w:after="0" w:line="9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From time to time, we receive shipments of product from our third-party vendors that fail to conform to our quality control standards. A failure in our quality control program may result in diminished product quality, which in turn may result in increased order cancellations and returns, decreased consumer demand for our products, or product recalls, any of which may have a material adverse effect on our results of operations and financial condition. In addition, products that fail to meet our standards, or other unauthorized products, could end up in the marketplace without our knowledge. This could materially harm our brand and our reputation in the marketplace.</w:t>
      </w:r>
    </w:p>
    <w:p>
      <w:pPr>
        <w:spacing w:after="0" w:line="1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All of our products are subject to regulations and standards set by various governmental authorities around the world, including in the United States, Canada, China, Mexico, and the European Union. These regulations and standards include rules relating to product quality and safety, and may change from time to time. Our inability, or that of our vendors, to comply on a timely basis with regulatory requirements could result in product recalls, or significant fines or penalties, which in turn could adversely affect our reputation and sales, and could have an adverse effect on our results of operations. Issues with respect to the compliance of merchandise we sell with these regulations and standards, regardless of our culpability or customer concerns about such issues, could result in damage to our reputation, lost sales, uninsured product liability claims or losses, product recalls, and increased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could suffer a material adverse effect from unseasonable or extreme weather conditions.</w:t>
      </w:r>
    </w:p>
    <w:p>
      <w:pPr>
        <w:spacing w:after="0" w:line="9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color w:val="auto"/>
        </w:rPr>
        <w:t>Our business is susceptible to unseasonable weather conditions, which could influence customer trends, consumer traffic, and shopping habits. For example, extended periods of unseasonably warm temperatures during the winter season or cool temperatures during the summer season could affect the timing of and reduce or shift demand, and thereby could have an adverse effect on our operational results, financial position, and cash flows. In addition, extreme weather conditions in the areas in which our stores are located could negatively affect our business, operational results, financial position, and cash flows. For example, frequent or unusually heavy or intense snowfall, ice storms, floods, hurricanes, or other extreme weather conditions over an extended period could cause our stores to close for a period of time or permanently, and could make it difficult for our customers to travel to our stores, which in turn could negatively impact our operational results.</w:t>
      </w:r>
    </w:p>
    <w:p>
      <w:pPr>
        <w:spacing w:after="0" w:line="124"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and may become subject to various claims and pending or threatened lawsuits, including as a result of investigations or other proceedings related to previously disclosed investigations.</w:t>
      </w:r>
    </w:p>
    <w:p>
      <w:pPr>
        <w:spacing w:after="0" w:line="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As previously reported, in 2009 the SEC and the U.S. Attorney’s Office began conducting investigations, with which the Company cooperated, related to customer margin support provided by the Company, including undisclosed margin support commitments and related matters. In December 2010, the Company and the SEC entered into a non-prosecution agreement pursuant to which the SEC agreed not to charge the Company with any violations of federal securities laws, commence any enforcement action against the Company, or require the Company to pay any financial penalties in connection with the SEC</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420"/>
          </w:cols>
          <w:pgMar w:left="240" w:top="345" w:right="239" w:bottom="1440" w:gutter="0" w:footer="0" w:header="0"/>
        </w:sectPr>
      </w:pPr>
    </w:p>
    <w:bookmarkStart w:id="13" w:name="page14"/>
    <w:bookmarkEnd w:id="13"/>
    <w:p>
      <w:pPr>
        <w:ind w:right="60"/>
        <w:spacing w:after="0" w:line="267" w:lineRule="auto"/>
        <w:rPr>
          <w:sz w:val="20"/>
          <w:szCs w:val="20"/>
          <w:color w:val="auto"/>
        </w:rPr>
      </w:pPr>
      <w:r>
        <w:rPr>
          <w:rFonts w:ascii="Times New Roman" w:cs="Times New Roman" w:eastAsia="Times New Roman" w:hAnsi="Times New Roman"/>
          <w:sz w:val="16"/>
          <w:szCs w:val="16"/>
          <w:color w:val="auto"/>
        </w:rPr>
        <w:t>investigation of customer margin support provided by the Company, conditioned upon the Company’s continued cooperation with the SEC’s investigation and with any related proceedings. The Company has incurred, and may continue to incur, substantial expenses for legal services due to the SEC and U.S. Attorney’s Office investigations and any related proceedings. These matters may continue to divert management’s time and attention away from operations. The Company also expects to bear additional costs pursuant to its advancement and indemnification obligations to directors and officers under the terms of our organizational documents in connection with proceedings related to these matters. Our insurance may not provide coverage to offset all of the costs incurred in connection with these proceedings.</w:t>
      </w:r>
    </w:p>
    <w:p>
      <w:pPr>
        <w:spacing w:after="0" w:line="12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addition, we are subject to various other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determine to pay amounts in connection with any such lawsuits, such amounts could exceed any applicable insurance coverage or contractual rights available to us. As a result, such lawsuits could be significant and have a material adverse impact on our business, financial condition, and results of operations.</w:t>
      </w:r>
    </w:p>
    <w:p>
      <w:pPr>
        <w:spacing w:after="0" w:line="125"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 and expenses.</w:t>
      </w:r>
    </w:p>
    <w:p>
      <w:pPr>
        <w:spacing w:after="0" w:line="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color w:val="auto"/>
        </w:rPr>
        <w:t>We rely on the security of our networks, databases, systems, and processes and, in certain circumstances, those of third parties, to protect our proprietary information and information about our customers, employees, and vendors. Criminals are constantly devising schemes to circumvent information technology security safeguards and other retailers have recently suffered serious data security breaches. If unauthorized parties gain access to our networks or databases, or those of our vendors, they may be able to steal, publish, delete, or modify our private and sensitive internal and third-party information, including credit card information and personal identification information. In addition, employees may intentionally or inadvertently cause data or security breaches that result in unauthorized release of personal or confidential information. In such circumstances, we could be held liable to our customers, other parties, or employees as well as be subject to regulatory or other actions for breaching privacy law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card industry, we may be subject to fines, restrictions, and expulsion from card acceptance programs, which could adversely affect our retail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profitability may decline as a result of increasing pressure on margins, including deflationary pressures on our selling price and increases in production costs.</w:t>
      </w:r>
    </w:p>
    <w:p>
      <w:pPr>
        <w:spacing w:after="0" w:line="9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The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birth rates, and the costs of our products, which are driven in part by the costs of raw materials (including cotton and other commodities), labor, fuel, and transportation, as well as general inflationary pressures. If external pressures cause us to reduce our sales prices and we fail to sufficiently reduce our product costs or operating expenses, or if we are unable to fully pass on increased costs to our customers, our profitability could decline. This could have a material adverse effect on our results of operations, liquidity,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revenues, product costs, and other expenses are subject to foreign economic and currency risks due to our operations outside of the United States.</w:t>
      </w:r>
    </w:p>
    <w:p>
      <w:pPr>
        <w:spacing w:after="0" w:line="9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We have operations in Canada, Mexico, the European Union, and Asia, and our vendors, independent manufacturers, and licensees are located around the world. The value of the U.S. dollar against other foreign currencies has seen significant volatility in recent years. While our business is primarily conducted in U.S. dollars, we source substantially all of our production from Asia, and we generate significant revenues in Canada. Cost increases caused by currency exchange rate fluctuations could make our products less competitive or have a material adverse effect on our profitability. Currency exchange rate fluctuations could also disrupt the business of our independent manufacturers that produce our products by making their purchases of raw materials or products more expensive and more difficult to finance. Additionally, fluctuations in exchange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00"/>
          </w:cols>
          <w:pgMar w:left="240" w:top="345"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rates impact the amount of our reported sales and expenses, which could have a material adverse effect on our financial position, results of operations, and cash flows.</w:t>
      </w:r>
    </w:p>
    <w:p>
      <w:pPr>
        <w:spacing w:after="0" w:line="170"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We source substantially all of our products through a network of vendors primarily in Asia, principally coordinated by our Hong Kong sourcing office. Our foreign supply chain could be negatively affected due to a number of factors, including:</w:t>
      </w:r>
    </w:p>
    <w:p>
      <w:pPr>
        <w:spacing w:after="0" w:line="13" w:lineRule="exact"/>
        <w:rPr>
          <w:sz w:val="20"/>
          <w:szCs w:val="20"/>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instability, including bankruptcy or insolvency, of one or more of our major vendors;</w:t>
      </w:r>
    </w:p>
    <w:p>
      <w:pPr>
        <w:spacing w:after="0" w:line="63" w:lineRule="exact"/>
        <w:rPr>
          <w:rFonts w:ascii="Times New Roman" w:cs="Times New Roman" w:eastAsia="Times New Roman" w:hAnsi="Times New Roman"/>
          <w:sz w:val="16"/>
          <w:szCs w:val="16"/>
          <w:color w:val="auto"/>
        </w:rPr>
      </w:pPr>
    </w:p>
    <w:p>
      <w:pPr>
        <w:ind w:left="600" w:right="20" w:hanging="305"/>
        <w:spacing w:after="0" w:line="290" w:lineRule="auto"/>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imposition of new regulations relating to imports, duties, taxes, and other charges on imports, including those that the U.S. government has and may implement on imports from China;</w:t>
      </w: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costs of raw materials (including cotton and other commodities), labor, fuel, and transportation;</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instability or other global events resulting in the disruption of trade in foreign countries from which we source our products;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in the supply of raw materials, including cotton, fabric, and trim items;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labor in our sourcing locations;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 natural disaster, unusual weather conditions, or a disease epidemic in foreign countries from which we source our products;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U.S. customs procedures concerning the importation of apparel products;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delays in customs clearance of any goods;</w:t>
      </w:r>
    </w:p>
    <w:p>
      <w:pPr>
        <w:spacing w:after="0" w:line="63" w:lineRule="exact"/>
        <w:rPr>
          <w:rFonts w:ascii="Times New Roman" w:cs="Times New Roman" w:eastAsia="Times New Roman" w:hAnsi="Times New Roman"/>
          <w:sz w:val="16"/>
          <w:szCs w:val="16"/>
          <w:color w:val="auto"/>
        </w:rPr>
      </w:pPr>
    </w:p>
    <w:p>
      <w:pPr>
        <w:ind w:left="600" w:right="160" w:hanging="305"/>
        <w:spacing w:after="0" w:line="290" w:lineRule="auto"/>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the global transportation network, such as a port strike, work stoppages or other labor unrest, capacity withholding, world trade restrictions, acts of terrorism, or war;</w:t>
      </w: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adverse foreign intellectual property laws;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vendors to secure sufficient credit to finance the manufacturing process, including the acquisition of raw materials;</w:t>
      </w:r>
    </w:p>
    <w:p>
      <w:pPr>
        <w:spacing w:after="0" w:line="63" w:lineRule="exact"/>
        <w:rPr>
          <w:rFonts w:ascii="Times New Roman" w:cs="Times New Roman" w:eastAsia="Times New Roman" w:hAnsi="Times New Roman"/>
          <w:sz w:val="16"/>
          <w:szCs w:val="16"/>
          <w:color w:val="auto"/>
        </w:rPr>
      </w:pPr>
    </w:p>
    <w:p>
      <w:pPr>
        <w:ind w:left="600" w:right="480" w:hanging="305"/>
        <w:spacing w:after="0" w:line="290" w:lineRule="auto"/>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social compliance concerns resulting from our use of international vendors, independent manufacturers, and licensees, over whom we have limited control;</w:t>
      </w: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delays or unexpected demand for products may require the use of faster, but more expensive, transportation methods, such as air-freight services;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“conflict minerals” sourced from the Democratic Republic of the Congo or its surrounding countries in our products; and</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beyond our control that could interrupt our supply chain and delay receipt of our products into the United States.</w:t>
      </w:r>
    </w:p>
    <w:p>
      <w:pPr>
        <w:spacing w:after="0" w:line="17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occurrence of one or more of these events could result in disruptions to our operations, which in turn could increase our cost of goods sold, decrease our gross profit, or impact our ability to deliver to our customers.</w:t>
      </w:r>
    </w:p>
    <w:p>
      <w:pPr>
        <w:spacing w:after="0" w:line="95"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 relatively small number of vendors supply a significant amount of our products, and losing one or more of these vendors could have a material adverse effect on our business.</w:t>
      </w:r>
    </w:p>
    <w:p>
      <w:pPr>
        <w:spacing w:after="0" w:line="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 fiscal 2018, we purchased approximately 70% of our products from ten vendors, of which approximately half comes from three vendors.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experience financial difficulties, lack of manufacturing capacity or significant labor disputes) our business, results of operations, and financial condition may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Labor or other disruptions along our supply chain may adversely affect our relationships with customers, reputation with consumers, and results of operations.</w:t>
      </w:r>
    </w:p>
    <w:p>
      <w:pPr>
        <w:spacing w:after="0" w:line="9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6"/>
          <w:szCs w:val="16"/>
          <w:color w:val="auto"/>
        </w:rPr>
        <w:t>Our business depends on our ability to source and distribute products in a timely manner. Labor disputes at third party factories where our goods are produced, the shipping ports we use, or our transportation carriers create significant risks for our business, particularly if these disputes result in work slowdowns, lockouts, strikes, or other disruptions during our peak manufacturing</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360"/>
          </w:cols>
          <w:pgMar w:left="240" w:top="345" w:right="299" w:bottom="1440" w:gutter="0" w:footer="0" w:header="0"/>
        </w:sectPr>
      </w:pPr>
    </w:p>
    <w:bookmarkStart w:id="15" w:name="page16"/>
    <w:bookmarkEnd w:id="15"/>
    <w:p>
      <w:pPr>
        <w:ind w:right="80"/>
        <w:spacing w:after="0" w:line="267" w:lineRule="auto"/>
        <w:rPr>
          <w:sz w:val="20"/>
          <w:szCs w:val="20"/>
          <w:color w:val="auto"/>
        </w:rPr>
      </w:pPr>
      <w:r>
        <w:rPr>
          <w:rFonts w:ascii="Times New Roman" w:cs="Times New Roman" w:eastAsia="Times New Roman" w:hAnsi="Times New Roman"/>
          <w:sz w:val="16"/>
          <w:szCs w:val="16"/>
          <w:color w:val="auto"/>
        </w:rPr>
        <w:t>and importing times. For example, we source a significant portion of our products through a single port on the west coast of the United States. Work slowdowns and stoppages relating to labor agreement negotiations involving the operators of our west coast port and unions have in the past resulted in a significant backlog of cargo containers entering the United States. The insolvency of major shipping companies have also had an effect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22" w:lineRule="exact"/>
        <w:rPr>
          <w:sz w:val="20"/>
          <w:szCs w:val="20"/>
          <w:color w:val="auto"/>
        </w:rPr>
      </w:pPr>
    </w:p>
    <w:p>
      <w:pPr>
        <w:ind w:right="3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inability to effectively source inventory could negatively impact our ability to timely deliver our inventory supply and disrupt our business, which may adversely affect our operating results.</w:t>
      </w:r>
    </w:p>
    <w:p>
      <w:pPr>
        <w:spacing w:after="0" w:line="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We source all of our garments and other products from a global network of third party suppliers. If we experience significant increases in demand, or need to replace an existing vendor or shift production to vendors in new countries,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Moreover, in the event of a significant disruption in the supply of the fabrics or raw materials used by our vendors in the manufacture of our products, our vendors might not be able to locate alternative suppliers of materials of comparable quality at an acceptable price. Any delays, interruption, or increased costs in the manufacture of our products could have a material adverse effect on our operating results.</w:t>
      </w:r>
    </w:p>
    <w:p>
      <w:pPr>
        <w:spacing w:after="0" w:line="124" w:lineRule="exact"/>
        <w:rPr>
          <w:sz w:val="20"/>
          <w:szCs w:val="20"/>
          <w:color w:val="auto"/>
        </w:rPr>
      </w:pPr>
    </w:p>
    <w:p>
      <w:pPr>
        <w:ind w:right="4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brands and negatively impact profitability. On the other hand, if we underestimate demand for our products, our manufacturing facilities or third-party manufacturers may not be able to produce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24" w:lineRule="exact"/>
        <w:rPr>
          <w:sz w:val="20"/>
          <w:szCs w:val="20"/>
          <w:color w:val="auto"/>
        </w:rPr>
      </w:pPr>
    </w:p>
    <w:p>
      <w:pPr>
        <w:ind w:right="3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expect to make significant capital investments and have significant expenses related to our omni-channel sales strategy and failure to execute our strategy could have a material adverse effect on how we meet consumer expectations.</w:t>
      </w:r>
    </w:p>
    <w:p>
      <w:pPr>
        <w:spacing w:after="0" w:line="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We distribute our products through multiple channels in the children’s apparel market, which, as of December 29, 2018, included 844 stores in the United States (which excludes five temporary Skip Hop stores that were closed in January 2019), 188 stores in Canada, 42 stores in Mexico, over 17,000 wholesale locations in the United States (including department stores, national chain stores, specialty stores and discount retailers), our eCommerce sites in the United States, Canada, and China, as well as our other international wholesale accounts and licensees. Our muli-channel global business model, which includes retail store, e-commerce, and wholesale sales channels, enables us to reach a broad range of consumers around the world.</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This strategy has and will continue to require significant investment in cross-functional operations and management focus, along with investment in supporting technologies. Omni-channel retailing is rapidly evolving and we must anticipate and meet changing customer expectations and counteract new developments and technology investments by our competitors. Our omni-channel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If we are unable to attract and retain employees or contract with third-parties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 customer-facing technology systems do not appeal to our customers, reliably function as designed, or maintain the privacy of customer data, or if we are unable to consistently meet our brand and delivery promises to our customers, we may experience a loss of customer confidence or lost sales, or be exposed to fraudulent purchases, which could adversely affect our reputation and results of operations.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345"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i w:val="1"/>
          <w:iCs w:val="1"/>
          <w:color w:val="auto"/>
        </w:rPr>
        <w:t>Our retail success is dependent upon identifying locations and negotiating appropriate lease terms for retail stores.</w:t>
      </w:r>
    </w:p>
    <w:p>
      <w:pPr>
        <w:spacing w:after="0" w:line="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A significant portion of our revenues are through our retail stores in leased retail locations across the United States, Canada, and Mexico. Successful operation of a retail store depends, in part, on the overall ability of the retail location to attract a consumer base sufficient to make store sales volume profitable. If we are unable to identify new retail locations with consumer traffic sufficient to support a profitable sales level, our retail growth may be limited.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any increase we may see in our eCommerce sales may not be sufficient to offset the decreases in sales from our brick-and-mortar stores.</w:t>
      </w:r>
    </w:p>
    <w:p>
      <w:pPr>
        <w:spacing w:after="0" w:line="12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We also must be able to effectively renew our existing store leases on acceptable terms. In addition, from time to time, we may seek to downsize, consolidate, reposition, or close some of our real estate locations, which in most cases requires a modification of an existing store lease. Failure to renew existing store leases, secure adequate new locations, or successfully modify existing locations, or failure to effectively manage the profitability of our existing fleet of stores, could have a material adverse effect on our results of operations.</w:t>
      </w:r>
    </w:p>
    <w:p>
      <w:pPr>
        <w:spacing w:after="0" w:line="1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Additionally, the economic environment may at times make it difficult to determine the fair market rent of real estate properties within the United States and internationally. This could impact the quality of our decisions to exercise lease options and renew expiring leases at negotiated rents. Any adverse effect on the quality of these decisions could impact our ability to retain real estate locations adequate to meet our targets or efficiently manage the profitability of our existing fleet of stores, and could have a material adverse effect on our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eCommerce business faces distinct risks, and our failure to successfully manage it could have a negative impact on our profitability.</w:t>
      </w:r>
    </w:p>
    <w:p>
      <w:pPr>
        <w:spacing w:after="0" w:line="92"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13" w:lineRule="exact"/>
        <w:rPr>
          <w:sz w:val="20"/>
          <w:szCs w:val="20"/>
          <w:color w:val="auto"/>
        </w:rPr>
      </w:pPr>
    </w:p>
    <w:p>
      <w:pPr>
        <w:ind w:left="600" w:right="20" w:hanging="305"/>
        <w:spacing w:after="0" w:line="290" w:lineRule="auto"/>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computer systems, including those of third-party vendors, that operate our eCommerce sites including, among others, inadequate system capacity, computer viruses, human error, changes in programming, security breaches, system upgrades or migration of these services to new systems;</w:t>
      </w: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telecom services or power outages;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for computer hardware and software, as well as delivery of merchandise to our customers on-time and without damage;</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rapid technology changes;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deliver products to customers on-time and within customers’ expectations;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or debit card fraud;</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sales from our physical stores;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or adverse weather conditions;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applicable federal, state and international regulations;</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for online content; and</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privacy concerns and regulation.</w:t>
      </w:r>
    </w:p>
    <w:p>
      <w:pPr>
        <w:spacing w:after="0" w:line="174"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Problems in any of these areas could result in a reduction in sales, increased costs and damage to our reputation and brands, which could adversely affect our business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unsuccessful in expanding into international markets.</w:t>
      </w:r>
    </w:p>
    <w:p>
      <w:pPr>
        <w:spacing w:after="0" w:line="9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We cannot be sure that we can successfully complete any planned international expansion or that new international business will be profitable or meet our expectations. We do not have significant experience operating in markets outside of the United States and Canada.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Significant changes in foreign relations, such as the withdrawal of the United Kingdom from the European Union and potential trade wars between nations in which we operate,</w:t>
      </w: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340"/>
          </w:cols>
          <w:pgMar w:left="240" w:top="341" w:right="319" w:bottom="1440" w:gutter="0" w:footer="0" w:header="0"/>
        </w:sectPr>
      </w:pPr>
    </w:p>
    <w:bookmarkStart w:id="17" w:name="page18"/>
    <w:bookmarkEnd w:id="17"/>
    <w:p>
      <w:pPr>
        <w:ind w:right="120"/>
        <w:spacing w:after="0" w:line="277" w:lineRule="auto"/>
        <w:rPr>
          <w:sz w:val="20"/>
          <w:szCs w:val="20"/>
          <w:color w:val="auto"/>
        </w:rPr>
      </w:pPr>
      <w:r>
        <w:rPr>
          <w:rFonts w:ascii="Times New Roman" w:cs="Times New Roman" w:eastAsia="Times New Roman" w:hAnsi="Times New Roman"/>
          <w:sz w:val="16"/>
          <w:szCs w:val="16"/>
          <w:color w:val="auto"/>
        </w:rPr>
        <w:t>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113"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results of operations, financial position, and cash flows, and our ability to conduct business in international markets may be affected by legal, regulatory, political, and economic risks.</w:t>
      </w:r>
    </w:p>
    <w:p>
      <w:pPr>
        <w:spacing w:after="0" w:line="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Our ability to conduct business in new and existing international markets is subject to legal, regulatory, political, and economic risks. These include the burdens of complying with foreign laws and regulations (including trade and labor restrictions), unexpected changes in regulatory requirements, and new tariffs or other barriers in some international markets. Additionally, the U.S. Foreign Corrupt Practices Act, and similar world-wide anti-bribery laws, prohibit companies and their intermediaries from making improper payments to government officials for the purpose of obtaining or retaining business. Our policies mandate compliance with anti-bribery laws. Our internal control policies and procedures, or those of our vendors, may not adequately protect us from reckless or criminal acts committed by our employees, agents, or vendors. Violations of these laws, or allegations of such violations, could disrupt our business and result in a material adverse effect on our financial condition, results of operations, and cash flows.</w:t>
      </w:r>
    </w:p>
    <w:p>
      <w:pPr>
        <w:spacing w:after="0" w:line="326"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6"/>
          <w:szCs w:val="16"/>
          <w:color w:val="auto"/>
        </w:rPr>
        <w:t>We are also subject to general political and economic risks in connection with our global operations, including political instability and terrorist attacks, differences in business culture, different laws governing relationships with employees and business partners, changes in diplomatic and trade relationships, and general economic fluctuations in specific countries or markets.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achieve sales growth plans, cost savings, and other assumptions that support the carrying value of our intangible assets.</w:t>
      </w:r>
    </w:p>
    <w:p>
      <w:pPr>
        <w:spacing w:after="0" w:line="9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and planned cost savings. Other assumptions that support the carrying value of these intangible assets, including a deterioration of macroeconomic conditions which would negatively affect the cost of capital and/or discount rates, could also result in impairment of the remaining asset values. Any material impairment would adversely affect our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substantial debt, which could adversely affect our financial health and our ability to obtain financing in the future and to react to changes in our business.</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As of December 29, 2018, we had $596.0 million aggregate principal amount of debt outstanding (excluding $5.0 million of outstanding letters of credit), and $549.0 million of undrawn availability under our senior secured revolving credit facility after giving effect to $5.0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2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If our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2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color w:val="auto"/>
        </w:rPr>
        <w:t>In addition, both our senior secured revolving credit facility and indenture governing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These restrictions may limit our ability to engage in acts that may be in our long-term best interests, and may make it difficult for us to execute our business strategy successfully or effectively compete with companies that are not similarly restricted. In particular, we cannot guarantee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345"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color w:val="auto"/>
        </w:rPr>
        <w:t>Our success is dependent upon retaining key individuals within the organization to execute our strategic plan.</w:t>
      </w:r>
    </w:p>
    <w:p>
      <w:pPr>
        <w:spacing w:after="0" w:line="9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Our ability to attract and retain qualified executive management, marketing, merchandising, design, sourcing, operations, and support function staffing is key to our success. If we are unable to attract and retain qualified individuals in these areas, this may result in an adverse impact on our growth and results of operations.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properly manage strategic initiatives in order to achieve our objectives may negatively impact our business.</w:t>
      </w:r>
    </w:p>
    <w:p>
      <w:pPr>
        <w:spacing w:after="0" w:line="9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6"/>
          <w:szCs w:val="16"/>
          <w:color w:val="auto"/>
        </w:rPr>
        <w:t>The implementation of our business strategy periodically involves the execution of complex initiatives, such as acquisitions, which may require that we make significant estimates and assumptions about a project, and these projects could place significant demands on our accounting, financial, information, and other systems, and on our business overall. In addition, we are dependent on our management ability to oversee these projects effectively and implement them successfully. If our estimates and assumptions about a project are incorrect, or if we miscalculate the resources or time we need to complete a project or fail to implement a project effectively, our business and operating results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successfully integrate acquired businesses and such acquisitions may fail to achieve the financial results we expected.</w:t>
      </w:r>
    </w:p>
    <w:p>
      <w:pPr>
        <w:spacing w:after="0" w:line="9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 xml:space="preserve">From time to time we may acquire other businesses as part of our growth strategy, such as our acquisitions of the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and our Mexican licensee in fiscal 2017, and we may partially or fully fund future acquisitions by taking on additional debt. We may be unable to successfully integrate businesses we acquire and such acquisitions may fail to achieve the financial results we expected. Integrating completed acquisitions into our existing operations, particularly larger acquisitions, involves numerous risks, including harmonizing divergent technology platforms, diversion of our management attention, failure to retain key personnel, and failure of the acquired business to be financially successful. In addition, we cannot be certain of the extent of any unknown or contingent liabilities of any acquired business, including liabilities for failure to comply with applicable laws, including those relating to product safety or anti-bribery and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124"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Failure to implement new information technology systems or needed upgrades to our systems, including operational and financial systems, could adversely affect our business.</w:t>
      </w:r>
    </w:p>
    <w:p>
      <w:pPr>
        <w:spacing w:after="0" w:line="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As our business has grown in size, complexity, and geographic footprint, we have enhanced and upgraded our information technology infrastructure and we expect there to be a regular need for additional enhancements and upgrades as we continue to grow. Failure to implement new systems or upgrade systems, including operational and financial systems, as needed or complications encountered in implementing new systems or upgrading existing systems could cause disruptions that may 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122"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We handle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the distribution facility (such as a high level of demand during peak periods) or because of natural disasters, accidents, system failures, disruptions, or other events, our sales could decline, which may have a materially adverse effect on our earnings, financial position, and our reputation. In addition, we use an automated system that manages the order processing for our eCommerce business. In the event that this system becomes inoperable for any reason, we may be unable to ship orders in a timely manner, and as a result, we could experience a reduction in our direct-to-consumer business, which could negatively impact our sales and profitability.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We must comply with various laws and regulations, including applicable employment, privacy and consumer protection laws. Our policies, procedures, and internal controls are designed to help us comply with all applicable foreign and domestic laws, accounting and reporting requirements, regulations, and tax requirements, including those imposed by the Sarbanes-Oxley Act of 2002, the Dodd-Frank Wall Street Reform and Consumer Protection Act, the SEC, and the New York Stock Exchange (“NYSE”) as well as other laws. Our failure to comply with these various laws and regulations could have an adverse impact on our reputation, financial condition, or results of operations.</w:t>
      </w:r>
    </w:p>
    <w:p>
      <w:pPr>
        <w:spacing w:after="0" w:line="32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6"/>
          <w:szCs w:val="16"/>
          <w:color w:val="auto"/>
        </w:rPr>
        <w:t>In addition, any changes in regulations, the imposition of additional regulations or the enactment of any new legislation that affects employment and labor, trade, product safety, data privacy, transportation and logistics, health care, tax, privacy, operations, or environmental issues, among other things, may increase the complexity of the regulatory environment in which we operate and the related cost of compliance.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the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tax obligations and effective tax rate.</w:t>
      </w:r>
    </w:p>
    <w:p>
      <w:pPr>
        <w:spacing w:after="0" w:line="9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6"/>
          <w:szCs w:val="16"/>
          <w:color w:val="auto"/>
        </w:rPr>
        <w:t>We are subject to income taxes in federal and applicable state and local tax jurisdictions in the United States, Canada, Hong Kong, Mexico, and other foreign jurisdictions.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mix and level of earnings.</w:t>
      </w:r>
    </w:p>
    <w:p>
      <w:pPr>
        <w:spacing w:after="0" w:line="12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color w:val="auto"/>
        </w:rPr>
        <w:t>In December 2017, the U.S. government enacted tax law changes known as the Tax Cuts and Jobs Act (the “2017 Tax Act”). The 2017 Tax Act significantly effects U.S. taxation for multinational corporations. The major implementation provisions of the 2017 Tax Act include a one-time transition tax on earnings of certain foreign subsidiaries that were previously tax deferred and the remeasurement of certain deferred income tax balances. As permitted by Staff Accounting Bulletin No. 118, we made provisional estimates in our fiscal 2017 financial statements, and completed our accounting for the enactment of the 2017 Tax Act in fiscal 2018. The adjustment to our provisional estimates recorded in 2018 was not material. Other provisions of the 2017 Tax Act include a reduction in the U.S. corporate tax rate, certain provisions to broaden the U.S. tax base, imposition of a minimum tax on income earned by foreign subsidiaries, an incentive for foreign sourced income earned by US entities and an incentive to encourage the repatriation of foreign sourced income. In conjunction with the 2017 Tax Act, the Internal Revenue Service has issued numerous regulations, and has expressed an intention to issue additional guidance during the first half of 2019. This guidance is expected to be applied retroactively to fiscal 2017. We have considered the impact of the 2017 Tax Act on our 2018 financial condition and results of operations. However, we continue to assess the effects that additional IRS regulations, notices, and other guidance will have on our business, financial condition, or results of operations in future periods.</w:t>
      </w:r>
    </w:p>
    <w:p>
      <w:pPr>
        <w:spacing w:after="0" w:line="1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Various states have selectively adapted certain provisions of the 2017 Tax Act, and other states have expressed that they continue to evaluate the impact this tax law has on state revenue. We anticipate that states will continue to legislatively adopt certain provisions of the 2017 Tax Act that may impact our state tax liability for current and deferred state taxes in the period adopted. In addition, following a decision by the US Supreme Court in 2018, states may have additional ability to tax entities operating in each state, but lacking physical presence. This case and state’s response to its findings may impact our business, financial condition, or results of operations in future periods.</w:t>
      </w:r>
    </w:p>
    <w:p>
      <w:pPr>
        <w:spacing w:after="0" w:line="12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color w:val="auto"/>
        </w:rPr>
        <w:t>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 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w:t>
      </w:r>
    </w:p>
    <w:p>
      <w:pPr>
        <w:spacing w:after="0" w:line="1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 addition, during the requisite service period for compensable equity-based compensation awards that we may grant to certain employees, we recognize a deferred income tax benefit on the compensation expense we incur for these awards for all employees other than our named executive officers. At time of subsequent vesting, exercise, or expiration of an award, the difference between our actual income tax deduction, if any, and the previously accrued income tax benefit is recognized in our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ind w:right="280"/>
        <w:spacing w:after="0" w:line="298" w:lineRule="auto"/>
        <w:rPr>
          <w:sz w:val="20"/>
          <w:szCs w:val="20"/>
          <w:color w:val="auto"/>
        </w:rPr>
      </w:pPr>
      <w:r>
        <w:rPr>
          <w:rFonts w:ascii="Times New Roman" w:cs="Times New Roman" w:eastAsia="Times New Roman" w:hAnsi="Times New Roman"/>
          <w:sz w:val="16"/>
          <w:szCs w:val="16"/>
          <w:color w:val="auto"/>
        </w:rPr>
        <w:t>income tax expense/benefit during the current period and can consequently raise or lower our effective tax rate for the period. Such differences are largely dependent on changes in the market price for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continue to pay quarterly cash dividends to our shareholders could cause the market price for our common stock to decline.</w:t>
      </w:r>
    </w:p>
    <w:p>
      <w:pPr>
        <w:spacing w:after="0" w:line="17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We currently pay a quarterly cash dividend. Future declarations of quarterly cash dividends and the establishment of future record and payment dates are at the discretion of our Board of Directors based on a number of factors, including our future financial performance and other investment priorities. Additionally, provisions in our senior credit facility and the indenture governing our senior notes could have the effect of restricting our ability to pay future cash dividends on, or make future repurchases of, our common stock. Any reduction or discontinuance by us of the payment of quarterly cash dividends could cause the market price of our common stock to decline.</w:t>
      </w: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360"/>
          </w:cols>
          <w:pgMar w:left="240" w:top="345"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our principal owned and leased properties as of December 29, 2018.</w:t>
      </w:r>
    </w:p>
    <w:p>
      <w:pPr>
        <w:spacing w:after="0" w:line="17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Our corporate headquarters occupies 304,000 square feet of leased space in a building in Atlanta, Georgia. Our lease for that space expires in April 2030. In addition, we occupy 28,000 square feet of leased space in a building in Mississauga, Ontario, which serves as our regional headquarters for Canada, and occupy 56,000 square feet of leased space in Hong Kong, China, which serves as our principal sourcing office in Asia. We also lease other space in Georgia, Wisconsin, and New York, as well as in Bangladesh, Cambodia, China, Mexico, and the United Kingdom that, depending on the site, serves as a sourcing, sales, or administrative office. We also own a 224,000 square foot facility in Griffin, Georgia.</w:t>
      </w:r>
    </w:p>
    <w:p>
      <w:pPr>
        <w:spacing w:after="0" w:line="12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6"/>
          <w:szCs w:val="16"/>
          <w:color w:val="auto"/>
        </w:rPr>
        <w:t>Our largest distribution centers, which we lease, are located in Braselton, Georgia and Stockbridge, Georgia, and are 1,062,000 and 505,000 square feet, respectively. We lease additional space in Canada and Mexico for distribution and warehousing purposes. We also use third-party logistics providers in various territories, including California and China, to provide warehousing and distribution services.</w:t>
      </w:r>
    </w:p>
    <w:p>
      <w:pPr>
        <w:spacing w:after="0" w:line="11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also operate the following number of leased retail stores: 844 in the United States (excluding five temporary Skip Hop stores that were closed in January 2019); 188 in Canada; and 42 in Mexico. Our average remaining lease term for retail store leases in the United States is approximately 4.9 years, excluding renewal options.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240" w:top="341"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are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380"/>
          </w:cols>
          <w:pgMar w:left="240" w:top="341" w:right="2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w:t>
      </w:r>
    </w:p>
    <w:p>
      <w:pPr>
        <w:spacing w:after="0" w:line="35" w:lineRule="exact"/>
        <w:rPr>
          <w:sz w:val="20"/>
          <w:szCs w:val="20"/>
          <w:color w:val="auto"/>
        </w:rPr>
      </w:pPr>
    </w:p>
    <w:p>
      <w:pPr>
        <w:ind w:left="661"/>
        <w:spacing w:after="0"/>
        <w:rPr>
          <w:sz w:val="20"/>
          <w:szCs w:val="20"/>
          <w:color w:val="auto"/>
        </w:rPr>
      </w:pPr>
      <w:r>
        <w:rPr>
          <w:rFonts w:ascii="Times New Roman" w:cs="Times New Roman" w:eastAsia="Times New Roman" w:hAnsi="Times New Roman"/>
          <w:sz w:val="16"/>
          <w:szCs w:val="16"/>
          <w:b w:val="1"/>
          <w:bCs w:val="1"/>
          <w:color w:val="auto"/>
        </w:rPr>
        <w:t>MATTERS, AND ISSUER PURCHASES OF EQUITY SECURITIES</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Historical Stock Price and Number of Record Holders</w:t>
      </w:r>
    </w:p>
    <w:p>
      <w:pPr>
        <w:spacing w:after="0" w:line="92" w:lineRule="exact"/>
        <w:rPr>
          <w:sz w:val="20"/>
          <w:szCs w:val="20"/>
          <w:color w:val="auto"/>
        </w:rPr>
      </w:pPr>
    </w:p>
    <w:p>
      <w:pPr>
        <w:ind w:left="1" w:right="340"/>
        <w:spacing w:after="0" w:line="298" w:lineRule="auto"/>
        <w:rPr>
          <w:sz w:val="20"/>
          <w:szCs w:val="20"/>
          <w:color w:val="auto"/>
        </w:rPr>
      </w:pPr>
      <w:r>
        <w:rPr>
          <w:rFonts w:ascii="Times New Roman" w:cs="Times New Roman" w:eastAsia="Times New Roman" w:hAnsi="Times New Roman"/>
          <w:sz w:val="16"/>
          <w:szCs w:val="16"/>
          <w:color w:val="auto"/>
        </w:rPr>
        <w:t>Our common stock trades on the New York Stock Exchange (NYSE) under the symbol CRI. The last reported sale price per share of our common stock on February 19, 2019 was $89.62. On that date there were 181 holders of record of our common stock.</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Share Repurchases</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table provides information about shares repurchased through our repurchase program described below during the fourth quarter of fiscal 2018:</w:t>
      </w:r>
    </w:p>
    <w:p>
      <w:pPr>
        <w:spacing w:after="0" w:line="236"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8"/>
              </w:rPr>
              <w:t>Approximate</w:t>
            </w:r>
          </w:p>
        </w:tc>
      </w:tr>
      <w:tr>
        <w:trPr>
          <w:trHeight w:val="185"/>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8"/>
              </w:rPr>
              <w:t>dollar value of remaining</w:t>
            </w:r>
          </w:p>
        </w:tc>
      </w:tr>
      <w:tr>
        <w:trPr>
          <w:trHeight w:val="185"/>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w w:val="98"/>
              </w:rPr>
              <w:t>shares that can be</w:t>
            </w:r>
          </w:p>
        </w:tc>
      </w:tr>
      <w:tr>
        <w:trPr>
          <w:trHeight w:val="185"/>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 number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purchased as part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5"/>
              </w:rPr>
              <w:t>purchased</w:t>
            </w:r>
          </w:p>
        </w:tc>
      </w:tr>
      <w:tr>
        <w:trPr>
          <w:trHeight w:val="185"/>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 shares</w:t>
            </w:r>
          </w:p>
        </w:tc>
        <w:tc>
          <w:tcPr>
            <w:tcW w:w="100" w:type="dxa"/>
            <w:vAlign w:val="bottom"/>
          </w:tcPr>
          <w:p>
            <w:pPr>
              <w:spacing w:after="0"/>
              <w:rPr>
                <w:sz w:val="16"/>
                <w:szCs w:val="16"/>
                <w:color w:val="auto"/>
              </w:rPr>
            </w:pPr>
          </w:p>
        </w:tc>
        <w:tc>
          <w:tcPr>
            <w:tcW w:w="160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publicly announced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9"/>
              </w:rPr>
              <w:t>under the plans</w:t>
            </w:r>
          </w:p>
        </w:tc>
      </w:tr>
      <w:tr>
        <w:trPr>
          <w:trHeight w:val="226"/>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40" w:type="dxa"/>
            <w:vAlign w:val="bottom"/>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purchased</w:t>
            </w:r>
            <w:r>
              <w:rPr>
                <w:rFonts w:ascii="Times New Roman" w:cs="Times New Roman" w:eastAsia="Times New Roman" w:hAnsi="Times New Roman"/>
                <w:sz w:val="19"/>
                <w:szCs w:val="19"/>
                <w:b w:val="1"/>
                <w:bCs w:val="1"/>
                <w:color w:val="auto"/>
                <w:w w:val="93"/>
                <w:vertAlign w:val="superscript"/>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plans or programs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9"/>
              </w:rPr>
              <w:t>or programs</w:t>
            </w:r>
          </w:p>
        </w:tc>
      </w:tr>
      <w:tr>
        <w:trPr>
          <w:trHeight w:val="165"/>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2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 30, 2018 through October 27, 2018</w:t>
            </w:r>
          </w:p>
        </w:tc>
        <w:tc>
          <w:tcPr>
            <w:tcW w:w="176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257,460</w:t>
            </w:r>
          </w:p>
        </w:tc>
        <w:tc>
          <w:tcPr>
            <w:tcW w:w="460" w:type="dxa"/>
            <w:vAlign w:val="bottom"/>
            <w:tcBorders>
              <w:bottom w:val="single" w:sz="8" w:color="CCEEFF"/>
            </w:tcBorders>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97.07</w:t>
            </w:r>
          </w:p>
        </w:tc>
        <w:tc>
          <w:tcPr>
            <w:tcW w:w="17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257,460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415,155,995</w:t>
            </w:r>
          </w:p>
        </w:tc>
      </w:tr>
      <w:tr>
        <w:trPr>
          <w:trHeight w:val="148"/>
        </w:trPr>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2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October 28, 2018 through November 24, 2018</w:t>
            </w:r>
          </w:p>
        </w:tc>
        <w:tc>
          <w:tcPr>
            <w:tcW w:w="176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90,182</w:t>
            </w:r>
          </w:p>
        </w:tc>
        <w:tc>
          <w:tcPr>
            <w:tcW w:w="460" w:type="dxa"/>
            <w:vAlign w:val="bottom"/>
            <w:tcBorders>
              <w:bottom w:val="single" w:sz="8" w:color="CCEEFF"/>
            </w:tcBorders>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93.30</w:t>
            </w:r>
          </w:p>
        </w:tc>
        <w:tc>
          <w:tcPr>
            <w:tcW w:w="17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89,296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406,824,924</w:t>
            </w:r>
          </w:p>
        </w:tc>
      </w:tr>
      <w:tr>
        <w:trPr>
          <w:trHeight w:val="148"/>
        </w:trPr>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2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November 25, 2018 through December 29, 2018</w:t>
            </w:r>
          </w:p>
        </w:tc>
        <w:tc>
          <w:tcPr>
            <w:tcW w:w="176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168,353</w:t>
            </w:r>
          </w:p>
        </w:tc>
        <w:tc>
          <w:tcPr>
            <w:tcW w:w="460" w:type="dxa"/>
            <w:vAlign w:val="bottom"/>
            <w:tcBorders>
              <w:bottom w:val="single" w:sz="8" w:color="CCEEFF"/>
            </w:tcBorders>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84.42</w:t>
            </w:r>
          </w:p>
        </w:tc>
        <w:tc>
          <w:tcPr>
            <w:tcW w:w="170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168,353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392,612,940</w:t>
            </w:r>
          </w:p>
        </w:tc>
      </w:tr>
      <w:tr>
        <w:trPr>
          <w:trHeight w:val="173"/>
        </w:trPr>
        <w:tc>
          <w:tcPr>
            <w:tcW w:w="4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r>
      <w:tr>
        <w:trPr>
          <w:trHeight w:val="219"/>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760" w:type="dxa"/>
            <w:vAlign w:val="bottom"/>
            <w:tcBorders>
              <w:bottom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515,995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515,109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9" w:lineRule="exact"/>
        <w:rPr>
          <w:sz w:val="20"/>
          <w:szCs w:val="20"/>
          <w:color w:val="auto"/>
        </w:rPr>
      </w:pPr>
    </w:p>
    <w:p>
      <w:pPr>
        <w:ind w:left="441" w:right="220" w:hanging="441"/>
        <w:spacing w:after="0" w:line="273" w:lineRule="auto"/>
        <w:tabs>
          <w:tab w:leader="none" w:pos="44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shares of our common stock surrendered by our employees to satisfy required tax withholding upon the vesting of restricted stock awards. There were 886 shares surrendered between October 28, 2018 and December 29, 2018.</w:t>
      </w:r>
    </w:p>
    <w:p>
      <w:pPr>
        <w:spacing w:after="0" w:line="1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92" w:lineRule="exact"/>
        <w:rPr>
          <w:sz w:val="20"/>
          <w:szCs w:val="20"/>
          <w:color w:val="auto"/>
        </w:rPr>
      </w:pPr>
    </w:p>
    <w:p>
      <w:pPr>
        <w:ind w:left="1" w:right="220"/>
        <w:spacing w:after="0" w:line="271" w:lineRule="auto"/>
        <w:rPr>
          <w:sz w:val="20"/>
          <w:szCs w:val="20"/>
          <w:color w:val="auto"/>
        </w:rPr>
      </w:pPr>
      <w:r>
        <w:rPr>
          <w:rFonts w:ascii="Times New Roman" w:cs="Times New Roman" w:eastAsia="Times New Roman" w:hAnsi="Times New Roman"/>
          <w:sz w:val="16"/>
          <w:szCs w:val="16"/>
          <w:color w:val="auto"/>
        </w:rPr>
        <w:t>Prior to 2016, our Board of Directors authorized the repurchase of shares of our common stock in amounts up to $462.5 million. On both February 26, 2016 and February 22, 2018, our Board of Directors authorized an additional $500 million of share repurchases, thereby authorizing total repurchase amounts up to $1,462.5 million. These authorizations are in addition to the $400 million authorized in 2013 for the Company's completed accelerated share repurchase (ASR) program. The total remaining capacity under the repurchase authorizations was approximately $392.6 million as of December 29, 2018.</w:t>
      </w:r>
    </w:p>
    <w:p>
      <w:pPr>
        <w:spacing w:after="0" w:line="1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Open-market repurchases of our common stock during fiscal years 2018, 2017, and 2016 were as follows:</w:t>
      </w:r>
    </w:p>
    <w:p>
      <w:pPr>
        <w:spacing w:after="0" w:line="236"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2"/>
        </w:trPr>
        <w:tc>
          <w:tcPr>
            <w:tcW w:w="56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9"/>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8"/>
                <w:szCs w:val="18"/>
                <w:color w:val="auto"/>
              </w:rPr>
            </w:pPr>
          </w:p>
        </w:tc>
        <w:tc>
          <w:tcPr>
            <w:tcW w:w="164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300" w:type="dxa"/>
            <w:vAlign w:val="bottom"/>
          </w:tcPr>
          <w:p>
            <w:pPr>
              <w:spacing w:after="0"/>
              <w:rPr>
                <w:sz w:val="18"/>
                <w:szCs w:val="18"/>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Number of shares repurchased</w:t>
            </w: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1,879,529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2,103,401</w:t>
            </w:r>
          </w:p>
        </w:tc>
        <w:tc>
          <w:tcPr>
            <w:tcW w:w="3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3,049,381</w:t>
            </w:r>
          </w:p>
        </w:tc>
      </w:tr>
      <w:tr>
        <w:trPr>
          <w:trHeight w:val="217"/>
        </w:trPr>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Aggregate cost of shares repurchased </w:t>
            </w:r>
            <w:r>
              <w:rPr>
                <w:rFonts w:ascii="Times New Roman" w:cs="Times New Roman" w:eastAsia="Times New Roman" w:hAnsi="Times New Roman"/>
                <w:sz w:val="15"/>
                <w:szCs w:val="15"/>
                <w:i w:val="1"/>
                <w:iCs w:val="1"/>
                <w:color w:val="auto"/>
              </w:rPr>
              <w:t>(dollars in thousands)</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193,028</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188,762</w:t>
            </w:r>
          </w:p>
        </w:tc>
        <w:tc>
          <w:tcPr>
            <w:tcW w:w="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300,445</w:t>
            </w:r>
          </w:p>
        </w:tc>
      </w:tr>
      <w:tr>
        <w:trPr>
          <w:trHeight w:val="30"/>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Average price per share</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89.74</w:t>
            </w:r>
          </w:p>
        </w:tc>
        <w:tc>
          <w:tcPr>
            <w:tcW w:w="3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98.53</w:t>
            </w:r>
          </w:p>
        </w:tc>
      </w:tr>
      <w:tr>
        <w:trPr>
          <w:trHeight w:val="30"/>
        </w:trPr>
        <w:tc>
          <w:tcPr>
            <w:tcW w:w="5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82" w:lineRule="exact"/>
        <w:rPr>
          <w:sz w:val="20"/>
          <w:szCs w:val="20"/>
          <w:color w:val="auto"/>
        </w:rPr>
      </w:pPr>
    </w:p>
    <w:p>
      <w:pPr>
        <w:ind w:left="1" w:right="240"/>
        <w:spacing w:after="0" w:line="298" w:lineRule="auto"/>
        <w:rPr>
          <w:sz w:val="20"/>
          <w:szCs w:val="20"/>
          <w:color w:val="auto"/>
        </w:rPr>
      </w:pPr>
      <w:r>
        <w:rPr>
          <w:rFonts w:ascii="Times New Roman" w:cs="Times New Roman" w:eastAsia="Times New Roman" w:hAnsi="Times New Roman"/>
          <w:sz w:val="16"/>
          <w:szCs w:val="16"/>
          <w:color w:val="auto"/>
        </w:rPr>
        <w:t>In addition to the open-market repurchases completed in fiscal years 2018, 2017, and 2016, we completed open-market repurchases totaling $387.6 million in fiscal years prior to 2016.</w:t>
      </w:r>
    </w:p>
    <w:p>
      <w:pPr>
        <w:spacing w:after="0" w:line="99" w:lineRule="exact"/>
        <w:rPr>
          <w:sz w:val="20"/>
          <w:szCs w:val="20"/>
          <w:color w:val="auto"/>
        </w:rPr>
      </w:pPr>
    </w:p>
    <w:p>
      <w:pPr>
        <w:jc w:val="both"/>
        <w:ind w:left="1" w:right="160"/>
        <w:spacing w:after="0" w:line="298" w:lineRule="auto"/>
        <w:rPr>
          <w:sz w:val="20"/>
          <w:szCs w:val="20"/>
          <w:color w:val="auto"/>
        </w:rPr>
      </w:pPr>
      <w:r>
        <w:rPr>
          <w:rFonts w:ascii="Times New Roman" w:cs="Times New Roman" w:eastAsia="Times New Roman" w:hAnsi="Times New Roman"/>
          <w:sz w:val="16"/>
          <w:szCs w:val="16"/>
          <w:color w:val="auto"/>
        </w:rPr>
        <w:t>Repurchases under the authorizations may be made in the open market or in privately-negotiated transactions, with the level and timing of such activity at the discretion of our management depending on market conditions, stock price, other investment priorities, and other factors. The share repurchase authorizations have no expiration dates.</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92" w:lineRule="exact"/>
        <w:rPr>
          <w:sz w:val="20"/>
          <w:szCs w:val="20"/>
          <w:color w:val="auto"/>
        </w:rPr>
      </w:pPr>
    </w:p>
    <w:p>
      <w:pPr>
        <w:ind w:left="1" w:right="380"/>
        <w:spacing w:after="0" w:line="298" w:lineRule="auto"/>
        <w:rPr>
          <w:sz w:val="20"/>
          <w:szCs w:val="20"/>
          <w:color w:val="auto"/>
        </w:rPr>
      </w:pPr>
      <w:r>
        <w:rPr>
          <w:rFonts w:ascii="Times New Roman" w:cs="Times New Roman" w:eastAsia="Times New Roman" w:hAnsi="Times New Roman"/>
          <w:sz w:val="16"/>
          <w:szCs w:val="16"/>
          <w:color w:val="auto"/>
        </w:rPr>
        <w:t>On February 14, 2019, our Board of Directors authorized a quarterly cash dividend payment of $0.50 per common share, payable on March 22, 2019 to shareholders of record at the close of business on March 12, 2019.</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421"/>
          </w:cols>
          <w:pgMar w:left="239" w:top="34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In fiscal 2018, we paid quarterly cash dividends of $0.45 per share each quarter. In fiscal 2017, we paid quarterly cash dividends of $0.37 per share each quarter.</w:t>
      </w:r>
    </w:p>
    <w:p>
      <w:pPr>
        <w:spacing w:after="0" w:line="174"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Future declarations of quarterly dividends and the establishment of future record and payment dates are at the discretion of our Board of Directors based on a number of factors, including our future financial performance and other investment priorities.</w:t>
      </w:r>
    </w:p>
    <w:p>
      <w:pPr>
        <w:spacing w:after="0" w:line="9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Provisions in our secured revolving credit facility and indenture governing our senior notes could have the effect of restricting our ability to pay future cash dividends on or make future repurchases of our common stock. For more information concerning these dividend restrictions, refer to the "Financial Condition, Capital Resources, and Liquidity" section of Item 7 in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320"/>
          </w:cols>
          <w:pgMar w:left="240" w:top="345" w:right="339" w:bottom="1440" w:gutter="0" w:footer="0" w:header="0"/>
        </w:sectPr>
      </w:pPr>
    </w:p>
    <w:bookmarkStart w:id="25" w:name="page26"/>
    <w:bookmarkEnd w:id="25"/>
    <w:p>
      <w:pPr>
        <w:ind w:left="1"/>
        <w:spacing w:after="0"/>
        <w:rPr>
          <w:sz w:val="20"/>
          <w:szCs w:val="20"/>
          <w:color w:val="auto"/>
        </w:rPr>
      </w:pPr>
      <w:r>
        <w:rPr>
          <w:rFonts w:ascii="Times New Roman" w:cs="Times New Roman" w:eastAsia="Times New Roman" w:hAnsi="Times New Roman"/>
          <w:sz w:val="16"/>
          <w:szCs w:val="16"/>
          <w:b w:val="1"/>
          <w:bCs w:val="1"/>
          <w:color w:val="auto"/>
        </w:rPr>
        <w:t>ITEM 6. SELECTED FINANCIAL DATA</w:t>
      </w:r>
    </w:p>
    <w:p>
      <w:pPr>
        <w:spacing w:after="0" w:line="92" w:lineRule="exact"/>
        <w:rPr>
          <w:sz w:val="20"/>
          <w:szCs w:val="20"/>
          <w:color w:val="auto"/>
        </w:rPr>
      </w:pPr>
    </w:p>
    <w:p>
      <w:pPr>
        <w:ind w:left="1"/>
        <w:spacing w:after="0" w:line="271" w:lineRule="auto"/>
        <w:rPr>
          <w:sz w:val="20"/>
          <w:szCs w:val="20"/>
          <w:color w:val="auto"/>
        </w:rPr>
      </w:pPr>
      <w:r>
        <w:rPr>
          <w:rFonts w:ascii="Times New Roman" w:cs="Times New Roman" w:eastAsia="Times New Roman" w:hAnsi="Times New Roman"/>
          <w:sz w:val="16"/>
          <w:szCs w:val="16"/>
          <w:color w:val="auto"/>
        </w:rPr>
        <w:t>The following selected financial and other data has been derived from our consolidated financial statements for each of the five fiscal years presented. The following information should be read in conjunction with Item 7 - "Management's Discussion and Analysis of Financial Condition and Results of Operations" and Item 8-"Financial Statements and Supplementary Data" which includes the consolidated financial statements and related notes appearing elsewhere in this Annual Report on Form 10-K, or the respective prior fiscal years' Form 10-K.</w:t>
      </w:r>
    </w:p>
    <w:p>
      <w:pPr>
        <w:spacing w:after="0" w:line="1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Company's fiscal year ends on the Saturday, in December or January, nearest the last day of December, resulting in an additional week of results every five or six years.</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All fiscal years for which financial information is set forth below contained 52 weeks, except for the fiscal year ended January 3, 2015, which contained 53 weeks.</w:t>
      </w:r>
    </w:p>
    <w:p>
      <w:pPr>
        <w:spacing w:after="0" w:line="232"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gridSpan w:val="5"/>
          </w:tcPr>
          <w:p>
            <w:pPr>
              <w:ind w:left="940"/>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2016</w:t>
            </w: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January 2,</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data)</w:t>
            </w:r>
          </w:p>
        </w:tc>
        <w:tc>
          <w:tcPr>
            <w:tcW w:w="180" w:type="dxa"/>
            <w:vAlign w:val="bottom"/>
          </w:tcPr>
          <w:p>
            <w:pPr>
              <w:spacing w:after="0"/>
              <w:rPr>
                <w:sz w:val="6"/>
                <w:szCs w:val="6"/>
                <w:color w:val="auto"/>
              </w:rPr>
            </w:pPr>
          </w:p>
        </w:tc>
        <w:tc>
          <w:tcPr>
            <w:tcW w:w="1220" w:type="dxa"/>
            <w:vAlign w:val="bottom"/>
            <w:vMerge w:val="restart"/>
          </w:tcPr>
          <w:p>
            <w:pPr>
              <w:jc w:val="right"/>
              <w:ind w:right="46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restart"/>
          </w:tcPr>
          <w:p>
            <w:pPr>
              <w:jc w:val="right"/>
              <w:ind w:right="466"/>
              <w:spacing w:after="0"/>
              <w:rPr>
                <w:sz w:val="20"/>
                <w:szCs w:val="20"/>
                <w:color w:val="auto"/>
              </w:rPr>
            </w:pPr>
            <w:r>
              <w:rPr>
                <w:rFonts w:ascii="Times New Roman" w:cs="Times New Roman" w:eastAsia="Times New Roman" w:hAnsi="Times New Roman"/>
                <w:sz w:val="15"/>
                <w:szCs w:val="15"/>
                <w:b w:val="1"/>
                <w:bCs w:val="1"/>
                <w:color w:val="auto"/>
              </w:rPr>
              <w:t>2016</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rPr>
              <w:t>January 3, 2015</w:t>
            </w: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(4)</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0"/>
                <w:szCs w:val="10"/>
                <w:b w:val="1"/>
                <w:bCs w:val="1"/>
                <w:color w:val="auto"/>
              </w:rPr>
              <w:t>(4)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Data: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Retail</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1,851,193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1,775,378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1,655,784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1,514,355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1,422,305</w:t>
            </w:r>
          </w:p>
        </w:tc>
        <w:tc>
          <w:tcPr>
            <w:tcW w:w="0" w:type="dxa"/>
            <w:vAlign w:val="bottom"/>
          </w:tcPr>
          <w:p>
            <w:pPr>
              <w:spacing w:after="0"/>
              <w:rPr>
                <w:sz w:val="1"/>
                <w:szCs w:val="1"/>
                <w:color w:val="auto"/>
              </w:rPr>
            </w:pP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 Wholesale</w:t>
            </w:r>
          </w:p>
        </w:tc>
        <w:tc>
          <w:tcPr>
            <w:tcW w:w="180" w:type="dxa"/>
            <w:vAlign w:val="bottom"/>
          </w:tcPr>
          <w:p>
            <w:pPr>
              <w:spacing w:after="0"/>
              <w:rPr>
                <w:sz w:val="18"/>
                <w:szCs w:val="18"/>
                <w:color w:val="auto"/>
              </w:rPr>
            </w:pPr>
          </w:p>
        </w:tc>
        <w:tc>
          <w:tcPr>
            <w:tcW w:w="1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1,180,687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1,209,663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1,178,034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1,173,313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1,155,089</w:t>
            </w: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430,389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415,463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364,725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326,211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316,474</w:t>
            </w:r>
          </w:p>
        </w:tc>
        <w:tc>
          <w:tcPr>
            <w:tcW w:w="0" w:type="dxa"/>
            <w:vAlign w:val="bottom"/>
          </w:tcPr>
          <w:p>
            <w:pPr>
              <w:spacing w:after="0"/>
              <w:rPr>
                <w:sz w:val="1"/>
                <w:szCs w:val="1"/>
                <w:color w:val="auto"/>
              </w:rPr>
            </w:pPr>
          </w:p>
        </w:tc>
      </w:tr>
      <w:tr>
        <w:trPr>
          <w:trHeight w:val="197"/>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net sales</w:t>
            </w:r>
          </w:p>
        </w:tc>
        <w:tc>
          <w:tcPr>
            <w:tcW w:w="1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3,462,269</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3,400,504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3,198,543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3,013,879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2,893,868</w:t>
            </w:r>
          </w:p>
        </w:tc>
        <w:tc>
          <w:tcPr>
            <w:tcW w:w="0" w:type="dxa"/>
            <w:vAlign w:val="bottom"/>
          </w:tcPr>
          <w:p>
            <w:pPr>
              <w:spacing w:after="0"/>
              <w:rPr>
                <w:sz w:val="1"/>
                <w:szCs w:val="1"/>
                <w:color w:val="auto"/>
              </w:rPr>
            </w:pPr>
          </w:p>
        </w:tc>
      </w:tr>
      <w:tr>
        <w:trPr>
          <w:trHeight w:val="30"/>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1,964,786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1,917,150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1,820,024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1,755,855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1,709,428</w:t>
            </w:r>
          </w:p>
        </w:tc>
        <w:tc>
          <w:tcPr>
            <w:tcW w:w="0" w:type="dxa"/>
            <w:vAlign w:val="bottom"/>
          </w:tcPr>
          <w:p>
            <w:pPr>
              <w:spacing w:after="0"/>
              <w:rPr>
                <w:sz w:val="1"/>
                <w:szCs w:val="1"/>
                <w:color w:val="auto"/>
              </w:rPr>
            </w:pP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1,497,483</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1,483,354</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1,378,519</w:t>
            </w:r>
          </w:p>
        </w:tc>
        <w:tc>
          <w:tcPr>
            <w:tcW w:w="12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1,258,024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1,184,440</w:t>
            </w: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391,433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419,607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425,928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392,857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333,345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355,975</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391,072</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395,440</w:t>
            </w:r>
          </w:p>
        </w:tc>
        <w:tc>
          <w:tcPr>
            <w:tcW w:w="12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368,188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302,906</w:t>
            </w: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282,068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302,848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257,709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237,822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194,670</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Per Common Share Data: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Basic net income</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Diluted net income</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6.00</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5.08</w:t>
            </w:r>
          </w:p>
        </w:tc>
        <w:tc>
          <w:tcPr>
            <w:tcW w:w="12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3.62</w:t>
            </w: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Balance Sheet Data:</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Working capital</w:t>
            </w:r>
            <w:r>
              <w:rPr>
                <w:rFonts w:ascii="Times New Roman" w:cs="Times New Roman" w:eastAsia="Times New Roman" w:hAnsi="Times New Roman"/>
                <w:sz w:val="19"/>
                <w:szCs w:val="19"/>
                <w:color w:val="auto"/>
                <w:vertAlign w:val="superscript"/>
              </w:rPr>
              <w:t>(1)(2)(3)</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715,537</w:t>
            </w:r>
          </w:p>
        </w:tc>
        <w:tc>
          <w:tcPr>
            <w:tcW w:w="120" w:type="dxa"/>
            <w:vAlign w:val="bottom"/>
          </w:tcPr>
          <w:p>
            <w:pPr>
              <w:spacing w:after="0"/>
              <w:rPr>
                <w:sz w:val="21"/>
                <w:szCs w:val="21"/>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689,464</w:t>
            </w:r>
          </w:p>
        </w:tc>
        <w:tc>
          <w:tcPr>
            <w:tcW w:w="100" w:type="dxa"/>
            <w:vAlign w:val="bottom"/>
          </w:tcPr>
          <w:p>
            <w:pPr>
              <w:spacing w:after="0"/>
              <w:rPr>
                <w:sz w:val="21"/>
                <w:szCs w:val="21"/>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779,717</w:t>
            </w:r>
          </w:p>
        </w:tc>
        <w:tc>
          <w:tcPr>
            <w:tcW w:w="120" w:type="dxa"/>
            <w:vAlign w:val="bottom"/>
          </w:tcPr>
          <w:p>
            <w:pPr>
              <w:spacing w:after="0"/>
              <w:rPr>
                <w:sz w:val="21"/>
                <w:szCs w:val="21"/>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867,890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792,675</w:t>
            </w:r>
          </w:p>
        </w:tc>
        <w:tc>
          <w:tcPr>
            <w:tcW w:w="0" w:type="dxa"/>
            <w:vAlign w:val="bottom"/>
          </w:tcPr>
          <w:p>
            <w:pPr>
              <w:spacing w:after="0"/>
              <w:rPr>
                <w:sz w:val="1"/>
                <w:szCs w:val="1"/>
                <w:color w:val="auto"/>
              </w:rPr>
            </w:pPr>
          </w:p>
        </w:tc>
      </w:tr>
      <w:tr>
        <w:trPr>
          <w:trHeight w:val="24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r>
              <w:rPr>
                <w:rFonts w:ascii="Times New Roman" w:cs="Times New Roman" w:eastAsia="Times New Roman" w:hAnsi="Times New Roman"/>
                <w:sz w:val="19"/>
                <w:szCs w:val="19"/>
                <w:color w:val="auto"/>
                <w:vertAlign w:val="superscript"/>
              </w:rPr>
              <w:t>(2)(3)</w:t>
            </w:r>
          </w:p>
        </w:tc>
        <w:tc>
          <w:tcPr>
            <w:tcW w:w="1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2,058,858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2,071,042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1,949,037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2,003,654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1,886,825</w:t>
            </w:r>
          </w:p>
        </w:tc>
        <w:tc>
          <w:tcPr>
            <w:tcW w:w="0" w:type="dxa"/>
            <w:vAlign w:val="bottom"/>
          </w:tcPr>
          <w:p>
            <w:pPr>
              <w:spacing w:after="0"/>
              <w:rPr>
                <w:sz w:val="1"/>
                <w:szCs w:val="1"/>
                <w:color w:val="auto"/>
              </w:rPr>
            </w:pPr>
          </w:p>
        </w:tc>
      </w:tr>
      <w:tr>
        <w:trPr>
          <w:trHeight w:val="247"/>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debt, net</w:t>
            </w:r>
            <w:r>
              <w:rPr>
                <w:rFonts w:ascii="Times New Roman" w:cs="Times New Roman" w:eastAsia="Times New Roman" w:hAnsi="Times New Roman"/>
                <w:sz w:val="19"/>
                <w:szCs w:val="19"/>
                <w:color w:val="auto"/>
                <w:vertAlign w:val="superscript"/>
              </w:rPr>
              <w:t>(2)</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593,264</w:t>
            </w:r>
          </w:p>
        </w:tc>
        <w:tc>
          <w:tcPr>
            <w:tcW w:w="120" w:type="dxa"/>
            <w:vAlign w:val="bottom"/>
          </w:tcPr>
          <w:p>
            <w:pPr>
              <w:spacing w:after="0"/>
              <w:rPr>
                <w:sz w:val="21"/>
                <w:szCs w:val="21"/>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617,306</w:t>
            </w:r>
          </w:p>
        </w:tc>
        <w:tc>
          <w:tcPr>
            <w:tcW w:w="100" w:type="dxa"/>
            <w:vAlign w:val="bottom"/>
          </w:tcPr>
          <w:p>
            <w:pPr>
              <w:spacing w:after="0"/>
              <w:rPr>
                <w:sz w:val="21"/>
                <w:szCs w:val="21"/>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580,376</w:t>
            </w:r>
          </w:p>
        </w:tc>
        <w:tc>
          <w:tcPr>
            <w:tcW w:w="120" w:type="dxa"/>
            <w:vAlign w:val="bottom"/>
          </w:tcPr>
          <w:p>
            <w:pPr>
              <w:spacing w:after="0"/>
              <w:rPr>
                <w:sz w:val="21"/>
                <w:szCs w:val="21"/>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578,972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579,728</w:t>
            </w:r>
          </w:p>
        </w:tc>
        <w:tc>
          <w:tcPr>
            <w:tcW w:w="0" w:type="dxa"/>
            <w:vAlign w:val="bottom"/>
          </w:tcPr>
          <w:p>
            <w:pPr>
              <w:spacing w:after="0"/>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Stockholders' equity</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869,433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857,416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788,363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875,051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786,684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 Data: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356,198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329,621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369,229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307,987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282,397</w:t>
            </w:r>
          </w:p>
        </w:tc>
        <w:tc>
          <w:tcPr>
            <w:tcW w:w="0" w:type="dxa"/>
            <w:vAlign w:val="bottom"/>
          </w:tcPr>
          <w:p>
            <w:pPr>
              <w:spacing w:after="0"/>
              <w:rPr>
                <w:sz w:val="1"/>
                <w:szCs w:val="1"/>
                <w:color w:val="auto"/>
              </w:rPr>
            </w:pP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(63,307)</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(227,915)</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(88,340)</w:t>
            </w:r>
          </w:p>
        </w:tc>
        <w:tc>
          <w:tcPr>
            <w:tcW w:w="12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(103,425)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(104,732)</w:t>
            </w: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(298,946)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(223,075)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(363,507)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(162,005)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(122,438)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Other Data: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Capital expenditures</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63,783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69,473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88,556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103,497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103,453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Dividend declared and paid per common share</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1.32</w:t>
            </w:r>
          </w:p>
        </w:tc>
        <w:tc>
          <w:tcPr>
            <w:tcW w:w="12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0.76</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441" w:hanging="441"/>
        <w:spacing w:after="0"/>
        <w:tabs>
          <w:tab w:leader="none" w:pos="44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total current assets less total current liabilities.</w:t>
      </w:r>
    </w:p>
    <w:p>
      <w:pPr>
        <w:spacing w:after="0" w:line="46"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periods have been adjusted to reflect the retrospective adoption of Accounting Standards Update No. 2015-03, </w:t>
      </w:r>
      <w:r>
        <w:rPr>
          <w:rFonts w:ascii="Times New Roman" w:cs="Times New Roman" w:eastAsia="Times New Roman" w:hAnsi="Times New Roman"/>
          <w:sz w:val="13"/>
          <w:szCs w:val="13"/>
          <w:i w:val="1"/>
          <w:iCs w:val="1"/>
          <w:color w:val="auto"/>
        </w:rPr>
        <w:t>Presentation of Debt Issuance Cost for Term Debt</w:t>
      </w:r>
      <w:r>
        <w:rPr>
          <w:rFonts w:ascii="Times New Roman" w:cs="Times New Roman" w:eastAsia="Times New Roman" w:hAnsi="Times New Roman"/>
          <w:sz w:val="13"/>
          <w:szCs w:val="13"/>
          <w:color w:val="auto"/>
        </w:rPr>
        <w:t>.</w:t>
      </w:r>
    </w:p>
    <w:p>
      <w:pPr>
        <w:spacing w:after="0" w:line="48"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Fiscal 2017 reflects the prospective adoption of Accounting Standards Update No. 2015-17, </w:t>
      </w:r>
      <w:r>
        <w:rPr>
          <w:rFonts w:ascii="Times New Roman" w:cs="Times New Roman" w:eastAsia="Times New Roman" w:hAnsi="Times New Roman"/>
          <w:sz w:val="13"/>
          <w:szCs w:val="13"/>
          <w:i w:val="1"/>
          <w:iCs w:val="1"/>
          <w:color w:val="auto"/>
        </w:rPr>
        <w:t>Balance Sheet Classification of Deferred Taxes</w:t>
      </w:r>
      <w:r>
        <w:rPr>
          <w:rFonts w:ascii="Times New Roman" w:cs="Times New Roman" w:eastAsia="Times New Roman" w:hAnsi="Times New Roman"/>
          <w:sz w:val="13"/>
          <w:szCs w:val="13"/>
          <w:color w:val="auto"/>
        </w:rPr>
        <w:t>.</w:t>
      </w:r>
    </w:p>
    <w:p>
      <w:pPr>
        <w:spacing w:after="0" w:line="48"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Fiscal 2017 and 2016 reflect the retrospective adoption of Accounting Standards Codification No. 606, </w:t>
      </w:r>
      <w:r>
        <w:rPr>
          <w:rFonts w:ascii="Times New Roman" w:cs="Times New Roman" w:eastAsia="Times New Roman" w:hAnsi="Times New Roman"/>
          <w:sz w:val="13"/>
          <w:szCs w:val="13"/>
          <w:i w:val="1"/>
          <w:iCs w:val="1"/>
          <w:color w:val="auto"/>
        </w:rPr>
        <w:t>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21"/>
          </w:cols>
          <w:pgMar w:left="239" w:top="34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9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includes various forward-looking statements about our markets, the demand for our products and services, and our future results. We based these statements on assumptions that we consider reasonable. Actual results may differ materially from those suggested by our forward-looking statements for various reasons including those discussed in the "Risk Factors" in Item 1A of this Annual Report on Form 10-K. Those risk factors expressly qualify all subsequent oral and written forward-looking statements attributable to us or persons acting on our behalf. Except for any ongoing obligations to disclose material information as required by the federal securities laws, we do not have any intention or obligation to update forward-looking statements after we file this Annual Report on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Years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"52/53 week" fiscal year ends on the Saturday in December or January nearest December 31, resulting in an additional 53rd week of results every five or six years.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Fiscal 2018, 2017, and 2016 each contained 52 calendar weeks and ended on December 29, 2018, December 30, 2017, and December 31, 2016,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92"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 xml:space="preserve">We are the largest branded marketer in North America of apparel exclusively for babies and young children. We own two of the most highly recognized and most trusted brand names in the children’s apparel industry,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OshKosh B’gosh</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and a leading baby and young child lifestyle brand,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Established in 1865,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is recognized and trusted by consumers for high-quality apparel for children in sizes newborn to 14 and accessories.</w:t>
      </w:r>
    </w:p>
    <w:p>
      <w:pPr>
        <w:spacing w:after="0" w:line="174"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6"/>
          <w:szCs w:val="16"/>
          <w:color w:val="auto"/>
        </w:rPr>
        <w:t xml:space="preserve">Established in 1895,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is a well-known brand, trusted by consumers for apparel for children in sizes newborn to 14, with a focus on playclothes for toddlers and young children, and accessories.</w:t>
      </w:r>
    </w:p>
    <w:p>
      <w:pPr>
        <w:spacing w:after="0" w:line="96"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6"/>
          <w:szCs w:val="16"/>
          <w:color w:val="auto"/>
        </w:rPr>
        <w:t xml:space="preserve">Established in 2003, the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takes durable childhood necessities, and re-thinks, re-energizes, and re-imagines them to produce higher value, superior quality, and top-performance goods for parents, babies, and toddlers. We acquired the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 in February 2017.</w:t>
      </w:r>
    </w:p>
    <w:p>
      <w:pPr>
        <w:spacing w:after="0" w:line="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 xml:space="preserve">Our vision is to be the leader in baby and young children’s apparel and accessories, and to consistently provide high-quality products at a compelling value to consumers. We believe our brands provide a complementary product offering and aesthetic, and are each uniquely positioned in the marketplace. In the approximately $21 billion baby and young children's apparel market ages zero to seven in the U.S.,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brand has the #1 position with approximately 14% of market share and our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brand has approximately 2% market share.</w:t>
      </w:r>
    </w:p>
    <w:p>
      <w:pPr>
        <w:spacing w:after="0" w:line="1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Our multi-channel global business model - which includes retail store, e-commerce, and wholesale sales channels - enables us to reach a broad range of consumers around the world. As of December 29, 2018, our channels included 844 stores in the United States (excluding five temporary Skip Hop stores that were closed in January 2019), 188 stores in Canada, 42 stores in Mexico, over 17,000 wholesale locations in the United States (including department stores, national chain stores, specialty stores and discount retailers), our eCommerce sites in the United States, Canada, and China, as well as our other international wholesale, licensing, and online channels.</w:t>
      </w:r>
    </w:p>
    <w:p>
      <w:pPr>
        <w:spacing w:after="0" w:line="12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have extensive experience in the young children’s apparel and accessories market and focus on delivering products that satisfy our consumers’ needs. Our long-term growth strategy is focused on:</w:t>
      </w:r>
    </w:p>
    <w:p>
      <w:pPr>
        <w:spacing w:after="0" w:line="13" w:lineRule="exact"/>
        <w:rPr>
          <w:sz w:val="20"/>
          <w:szCs w:val="20"/>
          <w:color w:val="auto"/>
        </w:rPr>
      </w:pPr>
    </w:p>
    <w:p>
      <w:pPr>
        <w:ind w:left="600" w:hanging="305"/>
        <w:spacing w:after="0"/>
        <w:tabs>
          <w:tab w:leader="none" w:pos="6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the best value and experience in young children's apparel and accessories;</w:t>
      </w:r>
    </w:p>
    <w:p>
      <w:pPr>
        <w:spacing w:after="0" w:line="63" w:lineRule="exact"/>
        <w:rPr>
          <w:rFonts w:ascii="Times New Roman" w:cs="Times New Roman" w:eastAsia="Times New Roman" w:hAnsi="Times New Roman"/>
          <w:sz w:val="16"/>
          <w:szCs w:val="16"/>
          <w:color w:val="auto"/>
        </w:rPr>
      </w:pPr>
    </w:p>
    <w:p>
      <w:pPr>
        <w:ind w:left="600" w:hanging="305"/>
        <w:spacing w:after="0" w:line="290" w:lineRule="auto"/>
        <w:tabs>
          <w:tab w:leader="none" w:pos="6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extending the reach of our brands by improving the convenience of shopping for our products, and our omni-channel experience, as well as expanding our international operations;</w:t>
      </w:r>
    </w:p>
    <w:p>
      <w:pPr>
        <w:ind w:left="600" w:hanging="305"/>
        <w:spacing w:after="0"/>
        <w:tabs>
          <w:tab w:leader="none" w:pos="6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profitability by strengthening distribution and direct-sourcing capabilities, as well as inventory management disciplines; and</w:t>
      </w:r>
    </w:p>
    <w:p>
      <w:pPr>
        <w:spacing w:after="0" w:line="6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new sources of growth.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9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The three segments we use to manage and evaluate our performance are: U.S. Retail, U.S. Wholesale, and International. These segments are our operating and reporting segments. Our U.S. Retail segment consists of revenue primarily from sales of products in the United States through our retail and online stores.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in Canada and Mexico, our eCommerce sites in Canada and China, and sales to our international wholesale accounts and licensees.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00"/>
          </w:cols>
          <w:pgMar w:left="240" w:top="341" w:right="259" w:bottom="1440" w:gutter="0" w:footer="0" w:header="0"/>
        </w:sectPr>
      </w:pPr>
    </w:p>
    <w:bookmarkStart w:id="28" w:name="page29"/>
    <w:bookmarkEnd w:id="28"/>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for the periods indicated, selected statement of operations data expressed as a percentage of consolidated net sales.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c>
          <w:tcPr>
            <w:tcW w:w="200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2000" w:type="dxa"/>
            <w:vAlign w:val="bottom"/>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53"/>
        </w:trPr>
        <w:tc>
          <w:tcPr>
            <w:tcW w:w="20" w:type="dxa"/>
            <w:vAlign w:val="bottom"/>
            <w:shd w:val="clear" w:color="auto" w:fill="CCEEFF"/>
          </w:tcPr>
          <w:p>
            <w:pPr>
              <w:spacing w:after="0"/>
              <w:rPr>
                <w:sz w:val="13"/>
                <w:szCs w:val="13"/>
                <w:color w:val="auto"/>
              </w:rPr>
            </w:pPr>
          </w:p>
        </w:tc>
        <w:tc>
          <w:tcPr>
            <w:tcW w:w="52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b w:val="1"/>
                <w:bCs w:val="1"/>
                <w:color w:val="auto"/>
              </w:rPr>
              <w:t>Net sales</w:t>
            </w: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66"/>
        </w:trPr>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r>
      <w:tr>
        <w:trPr>
          <w:trHeight w:val="217"/>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U.S. Retail</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51.8 %</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U.S. Wholesale</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36.8 %</w:t>
            </w:r>
          </w:p>
        </w:tc>
      </w:tr>
      <w:tr>
        <w:trPr>
          <w:trHeight w:val="217"/>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11.4 %</w:t>
            </w:r>
          </w:p>
        </w:tc>
      </w:tr>
      <w:tr>
        <w:trPr>
          <w:trHeight w:val="30"/>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Consolidated net sales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17"/>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goods sold</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56.9 %</w:t>
            </w:r>
          </w:p>
        </w:tc>
      </w:tr>
      <w:tr>
        <w:trPr>
          <w:trHeight w:val="30"/>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12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43.1 %</w:t>
            </w:r>
          </w:p>
        </w:tc>
      </w:tr>
      <w:tr>
        <w:trPr>
          <w:trHeight w:val="217"/>
        </w:trPr>
        <w:tc>
          <w:tcPr>
            <w:tcW w:w="52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Royalty income</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31.1 %</w:t>
            </w:r>
          </w:p>
        </w:tc>
      </w:tr>
      <w:tr>
        <w:trPr>
          <w:trHeight w:val="197"/>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tcPr>
          <w:p>
            <w:pPr>
              <w:spacing w:after="0"/>
              <w:rPr>
                <w:sz w:val="17"/>
                <w:szCs w:val="17"/>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20" w:type="dxa"/>
            <w:vAlign w:val="bottom"/>
          </w:tcPr>
          <w:p>
            <w:pPr>
              <w:spacing w:after="0"/>
              <w:rPr>
                <w:sz w:val="17"/>
                <w:szCs w:val="17"/>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13.3 %</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r>
      <w:tr>
        <w:trPr>
          <w:trHeight w:val="217"/>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5"/>
                <w:szCs w:val="15"/>
                <w:color w:val="auto"/>
              </w:rPr>
              <w:t>n/m</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5"/>
                <w:szCs w:val="15"/>
                <w:color w:val="auto"/>
              </w:rPr>
              <w:t>n/m</w:t>
            </w:r>
          </w:p>
        </w:tc>
        <w:tc>
          <w:tcPr>
            <w:tcW w:w="200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n/m</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2080" w:type="dxa"/>
            <w:vAlign w:val="bottom"/>
            <w:tcBorders>
              <w:bottom w:val="single" w:sz="8" w:color="CCEEFF"/>
            </w:tcBorders>
            <w:gridSpan w:val="2"/>
            <w:shd w:val="clear" w:color="auto" w:fill="CCEEFF"/>
          </w:tcPr>
          <w:p>
            <w:pPr>
              <w:ind w:left="1580"/>
              <w:spacing w:after="0"/>
              <w:rPr>
                <w:sz w:val="20"/>
                <w:szCs w:val="20"/>
                <w:color w:val="auto"/>
              </w:rPr>
            </w:pPr>
            <w:r>
              <w:rPr>
                <w:rFonts w:ascii="Times New Roman" w:cs="Times New Roman" w:eastAsia="Times New Roman" w:hAnsi="Times New Roman"/>
                <w:sz w:val="15"/>
                <w:szCs w:val="15"/>
                <w:color w:val="auto"/>
              </w:rPr>
              <w:t>n/m</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97"/>
        </w:trPr>
        <w:tc>
          <w:tcPr>
            <w:tcW w:w="52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Pr>
          <w:p>
            <w:pPr>
              <w:spacing w:after="0"/>
              <w:rPr>
                <w:sz w:val="17"/>
                <w:szCs w:val="17"/>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20" w:type="dxa"/>
            <w:vAlign w:val="bottom"/>
          </w:tcPr>
          <w:p>
            <w:pPr>
              <w:spacing w:after="0"/>
              <w:rPr>
                <w:sz w:val="17"/>
                <w:szCs w:val="17"/>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12.4 %</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7"/>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r>
      <w:tr>
        <w:trPr>
          <w:trHeight w:val="259"/>
        </w:trPr>
        <w:tc>
          <w:tcPr>
            <w:tcW w:w="20" w:type="dxa"/>
            <w:vAlign w:val="bottom"/>
            <w:tcBorders>
              <w:bottom w:val="single" w:sz="8" w:color="CCEEFF"/>
            </w:tcBorders>
          </w:tcPr>
          <w:p>
            <w:pPr>
              <w:spacing w:after="0"/>
              <w:rPr>
                <w:sz w:val="22"/>
                <w:szCs w:val="22"/>
                <w:color w:val="auto"/>
              </w:rPr>
            </w:pPr>
          </w:p>
        </w:tc>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20" w:type="dxa"/>
            <w:vAlign w:val="bottom"/>
            <w:tcBorders>
              <w:bottom w:val="single" w:sz="8" w:color="CCEEFF"/>
            </w:tcBorders>
          </w:tcPr>
          <w:p>
            <w:pPr>
              <w:spacing w:after="0"/>
              <w:rPr>
                <w:sz w:val="22"/>
                <w:szCs w:val="22"/>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20" w:type="dxa"/>
            <w:vAlign w:val="bottom"/>
            <w:tcBorders>
              <w:bottom w:val="single" w:sz="8" w:color="CCEEFF"/>
            </w:tcBorders>
          </w:tcPr>
          <w:p>
            <w:pPr>
              <w:spacing w:after="0"/>
              <w:rPr>
                <w:sz w:val="22"/>
                <w:szCs w:val="22"/>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8.1 %</w:t>
            </w:r>
          </w:p>
        </w:tc>
      </w:tr>
      <w:tr>
        <w:trPr>
          <w:trHeight w:val="158"/>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rounds to less than 0.1%; therefore not material.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Results may not be additive due to rounding.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Comparable Retail Sales Metrics</w:t>
      </w:r>
    </w:p>
    <w:p>
      <w:pPr>
        <w:spacing w:after="0" w:line="92"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Our management's discussion and analysis includes comparable sales metrics for our company-owned retail stores and our eCommerce sites in our U.S. Retail and International segments.</w:t>
      </w:r>
    </w:p>
    <w:p>
      <w:pPr>
        <w:spacing w:after="0" w:line="9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Our comparable store sales metrics include sales for all stores and eCommerce sites that were open and operated by us during the comparable fiscal period, including stand-alone format stores that converted to dual-branded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 All sales that were made from the new Skip Hop tab on our existing U.S. eCommerce site are included in our comparable eCommerce site sales metrics.</w:t>
      </w:r>
    </w:p>
    <w:p>
      <w:pPr>
        <w:spacing w:after="0" w:line="20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At the beginning of fiscal 2018, we transitioned to disclosing a total comparable retail sales metric, including both retail stores and eCommerce. This change aligns with how management views and evaluates our retail business. We believe it reflects our maturing omni-channel strategy and consumers’ increasing tendency to shop with us both in our stores and online.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Methods of calculating sales metrics vary across the retail industry. As a result, our method of calculating comparable sales may not be the same as that of other retailers.</w:t>
      </w:r>
    </w:p>
    <w:p>
      <w:pPr>
        <w:spacing w:after="0" w:line="170" w:lineRule="exact"/>
        <w:rPr>
          <w:sz w:val="20"/>
          <w:szCs w:val="20"/>
          <w:color w:val="auto"/>
        </w:rPr>
      </w:pPr>
    </w:p>
    <w:p>
      <w:pPr>
        <w:ind w:right="2680"/>
        <w:spacing w:after="0" w:line="357" w:lineRule="auto"/>
        <w:rPr>
          <w:sz w:val="20"/>
          <w:szCs w:val="20"/>
          <w:color w:val="auto"/>
        </w:rPr>
      </w:pPr>
      <w:r>
        <w:rPr>
          <w:rFonts w:ascii="Times New Roman" w:cs="Times New Roman" w:eastAsia="Times New Roman" w:hAnsi="Times New Roman"/>
          <w:sz w:val="16"/>
          <w:szCs w:val="16"/>
          <w:b w:val="1"/>
          <w:bCs w:val="1"/>
          <w:color w:val="auto"/>
        </w:rPr>
        <w:t>2018 FISCAL YEAR ENDED DECEMBER 29, 2018 COMPARED TO 2017 FISCAL YEAR ENDED DECEMBER 30, 2017 Consolidated Net Sales</w:t>
      </w:r>
    </w:p>
    <w:p>
      <w:pPr>
        <w:ind w:right="140"/>
        <w:spacing w:after="0" w:line="298" w:lineRule="auto"/>
        <w:rPr>
          <w:sz w:val="20"/>
          <w:szCs w:val="20"/>
          <w:color w:val="auto"/>
        </w:rPr>
      </w:pPr>
      <w:r>
        <w:rPr>
          <w:rFonts w:ascii="Times New Roman" w:cs="Times New Roman" w:eastAsia="Times New Roman" w:hAnsi="Times New Roman"/>
          <w:sz w:val="16"/>
          <w:szCs w:val="16"/>
          <w:color w:val="auto"/>
        </w:rPr>
        <w:t>Compared to fiscal 2017, consolidated net sales in fiscal 2018 increased $61.8 million, or 1.8%, to $3.46 billion. This increase reflected sales growth in our U.S. Retail and International segments, partially offset by a decline in our U.S. Wholesale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420"/>
          </w:cols>
          <w:pgMar w:left="240" w:top="119" w:right="239" w:bottom="1440" w:gutter="0" w:footer="0" w:header="0"/>
        </w:sectPr>
      </w:pPr>
    </w:p>
    <w:bookmarkStart w:id="29" w:name="page30"/>
    <w:bookmarkEnd w:id="29"/>
    <w:p>
      <w:pPr>
        <w:ind w:left="1"/>
        <w:spacing w:after="0"/>
        <w:tabs>
          <w:tab w:leader="none" w:pos="741"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8" w:lineRule="exact"/>
        <w:rPr>
          <w:sz w:val="20"/>
          <w:szCs w:val="20"/>
          <w:color w:val="auto"/>
        </w:rPr>
      </w:pPr>
    </w:p>
    <w:p>
      <w:pPr>
        <w:ind w:left="1" w:right="100"/>
        <w:spacing w:after="0" w:line="298" w:lineRule="auto"/>
        <w:rPr>
          <w:sz w:val="20"/>
          <w:szCs w:val="20"/>
          <w:color w:val="auto"/>
        </w:rPr>
      </w:pPr>
      <w:r>
        <w:rPr>
          <w:rFonts w:ascii="Times New Roman" w:cs="Times New Roman" w:eastAsia="Times New Roman" w:hAnsi="Times New Roman"/>
          <w:sz w:val="16"/>
          <w:szCs w:val="16"/>
          <w:color w:val="auto"/>
        </w:rPr>
        <w:t>segment. Changes in foreign currency exchange rates used for translation in fiscal 2018, as compared to fiscal 2017, had an unfavorable effect on our consolidated net sales of approximately $2.6 million.</w:t>
      </w:r>
    </w:p>
    <w:p>
      <w:pPr>
        <w:spacing w:after="0" w:line="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Net sales by segment, and each segment's percentage of consolidated net sales, were as follows:</w:t>
      </w:r>
    </w:p>
    <w:p>
      <w:pPr>
        <w:spacing w:after="0" w:line="249"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c>
          <w:tcPr>
            <w:tcW w:w="92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 of</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196"/>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92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30"/>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8"/>
        </w:trPr>
        <w:tc>
          <w:tcPr>
            <w:tcW w:w="2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auto"/>
            </w:tcBorders>
            <w:shd w:val="clear" w:color="auto" w:fill="CCEEFF"/>
          </w:tcPr>
          <w:p>
            <w:pPr>
              <w:spacing w:after="0"/>
              <w:rPr>
                <w:sz w:val="3"/>
                <w:szCs w:val="3"/>
                <w:color w:val="auto"/>
              </w:rPr>
            </w:pPr>
          </w:p>
        </w:tc>
        <w:tc>
          <w:tcPr>
            <w:tcW w:w="48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7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r>
      <w:tr>
        <w:trPr>
          <w:trHeight w:val="217"/>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U.S. Retail</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1,851,193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1,775,378</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w:t>
            </w:r>
          </w:p>
        </w:tc>
      </w:tr>
      <w:tr>
        <w:trPr>
          <w:trHeight w:val="30"/>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U.S. Wholesale</w:t>
            </w: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1,180,687</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1,209,663</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r>
      <w:tr>
        <w:trPr>
          <w:trHeight w:val="217"/>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220" w:type="dxa"/>
            <w:vAlign w:val="bottom"/>
          </w:tcPr>
          <w:p>
            <w:pPr>
              <w:spacing w:after="0"/>
              <w:rPr>
                <w:sz w:val="18"/>
                <w:szCs w:val="18"/>
                <w:color w:val="auto"/>
              </w:rPr>
            </w:pPr>
          </w:p>
        </w:tc>
        <w:tc>
          <w:tcPr>
            <w:tcW w:w="17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430,389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415,463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30"/>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net sales</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3,462,269</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3,400,504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Note: Results may not be additive due to rounding.</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U.S. Retail Sales</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Store Count Data for Company-Operated Retail Stores in our U.S. Retail segment</w:t>
      </w:r>
    </w:p>
    <w:p>
      <w:pPr>
        <w:spacing w:after="0" w:line="251" w:lineRule="exact"/>
        <w:rPr>
          <w:sz w:val="20"/>
          <w:szCs w:val="20"/>
          <w:color w:val="auto"/>
        </w:rPr>
      </w:pPr>
    </w:p>
    <w:tbl>
      <w:tblPr>
        <w:tblLayout w:type="fixed"/>
        <w:tblInd w:w="1501"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Store Count</w:t>
            </w:r>
          </w:p>
        </w:tc>
        <w:tc>
          <w:tcPr>
            <w:tcW w:w="136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Region:</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42"/>
        </w:trPr>
        <w:tc>
          <w:tcPr>
            <w:tcW w:w="20" w:type="dxa"/>
            <w:vAlign w:val="bottom"/>
            <w:tcBorders>
              <w:bottom w:val="single" w:sz="8" w:color="CCEEFF"/>
            </w:tcBorders>
          </w:tcPr>
          <w:p>
            <w:pPr>
              <w:spacing w:after="0"/>
              <w:rPr>
                <w:sz w:val="3"/>
                <w:szCs w:val="3"/>
                <w:color w:val="auto"/>
              </w:rPr>
            </w:pPr>
          </w:p>
        </w:tc>
        <w:tc>
          <w:tcPr>
            <w:tcW w:w="480" w:type="dxa"/>
            <w:vAlign w:val="bottom"/>
            <w:tcBorders>
              <w:top w:val="single" w:sz="8" w:color="auto"/>
              <w:bottom w:val="single" w:sz="8" w:color="CCEEFF"/>
            </w:tcBorders>
          </w:tcPr>
          <w:p>
            <w:pPr>
              <w:spacing w:after="0"/>
              <w:rPr>
                <w:sz w:val="3"/>
                <w:szCs w:val="3"/>
                <w:color w:val="auto"/>
              </w:rPr>
            </w:pPr>
          </w:p>
        </w:tc>
        <w:tc>
          <w:tcPr>
            <w:tcW w:w="36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w:t>
            </w:r>
            <w:r>
              <w:rPr>
                <w:rFonts w:ascii="Times New Roman" w:cs="Times New Roman" w:eastAsia="Times New Roman" w:hAnsi="Times New Roman"/>
                <w:sz w:val="19"/>
                <w:szCs w:val="19"/>
                <w:color w:val="auto"/>
                <w:vertAlign w:val="superscript"/>
              </w:rPr>
              <w:t>(*)</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w:t>
            </w:r>
          </w:p>
        </w:tc>
      </w:tr>
    </w:tbl>
    <w:p>
      <w:pPr>
        <w:spacing w:after="0" w:line="29" w:lineRule="exact"/>
        <w:rPr>
          <w:sz w:val="20"/>
          <w:szCs w:val="20"/>
          <w:color w:val="auto"/>
        </w:rPr>
      </w:pPr>
    </w:p>
    <w:p>
      <w:pPr>
        <w:ind w:left="301" w:hanging="301"/>
        <w:spacing w:after="0"/>
        <w:tabs>
          <w:tab w:leader="none" w:pos="30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five temporary Skip Hop stores that were closed in January 2019.</w:t>
      </w:r>
    </w:p>
    <w:p>
      <w:pPr>
        <w:spacing w:after="0" w:line="163" w:lineRule="exact"/>
        <w:rPr>
          <w:sz w:val="20"/>
          <w:szCs w:val="20"/>
          <w:color w:val="auto"/>
        </w:rPr>
      </w:pPr>
    </w:p>
    <w:p>
      <w:pPr>
        <w:ind w:left="1" w:right="280"/>
        <w:spacing w:after="0" w:line="298" w:lineRule="auto"/>
        <w:rPr>
          <w:sz w:val="20"/>
          <w:szCs w:val="20"/>
          <w:color w:val="auto"/>
        </w:rPr>
      </w:pPr>
      <w:r>
        <w:rPr>
          <w:rFonts w:ascii="Times New Roman" w:cs="Times New Roman" w:eastAsia="Times New Roman" w:hAnsi="Times New Roman"/>
          <w:sz w:val="16"/>
          <w:szCs w:val="16"/>
          <w:color w:val="auto"/>
        </w:rPr>
        <w:t>At the beginning of fiscal 2017, we changed our methodology for U.S. store counts related to certain dual-branded format stores. Accordingly, our store count data is not comparable to data previously presented in prior fiscal years.</w:t>
      </w:r>
    </w:p>
    <w:p>
      <w:pPr>
        <w:spacing w:after="0" w:line="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Comparable Sales for our U.S. Retail segment</w:t>
      </w:r>
    </w:p>
    <w:p>
      <w:pPr>
        <w:spacing w:after="0" w:line="90" w:lineRule="exact"/>
        <w:rPr>
          <w:sz w:val="20"/>
          <w:szCs w:val="20"/>
          <w:color w:val="auto"/>
        </w:rPr>
      </w:pPr>
    </w:p>
    <w:p>
      <w:pPr>
        <w:jc w:val="both"/>
        <w:ind w:left="1"/>
        <w:spacing w:after="0" w:line="290" w:lineRule="auto"/>
        <w:rPr>
          <w:sz w:val="20"/>
          <w:szCs w:val="20"/>
          <w:color w:val="auto"/>
        </w:rPr>
      </w:pPr>
      <w:r>
        <w:rPr>
          <w:rFonts w:ascii="Times New Roman" w:cs="Times New Roman" w:eastAsia="Times New Roman" w:hAnsi="Times New Roman"/>
          <w:sz w:val="16"/>
          <w:szCs w:val="16"/>
          <w:color w:val="auto"/>
        </w:rPr>
        <w:t>Comparable retail net sales increased 2.8% during fiscal 2018 compared to fiscal 2017. We believe the comparable retail net sales increase was attributable to strong sales during the November and December holiday season, partially offset by lower demand from international consumers due to the effect of a strong U.S. dollar relative to other currencies.</w:t>
      </w:r>
    </w:p>
    <w:p>
      <w:pPr>
        <w:spacing w:after="0" w:line="3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Sales Results</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U.S. Retail segment net sales increased $75.8 million, or 4.3%, in fiscal 2018 to $1.85 billion. The increase in net sales in fiscal 2018 primarily reflected an/a:</w:t>
      </w:r>
    </w:p>
    <w:p>
      <w:pPr>
        <w:spacing w:after="0" w:line="88" w:lineRule="exact"/>
        <w:rPr>
          <w:sz w:val="20"/>
          <w:szCs w:val="20"/>
          <w:color w:val="auto"/>
        </w:rPr>
      </w:pPr>
    </w:p>
    <w:p>
      <w:pPr>
        <w:ind w:left="601" w:hanging="305"/>
        <w:spacing w:after="0"/>
        <w:tabs>
          <w:tab w:leader="none" w:pos="60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$68.0 million from new stores that are not yet comparable;</w:t>
      </w:r>
    </w:p>
    <w:p>
      <w:pPr>
        <w:spacing w:after="0" w:line="30" w:lineRule="exact"/>
        <w:rPr>
          <w:rFonts w:ascii="Times New Roman" w:cs="Times New Roman" w:eastAsia="Times New Roman" w:hAnsi="Times New Roman"/>
          <w:sz w:val="16"/>
          <w:szCs w:val="16"/>
          <w:color w:val="auto"/>
        </w:rPr>
      </w:pPr>
    </w:p>
    <w:p>
      <w:pPr>
        <w:ind w:left="601" w:hanging="305"/>
        <w:spacing w:after="0"/>
        <w:tabs>
          <w:tab w:leader="none" w:pos="60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$60.7 million from eCommerce sales;</w:t>
      </w:r>
    </w:p>
    <w:p>
      <w:pPr>
        <w:spacing w:after="0" w:line="13" w:lineRule="exact"/>
        <w:rPr>
          <w:rFonts w:ascii="Times New Roman" w:cs="Times New Roman" w:eastAsia="Times New Roman" w:hAnsi="Times New Roman"/>
          <w:sz w:val="16"/>
          <w:szCs w:val="16"/>
          <w:color w:val="auto"/>
        </w:rPr>
      </w:pPr>
    </w:p>
    <w:p>
      <w:pPr>
        <w:ind w:left="601" w:hanging="305"/>
        <w:spacing w:after="0"/>
        <w:tabs>
          <w:tab w:leader="none" w:pos="60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$37.9 million due to the effect of store closings; and</w:t>
      </w:r>
    </w:p>
    <w:p>
      <w:pPr>
        <w:spacing w:after="0" w:line="13" w:lineRule="exact"/>
        <w:rPr>
          <w:rFonts w:ascii="Times New Roman" w:cs="Times New Roman" w:eastAsia="Times New Roman" w:hAnsi="Times New Roman"/>
          <w:sz w:val="16"/>
          <w:szCs w:val="16"/>
          <w:color w:val="auto"/>
        </w:rPr>
      </w:pPr>
    </w:p>
    <w:p>
      <w:pPr>
        <w:ind w:left="601" w:hanging="305"/>
        <w:spacing w:after="0"/>
        <w:tabs>
          <w:tab w:leader="none" w:pos="60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$15.8 million in comparable retail store sales.</w:t>
      </w:r>
    </w:p>
    <w:p>
      <w:pPr>
        <w:spacing w:after="0" w:line="15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U.S. Wholesale Sales</w:t>
      </w:r>
    </w:p>
    <w:p>
      <w:pPr>
        <w:spacing w:after="0" w:line="92" w:lineRule="exact"/>
        <w:rPr>
          <w:sz w:val="20"/>
          <w:szCs w:val="20"/>
          <w:color w:val="auto"/>
        </w:rPr>
      </w:pPr>
    </w:p>
    <w:p>
      <w:pPr>
        <w:jc w:val="both"/>
        <w:ind w:left="1"/>
        <w:spacing w:after="0" w:line="277" w:lineRule="auto"/>
        <w:rPr>
          <w:sz w:val="20"/>
          <w:szCs w:val="20"/>
          <w:color w:val="auto"/>
        </w:rPr>
      </w:pPr>
      <w:r>
        <w:rPr>
          <w:rFonts w:ascii="Times New Roman" w:cs="Times New Roman" w:eastAsia="Times New Roman" w:hAnsi="Times New Roman"/>
          <w:sz w:val="16"/>
          <w:szCs w:val="16"/>
          <w:color w:val="auto"/>
        </w:rPr>
        <w:t>U.S. Wholesale segment net sales decreased $29.0 million, or 2.4%, in fiscal 2018 to $1.18 billion. This decline reflected a 3.0% decrease in the number of units shipped, which was primarily the result of reduced demand due to customer bankruptcies, partially offset by a 0.6% increase in the average price per unit and contributions from the Skip Hop business that was acquired during the first quarter of fiscal 2017.</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421"/>
          </w:cols>
          <w:pgMar w:left="239" w:top="119" w:right="239" w:bottom="1440" w:gutter="0" w:footer="0" w:header="0"/>
        </w:sectPr>
      </w:pPr>
    </w:p>
    <w:bookmarkStart w:id="30" w:name="page31"/>
    <w:bookmarkEnd w:id="30"/>
    <w:p>
      <w:pPr>
        <w:ind w:left="1"/>
        <w:spacing w:after="0"/>
        <w:tabs>
          <w:tab w:leader="none" w:pos="741"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International Sales</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Store Count Data for Company-Operated Retail Stores in our International segment</w:t>
      </w:r>
    </w:p>
    <w:p>
      <w:pPr>
        <w:spacing w:after="0" w:line="251" w:lineRule="exact"/>
        <w:rPr>
          <w:sz w:val="20"/>
          <w:szCs w:val="20"/>
          <w:color w:val="auto"/>
        </w:rPr>
      </w:pPr>
    </w:p>
    <w:tbl>
      <w:tblPr>
        <w:tblLayout w:type="fixed"/>
        <w:tblInd w:w="1501"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7"/>
              </w:rPr>
              <w:t>Store Count</w:t>
            </w:r>
          </w:p>
        </w:tc>
        <w:tc>
          <w:tcPr>
            <w:tcW w:w="136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Region:</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42"/>
        </w:trPr>
        <w:tc>
          <w:tcPr>
            <w:tcW w:w="20" w:type="dxa"/>
            <w:vAlign w:val="bottom"/>
            <w:tcBorders>
              <w:bottom w:val="single" w:sz="8" w:color="CCEEFF"/>
            </w:tcBorders>
          </w:tcPr>
          <w:p>
            <w:pPr>
              <w:spacing w:after="0"/>
              <w:rPr>
                <w:sz w:val="3"/>
                <w:szCs w:val="3"/>
                <w:color w:val="auto"/>
              </w:rPr>
            </w:pPr>
          </w:p>
        </w:tc>
        <w:tc>
          <w:tcPr>
            <w:tcW w:w="480" w:type="dxa"/>
            <w:vAlign w:val="bottom"/>
            <w:tcBorders>
              <w:top w:val="single" w:sz="8" w:color="auto"/>
              <w:bottom w:val="single" w:sz="8" w:color="CCEEFF"/>
            </w:tcBorders>
          </w:tcPr>
          <w:p>
            <w:pPr>
              <w:spacing w:after="0"/>
              <w:rPr>
                <w:sz w:val="3"/>
                <w:szCs w:val="3"/>
                <w:color w:val="auto"/>
              </w:rPr>
            </w:pPr>
          </w:p>
        </w:tc>
        <w:tc>
          <w:tcPr>
            <w:tcW w:w="36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Canada</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r>
      <w:tr>
        <w:trPr>
          <w:trHeight w:val="327"/>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Mexico</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24"/>
                <w:szCs w:val="24"/>
                <w:color w:val="auto"/>
              </w:rPr>
            </w:pPr>
          </w:p>
        </w:tc>
        <w:tc>
          <w:tcPr>
            <w:tcW w:w="1360" w:type="dxa"/>
            <w:vAlign w:val="bottom"/>
          </w:tcPr>
          <w:p>
            <w:pPr>
              <w:jc w:val="right"/>
              <w:spacing w:after="0" w:line="327" w:lineRule="exact"/>
              <w:rPr>
                <w:sz w:val="20"/>
                <w:szCs w:val="20"/>
                <w:color w:val="auto"/>
              </w:rPr>
            </w:pPr>
            <w:r>
              <w:rPr>
                <w:rFonts w:ascii="Times New Roman" w:cs="Times New Roman" w:eastAsia="Times New Roman" w:hAnsi="Times New Roman"/>
                <w:sz w:val="29"/>
                <w:szCs w:val="29"/>
                <w:color w:val="auto"/>
                <w:vertAlign w:val="subscript"/>
              </w:rPr>
              <w:t>41</w:t>
            </w:r>
            <w:r>
              <w:rPr>
                <w:rFonts w:ascii="Times New Roman" w:cs="Times New Roman" w:eastAsia="Times New Roman" w:hAnsi="Times New Roman"/>
                <w:sz w:val="10"/>
                <w:szCs w:val="10"/>
                <w:color w:val="auto"/>
              </w:rPr>
              <w:t>(2)</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N/A</w:t>
            </w:r>
            <w:r>
              <w:rPr>
                <w:rFonts w:ascii="Times New Roman" w:cs="Times New Roman" w:eastAsia="Times New Roman" w:hAnsi="Times New Roman"/>
                <w:sz w:val="19"/>
                <w:szCs w:val="19"/>
                <w:color w:val="auto"/>
                <w:vertAlign w:val="superscript"/>
              </w:rPr>
              <w:t>(1)</w:t>
            </w:r>
          </w:p>
        </w:tc>
      </w:tr>
    </w:tbl>
    <w:p>
      <w:pPr>
        <w:ind w:left="441" w:hanging="441"/>
        <w:spacing w:after="0"/>
        <w:tabs>
          <w:tab w:leader="none" w:pos="44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operated retail stores in Mexico upon the acquisition of our former licensee in Mexico on August 1, 2017.</w:t>
      </w:r>
    </w:p>
    <w:p>
      <w:pPr>
        <w:spacing w:after="0" w:line="34"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39 retail stores acquired in fiscal 2017.</w:t>
      </w:r>
    </w:p>
    <w:p>
      <w:pPr>
        <w:spacing w:after="0" w:line="1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Sales Results</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International segment net sales increased $14.9 million, or 3.6%, in fiscal 2018 to $430.4 million. Changes in foreign currency exchange rates, primarily between the U.S.</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dollar and the Canadian dollar, had a $2.6 million unfavorable affect on International segment net sales in fiscal 2018 compared to fiscal 2017.</w:t>
      </w:r>
    </w:p>
    <w:p>
      <w:pPr>
        <w:spacing w:after="0" w:line="15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$14.9 million increase in net sales in our International segment for fiscal 2018 primarily reflected an/a:</w:t>
      </w:r>
    </w:p>
    <w:p>
      <w:pPr>
        <w:spacing w:after="0" w:line="88" w:lineRule="exact"/>
        <w:rPr>
          <w:sz w:val="20"/>
          <w:szCs w:val="20"/>
          <w:color w:val="auto"/>
        </w:rPr>
      </w:pPr>
    </w:p>
    <w:p>
      <w:pPr>
        <w:ind w:left="621" w:hanging="300"/>
        <w:spacing w:after="0"/>
        <w:tabs>
          <w:tab w:leader="none" w:pos="6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$21.2 million related to contributions from acquired businesses;</w:t>
      </w:r>
    </w:p>
    <w:p>
      <w:pPr>
        <w:spacing w:after="0" w:line="30" w:lineRule="exact"/>
        <w:rPr>
          <w:rFonts w:ascii="Times New Roman" w:cs="Times New Roman" w:eastAsia="Times New Roman" w:hAnsi="Times New Roman"/>
          <w:sz w:val="16"/>
          <w:szCs w:val="16"/>
          <w:color w:val="auto"/>
        </w:rPr>
      </w:pPr>
    </w:p>
    <w:p>
      <w:pPr>
        <w:ind w:left="621" w:hanging="300"/>
        <w:spacing w:after="0"/>
        <w:tabs>
          <w:tab w:leader="none" w:pos="6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$6.7 million from our Canada business, including wholesale and retail operations;</w:t>
      </w:r>
    </w:p>
    <w:p>
      <w:pPr>
        <w:spacing w:after="0" w:line="13" w:lineRule="exact"/>
        <w:rPr>
          <w:rFonts w:ascii="Times New Roman" w:cs="Times New Roman" w:eastAsia="Times New Roman" w:hAnsi="Times New Roman"/>
          <w:sz w:val="16"/>
          <w:szCs w:val="16"/>
          <w:color w:val="auto"/>
        </w:rPr>
      </w:pPr>
    </w:p>
    <w:p>
      <w:pPr>
        <w:ind w:left="621" w:hanging="300"/>
        <w:spacing w:after="0"/>
        <w:tabs>
          <w:tab w:leader="none" w:pos="6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$9.0 million from a decrease in sales in China; and</w:t>
      </w:r>
    </w:p>
    <w:p>
      <w:pPr>
        <w:spacing w:after="0" w:line="13" w:lineRule="exact"/>
        <w:rPr>
          <w:rFonts w:ascii="Times New Roman" w:cs="Times New Roman" w:eastAsia="Times New Roman" w:hAnsi="Times New Roman"/>
          <w:sz w:val="16"/>
          <w:szCs w:val="16"/>
          <w:color w:val="auto"/>
        </w:rPr>
      </w:pPr>
    </w:p>
    <w:p>
      <w:pPr>
        <w:ind w:left="621" w:hanging="300"/>
        <w:spacing w:after="0"/>
        <w:tabs>
          <w:tab w:leader="none" w:pos="6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$4.0 million from international sales to customers across various regions.</w:t>
      </w:r>
    </w:p>
    <w:p>
      <w:pPr>
        <w:spacing w:after="0" w:line="15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Compared to fiscal 2017, our Canadian total retail comparable sales increased 0.5% in fiscal 2018.</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Gross Profit and Gross Margin</w:t>
      </w:r>
    </w:p>
    <w:p>
      <w:pPr>
        <w:spacing w:after="0" w:line="92" w:lineRule="exact"/>
        <w:rPr>
          <w:sz w:val="20"/>
          <w:szCs w:val="20"/>
          <w:color w:val="auto"/>
        </w:rPr>
      </w:pPr>
    </w:p>
    <w:p>
      <w:pPr>
        <w:ind w:left="1" w:right="40"/>
        <w:spacing w:after="0" w:line="298" w:lineRule="auto"/>
        <w:rPr>
          <w:sz w:val="20"/>
          <w:szCs w:val="20"/>
          <w:color w:val="auto"/>
        </w:rPr>
      </w:pPr>
      <w:r>
        <w:rPr>
          <w:rFonts w:ascii="Times New Roman" w:cs="Times New Roman" w:eastAsia="Times New Roman" w:hAnsi="Times New Roman"/>
          <w:sz w:val="16"/>
          <w:szCs w:val="16"/>
          <w:color w:val="auto"/>
        </w:rPr>
        <w:t>Our consolidated gross profit increased $14.1 million, or 1.0%, to $1.50 billion in fiscal 2018. Consolidated gross margin decreased from 43.6% in fiscal 2017 to 43.3% in fiscal 2018.</w:t>
      </w:r>
    </w:p>
    <w:p>
      <w:pPr>
        <w:spacing w:after="0" w:line="99" w:lineRule="exact"/>
        <w:rPr>
          <w:sz w:val="20"/>
          <w:szCs w:val="20"/>
          <w:color w:val="auto"/>
        </w:rPr>
      </w:pPr>
    </w:p>
    <w:p>
      <w:pPr>
        <w:ind w:left="1" w:right="200"/>
        <w:spacing w:after="0" w:line="298" w:lineRule="auto"/>
        <w:rPr>
          <w:sz w:val="20"/>
          <w:szCs w:val="20"/>
          <w:color w:val="auto"/>
        </w:rPr>
      </w:pPr>
      <w:r>
        <w:rPr>
          <w:rFonts w:ascii="Times New Roman" w:cs="Times New Roman" w:eastAsia="Times New Roman" w:hAnsi="Times New Roman"/>
          <w:sz w:val="16"/>
          <w:szCs w:val="16"/>
          <w:color w:val="auto"/>
        </w:rPr>
        <w:t>The increase in consolidated gross profit was primarily due to sales growth in the U.S. Retail and International segments, partially offset by a decrease in sales related to wholesale customer bankruptcies, higher eCommerce shipping costs, and higher provisions for inventory.</w:t>
      </w:r>
    </w:p>
    <w:p>
      <w:pPr>
        <w:spacing w:after="0" w:line="99" w:lineRule="exact"/>
        <w:rPr>
          <w:sz w:val="20"/>
          <w:szCs w:val="20"/>
          <w:color w:val="auto"/>
        </w:rPr>
      </w:pPr>
    </w:p>
    <w:p>
      <w:pPr>
        <w:ind w:left="1"/>
        <w:spacing w:after="0" w:line="298" w:lineRule="auto"/>
        <w:rPr>
          <w:sz w:val="20"/>
          <w:szCs w:val="20"/>
          <w:color w:val="auto"/>
        </w:rPr>
      </w:pPr>
      <w:r>
        <w:rPr>
          <w:rFonts w:ascii="Times New Roman" w:cs="Times New Roman" w:eastAsia="Times New Roman" w:hAnsi="Times New Roman"/>
          <w:sz w:val="16"/>
          <w:szCs w:val="16"/>
          <w:color w:val="auto"/>
        </w:rPr>
        <w:t>The decrease in consolidated gross margin was primarily attributable to higher eCommerce shipping costs, higher provisions for inventory, higher promotional activity, and loss of higher margin customers as a result of bankruptcies.</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Royalty Income</w:t>
      </w:r>
    </w:p>
    <w:p>
      <w:pPr>
        <w:spacing w:after="0" w:line="92" w:lineRule="exact"/>
        <w:rPr>
          <w:sz w:val="20"/>
          <w:szCs w:val="20"/>
          <w:color w:val="auto"/>
        </w:rPr>
      </w:pPr>
    </w:p>
    <w:p>
      <w:pPr>
        <w:ind w:left="1" w:right="140"/>
        <w:spacing w:after="0" w:line="298" w:lineRule="auto"/>
        <w:rPr>
          <w:sz w:val="20"/>
          <w:szCs w:val="20"/>
          <w:color w:val="auto"/>
        </w:rPr>
      </w:pPr>
      <w:r>
        <w:rPr>
          <w:rFonts w:ascii="Times New Roman" w:cs="Times New Roman" w:eastAsia="Times New Roman" w:hAnsi="Times New Roman"/>
          <w:sz w:val="16"/>
          <w:szCs w:val="16"/>
          <w:color w:val="auto"/>
        </w:rPr>
        <w:t>Royalty income decreased $4.3 million, or 9.8%, to $38.9 million in fiscal 2018. The decrease was primarily attributable to insourcing certain formerly licensed products and the absence of royalty income from Carter's Mexico, which we acquired in the third fiscal quarter of 2017.</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Selling, General, and Administrative ("SG&amp;A") Expenses</w:t>
      </w:r>
    </w:p>
    <w:p>
      <w:pPr>
        <w:spacing w:after="0" w:line="92" w:lineRule="exact"/>
        <w:rPr>
          <w:sz w:val="20"/>
          <w:szCs w:val="20"/>
          <w:color w:val="auto"/>
        </w:rPr>
      </w:pPr>
    </w:p>
    <w:p>
      <w:pPr>
        <w:ind w:left="1" w:right="240"/>
        <w:spacing w:after="0" w:line="298" w:lineRule="auto"/>
        <w:rPr>
          <w:sz w:val="20"/>
          <w:szCs w:val="20"/>
          <w:color w:val="auto"/>
        </w:rPr>
      </w:pPr>
      <w:r>
        <w:rPr>
          <w:rFonts w:ascii="Times New Roman" w:cs="Times New Roman" w:eastAsia="Times New Roman" w:hAnsi="Times New Roman"/>
          <w:sz w:val="16"/>
          <w:szCs w:val="16"/>
          <w:color w:val="auto"/>
        </w:rPr>
        <w:t>Consolidated SG&amp;A expenses in fiscal 2018 increased $38.1 million, or 3.4%, to $1.14 billion. As a percentage of consolidated net sales, consolidated SG&amp;A expenses increased from 32.6% in fiscal 2017 to 33.1% in fiscal 2018.</w:t>
      </w:r>
    </w:p>
    <w:p>
      <w:pPr>
        <w:spacing w:after="0" w:line="9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increase in SG&amp;A expenses, as a percentage of net sales, in fiscal 2018 primarily reflected a:</w:t>
      </w:r>
    </w:p>
    <w:p>
      <w:pPr>
        <w:spacing w:after="0" w:line="88" w:lineRule="exact"/>
        <w:rPr>
          <w:sz w:val="20"/>
          <w:szCs w:val="20"/>
          <w:color w:val="auto"/>
        </w:rPr>
      </w:pPr>
    </w:p>
    <w:p>
      <w:pPr>
        <w:ind w:left="601" w:hanging="305"/>
        <w:spacing w:after="0"/>
        <w:tabs>
          <w:tab w:leader="none" w:pos="6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$17.2 million increase primarily related to new store expenses and higher labor costs in Canada;</w:t>
      </w:r>
    </w:p>
    <w:p>
      <w:pPr>
        <w:spacing w:after="0" w:line="30" w:lineRule="exact"/>
        <w:rPr>
          <w:rFonts w:ascii="Times New Roman" w:cs="Times New Roman" w:eastAsia="Times New Roman" w:hAnsi="Times New Roman"/>
          <w:sz w:val="16"/>
          <w:szCs w:val="16"/>
          <w:color w:val="auto"/>
        </w:rPr>
      </w:pPr>
    </w:p>
    <w:p>
      <w:pPr>
        <w:ind w:left="601" w:hanging="305"/>
        <w:spacing w:after="0"/>
        <w:tabs>
          <w:tab w:leader="none" w:pos="6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$14.9 million increase in distribution and freight costs;</w:t>
      </w:r>
    </w:p>
    <w:p>
      <w:pPr>
        <w:spacing w:after="0" w:line="13" w:lineRule="exact"/>
        <w:rPr>
          <w:rFonts w:ascii="Times New Roman" w:cs="Times New Roman" w:eastAsia="Times New Roman" w:hAnsi="Times New Roman"/>
          <w:sz w:val="16"/>
          <w:szCs w:val="16"/>
          <w:color w:val="auto"/>
        </w:rPr>
      </w:pPr>
    </w:p>
    <w:p>
      <w:pPr>
        <w:ind w:left="601" w:hanging="305"/>
        <w:spacing w:after="0"/>
        <w:tabs>
          <w:tab w:leader="none" w:pos="6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$10.9 million increase in expenses due to customer bankruptcies, partially offset by the recovery claims settlement;</w:t>
      </w:r>
    </w:p>
    <w:p>
      <w:pPr>
        <w:spacing w:after="0" w:line="13" w:lineRule="exact"/>
        <w:rPr>
          <w:rFonts w:ascii="Times New Roman" w:cs="Times New Roman" w:eastAsia="Times New Roman" w:hAnsi="Times New Roman"/>
          <w:sz w:val="16"/>
          <w:szCs w:val="16"/>
          <w:color w:val="auto"/>
        </w:rPr>
      </w:pPr>
    </w:p>
    <w:p>
      <w:pPr>
        <w:ind w:left="601" w:hanging="305"/>
        <w:spacing w:after="0"/>
        <w:tabs>
          <w:tab w:leader="none" w:pos="6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 million increase in expenses related to marketing and brand management;</w:t>
      </w:r>
    </w:p>
    <w:p>
      <w:pPr>
        <w:spacing w:after="0" w:line="13" w:lineRule="exact"/>
        <w:rPr>
          <w:rFonts w:ascii="Times New Roman" w:cs="Times New Roman" w:eastAsia="Times New Roman" w:hAnsi="Times New Roman"/>
          <w:sz w:val="16"/>
          <w:szCs w:val="16"/>
          <w:color w:val="auto"/>
        </w:rPr>
      </w:pPr>
    </w:p>
    <w:p>
      <w:pPr>
        <w:ind w:left="601" w:hanging="305"/>
        <w:spacing w:after="0"/>
        <w:tabs>
          <w:tab w:leader="none" w:pos="6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million increase in investments related to information systems; and</w:t>
      </w:r>
    </w:p>
    <w:p>
      <w:pPr>
        <w:spacing w:after="0" w:line="13" w:lineRule="exact"/>
        <w:rPr>
          <w:rFonts w:ascii="Times New Roman" w:cs="Times New Roman" w:eastAsia="Times New Roman" w:hAnsi="Times New Roman"/>
          <w:sz w:val="16"/>
          <w:szCs w:val="16"/>
          <w:color w:val="auto"/>
        </w:rPr>
      </w:pPr>
    </w:p>
    <w:p>
      <w:pPr>
        <w:ind w:left="601" w:hanging="305"/>
        <w:spacing w:after="0"/>
        <w:tabs>
          <w:tab w:leader="none" w:pos="6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 million increase in employee benefit costs;</w:t>
      </w:r>
    </w:p>
    <w:p>
      <w:pPr>
        <w:spacing w:after="0" w:line="7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which were partially offset by a:</w:t>
      </w:r>
    </w:p>
    <w:p>
      <w:pPr>
        <w:spacing w:after="0" w:line="88" w:lineRule="exact"/>
        <w:rPr>
          <w:sz w:val="20"/>
          <w:szCs w:val="20"/>
          <w:color w:val="auto"/>
        </w:rPr>
      </w:pPr>
    </w:p>
    <w:p>
      <w:pPr>
        <w:ind w:left="5641" w:right="1060" w:hanging="5345"/>
        <w:spacing w:after="0" w:line="518" w:lineRule="auto"/>
        <w:tabs>
          <w:tab w:leader="none" w:pos="6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$29.6 million decrease in performance based compensation, primarily attributable to provisions for special employee compensation in fiscal 2017. 28</w:t>
      </w:r>
    </w:p>
    <w:p>
      <w:pPr>
        <w:sectPr>
          <w:pgSz w:w="11900" w:h="16838" w:orient="portrait"/>
          <w:cols w:equalWidth="0" w:num="1">
            <w:col w:w="11301"/>
          </w:cols>
          <w:pgMar w:left="239" w:top="119" w:right="359" w:bottom="1440" w:gutter="0" w:footer="0" w:header="0"/>
        </w:sectPr>
      </w:pPr>
    </w:p>
    <w:bookmarkStart w:id="31" w:name="page32"/>
    <w:bookmarkEnd w:id="31"/>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Income</w:t>
      </w:r>
    </w:p>
    <w:p>
      <w:pPr>
        <w:spacing w:after="0" w:line="9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Compared to fiscal 2017, consolidated operating income for fiscal 2018 decreased $28.2 million, or 6.7%, to $391.4 million. Consolidated operating margin decreased from 12.3% in fiscal 2017 to 11.3% in fiscal 2018. The table below summarizes the changes in each of our segments' operating results and unallocated corporate expenses between the fiscal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Unallocated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Corporate</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U.S. Retail</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U.S. Wholesale</w:t>
            </w: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Expenses</w:t>
            </w:r>
          </w:p>
        </w:tc>
        <w:tc>
          <w:tcPr>
            <w:tcW w:w="200" w:type="dxa"/>
            <w:vAlign w:val="bottom"/>
          </w:tcPr>
          <w:p>
            <w:pPr>
              <w:spacing w:after="0"/>
              <w:rPr>
                <w:sz w:val="17"/>
                <w:szCs w:val="17"/>
                <w:color w:val="auto"/>
              </w:rPr>
            </w:pP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 for fiscal 2017</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215,640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252,090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46,426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419,607</w:t>
            </w:r>
          </w:p>
        </w:tc>
      </w:tr>
      <w:tr>
        <w:trPr>
          <w:trHeight w:val="217"/>
        </w:trPr>
        <w:tc>
          <w:tcPr>
            <w:tcW w:w="4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Favorable (unfavorable) change in fiscal 2018:</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0"/>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7"/>
        </w:trPr>
        <w:tc>
          <w:tcPr>
            <w:tcW w:w="40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Gross profit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32,747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14,129</w:t>
            </w:r>
          </w:p>
        </w:tc>
      </w:tr>
      <w:tr>
        <w:trPr>
          <w:trHeight w:val="217"/>
        </w:trPr>
        <w:tc>
          <w:tcPr>
            <w:tcW w:w="40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Royalty income</w:t>
            </w:r>
          </w:p>
        </w:tc>
        <w:tc>
          <w:tcPr>
            <w:tcW w:w="200" w:type="dxa"/>
            <w:vAlign w:val="bottom"/>
          </w:tcPr>
          <w:p>
            <w:pPr>
              <w:spacing w:after="0"/>
              <w:rPr>
                <w:sz w:val="18"/>
                <w:szCs w:val="18"/>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(2,664)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(4,251)</w:t>
            </w:r>
          </w:p>
        </w:tc>
      </w:tr>
      <w:tr>
        <w:trPr>
          <w:trHeight w:val="30"/>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7"/>
        </w:trPr>
        <w:tc>
          <w:tcPr>
            <w:tcW w:w="40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SG&amp;A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(38,052)</w:t>
            </w: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 for fiscal 2018</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224,784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224,194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39,253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(96,798)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391,433</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changes in the operating margin for each of our three operating segments in basis points ("bps") relative to net sales.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U.S. Retail</w:t>
            </w: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U.S. Wholesale</w:t>
            </w:r>
          </w:p>
        </w:tc>
        <w:tc>
          <w:tcPr>
            <w:tcW w:w="1640" w:type="dxa"/>
            <w:vAlign w:val="bottom"/>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International</w:t>
            </w:r>
          </w:p>
        </w:tc>
      </w:tr>
      <w:tr>
        <w:trPr>
          <w:trHeight w:val="30"/>
        </w:trPr>
        <w:tc>
          <w:tcPr>
            <w:tcW w:w="62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7"/>
        </w:trPr>
        <w:tc>
          <w:tcPr>
            <w:tcW w:w="6280" w:type="dxa"/>
            <w:vAlign w:val="bottom"/>
            <w:tcBorders>
              <w:bottom w:val="single" w:sz="8" w:color="CCEEFF"/>
            </w:tcBorders>
            <w:shd w:val="clear" w:color="auto" w:fill="CCEEFF"/>
          </w:tcPr>
          <w:p>
            <w:pPr>
              <w:jc w:val="right"/>
              <w:ind w:right="4106"/>
              <w:spacing w:after="0"/>
              <w:rPr>
                <w:sz w:val="20"/>
                <w:szCs w:val="20"/>
                <w:color w:val="auto"/>
              </w:rPr>
            </w:pPr>
            <w:r>
              <w:rPr>
                <w:rFonts w:ascii="Times New Roman" w:cs="Times New Roman" w:eastAsia="Times New Roman" w:hAnsi="Times New Roman"/>
                <w:sz w:val="15"/>
                <w:szCs w:val="15"/>
                <w:b w:val="1"/>
                <w:bCs w:val="1"/>
                <w:color w:val="auto"/>
                <w:w w:val="99"/>
              </w:rPr>
              <w:t>Operating margin for fiscal 2017</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17"/>
        </w:trPr>
        <w:tc>
          <w:tcPr>
            <w:tcW w:w="6280" w:type="dxa"/>
            <w:vAlign w:val="bottom"/>
          </w:tcPr>
          <w:p>
            <w:pPr>
              <w:jc w:val="right"/>
              <w:ind w:right="3006"/>
              <w:spacing w:after="0"/>
              <w:rPr>
                <w:sz w:val="20"/>
                <w:szCs w:val="20"/>
                <w:color w:val="auto"/>
              </w:rPr>
            </w:pPr>
            <w:r>
              <w:rPr>
                <w:rFonts w:ascii="Times New Roman" w:cs="Times New Roman" w:eastAsia="Times New Roman" w:hAnsi="Times New Roman"/>
                <w:sz w:val="15"/>
                <w:szCs w:val="15"/>
                <w:color w:val="auto"/>
              </w:rPr>
              <w:t>Favorable (unfavorable) bps changes in fiscal 2018:</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0"/>
        </w:trPr>
        <w:tc>
          <w:tcPr>
            <w:tcW w:w="6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7"/>
        </w:trPr>
        <w:tc>
          <w:tcPr>
            <w:tcW w:w="62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Gross profit</w:t>
            </w: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(40) bps</w:t>
            </w:r>
          </w:p>
        </w:tc>
        <w:tc>
          <w:tcPr>
            <w:tcW w:w="17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5"/>
                <w:szCs w:val="15"/>
                <w:color w:val="auto"/>
              </w:rPr>
              <w:t>(90) bps</w:t>
            </w:r>
          </w:p>
        </w:tc>
        <w:tc>
          <w:tcPr>
            <w:tcW w:w="16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(150) bps</w:t>
            </w:r>
          </w:p>
        </w:tc>
      </w:tr>
      <w:tr>
        <w:trPr>
          <w:trHeight w:val="217"/>
        </w:trPr>
        <w:tc>
          <w:tcPr>
            <w:tcW w:w="62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Royalty income</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(20) bps</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(10) bps</w:t>
            </w:r>
          </w:p>
        </w:tc>
      </w:tr>
      <w:tr>
        <w:trPr>
          <w:trHeight w:val="30"/>
        </w:trPr>
        <w:tc>
          <w:tcPr>
            <w:tcW w:w="6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7"/>
        </w:trPr>
        <w:tc>
          <w:tcPr>
            <w:tcW w:w="62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SG&amp;A expenses</w:t>
            </w: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60 bps</w:t>
            </w:r>
          </w:p>
        </w:tc>
        <w:tc>
          <w:tcPr>
            <w:tcW w:w="17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5"/>
                <w:szCs w:val="15"/>
                <w:color w:val="auto"/>
              </w:rPr>
              <w:t>(90) bps</w:t>
            </w:r>
          </w:p>
        </w:tc>
        <w:tc>
          <w:tcPr>
            <w:tcW w:w="16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(50) bps</w:t>
            </w:r>
          </w:p>
        </w:tc>
      </w:tr>
      <w:tr>
        <w:trPr>
          <w:trHeight w:val="219"/>
        </w:trPr>
        <w:tc>
          <w:tcPr>
            <w:tcW w:w="6280" w:type="dxa"/>
            <w:vAlign w:val="bottom"/>
          </w:tcPr>
          <w:p>
            <w:pPr>
              <w:jc w:val="right"/>
              <w:ind w:right="4106"/>
              <w:spacing w:after="0"/>
              <w:rPr>
                <w:sz w:val="20"/>
                <w:szCs w:val="20"/>
                <w:color w:val="auto"/>
              </w:rPr>
            </w:pPr>
            <w:r>
              <w:rPr>
                <w:rFonts w:ascii="Times New Roman" w:cs="Times New Roman" w:eastAsia="Times New Roman" w:hAnsi="Times New Roman"/>
                <w:sz w:val="15"/>
                <w:szCs w:val="15"/>
                <w:b w:val="1"/>
                <w:bCs w:val="1"/>
                <w:color w:val="auto"/>
                <w:w w:val="99"/>
              </w:rPr>
              <w:t>Operating margin for fiscal 2018</w:t>
            </w:r>
          </w:p>
        </w:tc>
        <w:tc>
          <w:tcPr>
            <w:tcW w:w="162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5"/>
                <w:szCs w:val="15"/>
                <w:b w:val="1"/>
                <w:bCs w:val="1"/>
                <w:color w:val="auto"/>
                <w:w w:val="96"/>
              </w:rPr>
              <w:t>12.1%</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19.0%</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9.1%</w:t>
            </w:r>
          </w:p>
        </w:tc>
      </w:tr>
      <w:tr>
        <w:trPr>
          <w:trHeight w:val="20"/>
        </w:trPr>
        <w:tc>
          <w:tcPr>
            <w:tcW w:w="6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Retail Operating Income</w:t>
      </w:r>
    </w:p>
    <w:p>
      <w:pPr>
        <w:spacing w:after="0" w:line="92"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U.S. Retail segment operating income in fiscal 2018 increased $9.1 million, or 4.2%, from fiscal 2017 to $224.8 million. The segment's operating margin was 12.1% in fiscal 2018 and fiscal 2017. The primary drivers of the change in the operating margin were a:</w:t>
      </w:r>
    </w:p>
    <w:p>
      <w:pPr>
        <w:spacing w:after="0" w:line="13" w:lineRule="exact"/>
        <w:rPr>
          <w:sz w:val="20"/>
          <w:szCs w:val="20"/>
          <w:color w:val="auto"/>
        </w:rPr>
      </w:pPr>
    </w:p>
    <w:p>
      <w:pPr>
        <w:ind w:left="600" w:hanging="305"/>
        <w:spacing w:after="0"/>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bps decrease in gross profit due to higher promotional activity and increased eCommerce shipping costs;</w:t>
      </w:r>
    </w:p>
    <w:p>
      <w:pPr>
        <w:spacing w:after="0" w:line="3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bps decrease in royalty income; and</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bps decrease in SG&amp;A expenses, primarily due to a/an:</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80 bps decrease in performance based compensation, primarily due to the absence of special employee compensation awarded in fiscal 2017; and</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bps increase in distribution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Wholesale Operating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Wholesale segment operating income in fiscal 2018 decreased $27.9 million, or 11.1%, from fiscal 2017 to $224.2 million. The segment's operating margin decreased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180 bps from 20.8% in fiscal 2017 to 19.0% in fiscal 2018. The primary drivers of the change in the operating margin were a:</w:t>
      </w:r>
    </w:p>
    <w:p>
      <w:pPr>
        <w:spacing w:after="0" w:line="71" w:lineRule="exact"/>
        <w:rPr>
          <w:sz w:val="20"/>
          <w:szCs w:val="20"/>
          <w:color w:val="auto"/>
        </w:rPr>
      </w:pPr>
    </w:p>
    <w:p>
      <w:pPr>
        <w:ind w:left="600" w:hanging="305"/>
        <w:spacing w:after="0"/>
        <w:tabs>
          <w:tab w:leader="none" w:pos="6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90 bps decrease in gross profit due to changes in customer mix, in part due to customer bankruptcies; and</w:t>
      </w:r>
    </w:p>
    <w:p>
      <w:pPr>
        <w:spacing w:after="0" w:line="3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90 bps increase in SG&amp;A expenses, primarily due to a:</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90 bps increase in provisions for accounts receivable due to customer bankruptcies;</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bps increase in distribution and freight expenses; and</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bps decrease in performance based compensation, primarily due to the absence of special employee compensation awarded in fiscal 2017.</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420"/>
          </w:cols>
          <w:pgMar w:left="240" w:top="119" w:right="239" w:bottom="1440" w:gutter="0" w:footer="0" w:header="0"/>
        </w:sectPr>
      </w:pPr>
    </w:p>
    <w:bookmarkStart w:id="32" w:name="page33"/>
    <w:bookmarkEnd w:id="32"/>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Operating Income</w:t>
      </w:r>
    </w:p>
    <w:p>
      <w:pPr>
        <w:spacing w:after="0" w:line="92"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International segment operating income in fiscal 2018 decreased $7.2 million, or 15.5%, from fiscal 2017 to $39.3 million. This segment's operating margin decreased 210 bps from 11.2% in fiscal 2017 to 9.1% in fiscal 2018. The primary drivers of the change in the operating margin were a:</w:t>
      </w:r>
    </w:p>
    <w:p>
      <w:pPr>
        <w:spacing w:after="0" w:line="13" w:lineRule="exact"/>
        <w:rPr>
          <w:sz w:val="20"/>
          <w:szCs w:val="20"/>
          <w:color w:val="auto"/>
        </w:rPr>
      </w:pPr>
    </w:p>
    <w:p>
      <w:pPr>
        <w:ind w:left="600" w:right="100" w:hanging="305"/>
        <w:spacing w:after="0" w:line="269" w:lineRule="auto"/>
        <w:tabs>
          <w:tab w:leader="none" w:pos="6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 bps decrease in gross profit due to higher provisions for inventory related to changes in the Company's business model in China and unfavorable sales channel mix; and</w:t>
      </w:r>
    </w:p>
    <w:p>
      <w:pPr>
        <w:ind w:left="600" w:hanging="305"/>
        <w:spacing w:after="0"/>
        <w:tabs>
          <w:tab w:leader="none" w:pos="6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bps increase in SG&amp;A expenses, primarily due to a:</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90 bps increase in expenses associated with new retail stores and higher labor costs in Canada;</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bps increase in distribution costs;</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bps increase in expenses related to marketing and brand management;</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bps increase in severance associated with changes to the Company's business model in China;</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110 bps decrease in expenses related to the eCommerce business in Canada and China; and</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bps decrease in provisions for accounts receivable.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Unallocated Corporate Expenses</w:t>
      </w:r>
    </w:p>
    <w:p>
      <w:pPr>
        <w:spacing w:after="0" w:line="92"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16"/>
          <w:szCs w:val="16"/>
          <w:color w:val="auto"/>
        </w:rPr>
        <w:t>Unallocated corporate expenses increased by $2.2 million, or 2.4%, from $94.5 million in fiscal 2017 to $96.8 million in fiscal 2018. Unallocated corporate expenses, as a percentage of consolidated net sales, was 2.8% in fiscal 2017 and fiscal 2018. In fiscal 2017, unallocated corporate expenses included a $3.6 million credit for an earn out adjustment.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and effective interest rate calculations include the amortization of debt issuance costs.</w:t>
      </w:r>
    </w:p>
    <w:p>
      <w:pPr>
        <w:spacing w:after="0" w:line="174"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Interest expense in fiscal 2018 and fiscal 2017 was approximately $34.6 million and $30.0 million, respectively. Weighted-average borrowings for fiscal 2018 were $686.9 million at an effective interest rate of 4.90%, compared to weighted-average borrowings for fiscal 2017 of $652.9 million at an effective interest rate of 4.55%.</w:t>
      </w:r>
    </w:p>
    <w:p>
      <w:pPr>
        <w:spacing w:after="0" w:line="9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6"/>
          <w:szCs w:val="16"/>
          <w:color w:val="auto"/>
        </w:rPr>
        <w:t>The increase in weighted-average borrowings during fiscal 2018 was attributable to additional borrowings under our secured revolving credit facility. The increase in the effective interest rate for fiscal 2018 compared to fiscal 2017 was due primarily to a higher LIBOR rate for the outstanding borrowings on our variable-rate secured revolving credit facility during the 2018 period.</w:t>
      </w:r>
    </w:p>
    <w:p>
      <w:pPr>
        <w:spacing w:after="0" w:line="117"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On our consolidated balance sheets, unamortized debt issuance costs associated with our senior notes is presented as a direct reduction in the carrying value of the associated debt liability for all periods presented.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p>
      <w:pPr>
        <w:spacing w:after="0" w:line="9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Other income, net is comprised primarily of gains and losses on foreign currency transactions and, if utilized during a reporting period, gains and losses on foreign currency forward contracts.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Our consolidated effective income tax rate for fiscal 2018 and 2017 were 20.8% and 22.6%, respectively. The lower effective tax rate in 2018 is primarily attributable to the reduction in the U.S. federal income tax rate from 35% to 21% under the 2017 Act.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9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Our consolidated net income for fiscal 2018 decreased $20.8 million, or 6.9%, to $282.1 million compared to $302.8 million in fiscal 2017. This decrease was due to the factors previously discussed.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2017 FISCAL YEAR ENDED DECEMBER 30, 2017 COMPARED TO 2016 FISCAL YEAR ENDED DECEMBER 31, 2016</w:t>
      </w:r>
    </w:p>
    <w:p>
      <w:pPr>
        <w:spacing w:after="0" w:line="9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At the beginning of fiscal 2018 the Company adopted the Financial Accounting Standards Board's ("FASB") Accounting Standards Codification (“ASC”) No. 606, Revenue from Contracts with Customers, and related amendments (“ASC 606”) using the full retrospective adoption method. The full retrospective method required the Company to apply the standard to the financial statements for the period of adoption as well as to each prior reporting period presented. The fiscal 2017 and fiscal 2016 periods reflect this adoption.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420"/>
          </w:cols>
          <w:pgMar w:left="240" w:top="119" w:right="239" w:bottom="1440" w:gutter="0" w:footer="0" w:header="0"/>
        </w:sectPr>
      </w:pPr>
    </w:p>
    <w:bookmarkStart w:id="33" w:name="page34"/>
    <w:bookmarkEnd w:id="33"/>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Net Sales</w:t>
      </w:r>
    </w:p>
    <w:p>
      <w:pPr>
        <w:spacing w:after="0" w:line="92"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6"/>
          <w:szCs w:val="16"/>
          <w:color w:val="auto"/>
        </w:rPr>
        <w:t>Compared to fiscal 2016, consolidated net sales in fiscal 2017 increased $202.0 million, or 6.3%, to $3.4 billion. This improvement reflected sales growth in each of our operating segments, as presented below. Changes in foreign currency exchange rates in fiscal 2017 as compared to fiscal 2016 had a favorable impact on our consolidated net sales of approximately $6.6 million.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c>
          <w:tcPr>
            <w:tcW w:w="92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 of</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196"/>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 2016</w:t>
            </w:r>
          </w:p>
        </w:tc>
        <w:tc>
          <w:tcPr>
            <w:tcW w:w="92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30"/>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8"/>
        </w:trPr>
        <w:tc>
          <w:tcPr>
            <w:tcW w:w="2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auto"/>
            </w:tcBorders>
            <w:shd w:val="clear" w:color="auto" w:fill="CCEEFF"/>
          </w:tcPr>
          <w:p>
            <w:pPr>
              <w:spacing w:after="0"/>
              <w:rPr>
                <w:sz w:val="3"/>
                <w:szCs w:val="3"/>
                <w:color w:val="auto"/>
              </w:rPr>
            </w:pPr>
          </w:p>
        </w:tc>
        <w:tc>
          <w:tcPr>
            <w:tcW w:w="48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7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r>
      <w:tr>
        <w:trPr>
          <w:trHeight w:val="217"/>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U.S. Retail</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1,775,378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1,655,784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w:t>
            </w:r>
          </w:p>
        </w:tc>
      </w:tr>
      <w:tr>
        <w:trPr>
          <w:trHeight w:val="30"/>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U.S. Wholesale</w:t>
            </w: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1,209,663</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1,178,034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w:t>
            </w:r>
          </w:p>
        </w:tc>
      </w:tr>
      <w:tr>
        <w:trPr>
          <w:trHeight w:val="217"/>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220" w:type="dxa"/>
            <w:vAlign w:val="bottom"/>
          </w:tcPr>
          <w:p>
            <w:pPr>
              <w:spacing w:after="0"/>
              <w:rPr>
                <w:sz w:val="18"/>
                <w:szCs w:val="18"/>
                <w:color w:val="auto"/>
              </w:rPr>
            </w:pPr>
          </w:p>
        </w:tc>
        <w:tc>
          <w:tcPr>
            <w:tcW w:w="17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415,463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364,725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30"/>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net sales</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3,400,504</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3,198,543</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Results may not be additive due to rounding.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Retail Sales</w:t>
      </w:r>
    </w:p>
    <w:p>
      <w:pPr>
        <w:spacing w:after="0" w:line="92"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At the beginning of fiscal 2017, we changed our methodology for U.S. store counts related to certain dual-branded format stores. Accordingly, our store count data is not comparable to data previously presented in prior fiscal years.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Comparable Sales for our U.S. Retail segment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Change from fiscal 2016 to fiscal 2017</w:t>
            </w:r>
          </w:p>
        </w:tc>
      </w:tr>
      <w:tr>
        <w:trPr>
          <w:trHeight w:val="30"/>
        </w:trPr>
        <w:tc>
          <w:tcPr>
            <w:tcW w:w="768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97"/>
        </w:trPr>
        <w:tc>
          <w:tcPr>
            <w:tcW w:w="768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w w:val="96"/>
              </w:rPr>
              <w:t>% Increase (Decrease)</w:t>
            </w:r>
          </w:p>
        </w:tc>
      </w:tr>
      <w:tr>
        <w:trPr>
          <w:trHeight w:val="30"/>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27"/>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Retail stores</w:t>
            </w:r>
          </w:p>
        </w:tc>
        <w:tc>
          <w:tcPr>
            <w:tcW w:w="3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w:t>
            </w: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eCommerce</w:t>
            </w:r>
          </w:p>
        </w:tc>
        <w:tc>
          <w:tcPr>
            <w:tcW w:w="37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+21.6%</w:t>
            </w:r>
          </w:p>
        </w:tc>
      </w:tr>
      <w:tr>
        <w:trPr>
          <w:trHeight w:val="30"/>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3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+2.7%</w:t>
            </w:r>
          </w:p>
        </w:tc>
      </w:tr>
      <w:tr>
        <w:trPr>
          <w:trHeight w:val="30"/>
        </w:trPr>
        <w:tc>
          <w:tcPr>
            <w:tcW w:w="76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 decrease in U.S. Retail store comparable sales during fiscal 2017 was primarily due to a lower average transaction price and lower store traffic, which we believe was partially offset by the stabilization of the effects of a decline in shopping by international consumers that we experienced in the first half of fiscal 2016 (as discussed further below). The increase in eCommerce site comparable sales during fiscal 2017 was primarily due to an increase in the number of transactions, partially offset by a lower average transaction price.</w:t>
      </w:r>
    </w:p>
    <w:p>
      <w:pPr>
        <w:spacing w:after="0" w:line="120"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These sales metrics take into account sales (and returns) that occur at our points of sale in our U.S. retail stores and through our U.S. eCommerce site. It is important to note, however, that as our omni-channel strategy continues to mature, our sales can cross between our U.S. retail stores and eCommerce site. For example:</w:t>
      </w:r>
    </w:p>
    <w:p>
      <w:pPr>
        <w:spacing w:after="0" w:line="13" w:lineRule="exact"/>
        <w:rPr>
          <w:sz w:val="20"/>
          <w:szCs w:val="20"/>
          <w:color w:val="auto"/>
        </w:rPr>
      </w:pPr>
    </w:p>
    <w:p>
      <w:pPr>
        <w:ind w:left="600" w:hanging="305"/>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on-line purchases can easily be returned in our stores;</w:t>
      </w:r>
    </w:p>
    <w:p>
      <w:pPr>
        <w:spacing w:after="0" w:line="3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stores increase on-line sales by providing customers opportunities to view, touch and/or try on physical merchandise before ordering on-line;</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in-store customers can order on-line in our stores; and</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can order on-line and ship to and pick-up in stores.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Retail segment net sales increased $119.6 million, or 7.2%, in fiscal 2017 to $1.8 billion. The increase in net sales in fiscal 2017 primarily reflected an/a:</w:t>
      </w:r>
    </w:p>
    <w:p>
      <w:pPr>
        <w:spacing w:after="0" w:line="86" w:lineRule="exact"/>
        <w:rPr>
          <w:sz w:val="20"/>
          <w:szCs w:val="20"/>
          <w:color w:val="auto"/>
        </w:rPr>
      </w:pPr>
    </w:p>
    <w:p>
      <w:pPr>
        <w:ind w:left="600" w:hanging="30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Increase of $85.8 million in comparable eCommerce sales, including sales of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branded products on our U.S. eCommerce site;</w:t>
      </w:r>
    </w:p>
    <w:p>
      <w:pPr>
        <w:spacing w:after="0" w:line="32"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$81.8 million in sales from new stores that are not yet comparable;</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$41.7 million in comparable store sales; and</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$14.4 million due to the effect of store closings.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420"/>
          </w:cols>
          <w:pgMar w:left="240" w:top="119" w:right="239" w:bottom="1440" w:gutter="0" w:footer="0" w:header="0"/>
        </w:sectPr>
      </w:pPr>
    </w:p>
    <w:bookmarkStart w:id="34" w:name="page35"/>
    <w:bookmarkEnd w:id="34"/>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Wholesale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Wholesale segment net sales increased $31.6 million, or 2.7%, in fiscal 2017 to $1.2 billion. The increase in net sales in fiscal 2017 primarily reflected an/a:</w:t>
      </w:r>
    </w:p>
    <w:p>
      <w:pPr>
        <w:spacing w:after="0" w:line="86" w:lineRule="exact"/>
        <w:rPr>
          <w:sz w:val="20"/>
          <w:szCs w:val="20"/>
          <w:color w:val="auto"/>
        </w:rPr>
      </w:pPr>
    </w:p>
    <w:p>
      <w:pPr>
        <w:ind w:left="600" w:hanging="305"/>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Increase of $55.7 million from new sales of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branded products; and</w:t>
      </w:r>
    </w:p>
    <w:p>
      <w:pPr>
        <w:spacing w:after="0" w:line="32"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$24.0 million in comparable sales of our other products, which primarily reflected a 2.7% decrease in number of units shipped.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segment net sales increased $50.7 million, or 13.9%, in fiscal 2017 to $415.5 million. Changes in foreign currency exchange rates, primarily between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 and the Canadian dollar, had a $6.6 million favorable impact on International segment net sales in fiscal 2017 compared to fiscal 2016.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$50.7 million increase in net sales in our International segment for fiscal 2017 primarily reflected an/a:</w:t>
      </w:r>
    </w:p>
    <w:p>
      <w:pPr>
        <w:spacing w:after="0" w:line="86" w:lineRule="exact"/>
        <w:rPr>
          <w:sz w:val="20"/>
          <w:szCs w:val="20"/>
          <w:color w:val="auto"/>
        </w:rPr>
      </w:pPr>
    </w:p>
    <w:p>
      <w:pPr>
        <w:ind w:left="620" w:hanging="300"/>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Increase of $31.8 million from sales of </w:t>
      </w:r>
      <w:r>
        <w:rPr>
          <w:rFonts w:ascii="Times New Roman" w:cs="Times New Roman" w:eastAsia="Times New Roman" w:hAnsi="Times New Roman"/>
          <w:sz w:val="16"/>
          <w:szCs w:val="16"/>
          <w:i w:val="1"/>
          <w:iCs w:val="1"/>
          <w:color w:val="auto"/>
        </w:rPr>
        <w:t>Skip Hop</w:t>
      </w:r>
      <w:r>
        <w:rPr>
          <w:rFonts w:ascii="Times New Roman" w:cs="Times New Roman" w:eastAsia="Times New Roman" w:hAnsi="Times New Roman"/>
          <w:sz w:val="16"/>
          <w:szCs w:val="16"/>
          <w:color w:val="auto"/>
        </w:rPr>
        <w:t xml:space="preserve"> branded product to our wholesale customers;</w:t>
      </w:r>
    </w:p>
    <w:p>
      <w:pPr>
        <w:spacing w:after="0" w:line="32"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$15.4 million from the acquisition of Carter's Mexico;</w:t>
      </w:r>
    </w:p>
    <w:p>
      <w:pPr>
        <w:spacing w:after="0" w:line="13"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$15.0 million from our company-operated retail stores in Canada;</w:t>
      </w:r>
    </w:p>
    <w:p>
      <w:pPr>
        <w:spacing w:after="0" w:line="13"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$8.5 million from eCommerce net sales, primarily from our eCommerce sites in Canada and China; and</w:t>
      </w:r>
    </w:p>
    <w:p>
      <w:pPr>
        <w:spacing w:after="0" w:line="13"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$20.0 million from international wholesale customers across various markets.</w:t>
      </w:r>
    </w:p>
    <w:p>
      <w:pPr>
        <w:spacing w:after="0" w:line="15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Compared to fiscal 2016, our Canadian total retail comparable sales increased 0.2% in fiscal 2017, primarily due to eCommerce comparable sales growth of 37.6%, which was partially offset by a retail store comparable sales decline of 3.1%.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Margin and Gross Profit</w:t>
      </w:r>
    </w:p>
    <w:p>
      <w:pPr>
        <w:spacing w:after="0" w:line="9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Our consolidated gross profit increased $104.8 million, or 7.6%, to $1.48 billion in fiscal 2017. Consolidated gross margin increased from 43.1% in fiscal 2016 to 43.6% in fiscal 2017. These increases were due primarily to overall lower product costs and increases in higher-margin eCommerce sales, partially offset by lower margins in our wholesale channels.</w:t>
      </w:r>
    </w:p>
    <w:p>
      <w:pPr>
        <w:spacing w:after="0" w:line="117"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We include distribution costs in selling, general, and administrative ("SG&amp;A") expenses. Accordingly, our gross profit and gross margin may not be comparable to other entities that include such distribution costs in their cost of goods sold.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Royalty Income</w:t>
      </w:r>
    </w:p>
    <w:p>
      <w:pPr>
        <w:spacing w:after="0" w:line="9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 xml:space="preserve">We license the use of our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 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 B’gosh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Genuine Kids from OshKosh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Baby B'gosh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Simple Joys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Precious Firsts</w:t>
      </w:r>
      <w:r>
        <w:rPr>
          <w:rFonts w:ascii="Times New Roman" w:cs="Times New Roman" w:eastAsia="Times New Roman" w:hAnsi="Times New Roman"/>
          <w:sz w:val="16"/>
          <w:szCs w:val="16"/>
          <w:color w:val="auto"/>
        </w:rPr>
        <w:t xml:space="preserve"> brand names. Royalty income from these brands increased $0.4 million, or 0.9%, to $43.2 million in fiscal 2017. This increase was primarily attributable to sales growth from our domestic licensees, partially offset by decreases in income from certain licensees due to the insourcing of formerly licensed product categories and the acquisition of our former licensee in Mexico.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("SG&amp;A") Expenses</w:t>
      </w:r>
    </w:p>
    <w:p>
      <w:pPr>
        <w:spacing w:after="0" w:line="92"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Consolidated SG&amp;A expenses in fiscal 2017 increased $111.5 million, or 11.2%, to $1.11 billion. As a percentage of consolidated net sales, consolidated SG&amp;A expenses increased from 31.1% in fiscal 2016 to 32.6% in fiscal 2017.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SG&amp;A expenses, as a percentage of net sales, in fiscal 2017 primarily reflected a:</w:t>
      </w:r>
    </w:p>
    <w:p>
      <w:pPr>
        <w:spacing w:after="0" w:line="88" w:lineRule="exact"/>
        <w:rPr>
          <w:sz w:val="20"/>
          <w:szCs w:val="20"/>
          <w:color w:val="auto"/>
        </w:rPr>
      </w:pPr>
    </w:p>
    <w:p>
      <w:pPr>
        <w:ind w:left="600" w:hanging="305"/>
        <w:spacing w:after="0"/>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$48.2 million increase in expenses related to retail store operations, primarily due to new store openings;</w:t>
      </w:r>
    </w:p>
    <w:p>
      <w:pPr>
        <w:spacing w:after="0" w:line="3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$24.9 million in expenses for selling, distribution, and administrative expenses for Skip Hop;</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$21.2 million for provisions for special employee compensation;</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$17.4 million increase in expenses for eCommerce operations;</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$6.4 million increase in expenses for marketing and brand management;</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million increase in expenses for in-housed sourcing operations; and</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million increase in expenses for other general and administrative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were partially offset by a:</w:t>
      </w:r>
    </w:p>
    <w:p>
      <w:pPr>
        <w:spacing w:after="0" w:line="88" w:lineRule="exact"/>
        <w:rPr>
          <w:sz w:val="20"/>
          <w:szCs w:val="20"/>
          <w:color w:val="auto"/>
        </w:rPr>
      </w:pPr>
    </w:p>
    <w:p>
      <w:pPr>
        <w:ind w:left="600" w:hanging="305"/>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 million decrease in information technology and systems costs;</w:t>
      </w:r>
    </w:p>
    <w:p>
      <w:pPr>
        <w:spacing w:after="0" w:line="3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$3.6 million decrease in the fair value of the earn-out obligation for Skip Hop;</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 million decrease in performance-based compensation expenses; and</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 million decrease in amortization of the H.W. Carter &amp; Sons trademarks.</w:t>
      </w: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320"/>
          </w:cols>
          <w:pgMar w:left="240" w:top="119" w:right="339" w:bottom="1440" w:gutter="0" w:footer="0" w:header="0"/>
        </w:sectPr>
      </w:pPr>
    </w:p>
    <w:bookmarkStart w:id="35" w:name="page36"/>
    <w:bookmarkEnd w:id="35"/>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Income</w:t>
      </w:r>
    </w:p>
    <w:p>
      <w:pPr>
        <w:spacing w:after="0" w:line="9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Compared to fiscal 2016, consolidated operating income for fiscal 2017 decreased $6.3 million, or 1.5%, to $419.6 million. Consolidated operating margin decreased from 13.3% in fiscal 2016 to 12.3% in fiscal 2017. The table below summarizes the changes in each of our segments' operating results and unallocated corporate expenses between the fiscal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Unallocated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Corporate</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U.S. Retail</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U.S. Wholesale</w:t>
            </w: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Expenses</w:t>
            </w:r>
          </w:p>
        </w:tc>
        <w:tc>
          <w:tcPr>
            <w:tcW w:w="200" w:type="dxa"/>
            <w:vAlign w:val="bottom"/>
          </w:tcPr>
          <w:p>
            <w:pPr>
              <w:spacing w:after="0"/>
              <w:rPr>
                <w:sz w:val="17"/>
                <w:szCs w:val="17"/>
                <w:color w:val="auto"/>
              </w:rPr>
            </w:pP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 for fiscal 2016</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211,951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260,953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59,194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(106,170)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425,928</w:t>
            </w:r>
          </w:p>
        </w:tc>
      </w:tr>
      <w:tr>
        <w:trPr>
          <w:trHeight w:val="217"/>
        </w:trPr>
        <w:tc>
          <w:tcPr>
            <w:tcW w:w="4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Favorable (unfavorable) change in fiscal 2017:</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0"/>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7"/>
        </w:trPr>
        <w:tc>
          <w:tcPr>
            <w:tcW w:w="40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Gross profit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76,937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11,902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15,745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104,834</w:t>
            </w:r>
          </w:p>
        </w:tc>
      </w:tr>
      <w:tr>
        <w:trPr>
          <w:trHeight w:val="217"/>
        </w:trPr>
        <w:tc>
          <w:tcPr>
            <w:tcW w:w="40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Royalty income</w:t>
            </w:r>
          </w:p>
        </w:tc>
        <w:tc>
          <w:tcPr>
            <w:tcW w:w="200" w:type="dxa"/>
            <w:vAlign w:val="bottom"/>
          </w:tcPr>
          <w:p>
            <w:pPr>
              <w:spacing w:after="0"/>
              <w:rPr>
                <w:sz w:val="18"/>
                <w:szCs w:val="18"/>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3,224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366</w:t>
            </w:r>
          </w:p>
        </w:tc>
      </w:tr>
      <w:tr>
        <w:trPr>
          <w:trHeight w:val="30"/>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7"/>
        </w:trPr>
        <w:tc>
          <w:tcPr>
            <w:tcW w:w="40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SG&amp;A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(76,472)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(111,521)</w:t>
            </w: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 for fiscal 2017</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215,640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252,090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46,426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(94,549)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419,607</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The following table presents changes in the operating margin for each of our three operating segments between fiscal 2016 and fiscal 2017. The primary drivers of these change are presented in terms of the difference in each driver's margin (based on net sales) between fiscal years, in each case expressed in bps.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U.S. Retail</w:t>
            </w: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U.S. Wholesale</w:t>
            </w:r>
          </w:p>
        </w:tc>
        <w:tc>
          <w:tcPr>
            <w:tcW w:w="1640" w:type="dxa"/>
            <w:vAlign w:val="bottom"/>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International</w:t>
            </w:r>
          </w:p>
        </w:tc>
      </w:tr>
      <w:tr>
        <w:trPr>
          <w:trHeight w:val="30"/>
        </w:trPr>
        <w:tc>
          <w:tcPr>
            <w:tcW w:w="62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7"/>
        </w:trPr>
        <w:tc>
          <w:tcPr>
            <w:tcW w:w="6260" w:type="dxa"/>
            <w:vAlign w:val="bottom"/>
            <w:tcBorders>
              <w:bottom w:val="single" w:sz="8" w:color="CCEEFF"/>
            </w:tcBorders>
            <w:shd w:val="clear" w:color="auto" w:fill="CCEEFF"/>
          </w:tcPr>
          <w:p>
            <w:pPr>
              <w:jc w:val="right"/>
              <w:ind w:right="4086"/>
              <w:spacing w:after="0"/>
              <w:rPr>
                <w:sz w:val="20"/>
                <w:szCs w:val="20"/>
                <w:color w:val="auto"/>
              </w:rPr>
            </w:pPr>
            <w:r>
              <w:rPr>
                <w:rFonts w:ascii="Times New Roman" w:cs="Times New Roman" w:eastAsia="Times New Roman" w:hAnsi="Times New Roman"/>
                <w:sz w:val="15"/>
                <w:szCs w:val="15"/>
                <w:b w:val="1"/>
                <w:bCs w:val="1"/>
                <w:color w:val="auto"/>
                <w:w w:val="99"/>
              </w:rPr>
              <w:t>Operating margin for fiscal 2016</w:t>
            </w:r>
          </w:p>
        </w:tc>
        <w:tc>
          <w:tcPr>
            <w:tcW w:w="16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12.8%</w:t>
            </w: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r>
      <w:tr>
        <w:trPr>
          <w:trHeight w:val="217"/>
        </w:trPr>
        <w:tc>
          <w:tcPr>
            <w:tcW w:w="6260" w:type="dxa"/>
            <w:vAlign w:val="bottom"/>
          </w:tcPr>
          <w:p>
            <w:pPr>
              <w:jc w:val="right"/>
              <w:ind w:right="2986"/>
              <w:spacing w:after="0"/>
              <w:rPr>
                <w:sz w:val="20"/>
                <w:szCs w:val="20"/>
                <w:color w:val="auto"/>
              </w:rPr>
            </w:pPr>
            <w:r>
              <w:rPr>
                <w:rFonts w:ascii="Times New Roman" w:cs="Times New Roman" w:eastAsia="Times New Roman" w:hAnsi="Times New Roman"/>
                <w:sz w:val="15"/>
                <w:szCs w:val="15"/>
                <w:color w:val="auto"/>
              </w:rPr>
              <w:t>Favorable (unfavorable) bps changes in fiscal 2017:</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0"/>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7"/>
        </w:trPr>
        <w:tc>
          <w:tcPr>
            <w:tcW w:w="6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Gross profit</w:t>
            </w:r>
          </w:p>
        </w:tc>
        <w:tc>
          <w:tcPr>
            <w:tcW w:w="17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80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20 bps</w:t>
            </w:r>
          </w:p>
        </w:tc>
        <w:tc>
          <w:tcPr>
            <w:tcW w:w="16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(190) bps</w:t>
            </w:r>
          </w:p>
        </w:tc>
      </w:tr>
      <w:tr>
        <w:trPr>
          <w:trHeight w:val="217"/>
        </w:trPr>
        <w:tc>
          <w:tcPr>
            <w:tcW w:w="62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Royalty income</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 bps</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 bps</w:t>
            </w:r>
          </w:p>
        </w:tc>
        <w:tc>
          <w:tcPr>
            <w:tcW w:w="16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(60) bps</w:t>
            </w:r>
          </w:p>
        </w:tc>
      </w:tr>
      <w:tr>
        <w:trPr>
          <w:trHeight w:val="30"/>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7"/>
        </w:trPr>
        <w:tc>
          <w:tcPr>
            <w:tcW w:w="62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SG&amp;A expenses</w:t>
            </w:r>
          </w:p>
        </w:tc>
        <w:tc>
          <w:tcPr>
            <w:tcW w:w="17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(160)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(140) bps</w:t>
            </w:r>
          </w:p>
        </w:tc>
        <w:tc>
          <w:tcPr>
            <w:tcW w:w="16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(250) bps</w:t>
            </w:r>
          </w:p>
        </w:tc>
      </w:tr>
      <w:tr>
        <w:trPr>
          <w:trHeight w:val="219"/>
        </w:trPr>
        <w:tc>
          <w:tcPr>
            <w:tcW w:w="6260" w:type="dxa"/>
            <w:vAlign w:val="bottom"/>
          </w:tcPr>
          <w:p>
            <w:pPr>
              <w:jc w:val="right"/>
              <w:ind w:right="4086"/>
              <w:spacing w:after="0"/>
              <w:rPr>
                <w:sz w:val="20"/>
                <w:szCs w:val="20"/>
                <w:color w:val="auto"/>
              </w:rPr>
            </w:pPr>
            <w:r>
              <w:rPr>
                <w:rFonts w:ascii="Times New Roman" w:cs="Times New Roman" w:eastAsia="Times New Roman" w:hAnsi="Times New Roman"/>
                <w:sz w:val="15"/>
                <w:szCs w:val="15"/>
                <w:b w:val="1"/>
                <w:bCs w:val="1"/>
                <w:color w:val="auto"/>
                <w:w w:val="99"/>
              </w:rPr>
              <w:t>Operating margin for fiscal 2017</w:t>
            </w:r>
          </w:p>
        </w:tc>
        <w:tc>
          <w:tcPr>
            <w:tcW w:w="164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5"/>
                <w:szCs w:val="15"/>
                <w:b w:val="1"/>
                <w:bCs w:val="1"/>
                <w:color w:val="auto"/>
                <w:w w:val="96"/>
              </w:rPr>
              <w:t>12.1%</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5"/>
                <w:szCs w:val="15"/>
                <w:b w:val="1"/>
                <w:bCs w:val="1"/>
                <w:color w:val="auto"/>
              </w:rPr>
              <w:t>20.8%</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w:t>
            </w:r>
          </w:p>
        </w:tc>
      </w:tr>
      <w:tr>
        <w:trPr>
          <w:trHeight w:val="20"/>
        </w:trPr>
        <w:tc>
          <w:tcPr>
            <w:tcW w:w="6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Retail Operating Income</w:t>
      </w:r>
    </w:p>
    <w:p>
      <w:pPr>
        <w:spacing w:after="0" w:line="92"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U.S. Retail segment operating income in fiscal 2017 increased $3.7 million, or 1.7%, from fiscal 2016 to $215.6 million. The segment's operating margin decreased 70 bps from 12.8% in fiscal 2016 to 12.1% in fiscal 2017. The primary drivers of the change in the operating margin were an:</w:t>
      </w:r>
    </w:p>
    <w:p>
      <w:pPr>
        <w:spacing w:after="0" w:line="13" w:lineRule="exact"/>
        <w:rPr>
          <w:sz w:val="20"/>
          <w:szCs w:val="20"/>
          <w:color w:val="auto"/>
        </w:rPr>
      </w:pPr>
    </w:p>
    <w:p>
      <w:pPr>
        <w:ind w:left="600" w:hanging="305"/>
        <w:spacing w:after="0"/>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80 bps increase in gross profit primarily due to growth in higher-margin eCommerce business and lower product costs;</w:t>
      </w:r>
    </w:p>
    <w:p>
      <w:pPr>
        <w:spacing w:after="0" w:line="3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bps increase in royalty income; and</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 bps increase in SG&amp;A expenses primarily due to a:</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80 bps increase due to provisions for special employee compensation;</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bps increase in expenses associated with eCommerce;</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bps increase in expenses associated with new retail stores and store restructuring costs; and</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bps increase in distribution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Wholesale Operating Income</w:t>
      </w:r>
    </w:p>
    <w:p>
      <w:pPr>
        <w:spacing w:after="0" w:line="9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U.S. Wholesale segment operating income in fiscal 2017 decreased $8.9 million, or 3.4%, from fiscal 2016 to $252.1 million. The segment's operating margin decreased 140 bps from 22.2% in fiscal 2016 to 20.8% in fiscal 2017. The primary drivers of the change in the operating margin were a:</w:t>
      </w:r>
    </w:p>
    <w:p>
      <w:pPr>
        <w:spacing w:after="0" w:line="13" w:lineRule="exact"/>
        <w:rPr>
          <w:sz w:val="20"/>
          <w:szCs w:val="20"/>
          <w:color w:val="auto"/>
        </w:rPr>
      </w:pPr>
    </w:p>
    <w:p>
      <w:pPr>
        <w:ind w:left="600" w:hanging="305"/>
        <w:spacing w:after="0"/>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bps increase in gross profit due to favorable product costs;</w:t>
      </w:r>
    </w:p>
    <w:p>
      <w:pPr>
        <w:spacing w:after="0" w:line="3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bps decrease in royalty income primarily due to insourcing formerly licensed product categories; and</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 bps increase in SG&amp;A expenses, primarily due to a:</w:t>
      </w:r>
    </w:p>
    <w:p>
      <w:pPr>
        <w:spacing w:after="0" w:line="46"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 bps increase in distribution expenses;</w:t>
      </w:r>
    </w:p>
    <w:p>
      <w:pPr>
        <w:spacing w:after="0" w:line="30"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bps increase due to provisions for special employee compensation;</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bps increase in marketing and brand management expenses; and</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bps increase in provisions for accounts receivable.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420"/>
          </w:cols>
          <w:pgMar w:left="240" w:top="119" w:right="239" w:bottom="1440" w:gutter="0" w:footer="0" w:header="0"/>
        </w:sectPr>
      </w:pPr>
    </w:p>
    <w:bookmarkStart w:id="36" w:name="page37"/>
    <w:bookmarkEnd w:id="36"/>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Operating Income</w:t>
      </w:r>
    </w:p>
    <w:p>
      <w:pPr>
        <w:spacing w:after="0" w:line="9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International segment operating income in fiscal 2017 decreased $12.8 million, or 21.6%, from fiscal 2016 to $46.4 million. This segment's operating margin decreased 500 bps from 16.2% in fiscal 2016 to 11.2% in fiscal 2017. The primary drivers of the change in the operating margin were a:</w:t>
      </w:r>
    </w:p>
    <w:p>
      <w:pPr>
        <w:spacing w:after="0" w:line="13" w:lineRule="exact"/>
        <w:rPr>
          <w:sz w:val="20"/>
          <w:szCs w:val="20"/>
          <w:color w:val="auto"/>
        </w:rPr>
      </w:pPr>
    </w:p>
    <w:p>
      <w:pPr>
        <w:ind w:left="600" w:hanging="305"/>
        <w:spacing w:after="0"/>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190 bps decrease in gross profit due to changes in channel and customer mix;</w:t>
      </w:r>
    </w:p>
    <w:p>
      <w:pPr>
        <w:spacing w:after="0" w:line="30" w:lineRule="exact"/>
        <w:rPr>
          <w:rFonts w:ascii="Times New Roman" w:cs="Times New Roman" w:eastAsia="Times New Roman" w:hAnsi="Times New Roman"/>
          <w:sz w:val="16"/>
          <w:szCs w:val="16"/>
          <w:color w:val="auto"/>
        </w:rPr>
      </w:pPr>
    </w:p>
    <w:p>
      <w:pPr>
        <w:ind w:left="600" w:right="40" w:hanging="305"/>
        <w:spacing w:after="0" w:line="257" w:lineRule="auto"/>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bps decrease in royalty income related to the purchase of our Mexican licensee, and decreases in income from certain licensees due to the insourcing of formerly licensed product categories; and</w:t>
      </w:r>
    </w:p>
    <w:p>
      <w:pPr>
        <w:spacing w:after="0" w:line="1"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 bps increase in SG&amp;A expenses, primarily due to a:</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 bps increase expenses associates with eCommerce growth;</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bps increase marketing and brand management expenses;</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bps increase due to provisions for special employee compensation;</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bps increase in expenses associated with new store costs; and</w:t>
      </w:r>
    </w:p>
    <w:p>
      <w:pPr>
        <w:spacing w:after="0" w:line="13" w:lineRule="exact"/>
        <w:rPr>
          <w:rFonts w:ascii="Times New Roman" w:cs="Times New Roman" w:eastAsia="Times New Roman" w:hAnsi="Times New Roman"/>
          <w:sz w:val="16"/>
          <w:szCs w:val="16"/>
          <w:color w:val="auto"/>
        </w:rPr>
      </w:pPr>
    </w:p>
    <w:p>
      <w:pPr>
        <w:ind w:left="1180" w:hanging="291"/>
        <w:spacing w:after="0"/>
        <w:tabs>
          <w:tab w:leader="none" w:pos="118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bps increase due to higher provisions for wholesale accounts receivable.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Unallocated Corporate Expenses</w:t>
      </w:r>
    </w:p>
    <w:p>
      <w:pPr>
        <w:spacing w:after="0" w:line="9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Unallocated corporate expenses decreased by $11.6 million, or 10.9%, from $106.2 million in fiscal 2016 to $94.5 million in fiscal 2017. Unallocated corporate expenses, as a percentage of consolidated net sales, decreased from 3.3% in fiscal 2016 to 2.8% in fiscal 2017. The decrease primarily reflected a/an:</w:t>
      </w:r>
    </w:p>
    <w:p>
      <w:pPr>
        <w:spacing w:after="0" w:line="13" w:lineRule="exact"/>
        <w:rPr>
          <w:sz w:val="20"/>
          <w:szCs w:val="20"/>
          <w:color w:val="auto"/>
        </w:rPr>
      </w:pPr>
    </w:p>
    <w:p>
      <w:pPr>
        <w:ind w:left="600" w:hanging="305"/>
        <w:spacing w:after="0"/>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$5.2 million in consulting expenses;</w:t>
      </w:r>
    </w:p>
    <w:p>
      <w:pPr>
        <w:spacing w:after="0" w:line="3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$4.7 million in expenses related to information technology and systems;</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$2.6 million in insurance and other employee-related costs;</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$1.7 million in amortization expense for the H.W. Carter &amp; Sons tradenames; and</w:t>
      </w:r>
    </w:p>
    <w:p>
      <w:pPr>
        <w:spacing w:after="0" w:line="13"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of $2.9 million due to provisions for special employee compensation.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and effective interest rate calculations include the amortization of debt issuance costs.</w:t>
      </w:r>
    </w:p>
    <w:p>
      <w:pPr>
        <w:spacing w:after="0" w:line="174"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6"/>
          <w:szCs w:val="16"/>
          <w:color w:val="auto"/>
        </w:rPr>
        <w:t>Interest expense in fiscal 2017 and fiscal 2016 was approximately $30.0 million and $27.0 million, respectively. Weighted-average borrowings for fiscal 2017 were $652.9 million at an effective interest rate of 4.55%, compared to weighted-average borrowings for fiscal 2016 of $585.2 million at an effective interest rate of 4.57%. The increase in weighted-average borrowings during fiscal 2017 was attributable to additional borrowings under our secured revolving credit facility.</w:t>
      </w:r>
    </w:p>
    <w:p>
      <w:pPr>
        <w:spacing w:after="0" w:line="11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6"/>
          <w:szCs w:val="16"/>
          <w:color w:val="auto"/>
        </w:rPr>
        <w:t>The decrease in the effective interest rate for fiscal 2017 compared to fiscal 2016 was primarily due to a higher portion of our outstanding borrowings under our secured revolving credit facility as compared to the total debt outstanding under our senior notes, partially offset by higher LIBOR rates for the variable portions of outstanding borrowings on our secured revolving credit facility during fiscal 2017. Borrowings under our secured revolving credit facility accrued variable-rate interest at a lower interest rate than our senior notes during fiscal 2017 and 2016.</w:t>
      </w:r>
    </w:p>
    <w:p>
      <w:pPr>
        <w:spacing w:after="0" w:line="12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On our consolidated balance sheets, unamortized debt issuance costs associated with our senior notes is presented as a direct reduction in the carrying value of the associated debt liability for all periods presented.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p>
      <w:pPr>
        <w:spacing w:after="0" w:line="9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Other (income) expense, net is comprised primarily of gains and losses on foreign currency transactions and, if utilized during a reporting period, gains and losses on foreign currency forward contracts. These amounts represented a net gain of approximately $1.3 million for fiscal 2017 and a net loss of approximately $3.9 million for fiscal 2016. When we acquired our former licensee in Mexico on August 1, 2017, the licensee had unsettled foreign currency forward contracts between the U.S. dollar and the Mexican peso.</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On December 22, 2017, the United States enacted tax law changes known as the Tax Cuts and Jobs Act of 2017 (the "2017 Act"). The 2017 Act, among other things, reduces the U.S. federal corporate tax rate from 35% to 21%, requires companies to pay a one-time transition tax (or "toll tax") on earnings of certain foreign subsidiaries that were previously tax deferred, and creates new taxes on certain foreign sourced earnings.</w:t>
      </w:r>
    </w:p>
    <w:p>
      <w:pPr>
        <w:spacing w:after="0" w:line="117"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Our accounting for the enactment of the 2017 Act, including its effects on our consolidated income tax expense, is not complete. The income tax expense reported in our consolidated statement of operations for the fiscal year ended December 30,</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420"/>
          </w:cols>
          <w:pgMar w:left="240" w:top="119" w:right="239" w:bottom="1440" w:gutter="0" w:footer="0" w:header="0"/>
        </w:sectPr>
      </w:pPr>
    </w:p>
    <w:bookmarkStart w:id="37" w:name="page38"/>
    <w:bookmarkEnd w:id="37"/>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6"/>
          <w:szCs w:val="16"/>
          <w:color w:val="auto"/>
        </w:rPr>
        <w:t xml:space="preserve">2017 reflects certain provisional estimates related to our accounting for the enactment of the 2017 Act, as allowed by SEC Staff Accounting Bulletin No. 118, </w:t>
      </w:r>
      <w:r>
        <w:rPr>
          <w:rFonts w:ascii="Times New Roman" w:cs="Times New Roman" w:eastAsia="Times New Roman" w:hAnsi="Times New Roman"/>
          <w:sz w:val="16"/>
          <w:szCs w:val="16"/>
          <w:i w:val="1"/>
          <w:iCs w:val="1"/>
          <w:color w:val="auto"/>
        </w:rPr>
        <w:t>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Implications of the Tax Cuts and Jobs Act. </w:t>
      </w:r>
      <w:r>
        <w:rPr>
          <w:rFonts w:ascii="Times New Roman" w:cs="Times New Roman" w:eastAsia="Times New Roman" w:hAnsi="Times New Roman"/>
          <w:sz w:val="16"/>
          <w:szCs w:val="16"/>
          <w:color w:val="auto"/>
        </w:rPr>
        <w:t>Any subsequent adjustments to the provisional estimates will be reflected in our income tax expense/benefit in one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more future periods in fiscal 2018.</w:t>
      </w:r>
    </w:p>
    <w:p>
      <w:pPr>
        <w:spacing w:after="0" w:line="1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 xml:space="preserve">During the fourth quarter of fiscal 2017, we recognized an income tax benefit of $40.0 million related to the enactment of the 2017 Act, which is included as a component of our income tax expense on our consolidated statement of operations. This $40.0 million income tax benefit is comprised of a benefit of approximately $50.4 million related to the remeasurement of certain deferred income tax balances, partially offset by a provisional estimate for additional income tax expense of $10.4 million related to foreign earnings. We will continue to refine our calculations as additional analysis is completed. Additional information is contained in Item 8 "Financial Statements and Supplementary Data” under Note 12,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to the consolidated financial statements.</w:t>
      </w:r>
    </w:p>
    <w:p>
      <w:pPr>
        <w:spacing w:after="0" w:line="12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Our consolidated effective tax rate for fiscal 2017 and 2016 was 22.6% and 34.8%, respectively. Of this 12.2% decrease for fiscal 2017, approximately 10.2% was related to our accounting for the implementation of the 2017 Act, including the estimates for provisional amounts. Other drivers of the lower effective tax rate in fiscal 2017 were: 1) changes in the mix of taxable income among our domestic and international tax-paying entities and 2) the new accounting guidance which required certain income tax benefits realized in fiscal 2017 from settled stock-based compensation awards to be reflected as a benefit to income tax expense instead of a credit to additional paid-in capital.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9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Our consolidated net income for fiscal 2017 increased $45.1 million, or 17.5%, to $302.8 million as compared to $257.7 million in fiscal 2016. This increase was due to the factors previously discussed.</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00"/>
          </w:cols>
          <w:pgMar w:left="240" w:top="119" w:right="259" w:bottom="1440" w:gutter="0" w:footer="0" w:header="0"/>
        </w:sectPr>
      </w:pPr>
    </w:p>
    <w:bookmarkStart w:id="38" w:name="page39"/>
    <w:bookmarkEnd w:id="38"/>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CAPITAL RESOURCES, AND LIQUIDITY</w:t>
      </w:r>
    </w:p>
    <w:p>
      <w:pPr>
        <w:spacing w:after="0" w:line="9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and we believe that we also have access to the capital markets. Further, we do not expect current economic conditions to prevent us from meeting our cash requirements. These sources of liquidity may be affected by events described in our risk factors, as further discussed in Part I, Item 1.A., Risk Factors, in this Annual Report on Form 10-K for the fiscal year ended December 29, 2018.</w:t>
      </w:r>
    </w:p>
    <w:p>
      <w:pPr>
        <w:spacing w:after="0" w:line="12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As of December 29, 2018, we had approximately $170.1 million of cash and cash equivalents in major financial institutions, including approximately $36.7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Sheet</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Net accounts receivable at December 29, 2018 were $258.3 million compared to $240.6 million at December 30, 2017. The increase of $17.7 million, or 7.4%, as compared to December 30, 2017, was primarily the result of the timing of wholesale customer receipts. Net accounts receivable at December 30, 2017 were $240.6 million compared to $202.5 million at December 31, 2016. The increase of $38.1 million, or 18.8%, as compared to December 31, 2016 was primarily due to the Skip Hop acquisition in fiscal 2017.</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 at December 29, 2018 were $574.2 million compared to $548.7 million at December 30, 2017. The increase of $25.5 million, or 4.6%, compared to</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December 30, 2017, primarily reflected an increased average unit cost, timing of receipts, and business growth from retail locations. Inventories at December 30, 2017 were $548.7 million compared to $487.6 million at December 31, 2016. The increase of $61.1 million, or 12.5%, compared to December 31, 2016, primarily reflected acquisitions and business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w:t>
      </w:r>
    </w:p>
    <w:p>
      <w:pPr>
        <w:spacing w:after="0" w:line="9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Net cash provided by operating activities for fiscal 2018 was $356.2 million compared to net cash provided by operating activities of $329.6 million in fiscal 2017. The increase in operating cash flow primarily reflected a reduction in cash taxes paid, partially offset by lower net income and higher working capital in fiscal 2018. The timing of payments and receipts in the normal course of business can impact our working capital.</w:t>
      </w:r>
    </w:p>
    <w:p>
      <w:pPr>
        <w:spacing w:after="0" w:line="11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Net cash provided by operating activities for fiscal 2017 was $329.6 million compared to net cash provided by operating activities of $369.2 million in fiscal 2016. This decrease in operating cash flow for fiscal 2017 primarily reflected unfavorable changes in working capital.</w:t>
      </w:r>
    </w:p>
    <w:p>
      <w:pPr>
        <w:spacing w:after="0" w:line="9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Net cash used in investing activities was approximately $63.3 million in fiscal 2018, compared to net cash used of approximately $227.9 million in fiscal 2017. This decrease in net cash used in investing activities for fiscal 2018 is primarily due to business acquisitions in fiscal 2017. Our capital expenditures were approximately $63.8 million, including $38.1 million for our U.S. and international retail store openings and remodelings, $8.7 million for information technology initiatives, $7.4 million for our Braselton, Georgia distribution facility, and $4.1 million for wholesale fixtures.</w:t>
      </w:r>
    </w:p>
    <w:p>
      <w:pPr>
        <w:spacing w:after="0" w:line="12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Our capital expenditures were approximately $69.5 million in fiscal 2017, compared to $88.6 million in fiscal 2016. Expenditures in fiscal 2017 primarily reflected expenditures of $42.5 million for our U.S. and international retail store openings and remodelings, $11.5 million for information technology initiatives, $8.8 million for our Braselton, Georgia distribution facility, and $1.1 million for wholesale fixtures.</w:t>
      </w:r>
    </w:p>
    <w:p>
      <w:pPr>
        <w:spacing w:after="0" w:line="117"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We plan to invest approximately $85 million in capital expenditures in fiscal 2019, primarily for U.S. and international retail store openings and remodelings, information technology initiatives, and distribution facilities.</w:t>
      </w:r>
    </w:p>
    <w:p>
      <w:pPr>
        <w:spacing w:after="0" w:line="9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Net cash used in financing activities was $298.9 million in fiscal 2018 compared to $223.1 million in fiscal 2017. This increase in cash used for financing activities in fiscal 2018 reflected a decrease in net borrowings under our amended revolving credit facility, higher cash dividends paid to stockholders, and an increase in repurchases of our common stock.</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420"/>
          </w:cols>
          <w:pgMar w:left="240" w:top="119" w:right="239" w:bottom="1440" w:gutter="0" w:footer="0" w:header="0"/>
        </w:sectPr>
      </w:pPr>
    </w:p>
    <w:bookmarkStart w:id="39" w:name="page40"/>
    <w:bookmarkEnd w:id="39"/>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Net cash used in financing activities was $223.1 million in fiscal 2017 compared to $363.5 million in fiscal 2016. This decrease in cash used for financing activities in fiscal 2017 reflected fewer repurchases of our common stock, partially offset by an increase in net borrowings under our amended revolving credit facility and higher cash dividends paid to stockholders in fiscal 2017.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Revolving Credit Facility</w:t>
      </w:r>
    </w:p>
    <w:p>
      <w:pPr>
        <w:spacing w:after="0" w:line="9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On August 25, 2017, TWCC and the syndicate of lenders entered into a fourth amended and restated secured revolving credit agreement. This amendment to the secured revolving credit facility provides: (a) an extension of the term of the facility to August 25, 2022 and (b) an increase in the aggregate credit line to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 In addition, the secured revolving credit facility provides for incremental borrowing facilities up to $425 million, which are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w:t>
      </w:r>
    </w:p>
    <w:p>
      <w:pPr>
        <w:spacing w:after="0" w:line="12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On September 21, 2018, TWCC and a syndicate of lenders entered into Amendment No. 1 to its fourth amended and restated credit agreement that, among other things, extended the term of the facility from August 25, 2022 to September 21, 2023. In connection with the amendment, the Company paid approximately $1.0 million in debt issuance costs. These newly-incurred debt issuance costs, together with existing unamortized debt issuance costs, are being amortized over the five-year remaining term of the secured revolving credit facility.</w:t>
      </w:r>
    </w:p>
    <w:p>
      <w:pPr>
        <w:spacing w:after="0" w:line="19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As of December 29, 2018 and December 30, 2017, we had $196.0 million and $221.0 million in outstanding borrowings under our secured revolving credit facility, exclusive of $5.0 million and $4.5 million of outstanding letters of credit, respectively. As of December 29, 2018 and December 30, 2017, approximately $549.0 million and $524.5 million were available for future borrowing, respectively. Weighted-average borrowings for fiscal 2018 were $286.9 million compared to weighted-average borrowings for fiscal 2017 of $252.9 million.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39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The interest rate margins applicable to our secured revolving credit facility as of December 29, 2018 were 1.625% for LIBOR rate loans (which may be adjusted based on a leverage-based pricing grid ranging from 1.125% to 1.875%) and 0.625% for base rate loans (which may be adjusted based on a leverage-based pricing grid ranging from 0.125% to 0.875%).</w:t>
      </w:r>
    </w:p>
    <w:p>
      <w:pPr>
        <w:spacing w:after="0" w:line="19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As of December 29, 2018 and December 30, 2017, U.S. dollar borrowings outstanding under the secured revolving credit facility accrued interest at a LIBOR rate plus the applicable base rate, which resulted in a weighted-average borrowing rate of 4.11% and 2.93%, respectively. The effective interest rate for fiscal 2018 was 3.45% compared to an effective interest rate of 2.51% for fiscal 2017. All outstanding Canadian dollar borrowings were repaid during the first quarter of fiscal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29, 2018, we were in compliance with the financial and other covenants under our secured revolving credit facility.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Senior Notes</w:t>
      </w:r>
    </w:p>
    <w:p>
      <w:pPr>
        <w:spacing w:after="0" w:line="15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As of December 29, 2018, TWCC had $400 million principal amount of senior notes outstanding, bearing interest at a rate of 5.25% per annum, and maturing on August 15, 2021. On our consolidated balance sheet, the $400 million outstanding is reported net of $2.7 million and $3.7 million of unamortized issuance-related debt costs at December 29, 2018 and December 30, 2017, respectively.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senior notes are unsecured and are fully and unconditionally guaranteed by Carter's, Inc. and certain subsidiaries of TWCC.</w:t>
      </w:r>
    </w:p>
    <w:p>
      <w:pPr>
        <w:spacing w:after="0" w:line="33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On and after August 15, 2017, TWCC may redeem all or part of the senior notes at the redemption prices (expressed as a percentage of principal amount of the senior notes to be redeemed) set forth below, plus accrued and unpaid interest. The redemption price applicable where the redemption occurs during the 12-month period beginning on August 15 of each of the years indicated as follows: 2018, 101.31%; and 2019 and thereafter, 100.00%.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Upon the occurrence of specific kinds of changes of control, unless a redemption notice with respect to all the outstanding</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380"/>
          </w:cols>
          <w:pgMar w:left="240" w:top="119" w:right="279" w:bottom="1440" w:gutter="0" w:footer="0" w:header="0"/>
        </w:sectPr>
      </w:pPr>
    </w:p>
    <w:bookmarkStart w:id="40" w:name="page41"/>
    <w:bookmarkEnd w:id="40"/>
    <w:p>
      <w:pPr>
        <w:ind w:left="1"/>
        <w:spacing w:after="0"/>
        <w:tabs>
          <w:tab w:leader="none" w:pos="741"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8" w:lineRule="exact"/>
        <w:rPr>
          <w:sz w:val="20"/>
          <w:szCs w:val="20"/>
          <w:color w:val="auto"/>
        </w:rPr>
      </w:pPr>
    </w:p>
    <w:p>
      <w:pPr>
        <w:jc w:val="both"/>
        <w:ind w:left="1" w:right="60"/>
        <w:spacing w:after="0" w:line="277" w:lineRule="auto"/>
        <w:rPr>
          <w:sz w:val="20"/>
          <w:szCs w:val="20"/>
          <w:color w:val="auto"/>
        </w:rPr>
      </w:pPr>
      <w:r>
        <w:rPr>
          <w:rFonts w:ascii="Times New Roman" w:cs="Times New Roman" w:eastAsia="Times New Roman" w:hAnsi="Times New Roman"/>
          <w:sz w:val="16"/>
          <w:szCs w:val="16"/>
          <w:color w:val="auto"/>
        </w:rPr>
        <w:t>senior notes has previously or concurrently been mailed or delivered, we will be required to make an offer to purchase the senior notes at 101% of their principal amount. In addition, if we or any of our restricted subsidiaries engages in certain asset sales, under certain circumstances we will be required to use the net proceeds to make an offer to purchase the senior notes at 100% of their principal amount.</w:t>
      </w:r>
    </w:p>
    <w:p>
      <w:pPr>
        <w:spacing w:after="0" w:line="117" w:lineRule="exact"/>
        <w:rPr>
          <w:sz w:val="20"/>
          <w:szCs w:val="20"/>
          <w:color w:val="auto"/>
        </w:rPr>
      </w:pPr>
    </w:p>
    <w:p>
      <w:pPr>
        <w:ind w:left="1" w:right="40"/>
        <w:spacing w:after="0" w:line="262" w:lineRule="auto"/>
        <w:rPr>
          <w:sz w:val="20"/>
          <w:szCs w:val="20"/>
          <w:color w:val="auto"/>
        </w:rPr>
      </w:pPr>
      <w:r>
        <w:rPr>
          <w:rFonts w:ascii="Times New Roman" w:cs="Times New Roman" w:eastAsia="Times New Roman" w:hAnsi="Times New Roman"/>
          <w:sz w:val="16"/>
          <w:szCs w:val="16"/>
          <w:color w:val="auto"/>
        </w:rPr>
        <w:t>The indenture governing the senior notes includes a number of covenants, that, among other things and subject to certain exceptions, restrict TWCC's ability to: (i) incur, assume or guarantee additional indebtedness; (ii) issue disqualified stock and preferred stock; (iii) pay dividends, among other things, or make distributions or other restricted payments; (iv) prepay, redeem or repurchase certain debt; (v) make loans and investments (including joint ventures); (vi) incur liens; (vii) create restrictions on the payment of dividends or other amounts from restricted subsidiaries that are not guarantors of the notes; (viii) sell or otherwise dispose of assets, including capital stock of subsidiaries; (ix) consolidate or merge with or into, or sell substantially all of TWCC's assets to, another person; (x) designate subsidiaries as unrestricted subsidiaries; and</w:t>
      </w:r>
    </w:p>
    <w:p>
      <w:pPr>
        <w:spacing w:after="0" w:line="1" w:lineRule="exact"/>
        <w:rPr>
          <w:sz w:val="20"/>
          <w:szCs w:val="20"/>
          <w:color w:val="auto"/>
        </w:rPr>
      </w:pPr>
    </w:p>
    <w:p>
      <w:pPr>
        <w:ind w:left="1" w:right="120" w:hanging="1"/>
        <w:spacing w:after="0" w:line="266" w:lineRule="auto"/>
        <w:tabs>
          <w:tab w:leader="none" w:pos="2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1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Share Repurchases</w:t>
      </w:r>
    </w:p>
    <w:p>
      <w:pPr>
        <w:spacing w:after="0" w:line="92" w:lineRule="exact"/>
        <w:rPr>
          <w:sz w:val="20"/>
          <w:szCs w:val="20"/>
          <w:color w:val="auto"/>
        </w:rPr>
      </w:pPr>
    </w:p>
    <w:p>
      <w:pPr>
        <w:ind w:left="1" w:right="40"/>
        <w:spacing w:after="0" w:line="298" w:lineRule="auto"/>
        <w:rPr>
          <w:sz w:val="20"/>
          <w:szCs w:val="20"/>
          <w:color w:val="auto"/>
        </w:rPr>
      </w:pPr>
      <w:r>
        <w:rPr>
          <w:rFonts w:ascii="Times New Roman" w:cs="Times New Roman" w:eastAsia="Times New Roman" w:hAnsi="Times New Roman"/>
          <w:sz w:val="16"/>
          <w:szCs w:val="16"/>
          <w:color w:val="auto"/>
        </w:rPr>
        <w:t>On February 22, 2018, our Board of Directors authorized an additional $500 million of share repurchases, for total authorizations of amounts up to $1.46 billion. There is no expiration date on these authorizations. Total remaining capacity under all of the repurchase authorizations as of December 29, 2018 was approximately $392.6 million.</w:t>
      </w:r>
    </w:p>
    <w:p>
      <w:pPr>
        <w:spacing w:after="0" w:line="9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Open-market repurchases of our common stock during fiscal years 2018, 2017 and 2016 were as follows:</w:t>
      </w:r>
    </w:p>
    <w:p>
      <w:pPr>
        <w:spacing w:after="0" w:line="228" w:lineRule="exact"/>
        <w:rPr>
          <w:sz w:val="20"/>
          <w:szCs w:val="20"/>
          <w:color w:val="auto"/>
        </w:rPr>
      </w:pPr>
    </w:p>
    <w:tbl>
      <w:tblPr>
        <w:tblLayout w:type="fixed"/>
        <w:tblInd w:w="1" w:type="dxa"/>
        <w:tblCellMar>
          <w:top w:w="0" w:type="dxa"/>
          <w:left w:w="0" w:type="dxa"/>
          <w:bottom w:w="0" w:type="dxa"/>
          <w:right w:w="0" w:type="dxa"/>
        </w:tblCellMar>
      </w:tblPr>
      <w:tr>
        <w:trPr>
          <w:trHeight w:val="247"/>
        </w:trPr>
        <w:tc>
          <w:tcPr>
            <w:tcW w:w="5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9"/>
        </w:trPr>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Number of shares repurchased</w:t>
            </w: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1,879,529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2,103,401</w:t>
            </w:r>
          </w:p>
        </w:tc>
        <w:tc>
          <w:tcPr>
            <w:tcW w:w="3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3,049,381</w:t>
            </w:r>
          </w:p>
        </w:tc>
      </w:tr>
      <w:tr>
        <w:trPr>
          <w:trHeight w:val="217"/>
        </w:trPr>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Aggregate cost of shares repurchased </w:t>
            </w:r>
            <w:r>
              <w:rPr>
                <w:rFonts w:ascii="Times New Roman" w:cs="Times New Roman" w:eastAsia="Times New Roman" w:hAnsi="Times New Roman"/>
                <w:sz w:val="15"/>
                <w:szCs w:val="15"/>
                <w:i w:val="1"/>
                <w:iCs w:val="1"/>
                <w:color w:val="auto"/>
              </w:rPr>
              <w:t>(dollars in thousands)</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193,028</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188,762</w:t>
            </w:r>
          </w:p>
        </w:tc>
        <w:tc>
          <w:tcPr>
            <w:tcW w:w="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300,445</w:t>
            </w:r>
          </w:p>
        </w:tc>
      </w:tr>
      <w:tr>
        <w:trPr>
          <w:trHeight w:val="30"/>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Average price per share</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89.74</w:t>
            </w:r>
          </w:p>
        </w:tc>
        <w:tc>
          <w:tcPr>
            <w:tcW w:w="3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98.53</w:t>
            </w:r>
          </w:p>
        </w:tc>
      </w:tr>
      <w:tr>
        <w:trPr>
          <w:trHeight w:val="30"/>
        </w:trPr>
        <w:tc>
          <w:tcPr>
            <w:tcW w:w="5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1" w:right="80"/>
        <w:spacing w:after="0" w:line="298" w:lineRule="auto"/>
        <w:rPr>
          <w:sz w:val="20"/>
          <w:szCs w:val="20"/>
          <w:color w:val="auto"/>
        </w:rPr>
      </w:pPr>
      <w:r>
        <w:rPr>
          <w:rFonts w:ascii="Times New Roman" w:cs="Times New Roman" w:eastAsia="Times New Roman" w:hAnsi="Times New Roman"/>
          <w:sz w:val="16"/>
          <w:szCs w:val="16"/>
          <w:color w:val="auto"/>
        </w:rPr>
        <w:t>In addition to the open-market repurchases completed in fiscal years 2018, 2017, and 2016, open-market repurchases totaling $387.6 million were made in fiscal years prior to 2016.</w:t>
      </w:r>
    </w:p>
    <w:p>
      <w:pPr>
        <w:spacing w:after="0" w:line="99" w:lineRule="exact"/>
        <w:rPr>
          <w:sz w:val="20"/>
          <w:szCs w:val="20"/>
          <w:color w:val="auto"/>
        </w:rPr>
      </w:pPr>
    </w:p>
    <w:p>
      <w:pPr>
        <w:ind w:left="1" w:right="180"/>
        <w:spacing w:after="0" w:line="298" w:lineRule="auto"/>
        <w:rPr>
          <w:sz w:val="20"/>
          <w:szCs w:val="20"/>
          <w:color w:val="auto"/>
        </w:rPr>
      </w:pPr>
      <w:r>
        <w:rPr>
          <w:rFonts w:ascii="Times New Roman" w:cs="Times New Roman" w:eastAsia="Times New Roman" w:hAnsi="Times New Roman"/>
          <w:sz w:val="16"/>
          <w:szCs w:val="16"/>
          <w:color w:val="auto"/>
        </w:rPr>
        <w:t>Future share repurchases may be made in the open market or in privately negotiated transactions, with the level and timing of activity being at our discretion depending on market conditions, share price, other investment priorities, and other factors. Our share repurchase authorizations have no expiration dates.</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92" w:lineRule="exact"/>
        <w:rPr>
          <w:sz w:val="20"/>
          <w:szCs w:val="20"/>
          <w:color w:val="auto"/>
        </w:rPr>
      </w:pPr>
    </w:p>
    <w:p>
      <w:pPr>
        <w:ind w:left="1" w:right="140"/>
        <w:spacing w:after="0" w:line="298" w:lineRule="auto"/>
        <w:rPr>
          <w:sz w:val="20"/>
          <w:szCs w:val="20"/>
          <w:color w:val="auto"/>
        </w:rPr>
      </w:pPr>
      <w:r>
        <w:rPr>
          <w:rFonts w:ascii="Times New Roman" w:cs="Times New Roman" w:eastAsia="Times New Roman" w:hAnsi="Times New Roman"/>
          <w:sz w:val="16"/>
          <w:szCs w:val="16"/>
          <w:color w:val="auto"/>
        </w:rPr>
        <w:t>Our Board of Directors authorized quarterly cash dividends of $0.45 per share in each quarter of fiscal 2018, and cash dividends of $0.37 per share in each quarter of fiscal 2017. The dividends were paid during the fiscal quarter in which they were declared.</w:t>
      </w:r>
    </w:p>
    <w:p>
      <w:pPr>
        <w:spacing w:after="0" w:line="99" w:lineRule="exact"/>
        <w:rPr>
          <w:sz w:val="20"/>
          <w:szCs w:val="20"/>
          <w:color w:val="auto"/>
        </w:rPr>
      </w:pPr>
    </w:p>
    <w:p>
      <w:pPr>
        <w:ind w:left="1" w:right="380"/>
        <w:spacing w:after="0" w:line="298" w:lineRule="auto"/>
        <w:rPr>
          <w:sz w:val="20"/>
          <w:szCs w:val="20"/>
          <w:color w:val="auto"/>
        </w:rPr>
      </w:pPr>
      <w:r>
        <w:rPr>
          <w:rFonts w:ascii="Times New Roman" w:cs="Times New Roman" w:eastAsia="Times New Roman" w:hAnsi="Times New Roman"/>
          <w:sz w:val="16"/>
          <w:szCs w:val="16"/>
          <w:color w:val="auto"/>
        </w:rPr>
        <w:t>On February 14, 2019, our Board of Directors authorized a quarterly cash dividend payment of $0.50 per common share, payable on March 22, 2019 to shareholders of record at the close of business on March 12, 2019.</w:t>
      </w:r>
    </w:p>
    <w:p>
      <w:pPr>
        <w:spacing w:after="0" w:line="99" w:lineRule="exact"/>
        <w:rPr>
          <w:sz w:val="20"/>
          <w:szCs w:val="20"/>
          <w:color w:val="auto"/>
        </w:rPr>
      </w:pPr>
    </w:p>
    <w:p>
      <w:pPr>
        <w:ind w:left="1" w:right="500"/>
        <w:spacing w:after="0" w:line="298" w:lineRule="auto"/>
        <w:rPr>
          <w:sz w:val="20"/>
          <w:szCs w:val="20"/>
          <w:color w:val="auto"/>
        </w:rPr>
      </w:pPr>
      <w:r>
        <w:rPr>
          <w:rFonts w:ascii="Times New Roman" w:cs="Times New Roman" w:eastAsia="Times New Roman" w:hAnsi="Times New Roman"/>
          <w:sz w:val="16"/>
          <w:szCs w:val="16"/>
          <w:color w:val="auto"/>
        </w:rPr>
        <w:t>Future declarations of quarterly dividends and the establishment of future record and payment dates are at the discretion of our Board of Directors, and are based on a number of factors, including our future financial performance and other investment priorities.</w:t>
      </w:r>
    </w:p>
    <w:p>
      <w:pPr>
        <w:spacing w:after="0" w:line="99" w:lineRule="exact"/>
        <w:rPr>
          <w:sz w:val="20"/>
          <w:szCs w:val="20"/>
          <w:color w:val="auto"/>
        </w:rPr>
      </w:pPr>
    </w:p>
    <w:p>
      <w:pPr>
        <w:ind w:left="1" w:right="100"/>
        <w:spacing w:after="0" w:line="298" w:lineRule="auto"/>
        <w:rPr>
          <w:sz w:val="20"/>
          <w:szCs w:val="20"/>
          <w:color w:val="auto"/>
        </w:rPr>
      </w:pPr>
      <w:r>
        <w:rPr>
          <w:rFonts w:ascii="Times New Roman" w:cs="Times New Roman" w:eastAsia="Times New Roman" w:hAnsi="Times New Roman"/>
          <w:sz w:val="16"/>
          <w:szCs w:val="16"/>
          <w:color w:val="auto"/>
        </w:rPr>
        <w:t>Provisions in our secured revolving credit facility and indenture governing our senior notes could have the effect of restricting our ability to pay future cash dividends on or make future repurchases of our common stock.</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421"/>
          </w:cols>
          <w:pgMar w:left="239" w:top="119" w:right="239" w:bottom="1440" w:gutter="0" w:footer="0" w:header="0"/>
        </w:sectPr>
      </w:pPr>
    </w:p>
    <w:bookmarkStart w:id="41" w:name="page42"/>
    <w:bookmarkEnd w:id="41"/>
    <w:p>
      <w:pPr>
        <w:ind w:left="1"/>
        <w:spacing w:after="0"/>
        <w:tabs>
          <w:tab w:leader="none" w:pos="741"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Commitments</w:t>
      </w:r>
    </w:p>
    <w:p>
      <w:pPr>
        <w:spacing w:after="0" w:line="92" w:lineRule="exact"/>
        <w:rPr>
          <w:sz w:val="20"/>
          <w:szCs w:val="20"/>
          <w:color w:val="auto"/>
        </w:rPr>
      </w:pPr>
    </w:p>
    <w:p>
      <w:pPr>
        <w:ind w:left="1" w:right="220"/>
        <w:spacing w:after="0" w:line="298" w:lineRule="auto"/>
        <w:rPr>
          <w:sz w:val="20"/>
          <w:szCs w:val="20"/>
          <w:color w:val="auto"/>
        </w:rPr>
      </w:pPr>
      <w:r>
        <w:rPr>
          <w:rFonts w:ascii="Times New Roman" w:cs="Times New Roman" w:eastAsia="Times New Roman" w:hAnsi="Times New Roman"/>
          <w:sz w:val="16"/>
          <w:szCs w:val="16"/>
          <w:color w:val="auto"/>
        </w:rPr>
        <w:t>The following table summarizes as of December 29, 2018, the maturity or expiration dates of mandatory contractual obligations and commitments for the following fiscal years:</w:t>
      </w:r>
    </w:p>
    <w:p>
      <w:pPr>
        <w:spacing w:after="0" w:line="153" w:lineRule="exact"/>
        <w:rPr>
          <w:sz w:val="20"/>
          <w:szCs w:val="20"/>
          <w:color w:val="auto"/>
        </w:rPr>
      </w:pPr>
    </w:p>
    <w:tbl>
      <w:tblPr>
        <w:tblLayout w:type="fixed"/>
        <w:tblInd w:w="1" w:type="dxa"/>
        <w:tblCellMar>
          <w:top w:w="0" w:type="dxa"/>
          <w:left w:w="0" w:type="dxa"/>
          <w:bottom w:w="0" w:type="dxa"/>
          <w:right w:w="0" w:type="dxa"/>
        </w:tblCellMar>
      </w:tblPr>
      <w:tr>
        <w:trPr>
          <w:trHeight w:val="24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Thereafter</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7"/>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2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400,000</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196,000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596,000</w:t>
            </w:r>
          </w:p>
        </w:tc>
      </w:tr>
      <w:tr>
        <w:trPr>
          <w:trHeight w:val="30"/>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on debt</w:t>
            </w:r>
            <w:r>
              <w:rPr>
                <w:rFonts w:ascii="Times New Roman" w:cs="Times New Roman" w:eastAsia="Times New Roman" w:hAnsi="Times New Roman"/>
                <w:sz w:val="19"/>
                <w:szCs w:val="19"/>
                <w:color w:val="auto"/>
                <w:vertAlign w:val="superscript"/>
              </w:rPr>
              <w:t>(1)</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29,143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29,707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21,267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8,142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94,165</w:t>
            </w:r>
          </w:p>
        </w:tc>
      </w:tr>
      <w:tr>
        <w:trPr>
          <w:trHeight w:val="217"/>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leases</w:t>
            </w:r>
          </w:p>
        </w:tc>
        <w:tc>
          <w:tcPr>
            <w:tcW w:w="240" w:type="dxa"/>
            <w:vAlign w:val="bottom"/>
          </w:tcPr>
          <w:p>
            <w:pPr>
              <w:spacing w:after="0"/>
              <w:rPr>
                <w:sz w:val="18"/>
                <w:szCs w:val="18"/>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163,963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150,010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134,203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116,773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102,487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235,731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903,167</w:t>
            </w:r>
          </w:p>
        </w:tc>
      </w:tr>
      <w:tr>
        <w:trPr>
          <w:trHeight w:val="30"/>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1,272</w:t>
            </w:r>
          </w:p>
        </w:tc>
      </w:tr>
      <w:tr>
        <w:trPr>
          <w:trHeight w:val="197"/>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financial obligations</w:t>
            </w:r>
          </w:p>
        </w:tc>
        <w:tc>
          <w:tcPr>
            <w:tcW w:w="2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193,394</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180,005</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555,758</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125,203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304,513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235,731</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1,594,604</w:t>
            </w:r>
          </w:p>
        </w:tc>
      </w:tr>
      <w:tr>
        <w:trPr>
          <w:trHeight w:val="30"/>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Letters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5,018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5,018</w:t>
            </w:r>
          </w:p>
        </w:tc>
      </w:tr>
      <w:tr>
        <w:trPr>
          <w:trHeight w:val="227"/>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financial obligations and commitments</w:t>
            </w:r>
            <w:r>
              <w:rPr>
                <w:rFonts w:ascii="Times New Roman" w:cs="Times New Roman" w:eastAsia="Times New Roman" w:hAnsi="Times New Roman"/>
                <w:sz w:val="19"/>
                <w:szCs w:val="19"/>
                <w:color w:val="auto"/>
                <w:vertAlign w:val="superscript"/>
              </w:rPr>
              <w:t>(2)(3)(4)</w:t>
            </w: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198,412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180,005</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555,758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125,203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304,513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235,731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1,599,622</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441" w:right="120" w:hanging="441"/>
        <w:spacing w:after="0" w:line="273" w:lineRule="auto"/>
        <w:tabs>
          <w:tab w:leader="none" w:pos="44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i) estimated variable rate interest on obligations outstanding on our secured revolving credit facility as of December 29, 2018 using an interest rate of 4.11% and ii) a fixed interest rate of 5.25% for the senior notes.</w:t>
      </w:r>
    </w:p>
    <w:p>
      <w:pPr>
        <w:spacing w:after="0" w:line="30"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above excludes our reserves for income taxes, as we are unable to reasonably predict the ultimate amount or timing of settlement.</w:t>
      </w:r>
    </w:p>
    <w:p>
      <w:pPr>
        <w:spacing w:after="0" w:line="72" w:lineRule="exact"/>
        <w:rPr>
          <w:rFonts w:ascii="Times New Roman" w:cs="Times New Roman" w:eastAsia="Times New Roman" w:hAnsi="Times New Roman"/>
          <w:sz w:val="13"/>
          <w:szCs w:val="13"/>
          <w:color w:val="auto"/>
        </w:rPr>
      </w:pPr>
    </w:p>
    <w:p>
      <w:pPr>
        <w:ind w:left="441" w:right="40" w:hanging="441"/>
        <w:spacing w:after="0" w:line="273" w:lineRule="auto"/>
        <w:tabs>
          <w:tab w:leader="none" w:pos="44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above excludes purchase obligations. Our estimate as of December 29, 2018 for commitments to purchase inventory in the normal course of business, which are cancellable (with or without penalty, depending on the stage of production) and span a period of one year or less, was between $300 million and $400 million.</w:t>
      </w:r>
    </w:p>
    <w:p>
      <w:pPr>
        <w:spacing w:after="0" w:line="30" w:lineRule="exact"/>
        <w:rPr>
          <w:rFonts w:ascii="Times New Roman" w:cs="Times New Roman" w:eastAsia="Times New Roman" w:hAnsi="Times New Roman"/>
          <w:sz w:val="13"/>
          <w:szCs w:val="13"/>
          <w:color w:val="auto"/>
        </w:rPr>
      </w:pPr>
    </w:p>
    <w:p>
      <w:pPr>
        <w:ind w:left="441" w:right="20" w:hanging="441"/>
        <w:spacing w:after="0" w:line="255" w:lineRule="auto"/>
        <w:tabs>
          <w:tab w:leader="none" w:pos="44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above excludes any potential future Company funding for obligations under our defined benefit retirement plans. Our estimates of such obligations as of December 29, 2018 have been determined in accordance with U.S. GAAP and are included in other current liabilities and other long-term liabilities on our consolidated balance sheet, as described in Item 8 "Financial Statements and Supplementary Data” under Note 11, Employee Benefit Plans, to the consolidated financial statements.</w:t>
      </w:r>
    </w:p>
    <w:p>
      <w:pPr>
        <w:spacing w:after="0" w:line="1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Off-Balance Sheet Obligations</w:t>
      </w:r>
    </w:p>
    <w:p>
      <w:pPr>
        <w:spacing w:after="0" w:line="92" w:lineRule="exact"/>
        <w:rPr>
          <w:sz w:val="20"/>
          <w:szCs w:val="20"/>
          <w:color w:val="auto"/>
        </w:rPr>
      </w:pPr>
    </w:p>
    <w:p>
      <w:pPr>
        <w:ind w:left="1" w:right="100"/>
        <w:spacing w:after="0" w:line="298" w:lineRule="auto"/>
        <w:rPr>
          <w:sz w:val="20"/>
          <w:szCs w:val="20"/>
          <w:color w:val="auto"/>
        </w:rPr>
      </w:pPr>
      <w:r>
        <w:rPr>
          <w:rFonts w:ascii="Times New Roman" w:cs="Times New Roman" w:eastAsia="Times New Roman" w:hAnsi="Times New Roman"/>
          <w:sz w:val="16"/>
          <w:szCs w:val="16"/>
          <w:color w:val="auto"/>
        </w:rPr>
        <w:t>We do not maintain off-balance sheet arrangements, transaction, obligations, or other relationships with unconsolidated entities except for those that are made in the normal course of our business and included in our commitments table presented above.</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Liquidity Outlook</w:t>
      </w:r>
    </w:p>
    <w:p>
      <w:pPr>
        <w:spacing w:after="0" w:line="92" w:lineRule="exact"/>
        <w:rPr>
          <w:sz w:val="20"/>
          <w:szCs w:val="20"/>
          <w:color w:val="auto"/>
        </w:rPr>
      </w:pPr>
    </w:p>
    <w:p>
      <w:pPr>
        <w:ind w:left="1" w:right="40"/>
        <w:spacing w:after="0" w:line="277" w:lineRule="auto"/>
        <w:rPr>
          <w:sz w:val="20"/>
          <w:szCs w:val="20"/>
          <w:color w:val="auto"/>
        </w:rPr>
      </w:pPr>
      <w:r>
        <w:rPr>
          <w:rFonts w:ascii="Times New Roman" w:cs="Times New Roman" w:eastAsia="Times New Roman" w:hAnsi="Times New Roman"/>
          <w:sz w:val="16"/>
          <w:szCs w:val="16"/>
          <w:color w:val="auto"/>
        </w:rPr>
        <w:t>Based on our current outlook, we believe that cash generated from operations and available cash, together with amounts available under our secured revolving credit facility, will be adequate to meet our working capital needs and capital expenditure requirements for the foreseeable future, although no assurance can be given in this regard. Additionally, we believe that we have access to the capital markets as needed to fund our liquidity needs.</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EFFECTS OF INFLATION AND DEFLATION</w:t>
      </w:r>
    </w:p>
    <w:p>
      <w:pPr>
        <w:spacing w:after="0" w:line="92" w:lineRule="exact"/>
        <w:rPr>
          <w:sz w:val="20"/>
          <w:szCs w:val="20"/>
          <w:color w:val="auto"/>
        </w:rPr>
      </w:pPr>
    </w:p>
    <w:p>
      <w:pPr>
        <w:jc w:val="both"/>
        <w:ind w:left="1" w:right="340"/>
        <w:spacing w:after="0" w:line="277" w:lineRule="auto"/>
        <w:rPr>
          <w:sz w:val="20"/>
          <w:szCs w:val="20"/>
          <w:color w:val="auto"/>
        </w:rPr>
      </w:pPr>
      <w:r>
        <w:rPr>
          <w:rFonts w:ascii="Times New Roman" w:cs="Times New Roman" w:eastAsia="Times New Roman" w:hAnsi="Times New Roman"/>
          <w:sz w:val="16"/>
          <w:szCs w:val="16"/>
          <w:color w:val="auto"/>
        </w:rPr>
        <w:t>We do not believe that inflation has had a significant effect on our net sales or our profitability. Substantial increases in product costs, however, could have a significant impact on our business and the industry in the future. Additionally, while deflation could positively impact our merchandise costs, it could have an adverse effect on our average unit retail price, resulting in lower sales and profitability.</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92" w:lineRule="exact"/>
        <w:rPr>
          <w:sz w:val="20"/>
          <w:szCs w:val="20"/>
          <w:color w:val="auto"/>
        </w:rPr>
      </w:pPr>
    </w:p>
    <w:p>
      <w:pPr>
        <w:jc w:val="both"/>
        <w:ind w:left="1"/>
        <w:spacing w:after="0" w:line="277" w:lineRule="auto"/>
        <w:rPr>
          <w:sz w:val="20"/>
          <w:szCs w:val="20"/>
          <w:color w:val="auto"/>
        </w:rPr>
      </w:pPr>
      <w:r>
        <w:rPr>
          <w:rFonts w:ascii="Times New Roman" w:cs="Times New Roman" w:eastAsia="Times New Roman" w:hAnsi="Times New Roman"/>
          <w:sz w:val="16"/>
          <w:szCs w:val="16"/>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92" w:lineRule="exact"/>
        <w:rPr>
          <w:sz w:val="20"/>
          <w:szCs w:val="20"/>
          <w:color w:val="auto"/>
        </w:rPr>
      </w:pPr>
    </w:p>
    <w:p>
      <w:pPr>
        <w:ind w:left="1" w:right="60"/>
        <w:spacing w:after="0" w:line="267"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421"/>
          </w:cols>
          <w:pgMar w:left="239" w:top="119" w:right="239" w:bottom="1440" w:gutter="0" w:footer="0" w:header="0"/>
        </w:sectPr>
      </w:pPr>
    </w:p>
    <w:bookmarkStart w:id="42" w:name="page43"/>
    <w:bookmarkEnd w:id="42"/>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8"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6"/>
          <w:szCs w:val="16"/>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 and Accounts Receivable Allowance</w:t>
      </w:r>
    </w:p>
    <w:p>
      <w:pPr>
        <w:spacing w:after="0" w:line="92"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At the beginning of fiscal 2018, the Company adopted the provisions of ASC No. 606, Revenue from Contracts with Customers, and all related amendments (“ASC 606”) using the full retrospective adoption method.</w:t>
      </w:r>
    </w:p>
    <w:p>
      <w:pPr>
        <w:spacing w:after="0" w:line="9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Our revenues, which are reported as Net sales, consist of sales to customers, net of returns, discounts, chargebacks, and cooperative advertising. We recognize revenue when (or as) the performance obligation is satisfied. Generally, the performance obligation is satisfied when we transfer control of the goods to the customer.</w:t>
      </w:r>
    </w:p>
    <w:p>
      <w:pPr>
        <w:spacing w:after="0" w:line="9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color w:val="auto"/>
        </w:rPr>
        <w:t>Our retail store revenues, also reported as Net sales, are recognized at the point of sale. Retail sales through our on-line channels are recognized at time of delivery to the customer. We recognize retail sales returns at the time of transaction by recording adjustments to both revenue and cost of goods sold. Additionally, we maintain an asset, representing the goods we expect to receive from the customer, and a liability for estimated sales returns. There are no accounts receivable associated with our retail customers.</w:t>
      </w:r>
    </w:p>
    <w:p>
      <w:pPr>
        <w:spacing w:after="0" w:line="1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Our accounts receivable reserves for wholesale customers include an allowance for doubtful accounts and an allowance for chargebacks. The allowance for doubtful accounts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Our credit and collections department reviews all other balances regularly. Account balances are charged off against the allowance when it is probable that the receivable will not be recovered. Provisions for the allowance for doubtful accounts are reflected in Selling, general and administrative expenses on our consolidated statement of operations and provisions for chargebacks are reflected as a reduction in Net sales on our consolidated statement of operations.</w:t>
      </w:r>
    </w:p>
    <w:p>
      <w:pPr>
        <w:spacing w:after="0" w:line="12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We record cooperative advertising arrangements with certain of our major wholesale customers at fair value. Fair value is determined based upon, among other factors, comparable market analysis for similar advertisements. We have included the fair value of these arrangements of approximately $3.0 million for fiscal 2018, $3.1 million for fiscal 2017, and $3.7 million for fiscal 2016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in very limited circumstances, we do not allow our wholesale customers to return goods to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Inventory</w:t>
      </w:r>
    </w:p>
    <w:p>
      <w:pPr>
        <w:spacing w:after="0" w:line="9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and Tradename</w:t>
      </w:r>
    </w:p>
    <w:p>
      <w:pPr>
        <w:spacing w:after="0" w:line="9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6"/>
          <w:szCs w:val="16"/>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Factors affecting such impairment reviews include the continued market acceptance of our current products and the development of new products. We use qualitative and quantitative methods to assess for impairment, including the use of discounted cash flows ("income approach") and relevant data from guideline public companies ("market approach").</w:t>
      </w:r>
    </w:p>
    <w:p>
      <w:pPr>
        <w:spacing w:after="0" w:line="1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We perform impairment tests of goodwill at the reporting unit level. A qualitative assessment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420"/>
          </w:cols>
          <w:pgMar w:left="240" w:top="119" w:right="239" w:bottom="1440" w:gutter="0" w:footer="0" w:header="0"/>
        </w:sectPr>
      </w:pPr>
    </w:p>
    <w:bookmarkStart w:id="43" w:name="page44"/>
    <w:bookmarkEnd w:id="43"/>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8"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that it is "more likely than not" that the fair value of a reporting unit is less than its carrying value, then a goodwill impairment test using quantitative assessments must be performed. If it is determined that it is "not likely" that the fair value of the reporting unit is less than its carrying value, then no further testing is required.</w:t>
      </w:r>
    </w:p>
    <w:p>
      <w:pPr>
        <w:spacing w:after="0" w:line="9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Under a quantitative assessment for goodwill, the first step is to compare the fair value of a reporting unit to its carrying value, including goodwill. We use discounted cash flow models to determine the fair value of a reporting unit. The assumptions used in these models are consistent with those we believe hypothetical marketplace participants would use. If the fair value of a reporting unit is less than its carrying value, the second step of the impairment test must be performed in order to determine the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the goodwill.</w:t>
      </w:r>
    </w:p>
    <w:p>
      <w:pPr>
        <w:spacing w:after="0" w:line="3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 tradename is considered impaired if the estimated fair value of the tradename is less than the carrying amount. Impairment reviews for an indefinite-lived tradename can be conducted using qualitative analysis, and if necessary, by a quantitative impairment test. If a tradename is considered impaired, we recognize a loss equal to the difference between the carrying amount and the estimated fair value of the tradename. The process of estimating the fair value of a tradename incorporates the relief-from-royalty method, which requires us to make assumptions and to apply judgment, including forecasting future cash flows and selecting appropriate discount and royalty rates.</w:t>
      </w:r>
    </w:p>
    <w:p>
      <w:pPr>
        <w:spacing w:after="0" w:line="1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Additionally, we are required to ensure that assumptions used to determine fair value in our analysis are consistent with the assumptions a hypothetical marketplace participant would use. As a result, the cost of capital and/or discount rates used in our analysis may increase or decrease based on market conditions and trends, regardless of whether our actual cost of capital has</w:t>
      </w:r>
    </w:p>
    <w:p>
      <w:pPr>
        <w:spacing w:after="0" w:line="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changed. Therefore, we may recognize an impairment of an intangible asset or assets even though realized actual cash flows are approximately equal to or greater than our previously forecast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upon our most recent assessment, performed as of December 29, 2018, there were no impairments in the values of goodwill or indefinite-lived tradename assets.</w:t>
      </w:r>
    </w:p>
    <w:p>
      <w:pPr>
        <w:spacing w:after="0" w:line="174" w:lineRule="exact"/>
        <w:rPr>
          <w:sz w:val="20"/>
          <w:szCs w:val="20"/>
          <w:color w:val="auto"/>
        </w:rPr>
      </w:pPr>
    </w:p>
    <w:p>
      <w:pPr>
        <w:jc w:val="both"/>
        <w:ind w:right="220"/>
        <w:spacing w:after="0" w:line="277" w:lineRule="auto"/>
        <w:rPr>
          <w:sz w:val="20"/>
          <w:szCs w:val="20"/>
          <w:color w:val="auto"/>
        </w:rPr>
      </w:pPr>
      <w:r>
        <w:rPr>
          <w:rFonts w:ascii="Times New Roman" w:cs="Times New Roman" w:eastAsia="Times New Roman" w:hAnsi="Times New Roman"/>
          <w:sz w:val="16"/>
          <w:szCs w:val="16"/>
          <w:color w:val="auto"/>
        </w:rPr>
        <w:t>The fair value of the Skip Hop tradename, which had a carrying value of $56.8 million as of December 29, 2018, only exceeded its carrying value by 14%. Although the Company determined that no impairment exists, the Company's indefinite-lived Skip Hop tradename asset is at risk of impairment if the Company is unable to achieve its future sales and earnings projections or if market conditions were to deteriorate.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Accrued Expenses</w:t>
      </w:r>
    </w:p>
    <w:p>
      <w:pPr>
        <w:spacing w:after="0" w:line="92"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6"/>
          <w:szCs w:val="16"/>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 Contingencies</w:t>
      </w:r>
    </w:p>
    <w:p>
      <w:pPr>
        <w:spacing w:after="0" w:line="9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Our assessment is developed in consultation with our internal and external counsel and other advisors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For Income Taxes</w:t>
      </w:r>
    </w:p>
    <w:p>
      <w:pPr>
        <w:spacing w:after="0" w:line="9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and penalties are also recognized.</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400"/>
          </w:cols>
          <w:pgMar w:left="240" w:top="119" w:right="259" w:bottom="1440" w:gutter="0" w:footer="0" w:header="0"/>
        </w:sectPr>
      </w:pPr>
    </w:p>
    <w:bookmarkStart w:id="44" w:name="page45"/>
    <w:bookmarkEnd w:id="44"/>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6"/>
          <w:szCs w:val="16"/>
          <w:color w:val="auto"/>
        </w:rPr>
        <w:t>We also assess permanent and temporary differences resulting from differing bases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For current and deferred tax provisions, ASC 740 requires entities to account for the effects of new income tax legislation in the same reporting period that the tax legislation is enacted. Changes to tax laws known as the U.S. Tax Cuts and Jobs Act of 2017 (the "2017 Tax Act") were enacted on December 22, 2017. SEC Staff Accounting Bulletin No. 118, </w:t>
      </w:r>
      <w:r>
        <w:rPr>
          <w:rFonts w:ascii="Times New Roman" w:cs="Times New Roman" w:eastAsia="Times New Roman" w:hAnsi="Times New Roman"/>
          <w:sz w:val="16"/>
          <w:szCs w:val="16"/>
          <w:i w:val="1"/>
          <w:iCs w:val="1"/>
          <w:color w:val="auto"/>
        </w:rPr>
        <w:t>Income Tax Accounting Implications of the Tax Cuts and Jobs Act</w:t>
      </w:r>
      <w:r>
        <w:rPr>
          <w:rFonts w:ascii="Times New Roman" w:cs="Times New Roman" w:eastAsia="Times New Roman" w:hAnsi="Times New Roman"/>
          <w:sz w:val="16"/>
          <w:szCs w:val="16"/>
          <w:color w:val="auto"/>
        </w:rPr>
        <w:t xml:space="preserve">, permitted the Company to calculate and recognize provisional tax estimates for the fourth quarter of fiscal 2017 related to the enactment of the 2017 Tax Act. The Company completed its assessment of the implications of the 2017 Tax Act in 2018. The adjustment to income tax expense recorded in 2018 was not material. Additional information is contained in Item 8 "Financial Statements and Supplementary Data” under Note 12,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to the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functional currency of substantially all of our foreign operations is the local currency.</w:t>
      </w:r>
    </w:p>
    <w:p>
      <w:pPr>
        <w:spacing w:after="0" w:line="17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6"/>
          <w:szCs w:val="16"/>
          <w:color w:val="auto"/>
        </w:rPr>
        <w:t>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stockholders’ equity.</w:t>
      </w:r>
    </w:p>
    <w:p>
      <w:pPr>
        <w:spacing w:after="0" w:line="11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Transaction gains and losses, such as those resulting from the settlement of nonfunctional currency receivables and payables, including intercompany balances, are included in foreign currency gain or loss in our consolidated statements of operations. Additionally, payable and receivable balances denominated in nonfunctional currencies are marked-to-market at the end of each reporting period, and the gain or loss is recognized in our consolidated statements of operations.</w:t>
      </w:r>
    </w:p>
    <w:p>
      <w:pPr>
        <w:spacing w:after="0" w:line="11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As part of our overall strategy to manage the level of exposure to the risk of foreign currency exchange rate fluctuations, primarily between the U.S. dollar and the currencies of Canada and Mexico, we may use foreign currency forward contracts to hedge purchases that are made in U.S. dollars, primarily for inventory purchases in our Canadian and Mexican businesses. As part of a hedging strategy, we may use foreign currency forward exchange contracts that typically have maturities of less than 12 months and provide continuing coverage throughout the hedging period. These contracts are not designated for hedge accounting treatment, and therefore changes in the fair value of these contracts are recorded in our consolidated statement of operations. Such foreign currency gains and losses include the mark-to-market fair value adjustments at the end of each reporting period related to any open contracts, as well as any realized gains and losses on contracts settled during the reporting period. Fair values for open contracts are calculated by using readily observable market inputs (market-quoted currency exchange rates), classified as Level 2 within the fair value hierarchy. At December 29, 2018, there were no unsettled foreign currency forward contracts.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Benefit Plans</w:t>
      </w:r>
    </w:p>
    <w:p>
      <w:pPr>
        <w:spacing w:after="0" w:line="9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The actuarial assumptions used may differ materially from actual results due to changing market and economic conditions. Actual results that differ from the actuarial assumptions are reflected as unrecognized gains and losses. Unrecognized gains and losses that exceed 10% of the greater of the plan’s projected benefit obligations or market value of assets are amortized to earnings over the estimated service life of the remaining plan participants.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future obligation under our pension plan not funded from investment returns on plan assets are expected to be funded from cash flows from operations.</w:t>
      </w:r>
    </w:p>
    <w:p>
      <w:pPr>
        <w:spacing w:after="0" w:line="17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 xml:space="preserve">The most significant assumption used to determine the Company's projected benefit obligation under its defined benefit plans is the discount rate. For further details on rates and assumptions, see Item 8 "Financial Statements and Supplementary Data” under Note 11, </w:t>
      </w:r>
      <w:r>
        <w:rPr>
          <w:rFonts w:ascii="Times New Roman" w:cs="Times New Roman" w:eastAsia="Times New Roman" w:hAnsi="Times New Roman"/>
          <w:sz w:val="16"/>
          <w:szCs w:val="16"/>
          <w:i w:val="1"/>
          <w:iCs w:val="1"/>
          <w:color w:val="auto"/>
        </w:rPr>
        <w:t>Employee Benefit Plans</w:t>
      </w:r>
      <w:r>
        <w:rPr>
          <w:rFonts w:ascii="Times New Roman" w:cs="Times New Roman" w:eastAsia="Times New Roman" w:hAnsi="Times New Roman"/>
          <w:sz w:val="16"/>
          <w:szCs w:val="16"/>
          <w:color w:val="auto"/>
        </w:rPr>
        <w:t>, to the consolidated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420"/>
          </w:cols>
          <w:pgMar w:left="240" w:top="119" w:right="239" w:bottom="1440" w:gutter="0" w:footer="0" w:header="0"/>
        </w:sectPr>
      </w:pPr>
    </w:p>
    <w:bookmarkStart w:id="45" w:name="page46"/>
    <w:bookmarkEnd w:id="45"/>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 Arrangements</w:t>
      </w:r>
    </w:p>
    <w:p>
      <w:pPr>
        <w:spacing w:after="0" w:line="9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We account for the cost resulting from stock-based compensation arrangements at grant date fair value, utilizing the Black-Scholes option pricing model, which requires the use of subjective assumptions. These assumptions include the following:</w:t>
      </w:r>
    </w:p>
    <w:p>
      <w:pPr>
        <w:spacing w:after="0" w:line="13" w:lineRule="exact"/>
        <w:rPr>
          <w:sz w:val="20"/>
          <w:szCs w:val="20"/>
          <w:color w:val="auto"/>
        </w:rPr>
      </w:pPr>
    </w:p>
    <w:p>
      <w:pPr>
        <w:ind w:left="880" w:hanging="585"/>
        <w:spacing w:after="0" w:line="277" w:lineRule="auto"/>
        <w:tabs>
          <w:tab w:leader="none" w:pos="5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 This is a measure of the amount by which a stock price has fluctuated or is expected to fluctuate. We use actual monthly historical changes in the market value of our stock covering the expected life of stock options being valued. An increase in the expected volatility will increase the fair value of the stock option and related compensation expense.</w:t>
      </w:r>
    </w:p>
    <w:p>
      <w:pPr>
        <w:spacing w:after="0" w:line="116" w:lineRule="exact"/>
        <w:rPr>
          <w:rFonts w:ascii="Times New Roman" w:cs="Times New Roman" w:eastAsia="Times New Roman" w:hAnsi="Times New Roman"/>
          <w:sz w:val="16"/>
          <w:szCs w:val="16"/>
          <w:color w:val="auto"/>
        </w:rPr>
      </w:pPr>
    </w:p>
    <w:p>
      <w:pPr>
        <w:ind w:left="880" w:right="140" w:hanging="585"/>
        <w:spacing w:after="0" w:line="298" w:lineRule="auto"/>
        <w:tabs>
          <w:tab w:leader="none" w:pos="5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This is the U.S. Treasury rate as of the grant date having a term equal to the expected term of the stock option. An increase in the risk-free interest rate will increase the fair value of the stock option and related compensation expense.</w:t>
      </w:r>
    </w:p>
    <w:p>
      <w:pPr>
        <w:spacing w:after="0" w:line="99" w:lineRule="exact"/>
        <w:rPr>
          <w:rFonts w:ascii="Times New Roman" w:cs="Times New Roman" w:eastAsia="Times New Roman" w:hAnsi="Times New Roman"/>
          <w:sz w:val="16"/>
          <w:szCs w:val="16"/>
          <w:color w:val="auto"/>
        </w:rPr>
      </w:pPr>
    </w:p>
    <w:p>
      <w:pPr>
        <w:ind w:left="880" w:right="500" w:hanging="585"/>
        <w:spacing w:after="0" w:line="277" w:lineRule="auto"/>
        <w:tabs>
          <w:tab w:leader="none" w:pos="5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term – This is the period of time over which the stock options granted are expected to remain outstanding and is based on historical experience and estimated future exercise behavior. Separate groups of employees that have similar historical exercise behavior are considered separately for valuation purposes. An increase in the expected term will increase the fair value of the stock option and related compensation expense.</w:t>
      </w:r>
    </w:p>
    <w:p>
      <w:pPr>
        <w:spacing w:after="0" w:line="116" w:lineRule="exact"/>
        <w:rPr>
          <w:rFonts w:ascii="Times New Roman" w:cs="Times New Roman" w:eastAsia="Times New Roman" w:hAnsi="Times New Roman"/>
          <w:sz w:val="16"/>
          <w:szCs w:val="16"/>
          <w:color w:val="auto"/>
        </w:rPr>
      </w:pPr>
    </w:p>
    <w:p>
      <w:pPr>
        <w:ind w:left="880" w:right="240" w:hanging="585"/>
        <w:spacing w:after="0" w:line="298" w:lineRule="auto"/>
        <w:tabs>
          <w:tab w:leader="none" w:pos="5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We estimate a dividend yield based on the current dividend amount as a percentage of our current stock price. An increase in the dividend yield will decrease the fair value of the stock option and related stock-based compensation expense.</w:t>
      </w:r>
    </w:p>
    <w:p>
      <w:pPr>
        <w:spacing w:after="0" w:line="99"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Forfeitures – We estimate forfeitures of stock-based awards based on historical experience and expected future activity.</w:t>
      </w:r>
    </w:p>
    <w:p>
      <w:pPr>
        <w:spacing w:after="0" w:line="17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9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117"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6"/>
          <w:szCs w:val="16"/>
          <w:color w:val="auto"/>
        </w:rPr>
        <w:t>During the requisite service period, we recognize a deferred income tax benefit for the expense recognized for U.S. GAAP. At time of subsequent vesting, exercise, forfeiture, or expiration of an award, the difference between our actual income tax deduction, if any, and the previously accrued income tax benefit is recognized in our income tax expense/benefit during the current period.</w:t>
      </w:r>
    </w:p>
    <w:p>
      <w:pPr>
        <w:spacing w:after="0" w:line="310" w:lineRule="exact"/>
        <w:rPr>
          <w:sz w:val="20"/>
          <w:szCs w:val="20"/>
          <w:color w:val="auto"/>
        </w:rPr>
      </w:pPr>
    </w:p>
    <w:p>
      <w:pPr>
        <w:ind w:right="4620"/>
        <w:spacing w:after="0" w:line="357" w:lineRule="auto"/>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 Currency and Interest Rate Risks</w:t>
      </w:r>
    </w:p>
    <w:p>
      <w:pPr>
        <w:ind w:right="140"/>
        <w:spacing w:after="0" w:line="298" w:lineRule="auto"/>
        <w:rPr>
          <w:sz w:val="20"/>
          <w:szCs w:val="20"/>
          <w:color w:val="auto"/>
        </w:rPr>
      </w:pPr>
      <w:r>
        <w:rPr>
          <w:rFonts w:ascii="Times New Roman" w:cs="Times New Roman" w:eastAsia="Times New Roman" w:hAnsi="Times New Roman"/>
          <w:sz w:val="16"/>
          <w:szCs w:val="16"/>
          <w:color w:val="auto"/>
        </w:rPr>
        <w:t>In the operation of our business, we have market risk exposures including those related to foreign currency risk and interest rates. These risks, and our strategies to manage our exposure to them, are discussed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6"/>
          <w:szCs w:val="16"/>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 S. dollar and the local currencies of these contractors. Due to the number of currencies involved, we cannot quantify the potential impact that future currency fluctuations may have on our results of operations in future periods.</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foreign subsidiaries typically record sales denominated in currencies other than the U.S. dollar, which are then translated into U.S. dollars using weighted-average exchange rates. The changes in foreign currency exchange rates in fiscal 2018, compared to fiscal 2017, negatively affected our International segment's net sales by approximately $2.6 million.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420"/>
          </w:cols>
          <w:pgMar w:left="240" w:top="119" w:right="239" w:bottom="1440" w:gutter="0" w:footer="0" w:header="0"/>
        </w:sectPr>
      </w:pPr>
    </w:p>
    <w:bookmarkStart w:id="46" w:name="page47"/>
    <w:bookmarkEnd w:id="46"/>
    <w:p>
      <w:pPr>
        <w:ind w:right="20"/>
        <w:spacing w:after="0" w:line="275" w:lineRule="auto"/>
        <w:rPr>
          <w:sz w:val="20"/>
          <w:szCs w:val="20"/>
          <w:color w:val="auto"/>
        </w:rPr>
      </w:pPr>
      <w:r>
        <w:rPr>
          <w:rFonts w:ascii="Times New Roman" w:cs="Times New Roman" w:eastAsia="Times New Roman" w:hAnsi="Times New Roman"/>
          <w:sz w:val="16"/>
          <w:szCs w:val="16"/>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noncurrent intercompany loans with foreign subsidiaries that are marked to market. In our statement of operations, these gains and losses are recorded within other expense, net.</w:t>
      </w:r>
    </w:p>
    <w:p>
      <w:pPr>
        <w:spacing w:after="0" w:line="3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As part of our overall strategy to manage the level of exposure to the risk of foreign currency exchange rate fluctuations, primarily between the U.S. dollar and currencies of Canada and Mexico, we may use foreign currency forward contracts to hedge purchases that are made in U.S. dollars, primarily for inventory purchases for our Canadian and Mexican operations. As part of this hedging strategy, we have used foreign currency forward exchange contracts with maturities of less than 12 months to provide coverage throughout the hedging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Our operating results are subject to risk from interest rate fluctuations on our amended revolving credit facility, which carries variable interest rates. Weighted-average variable rate borrowings for the fiscal year ended December 29, 2018 were $286.9 million. An increase or decrease of 1% in the effective interest rate on that amount would have increased or decreased our annual pretax interest cost for fiscal 2018 by approximately $2.9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Risks</w:t>
      </w:r>
    </w:p>
    <w:p>
      <w:pPr>
        <w:spacing w:after="0" w:line="92"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360"/>
          </w:cols>
          <w:pgMar w:left="240" w:top="345"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1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00" w:lineRule="exact"/>
        <w:rPr>
          <w:sz w:val="20"/>
          <w:szCs w:val="20"/>
          <w:color w:val="auto"/>
        </w:rPr>
      </w:pPr>
    </w:p>
    <w:p>
      <w:pPr>
        <w:spacing w:after="0" w:line="355"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4"/>
          </w:tcPr>
          <w:p>
            <w:pPr>
              <w:jc w:val="center"/>
              <w:ind w:left="178"/>
              <w:spacing w:after="0"/>
              <w:rPr>
                <w:sz w:val="20"/>
                <w:szCs w:val="20"/>
                <w:color w:val="auto"/>
              </w:rPr>
            </w:pPr>
            <w:r>
              <w:rPr>
                <w:rFonts w:ascii="Times New Roman" w:cs="Times New Roman" w:eastAsia="Times New Roman" w:hAnsi="Times New Roman"/>
                <w:sz w:val="16"/>
                <w:szCs w:val="16"/>
                <w:color w:val="auto"/>
              </w:rPr>
              <w:t>Page</w:t>
            </w:r>
          </w:p>
        </w:tc>
      </w:tr>
      <w:tr>
        <w:trPr>
          <w:trHeight w:val="227"/>
        </w:trPr>
        <w:tc>
          <w:tcPr>
            <w:tcW w:w="8420" w:type="dxa"/>
            <w:vAlign w:val="bottom"/>
            <w:gridSpan w:val="11"/>
          </w:tcPr>
          <w:p>
            <w:pPr>
              <w:spacing w:after="0"/>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Report of Independent Registered Public Accounting Firm</w:t>
              </w:r>
            </w:hyperlink>
          </w:p>
        </w:tc>
        <w:tc>
          <w:tcPr>
            <w:tcW w:w="260" w:type="dxa"/>
            <w:vAlign w:val="bottom"/>
          </w:tcPr>
          <w:p>
            <w:pPr>
              <w:spacing w:after="0"/>
              <w:rPr>
                <w:sz w:val="19"/>
                <w:szCs w:val="19"/>
                <w:color w:val="auto"/>
              </w:rPr>
            </w:pPr>
          </w:p>
        </w:tc>
        <w:tc>
          <w:tcPr>
            <w:tcW w:w="320" w:type="dxa"/>
            <w:vAlign w:val="bottom"/>
            <w:tcBorders>
              <w:top w:val="single" w:sz="8" w:color="auto"/>
            </w:tcBorders>
            <w:gridSpan w:val="3"/>
          </w:tcPr>
          <w:p>
            <w:pPr>
              <w:jc w:val="center"/>
              <w:spacing w:after="0"/>
              <w:rPr>
                <w:rFonts w:ascii="Times New Roman" w:cs="Times New Roman" w:eastAsia="Times New Roman" w:hAnsi="Times New Roman"/>
                <w:sz w:val="16"/>
                <w:szCs w:val="16"/>
                <w:color w:val="0000FF"/>
                <w:w w:val="99"/>
              </w:rPr>
            </w:pPr>
            <w:hyperlink w:anchor="page49">
              <w:r>
                <w:rPr>
                  <w:rFonts w:ascii="Times New Roman" w:cs="Times New Roman" w:eastAsia="Times New Roman" w:hAnsi="Times New Roman"/>
                  <w:sz w:val="16"/>
                  <w:szCs w:val="16"/>
                  <w:color w:val="0000FF"/>
                  <w:w w:val="99"/>
                </w:rPr>
                <w:t>46</w:t>
              </w:r>
            </w:hyperlink>
          </w:p>
        </w:tc>
      </w:tr>
      <w:tr>
        <w:trPr>
          <w:trHeight w:val="20"/>
        </w:trPr>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84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Balance Sheets at December 29, 2018 and December 30, 2017</w:t>
            </w:r>
          </w:p>
        </w:tc>
        <w:tc>
          <w:tcPr>
            <w:tcW w:w="580" w:type="dxa"/>
            <w:vAlign w:val="bottom"/>
            <w:gridSpan w:val="4"/>
          </w:tcPr>
          <w:p>
            <w:pPr>
              <w:jc w:val="center"/>
              <w:ind w:left="178"/>
              <w:spacing w:after="0"/>
              <w:rPr>
                <w:rFonts w:ascii="Times New Roman" w:cs="Times New Roman" w:eastAsia="Times New Roman" w:hAnsi="Times New Roman"/>
                <w:sz w:val="16"/>
                <w:szCs w:val="16"/>
                <w:color w:val="0000FF"/>
                <w:w w:val="99"/>
              </w:rPr>
            </w:pPr>
            <w:hyperlink w:anchor="page51">
              <w:r>
                <w:rPr>
                  <w:rFonts w:ascii="Times New Roman" w:cs="Times New Roman" w:eastAsia="Times New Roman" w:hAnsi="Times New Roman"/>
                  <w:sz w:val="16"/>
                  <w:szCs w:val="16"/>
                  <w:color w:val="0000FF"/>
                  <w:w w:val="99"/>
                </w:rPr>
                <w:t>48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84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the fiscal years ended December 29, 2018, December 30, 2017, and December</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8"/>
        </w:trPr>
        <w:tc>
          <w:tcPr>
            <w:tcW w:w="580" w:type="dxa"/>
            <w:vAlign w:val="bottom"/>
            <w:tcBorders>
              <w:top w:val="single" w:sz="8" w:color="0000FF"/>
            </w:tcBorders>
          </w:tcPr>
          <w:p>
            <w:pPr>
              <w:spacing w:after="0" w:line="178" w:lineRule="exact"/>
              <w:rPr>
                <w:sz w:val="20"/>
                <w:szCs w:val="20"/>
                <w:color w:val="auto"/>
              </w:rPr>
            </w:pPr>
            <w:r>
              <w:rPr>
                <w:rFonts w:ascii="Times New Roman" w:cs="Times New Roman" w:eastAsia="Times New Roman" w:hAnsi="Times New Roman"/>
                <w:sz w:val="16"/>
                <w:szCs w:val="16"/>
                <w:color w:val="0000FF"/>
                <w:w w:val="99"/>
              </w:rPr>
              <w:t>31, 2016</w:t>
            </w:r>
          </w:p>
        </w:tc>
        <w:tc>
          <w:tcPr>
            <w:tcW w:w="72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30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4"/>
          </w:tcPr>
          <w:p>
            <w:pPr>
              <w:jc w:val="center"/>
              <w:ind w:left="178"/>
              <w:spacing w:after="0" w:line="178" w:lineRule="exact"/>
              <w:rPr>
                <w:rFonts w:ascii="Times New Roman" w:cs="Times New Roman" w:eastAsia="Times New Roman" w:hAnsi="Times New Roman"/>
                <w:sz w:val="16"/>
                <w:szCs w:val="16"/>
                <w:color w:val="0000FF"/>
                <w:w w:val="99"/>
              </w:rPr>
            </w:pPr>
            <w:hyperlink w:anchor="page52">
              <w:r>
                <w:rPr>
                  <w:rFonts w:ascii="Times New Roman" w:cs="Times New Roman" w:eastAsia="Times New Roman" w:hAnsi="Times New Roman"/>
                  <w:sz w:val="16"/>
                  <w:szCs w:val="16"/>
                  <w:color w:val="0000FF"/>
                  <w:w w:val="99"/>
                </w:rPr>
                <w:t>49</w:t>
              </w:r>
            </w:hyperlink>
          </w:p>
        </w:tc>
      </w:tr>
      <w:tr>
        <w:trPr>
          <w:trHeight w:val="20"/>
        </w:trPr>
        <w:tc>
          <w:tcPr>
            <w:tcW w:w="5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8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fiscal years ended December 29, 2018, December 30, 2017, and</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8"/>
        </w:trPr>
        <w:tc>
          <w:tcPr>
            <w:tcW w:w="8420" w:type="dxa"/>
            <w:vAlign w:val="bottom"/>
            <w:gridSpan w:val="11"/>
          </w:tcPr>
          <w:p>
            <w:pPr>
              <w:spacing w:after="0" w:line="178" w:lineRule="exact"/>
              <w:rPr>
                <w:sz w:val="20"/>
                <w:szCs w:val="20"/>
                <w:color w:val="auto"/>
              </w:rPr>
            </w:pPr>
            <w:r>
              <w:rPr>
                <w:rFonts w:ascii="Times New Roman" w:cs="Times New Roman" w:eastAsia="Times New Roman" w:hAnsi="Times New Roman"/>
                <w:sz w:val="16"/>
                <w:szCs w:val="16"/>
                <w:color w:val="0000FF"/>
              </w:rPr>
              <w:t>December 31, 2016</w:t>
            </w:r>
          </w:p>
        </w:tc>
        <w:tc>
          <w:tcPr>
            <w:tcW w:w="580" w:type="dxa"/>
            <w:vAlign w:val="bottom"/>
            <w:gridSpan w:val="4"/>
          </w:tcPr>
          <w:p>
            <w:pPr>
              <w:jc w:val="center"/>
              <w:ind w:left="178"/>
              <w:spacing w:after="0" w:line="178" w:lineRule="exact"/>
              <w:rPr>
                <w:rFonts w:ascii="Times New Roman" w:cs="Times New Roman" w:eastAsia="Times New Roman" w:hAnsi="Times New Roman"/>
                <w:sz w:val="16"/>
                <w:szCs w:val="16"/>
                <w:color w:val="0000FF"/>
                <w:w w:val="99"/>
              </w:rPr>
            </w:pPr>
            <w:hyperlink w:anchor="page53">
              <w:r>
                <w:rPr>
                  <w:rFonts w:ascii="Times New Roman" w:cs="Times New Roman" w:eastAsia="Times New Roman" w:hAnsi="Times New Roman"/>
                  <w:sz w:val="16"/>
                  <w:szCs w:val="16"/>
                  <w:color w:val="0000FF"/>
                  <w:w w:val="99"/>
                </w:rPr>
                <w:t>50</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84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fiscal years ended December 29, 2018, December 30, 2017, and December</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8"/>
        </w:trPr>
        <w:tc>
          <w:tcPr>
            <w:tcW w:w="580" w:type="dxa"/>
            <w:vAlign w:val="bottom"/>
            <w:tcBorders>
              <w:top w:val="single" w:sz="8" w:color="0000FF"/>
            </w:tcBorders>
          </w:tcPr>
          <w:p>
            <w:pPr>
              <w:spacing w:after="0" w:line="178" w:lineRule="exact"/>
              <w:rPr>
                <w:sz w:val="20"/>
                <w:szCs w:val="20"/>
                <w:color w:val="auto"/>
              </w:rPr>
            </w:pPr>
            <w:r>
              <w:rPr>
                <w:rFonts w:ascii="Times New Roman" w:cs="Times New Roman" w:eastAsia="Times New Roman" w:hAnsi="Times New Roman"/>
                <w:sz w:val="16"/>
                <w:szCs w:val="16"/>
                <w:color w:val="0000FF"/>
                <w:w w:val="99"/>
              </w:rPr>
              <w:t>31, 2016</w:t>
            </w:r>
          </w:p>
        </w:tc>
        <w:tc>
          <w:tcPr>
            <w:tcW w:w="72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30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4"/>
          </w:tcPr>
          <w:p>
            <w:pPr>
              <w:jc w:val="center"/>
              <w:ind w:left="178"/>
              <w:spacing w:after="0" w:line="178" w:lineRule="exact"/>
              <w:rPr>
                <w:rFonts w:ascii="Times New Roman" w:cs="Times New Roman" w:eastAsia="Times New Roman" w:hAnsi="Times New Roman"/>
                <w:sz w:val="16"/>
                <w:szCs w:val="16"/>
                <w:color w:val="0000FF"/>
                <w:w w:val="99"/>
              </w:rPr>
            </w:pPr>
            <w:hyperlink w:anchor="page54">
              <w:r>
                <w:rPr>
                  <w:rFonts w:ascii="Times New Roman" w:cs="Times New Roman" w:eastAsia="Times New Roman" w:hAnsi="Times New Roman"/>
                  <w:sz w:val="16"/>
                  <w:szCs w:val="16"/>
                  <w:color w:val="0000FF"/>
                  <w:w w:val="99"/>
                </w:rPr>
                <w:t>51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84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for the fiscal years ended December 29, 2018, December 30,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8"/>
        </w:trPr>
        <w:tc>
          <w:tcPr>
            <w:tcW w:w="2000" w:type="dxa"/>
            <w:vAlign w:val="bottom"/>
            <w:tcBorders>
              <w:top w:val="single" w:sz="8" w:color="0000FF"/>
            </w:tcBorders>
            <w:gridSpan w:val="3"/>
          </w:tcPr>
          <w:p>
            <w:pPr>
              <w:spacing w:after="0" w:line="178" w:lineRule="exact"/>
              <w:rPr>
                <w:sz w:val="20"/>
                <w:szCs w:val="20"/>
                <w:color w:val="auto"/>
              </w:rPr>
            </w:pPr>
            <w:r>
              <w:rPr>
                <w:rFonts w:ascii="Times New Roman" w:cs="Times New Roman" w:eastAsia="Times New Roman" w:hAnsi="Times New Roman"/>
                <w:sz w:val="16"/>
                <w:szCs w:val="16"/>
                <w:color w:val="0000FF"/>
              </w:rPr>
              <w:t>2017, and December 31, 2016</w:t>
            </w:r>
          </w:p>
        </w:tc>
        <w:tc>
          <w:tcPr>
            <w:tcW w:w="6040" w:type="dxa"/>
            <w:vAlign w:val="bottom"/>
            <w:tcBorders>
              <w:top w:val="single" w:sz="8" w:color="0000FF"/>
            </w:tcBorders>
            <w:gridSpan w:val="5"/>
          </w:tcPr>
          <w:p>
            <w:pPr>
              <w:spacing w:after="0"/>
              <w:rPr>
                <w:sz w:val="15"/>
                <w:szCs w:val="15"/>
                <w:color w:val="auto"/>
              </w:rPr>
            </w:pPr>
          </w:p>
        </w:tc>
        <w:tc>
          <w:tcPr>
            <w:tcW w:w="380" w:type="dxa"/>
            <w:vAlign w:val="bottom"/>
            <w:gridSpan w:val="3"/>
          </w:tcPr>
          <w:p>
            <w:pPr>
              <w:spacing w:after="0"/>
              <w:rPr>
                <w:sz w:val="15"/>
                <w:szCs w:val="15"/>
                <w:color w:val="auto"/>
              </w:rPr>
            </w:pPr>
          </w:p>
        </w:tc>
        <w:tc>
          <w:tcPr>
            <w:tcW w:w="580" w:type="dxa"/>
            <w:vAlign w:val="bottom"/>
            <w:gridSpan w:val="4"/>
          </w:tcPr>
          <w:p>
            <w:pPr>
              <w:jc w:val="center"/>
              <w:ind w:left="178"/>
              <w:spacing w:after="0" w:line="178" w:lineRule="exact"/>
              <w:rPr>
                <w:rFonts w:ascii="Times New Roman" w:cs="Times New Roman" w:eastAsia="Times New Roman" w:hAnsi="Times New Roman"/>
                <w:sz w:val="16"/>
                <w:szCs w:val="16"/>
                <w:color w:val="0000FF"/>
                <w:w w:val="99"/>
              </w:rPr>
            </w:pPr>
            <w:hyperlink w:anchor="page55">
              <w:r>
                <w:rPr>
                  <w:rFonts w:ascii="Times New Roman" w:cs="Times New Roman" w:eastAsia="Times New Roman" w:hAnsi="Times New Roman"/>
                  <w:sz w:val="16"/>
                  <w:szCs w:val="16"/>
                  <w:color w:val="0000FF"/>
                  <w:w w:val="99"/>
                </w:rPr>
                <w:t>52</w:t>
              </w:r>
            </w:hyperlink>
          </w:p>
        </w:tc>
      </w:tr>
      <w:tr>
        <w:trPr>
          <w:trHeight w:val="20"/>
        </w:trPr>
        <w:tc>
          <w:tcPr>
            <w:tcW w:w="200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8420" w:type="dxa"/>
            <w:vAlign w:val="bottom"/>
            <w:gridSpan w:val="11"/>
          </w:tcPr>
          <w:p>
            <w:pPr>
              <w:spacing w:after="0"/>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Notes to Consolidated Financial Statements</w:t>
              </w:r>
            </w:hyperlink>
          </w:p>
        </w:tc>
        <w:tc>
          <w:tcPr>
            <w:tcW w:w="580" w:type="dxa"/>
            <w:vAlign w:val="bottom"/>
            <w:gridSpan w:val="4"/>
          </w:tcPr>
          <w:p>
            <w:pPr>
              <w:jc w:val="center"/>
              <w:ind w:left="178"/>
              <w:spacing w:after="0"/>
              <w:rPr>
                <w:rFonts w:ascii="Times New Roman" w:cs="Times New Roman" w:eastAsia="Times New Roman" w:hAnsi="Times New Roman"/>
                <w:sz w:val="16"/>
                <w:szCs w:val="16"/>
                <w:color w:val="0000FF"/>
                <w:w w:val="99"/>
              </w:rPr>
            </w:pPr>
            <w:hyperlink w:anchor="page56">
              <w:r>
                <w:rPr>
                  <w:rFonts w:ascii="Times New Roman" w:cs="Times New Roman" w:eastAsia="Times New Roman" w:hAnsi="Times New Roman"/>
                  <w:sz w:val="16"/>
                  <w:szCs w:val="16"/>
                  <w:color w:val="0000FF"/>
                  <w:w w:val="99"/>
                </w:rPr>
                <w:t>53</w:t>
              </w:r>
            </w:hyperlink>
          </w:p>
        </w:tc>
      </w:tr>
      <w:tr>
        <w:trPr>
          <w:trHeight w:val="20"/>
        </w:trPr>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219"/>
          </w:cols>
          <w:pgMar w:left="240" w:top="453"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 Carter’s,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21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balance sheets of Carter’s, Inc. and its subsidiaries (the “Company”) as of December 29, 2018 and December 30, 2017, and the related consolidated statements of operations, comprehensive income, cash flows, and changes in stockholders’ equity for each of the three years in the period ended December 29, 2018, including the related notes (collectively referred to as the “consolidated financial statements”). We also have audited the Company's internal control over financial reporting as of December 29, 2018,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w:t>
      </w:r>
    </w:p>
    <w:p>
      <w:pPr>
        <w:spacing w:after="0" w:line="16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 xml:space="preserve">In our opinion, the consolidated financial statements referred to above present fairly, in all material respects, the financial position of the Company as of December 29, 2018 and December 30, 2017, and the results of their operations and their cash flows for each of the three years in the period ended December 29, 2018 in conformity with accounting principles generally accepted in the United States of America. Also in our opinion, the Company maintained, in all material respects, effective internal control over financial reporting as of December 29, 2018,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COSO.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21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61"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21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420"/>
          </w:cols>
          <w:pgMar w:left="240" w:top="539" w:right="239" w:bottom="1440" w:gutter="0" w:footer="0" w:header="0"/>
        </w:sectPr>
      </w:pPr>
    </w:p>
    <w:bookmarkStart w:id="49" w:name="page50"/>
    <w:bookmarkEnd w:id="49"/>
    <w:p>
      <w:pPr>
        <w:jc w:val="both"/>
        <w:spacing w:after="0" w:line="27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Georgia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25, 2019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at least 1968.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340"/>
          </w:cols>
          <w:pgMar w:left="240" w:top="741"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i w:val="1"/>
          <w:iCs w:val="1"/>
          <w:color w:val="auto"/>
        </w:rPr>
        <w:t>(dollars in thousands, except for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40" w:type="dxa"/>
            <w:vAlign w:val="bottom"/>
          </w:tcPr>
          <w:p>
            <w:pPr>
              <w:spacing w:after="0"/>
              <w:rPr>
                <w:sz w:val="17"/>
                <w:szCs w:val="17"/>
                <w:color w:val="auto"/>
              </w:rPr>
            </w:pPr>
          </w:p>
        </w:tc>
        <w:tc>
          <w:tcPr>
            <w:tcW w:w="1680" w:type="dxa"/>
            <w:vAlign w:val="bottom"/>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05"/>
        </w:trPr>
        <w:tc>
          <w:tcPr>
            <w:tcW w:w="7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3"/>
        </w:trPr>
        <w:tc>
          <w:tcPr>
            <w:tcW w:w="7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27"/>
        </w:trPr>
        <w:tc>
          <w:tcPr>
            <w:tcW w:w="7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170,077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178,494</w:t>
            </w:r>
          </w:p>
        </w:tc>
      </w:tr>
      <w:tr>
        <w:trPr>
          <w:trHeight w:val="217"/>
        </w:trPr>
        <w:tc>
          <w:tcPr>
            <w:tcW w:w="7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receivable, net</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258,259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240,561</w:t>
            </w:r>
          </w:p>
        </w:tc>
      </w:tr>
      <w:tr>
        <w:trPr>
          <w:trHeight w:val="30"/>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7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Finished goods inventories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574,226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548,722</w:t>
            </w:r>
          </w:p>
        </w:tc>
      </w:tr>
      <w:tr>
        <w:trPr>
          <w:trHeight w:val="217"/>
        </w:trPr>
        <w:tc>
          <w:tcPr>
            <w:tcW w:w="7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40,396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52,935</w:t>
            </w:r>
          </w:p>
        </w:tc>
      </w:tr>
      <w:tr>
        <w:trPr>
          <w:trHeight w:val="30"/>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7"/>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1,042,958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1,020,712</w:t>
            </w:r>
          </w:p>
        </w:tc>
      </w:tr>
      <w:tr>
        <w:trPr>
          <w:trHeight w:val="217"/>
        </w:trPr>
        <w:tc>
          <w:tcPr>
            <w:tcW w:w="7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350,437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377,924</w:t>
            </w:r>
          </w:p>
        </w:tc>
      </w:tr>
      <w:tr>
        <w:trPr>
          <w:trHeight w:val="30"/>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Tradenames, net</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365,692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365,551</w:t>
            </w:r>
          </w:p>
        </w:tc>
      </w:tr>
      <w:tr>
        <w:trPr>
          <w:trHeight w:val="217"/>
        </w:trPr>
        <w:tc>
          <w:tcPr>
            <w:tcW w:w="7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227,101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230,424</w:t>
            </w:r>
          </w:p>
        </w:tc>
      </w:tr>
      <w:tr>
        <w:trPr>
          <w:trHeight w:val="30"/>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relationships, net</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44,511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47,996</w:t>
            </w:r>
          </w:p>
        </w:tc>
      </w:tr>
      <w:tr>
        <w:trPr>
          <w:trHeight w:val="217"/>
        </w:trPr>
        <w:tc>
          <w:tcPr>
            <w:tcW w:w="7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28,435</w:t>
            </w:r>
          </w:p>
        </w:tc>
      </w:tr>
      <w:tr>
        <w:trPr>
          <w:trHeight w:val="30"/>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2"/>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Total assets</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2,058,858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2,071,042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58050" cy="156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156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58050" cy="156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156845"/>
                    </a:xfrm>
                    <a:prstGeom prst="rect">
                      <a:avLst/>
                    </a:prstGeom>
                    <a:noFill/>
                  </pic:spPr>
                </pic:pic>
              </a:graphicData>
            </a:graphic>
          </wp:anchor>
        </w:drawing>
      </w:r>
    </w:p>
    <w:p>
      <w:pPr>
        <w:spacing w:after="0" w:line="55" w:lineRule="exact"/>
        <w:rPr>
          <w:sz w:val="20"/>
          <w:szCs w:val="20"/>
          <w:color w:val="auto"/>
        </w:rPr>
      </w:pPr>
    </w:p>
    <w:p>
      <w:pPr>
        <w:ind w:left="80"/>
        <w:spacing w:after="0"/>
        <w:tabs>
          <w:tab w:leader="none" w:pos="7440" w:val="left"/>
        </w:tabs>
        <w:rPr>
          <w:sz w:val="20"/>
          <w:szCs w:val="20"/>
          <w:color w:val="auto"/>
        </w:rPr>
      </w:pPr>
      <w:r>
        <w:rPr>
          <w:rFonts w:ascii="Times New Roman" w:cs="Times New Roman" w:eastAsia="Times New Roman" w:hAnsi="Times New Roman"/>
          <w:sz w:val="15"/>
          <w:szCs w:val="15"/>
          <w:color w:val="auto"/>
        </w:rPr>
        <w:t>Accounts payable</w:t>
      </w:r>
      <w:r>
        <w:rPr>
          <w:sz w:val="20"/>
          <w:szCs w:val="20"/>
          <w:color w:val="auto"/>
        </w:rPr>
        <w:tab/>
      </w:r>
      <w:r>
        <w:rPr>
          <w:rFonts w:ascii="Times New Roman" w:cs="Times New Roman" w:eastAsia="Times New Roman" w:hAnsi="Times New Roman"/>
          <w:sz w:val="15"/>
          <w:szCs w:val="15"/>
          <w:color w:val="auto"/>
        </w:rPr>
        <w:t>$</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58050" cy="156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156845"/>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258050" cy="156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156845"/>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Long-term debt, net</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58050" cy="156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15684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58050" cy="125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Commitments and contingencies -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58050" cy="125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58050" cy="266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66700"/>
                    </a:xfrm>
                    <a:prstGeom prst="rect">
                      <a:avLst/>
                    </a:prstGeom>
                    <a:noFill/>
                  </pic:spPr>
                </pic:pic>
              </a:graphicData>
            </a:graphic>
          </wp:anchor>
        </w:drawing>
      </w:r>
    </w:p>
    <w:p>
      <w:pPr>
        <w:spacing w:after="0" w:line="55" w:lineRule="exact"/>
        <w:rPr>
          <w:sz w:val="20"/>
          <w:szCs w:val="20"/>
          <w:color w:val="auto"/>
        </w:rPr>
      </w:pPr>
    </w:p>
    <w:p>
      <w:pPr>
        <w:ind w:left="20" w:right="640"/>
        <w:spacing w:after="0" w:line="285" w:lineRule="auto"/>
        <w:rPr>
          <w:sz w:val="20"/>
          <w:szCs w:val="20"/>
          <w:color w:val="auto"/>
        </w:rPr>
      </w:pPr>
      <w:r>
        <w:rPr>
          <w:rFonts w:ascii="Times New Roman" w:cs="Times New Roman" w:eastAsia="Times New Roman" w:hAnsi="Times New Roman"/>
          <w:sz w:val="15"/>
          <w:szCs w:val="15"/>
          <w:color w:val="auto"/>
        </w:rPr>
        <w:t>Preferred stock; par value $.01 per share; 100,000 shares authorized; none issued or outstanding at December 29, 2018 and December 30, 2017</w:t>
      </w:r>
    </w:p>
    <w:p>
      <w:pPr>
        <w:spacing w:after="0" w:line="10" w:lineRule="exact"/>
        <w:rPr>
          <w:sz w:val="20"/>
          <w:szCs w:val="20"/>
          <w:color w:val="auto"/>
        </w:rPr>
      </w:pPr>
    </w:p>
    <w:p>
      <w:pPr>
        <w:ind w:left="20" w:right="680"/>
        <w:spacing w:after="0" w:line="285" w:lineRule="auto"/>
        <w:rPr>
          <w:sz w:val="20"/>
          <w:szCs w:val="20"/>
          <w:color w:val="auto"/>
        </w:rPr>
      </w:pPr>
      <w:r>
        <w:rPr>
          <w:rFonts w:ascii="Times New Roman" w:cs="Times New Roman" w:eastAsia="Times New Roman" w:hAnsi="Times New Roman"/>
          <w:sz w:val="15"/>
          <w:szCs w:val="15"/>
          <w:color w:val="auto"/>
        </w:rPr>
        <w:t>Common stock, voting; par value $.01 per share; 150,000,000 shares authorized; 45,629,014 and 47,178,346 shares issued and outstanding at December 29, 2018 and December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58050" cy="156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15684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5"/>
          <w:szCs w:val="15"/>
          <w:color w:val="auto"/>
        </w:rPr>
        <w:t>Accumulated other comprehensive loss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58050" cy="156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156845"/>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Total stockholders’ equity</w:t>
      </w:r>
    </w:p>
    <w:p>
      <w:pPr>
        <w:spacing w:after="0" w:line="75" w:lineRule="exact"/>
        <w:rPr>
          <w:sz w:val="20"/>
          <w:szCs w:val="20"/>
          <w:color w:val="auto"/>
        </w:rPr>
      </w:pPr>
    </w:p>
    <w:p>
      <w:pPr>
        <w:ind w:left="460"/>
        <w:spacing w:after="0"/>
        <w:tabs>
          <w:tab w:leader="none" w:pos="7440" w:val="left"/>
        </w:tabs>
        <w:rPr>
          <w:sz w:val="20"/>
          <w:szCs w:val="20"/>
          <w:color w:val="auto"/>
        </w:rPr>
      </w:pPr>
      <w:r>
        <w:rPr>
          <w:rFonts w:ascii="Times New Roman" w:cs="Times New Roman" w:eastAsia="Times New Roman" w:hAnsi="Times New Roman"/>
          <w:sz w:val="15"/>
          <w:szCs w:val="15"/>
          <w:color w:val="auto"/>
        </w:rPr>
        <w:t>Total liabilities and stockholders’ equity</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199,076</w:t>
            </w:r>
          </w:p>
        </w:tc>
        <w:tc>
          <w:tcPr>
            <w:tcW w:w="660" w:type="dxa"/>
            <w:vAlign w:val="bottom"/>
          </w:tcPr>
          <w:p>
            <w:pPr>
              <w:jc w:val="right"/>
              <w:ind w:right="486"/>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182,114</w:t>
            </w:r>
          </w:p>
        </w:tc>
      </w:tr>
      <w:tr>
        <w:trPr>
          <w:trHeight w:val="247"/>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128,345</w:t>
            </w:r>
          </w:p>
        </w:tc>
        <w:tc>
          <w:tcPr>
            <w:tcW w:w="66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149,134</w:t>
            </w:r>
          </w:p>
        </w:tc>
      </w:tr>
      <w:tr>
        <w:trPr>
          <w:trHeight w:val="30"/>
        </w:trPr>
        <w:tc>
          <w:tcPr>
            <w:tcW w:w="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327,421</w:t>
            </w:r>
          </w:p>
        </w:tc>
        <w:tc>
          <w:tcPr>
            <w:tcW w:w="660" w:type="dxa"/>
            <w:vAlign w:val="bottom"/>
          </w:tcPr>
          <w:p>
            <w:pPr>
              <w:spacing w:after="0"/>
              <w:rPr>
                <w:sz w:val="17"/>
                <w:szCs w:val="17"/>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331,248</w:t>
            </w:r>
          </w:p>
        </w:tc>
      </w:tr>
      <w:tr>
        <w:trPr>
          <w:trHeight w:val="445"/>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593,264</w:t>
            </w:r>
          </w:p>
        </w:tc>
        <w:tc>
          <w:tcPr>
            <w:tcW w:w="660" w:type="dxa"/>
            <w:vAlign w:val="bottom"/>
          </w:tcPr>
          <w:p>
            <w:pPr>
              <w:spacing w:after="0"/>
              <w:rPr>
                <w:sz w:val="24"/>
                <w:szCs w:val="24"/>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617,306</w:t>
            </w:r>
          </w:p>
        </w:tc>
      </w:tr>
      <w:tr>
        <w:trPr>
          <w:trHeight w:val="247"/>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87,347</w:t>
            </w:r>
          </w:p>
        </w:tc>
        <w:tc>
          <w:tcPr>
            <w:tcW w:w="66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84,944</w:t>
            </w:r>
          </w:p>
        </w:tc>
      </w:tr>
      <w:tr>
        <w:trPr>
          <w:trHeight w:val="247"/>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181,393</w:t>
            </w:r>
          </w:p>
        </w:tc>
        <w:tc>
          <w:tcPr>
            <w:tcW w:w="66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180,128</w:t>
            </w:r>
          </w:p>
        </w:tc>
      </w:tr>
      <w:tr>
        <w:trPr>
          <w:trHeight w:val="30"/>
        </w:trPr>
        <w:tc>
          <w:tcPr>
            <w:tcW w:w="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w w:val="96"/>
              </w:rPr>
              <w:t>1,189,425</w:t>
            </w:r>
          </w:p>
        </w:tc>
        <w:tc>
          <w:tcPr>
            <w:tcW w:w="660" w:type="dxa"/>
            <w:vAlign w:val="bottom"/>
          </w:tcPr>
          <w:p>
            <w:pPr>
              <w:spacing w:after="0"/>
              <w:rPr>
                <w:sz w:val="17"/>
                <w:szCs w:val="17"/>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1,213,626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-137160</wp:posOffset>
            </wp:positionV>
            <wp:extent cx="12395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95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420"/>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456</w:t>
            </w:r>
          </w:p>
        </w:tc>
        <w:tc>
          <w:tcPr>
            <w:tcW w:w="660" w:type="dxa"/>
            <w:vAlign w:val="bottom"/>
          </w:tcPr>
          <w:p>
            <w:pPr>
              <w:spacing w:after="0"/>
              <w:rPr>
                <w:sz w:val="24"/>
                <w:szCs w:val="24"/>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472</w:t>
            </w:r>
          </w:p>
        </w:tc>
      </w:tr>
      <w:tr>
        <w:trPr>
          <w:trHeight w:val="247"/>
        </w:trPr>
        <w:tc>
          <w:tcPr>
            <w:tcW w:w="8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(40,839)</w:t>
            </w:r>
          </w:p>
        </w:tc>
        <w:tc>
          <w:tcPr>
            <w:tcW w:w="6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(29,093)</w:t>
            </w:r>
          </w:p>
        </w:tc>
      </w:tr>
      <w:tr>
        <w:trPr>
          <w:trHeight w:val="247"/>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909,816</w:t>
            </w:r>
          </w:p>
        </w:tc>
        <w:tc>
          <w:tcPr>
            <w:tcW w:w="66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886,037</w:t>
            </w:r>
          </w:p>
        </w:tc>
      </w:tr>
      <w:tr>
        <w:trPr>
          <w:trHeight w:val="30"/>
        </w:trPr>
        <w:tc>
          <w:tcPr>
            <w:tcW w:w="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869,433</w:t>
            </w:r>
          </w:p>
        </w:tc>
        <w:tc>
          <w:tcPr>
            <w:tcW w:w="660" w:type="dxa"/>
            <w:vAlign w:val="bottom"/>
          </w:tcPr>
          <w:p>
            <w:pPr>
              <w:spacing w:after="0"/>
              <w:rPr>
                <w:sz w:val="17"/>
                <w:szCs w:val="17"/>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857,416</w:t>
            </w:r>
          </w:p>
        </w:tc>
      </w:tr>
      <w:tr>
        <w:trPr>
          <w:trHeight w:val="30"/>
        </w:trPr>
        <w:tc>
          <w:tcPr>
            <w:tcW w:w="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8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w w:val="96"/>
              </w:rPr>
              <w:t>2,058,858</w:t>
            </w:r>
          </w:p>
        </w:tc>
        <w:tc>
          <w:tcPr>
            <w:tcW w:w="660" w:type="dxa"/>
            <w:vAlign w:val="bottom"/>
          </w:tcPr>
          <w:p>
            <w:pPr>
              <w:jc w:val="right"/>
              <w:ind w:right="486"/>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2,071,042</w:t>
            </w:r>
          </w:p>
        </w:tc>
      </w:tr>
      <w:tr>
        <w:trPr>
          <w:trHeight w:val="30"/>
        </w:trPr>
        <w:tc>
          <w:tcPr>
            <w:tcW w:w="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-22860</wp:posOffset>
            </wp:positionV>
            <wp:extent cx="12395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9520" cy="762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-6985</wp:posOffset>
            </wp:positionV>
            <wp:extent cx="12395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9520" cy="762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-179705</wp:posOffset>
            </wp:positionV>
            <wp:extent cx="12395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9520" cy="762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7960" w:space="720"/>
            <w:col w:w="2740"/>
          </w:cols>
          <w:pgMar w:left="240" w:top="341"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420"/>
          </w:cols>
          <w:pgMar w:left="240" w:top="341" w:right="2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2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200" w:type="dxa"/>
            <w:vAlign w:val="bottom"/>
          </w:tcPr>
          <w:p>
            <w:pPr>
              <w:spacing w:after="0"/>
              <w:rPr>
                <w:sz w:val="18"/>
                <w:szCs w:val="18"/>
                <w:color w:val="auto"/>
              </w:rPr>
            </w:pPr>
          </w:p>
        </w:tc>
        <w:tc>
          <w:tcPr>
            <w:tcW w:w="1580" w:type="dxa"/>
            <w:vAlign w:val="bottom"/>
          </w:tcPr>
          <w:p>
            <w:pPr>
              <w:jc w:val="right"/>
              <w:ind w:right="20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3,462,269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3,400,504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3,198,543</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200" w:type="dxa"/>
            <w:vAlign w:val="bottom"/>
          </w:tcPr>
          <w:p>
            <w:pPr>
              <w:spacing w:after="0"/>
              <w:rPr>
                <w:sz w:val="18"/>
                <w:szCs w:val="18"/>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1,964,786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1,917,150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1,820,024</w:t>
            </w:r>
          </w:p>
        </w:tc>
      </w:tr>
      <w:tr>
        <w:trPr>
          <w:trHeight w:val="30"/>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1,497,483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1,483,354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1,378,519</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Royalty income, net</w:t>
            </w:r>
          </w:p>
        </w:tc>
        <w:tc>
          <w:tcPr>
            <w:tcW w:w="200" w:type="dxa"/>
            <w:vAlign w:val="bottom"/>
          </w:tcPr>
          <w:p>
            <w:pPr>
              <w:spacing w:after="0"/>
              <w:rPr>
                <w:sz w:val="18"/>
                <w:szCs w:val="18"/>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38,930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43,181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42,815</w:t>
            </w:r>
          </w:p>
        </w:tc>
      </w:tr>
      <w:tr>
        <w:trPr>
          <w:trHeight w:val="30"/>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1,144,980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1,106,928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995,406</w:t>
            </w:r>
          </w:p>
        </w:tc>
      </w:tr>
      <w:tr>
        <w:trPr>
          <w:trHeight w:val="19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391,433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419,607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425,928</w:t>
            </w:r>
          </w:p>
        </w:tc>
      </w:tr>
      <w:tr>
        <w:trPr>
          <w:trHeight w:val="30"/>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34,569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30,044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27,044</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w:t>
            </w:r>
          </w:p>
        </w:tc>
      </w:tr>
      <w:tr>
        <w:trPr>
          <w:trHeight w:val="30"/>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4,007</w:t>
            </w:r>
          </w:p>
        </w:tc>
      </w:tr>
      <w:tr>
        <w:trPr>
          <w:trHeight w:val="19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355,975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391,072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395,440</w:t>
            </w:r>
          </w:p>
        </w:tc>
      </w:tr>
      <w:tr>
        <w:trPr>
          <w:trHeight w:val="30"/>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73,907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88,224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137,731</w:t>
            </w:r>
          </w:p>
        </w:tc>
      </w:tr>
      <w:tr>
        <w:trPr>
          <w:trHeight w:val="25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282,068</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302,848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257,709</w:t>
            </w:r>
          </w:p>
        </w:tc>
      </w:tr>
      <w:tr>
        <w:trPr>
          <w:trHeight w:val="182"/>
        </w:trPr>
        <w:tc>
          <w:tcPr>
            <w:tcW w:w="5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17"/>
        </w:trPr>
        <w:tc>
          <w:tcPr>
            <w:tcW w:w="5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6.06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6.31</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5.12</w:t>
            </w:r>
          </w:p>
        </w:tc>
      </w:tr>
      <w:tr>
        <w:trPr>
          <w:trHeight w:val="30"/>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7"/>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5.08</w:t>
            </w:r>
          </w:p>
        </w:tc>
      </w:tr>
      <w:tr>
        <w:trPr>
          <w:trHeight w:val="217"/>
        </w:trPr>
        <w:tc>
          <w:tcPr>
            <w:tcW w:w="5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Dividend declared and paid per common share</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1.32</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420"/>
          </w:cols>
          <w:pgMar w:left="240" w:top="341"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For the fiscal year ended</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0"/>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40" w:type="dxa"/>
            <w:vAlign w:val="bottom"/>
          </w:tcPr>
          <w:p>
            <w:pPr>
              <w:spacing w:after="0"/>
              <w:rPr>
                <w:sz w:val="18"/>
                <w:szCs w:val="18"/>
                <w:color w:val="auto"/>
              </w:rPr>
            </w:pPr>
          </w:p>
        </w:tc>
        <w:tc>
          <w:tcPr>
            <w:tcW w:w="1680" w:type="dxa"/>
            <w:vAlign w:val="bottom"/>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282,068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302,848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257,709</w:t>
            </w: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98"/>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Unrealized loss on OshKosh defined benefit plan, net of tax benefit of $80, $140, and</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2"/>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$400 for the fiscal years 2018, 2017, and 2016,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(430)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w:t>
            </w:r>
          </w:p>
        </w:tc>
      </w:tr>
      <w:tr>
        <w:trPr>
          <w:trHeight w:val="198"/>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Unrealized gain (loss) on Carter's post-retirement benefit obligation, net of (tax) or tax</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2"/>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benefit of ($70), $70, and ($200) for fiscal years 2018, 2017, and 2016, respectively</w:t>
            </w:r>
          </w:p>
        </w:tc>
        <w:tc>
          <w:tcPr>
            <w:tcW w:w="240" w:type="dxa"/>
            <w:vAlign w:val="bottom"/>
          </w:tcPr>
          <w:p>
            <w:pPr>
              <w:spacing w:after="0"/>
              <w:rPr>
                <w:sz w:val="16"/>
                <w:szCs w:val="16"/>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331</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(11,679)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1,962</w:t>
            </w:r>
          </w:p>
        </w:tc>
      </w:tr>
      <w:tr>
        <w:trPr>
          <w:trHeight w:val="197"/>
        </w:trPr>
        <w:tc>
          <w:tcPr>
            <w:tcW w:w="53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(11,746)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5,647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1,627</w:t>
            </w:r>
          </w:p>
        </w:tc>
      </w:tr>
      <w:tr>
        <w:trPr>
          <w:trHeight w:val="30"/>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270,322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308,495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259,336</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420"/>
          </w:cols>
          <w:pgMar w:left="240" w:top="539"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For the fiscal year ended</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0"/>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40" w:type="dxa"/>
            <w:vAlign w:val="bottom"/>
          </w:tcPr>
          <w:p>
            <w:pPr>
              <w:spacing w:after="0"/>
              <w:rPr>
                <w:sz w:val="18"/>
                <w:szCs w:val="18"/>
                <w:color w:val="auto"/>
              </w:rPr>
            </w:pPr>
          </w:p>
        </w:tc>
        <w:tc>
          <w:tcPr>
            <w:tcW w:w="1680" w:type="dxa"/>
            <w:vAlign w:val="bottom"/>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282,068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302,848</w:t>
            </w:r>
          </w:p>
        </w:tc>
        <w:tc>
          <w:tcPr>
            <w:tcW w:w="10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257,709</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Depreciation of property, plant, and equipment</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85,936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81,796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71,522</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3,717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2,616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1,919</w:t>
            </w: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Adjustment and accretion of contingent considerations</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1,746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1,461</w:t>
            </w: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stock-based compensation expense</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17,549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16,847</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Unrealized foreign currency exchange loss (gain), net</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w:t>
            </w: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Provisions for doubtful accounts receivable from customers</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15,801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562</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Income tax benefit from stock-based compensation</w:t>
            </w:r>
          </w:p>
        </w:tc>
        <w:tc>
          <w:tcPr>
            <w:tcW w:w="2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w:t>
            </w: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Loss on disposal of property, plant, and equipment</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1,572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1,167</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Deferred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(54,936)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1,061</w:t>
            </w:r>
          </w:p>
        </w:tc>
      </w:tr>
      <w:tr>
        <w:trPr>
          <w:trHeight w:val="205"/>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Effect of changes in operating assets and liabilities, net of acquisitions: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2"/>
        </w:trPr>
        <w:tc>
          <w:tcPr>
            <w:tcW w:w="5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27"/>
        </w:trPr>
        <w:tc>
          <w:tcPr>
            <w:tcW w:w="53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Accounts receivable, net</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(34,448)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(22,709)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4,479</w:t>
            </w:r>
          </w:p>
        </w:tc>
      </w:tr>
      <w:tr>
        <w:trPr>
          <w:trHeight w:val="217"/>
        </w:trPr>
        <w:tc>
          <w:tcPr>
            <w:tcW w:w="53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Inventories</w:t>
            </w:r>
          </w:p>
        </w:tc>
        <w:tc>
          <w:tcPr>
            <w:tcW w:w="240" w:type="dxa"/>
            <w:vAlign w:val="bottom"/>
          </w:tcPr>
          <w:p>
            <w:pPr>
              <w:spacing w:after="0"/>
              <w:rPr>
                <w:sz w:val="18"/>
                <w:szCs w:val="18"/>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(30,646)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(20,922)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(17,482)</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12,121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(21,791)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1,141</w:t>
            </w:r>
          </w:p>
        </w:tc>
      </w:tr>
      <w:tr>
        <w:trPr>
          <w:trHeight w:val="217"/>
        </w:trPr>
        <w:tc>
          <w:tcPr>
            <w:tcW w:w="53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4,982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41,587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33,610</w:t>
            </w:r>
          </w:p>
        </w:tc>
      </w:tr>
      <w:tr>
        <w:trPr>
          <w:trHeight w:val="30"/>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356,198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329,621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369,229</w:t>
            </w:r>
          </w:p>
        </w:tc>
      </w:tr>
      <w:tr>
        <w:trPr>
          <w:trHeight w:val="190"/>
        </w:trPr>
        <w:tc>
          <w:tcPr>
            <w:tcW w:w="53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r>
      <w:tr>
        <w:trPr>
          <w:trHeight w:val="22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expenditures</w:t>
            </w:r>
          </w:p>
        </w:tc>
        <w:tc>
          <w:tcPr>
            <w:tcW w:w="240" w:type="dxa"/>
            <w:vAlign w:val="bottom"/>
          </w:tcPr>
          <w:p>
            <w:pPr>
              <w:spacing w:after="0"/>
              <w:rPr>
                <w:sz w:val="18"/>
                <w:szCs w:val="18"/>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(63,783)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(69,473)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(88,556)</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Acquisitions of businesses, net of cash acquired</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(158,457)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Disposals of property, plant, and equipment</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216</w:t>
            </w:r>
          </w:p>
        </w:tc>
      </w:tr>
      <w:tr>
        <w:trPr>
          <w:trHeight w:val="30"/>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(63,307)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(227,915)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(88,340)</w:t>
            </w:r>
          </w:p>
        </w:tc>
      </w:tr>
      <w:tr>
        <w:trPr>
          <w:trHeight w:val="190"/>
        </w:trPr>
        <w:tc>
          <w:tcPr>
            <w:tcW w:w="53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r>
      <w:tr>
        <w:trPr>
          <w:trHeight w:val="22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240" w:type="dxa"/>
            <w:vAlign w:val="bottom"/>
          </w:tcPr>
          <w:p>
            <w:pPr>
              <w:spacing w:after="0"/>
              <w:rPr>
                <w:sz w:val="18"/>
                <w:szCs w:val="18"/>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(2,119)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Borrowings under secured revolving credit facility</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290,000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200,000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on secured revolving credit facility</w:t>
            </w:r>
          </w:p>
        </w:tc>
        <w:tc>
          <w:tcPr>
            <w:tcW w:w="240" w:type="dxa"/>
            <w:vAlign w:val="bottom"/>
          </w:tcPr>
          <w:p>
            <w:pPr>
              <w:spacing w:after="0"/>
              <w:rPr>
                <w:sz w:val="18"/>
                <w:szCs w:val="18"/>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(315,000)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(163,965)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(193,028)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(188,762)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(300,445)</w:t>
            </w: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Dividends paid</w:t>
            </w:r>
          </w:p>
        </w:tc>
        <w:tc>
          <w:tcPr>
            <w:tcW w:w="240" w:type="dxa"/>
            <w:vAlign w:val="bottom"/>
          </w:tcPr>
          <w:p>
            <w:pPr>
              <w:spacing w:after="0"/>
              <w:rPr>
                <w:sz w:val="18"/>
                <w:szCs w:val="18"/>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(83,717)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(70,914)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(66,355)</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Income tax benefit from stock-based compensation</w:t>
            </w:r>
          </w:p>
        </w:tc>
        <w:tc>
          <w:tcPr>
            <w:tcW w:w="2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4,800</w:t>
            </w:r>
          </w:p>
        </w:tc>
      </w:tr>
      <w:tr>
        <w:trPr>
          <w:trHeight w:val="217"/>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Withholdings of taxes from vesting of restricted stock</w:t>
            </w:r>
          </w:p>
        </w:tc>
        <w:tc>
          <w:tcPr>
            <w:tcW w:w="240" w:type="dxa"/>
            <w:vAlign w:val="bottom"/>
          </w:tcPr>
          <w:p>
            <w:pPr>
              <w:spacing w:after="0"/>
              <w:rPr>
                <w:sz w:val="18"/>
                <w:szCs w:val="18"/>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(8,673)</w:t>
            </w:r>
          </w:p>
        </w:tc>
      </w:tr>
      <w:tr>
        <w:trPr>
          <w:trHeight w:val="30"/>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exercises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10,597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7,166</w:t>
            </w:r>
          </w:p>
        </w:tc>
      </w:tr>
      <w:tr>
        <w:trPr>
          <w:trHeight w:val="197"/>
        </w:trPr>
        <w:tc>
          <w:tcPr>
            <w:tcW w:w="538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(298,946)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(223,075)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(363,507)</w:t>
            </w:r>
          </w:p>
        </w:tc>
      </w:tr>
      <w:tr>
        <w:trPr>
          <w:trHeight w:val="30"/>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53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r>
      <w:tr>
        <w:trPr>
          <w:trHeight w:val="197"/>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effect of exchange rate changes on cash</w:t>
            </w:r>
          </w:p>
        </w:tc>
        <w:tc>
          <w:tcPr>
            <w:tcW w:w="240" w:type="dxa"/>
            <w:vAlign w:val="bottom"/>
          </w:tcPr>
          <w:p>
            <w:pPr>
              <w:spacing w:after="0"/>
              <w:rPr>
                <w:sz w:val="17"/>
                <w:szCs w:val="17"/>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(2,362)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767</w:t>
            </w:r>
          </w:p>
        </w:tc>
      </w:tr>
      <w:tr>
        <w:trPr>
          <w:trHeight w:val="30"/>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(8,417)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(120,864)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(81,851)</w:t>
            </w: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fiscal year</w:t>
            </w:r>
          </w:p>
        </w:tc>
        <w:tc>
          <w:tcPr>
            <w:tcW w:w="240" w:type="dxa"/>
            <w:vAlign w:val="bottom"/>
          </w:tcPr>
          <w:p>
            <w:pPr>
              <w:spacing w:after="0"/>
              <w:rPr>
                <w:sz w:val="18"/>
                <w:szCs w:val="18"/>
                <w:color w:val="auto"/>
              </w:rPr>
            </w:pP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178,494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299,358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381,209</w:t>
            </w:r>
          </w:p>
        </w:tc>
      </w:tr>
      <w:tr>
        <w:trPr>
          <w:trHeight w:val="30"/>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fiscal year</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170,077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178,494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299,358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Accumulated other</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5"/>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comprehensive</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85"/>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Common</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paid-in</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80" w:type="dxa"/>
            <w:vAlign w:val="bottom"/>
          </w:tcPr>
          <w:p>
            <w:pPr>
              <w:spacing w:after="0"/>
              <w:rPr>
                <w:sz w:val="16"/>
                <w:szCs w:val="16"/>
                <w:color w:val="auto"/>
              </w:rPr>
            </w:pPr>
          </w:p>
        </w:tc>
        <w:tc>
          <w:tcPr>
            <w:tcW w:w="1180" w:type="dxa"/>
            <w:vAlign w:val="bottom"/>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rPr>
              <w:t>stockholders’</w:t>
            </w:r>
          </w:p>
        </w:tc>
      </w:tr>
      <w:tr>
        <w:trPr>
          <w:trHeight w:val="196"/>
        </w:trPr>
        <w:tc>
          <w:tcPr>
            <w:tcW w:w="30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Common stock - shares</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stock - $</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80" w:type="dxa"/>
            <w:vAlign w:val="bottom"/>
          </w:tcPr>
          <w:p>
            <w:pPr>
              <w:spacing w:after="0"/>
              <w:rPr>
                <w:sz w:val="17"/>
                <w:szCs w:val="17"/>
                <w:color w:val="auto"/>
              </w:rPr>
            </w:pPr>
          </w:p>
        </w:tc>
        <w:tc>
          <w:tcPr>
            <w:tcW w:w="1180" w:type="dxa"/>
            <w:vAlign w:val="bottom"/>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w w:val="94"/>
              </w:rPr>
              <w:t>equity</w:t>
            </w:r>
          </w:p>
        </w:tc>
      </w:tr>
      <w:tr>
        <w:trPr>
          <w:trHeight w:val="30"/>
        </w:trPr>
        <w:tc>
          <w:tcPr>
            <w:tcW w:w="30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 2016</w:t>
            </w:r>
          </w:p>
        </w:tc>
        <w:tc>
          <w:tcPr>
            <w:tcW w:w="16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51,764,309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(36,367)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911,536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875,687</w:t>
            </w:r>
          </w:p>
        </w:tc>
      </w:tr>
      <w:tr>
        <w:trPr>
          <w:trHeight w:val="219"/>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9"/>
              </w:rPr>
              <w:t>Income tax benefit from stock-based compensation</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4,800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4,800</w:t>
            </w:r>
          </w:p>
        </w:tc>
      </w:tr>
      <w:tr>
        <w:trPr>
          <w:trHeight w:val="24"/>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6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160,200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7,164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7,166</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(8,673)</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6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152,413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15,662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15,662</w:t>
            </w:r>
          </w:p>
        </w:tc>
      </w:tr>
      <w:tr>
        <w:trPr>
          <w:trHeight w:val="24"/>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w:t>
            </w:r>
          </w:p>
        </w:tc>
        <w:tc>
          <w:tcPr>
            <w:tcW w:w="16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12,758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1,185</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(3,049,381)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(300,445)</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dividends declared and paid</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(66,355)</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1,627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257,709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259,336</w:t>
            </w:r>
          </w:p>
        </w:tc>
      </w:tr>
      <w:tr>
        <w:trPr>
          <w:trHeight w:val="30"/>
        </w:trPr>
        <w:tc>
          <w:tcPr>
            <w:tcW w:w="30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2016</w:t>
            </w:r>
          </w:p>
        </w:tc>
        <w:tc>
          <w:tcPr>
            <w:tcW w:w="16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48,948,670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(34,740)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822,614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788,363</w:t>
            </w:r>
          </w:p>
        </w:tc>
      </w:tr>
      <w:tr>
        <w:trPr>
          <w:trHeight w:val="201"/>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6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240,850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8,436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8,438</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(67,546)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(5,753)</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6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145,913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16,378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16,378</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w:t>
            </w:r>
          </w:p>
        </w:tc>
        <w:tc>
          <w:tcPr>
            <w:tcW w:w="16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13,860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1,171</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(2,103,401)</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(20,230)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(188,762)</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declared and paid</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(70,914)</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302,848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308,495</w:t>
            </w:r>
          </w:p>
        </w:tc>
      </w:tr>
      <w:tr>
        <w:trPr>
          <w:trHeight w:val="22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30, 2017</w:t>
            </w:r>
          </w:p>
        </w:tc>
        <w:tc>
          <w:tcPr>
            <w:tcW w:w="16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47,178,346</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472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(29,093)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886,037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857,416</w:t>
            </w:r>
          </w:p>
        </w:tc>
      </w:tr>
      <w:tr>
        <w:trPr>
          <w:trHeight w:val="211"/>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6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261,113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10,594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10,597</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(6,830)</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6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126,638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14,673</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(1,879,529)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(174,572)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(193,028)</w:t>
            </w:r>
          </w:p>
        </w:tc>
      </w:tr>
      <w:tr>
        <w:trPr>
          <w:trHeight w:val="217"/>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declared and paid</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(83,717)</w:t>
            </w:r>
          </w:p>
        </w:tc>
      </w:tr>
      <w:tr>
        <w:trPr>
          <w:trHeight w:val="30"/>
        </w:trPr>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282,068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270,322</w:t>
            </w:r>
          </w:p>
        </w:tc>
      </w:tr>
      <w:tr>
        <w:trPr>
          <w:trHeight w:val="227"/>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29, 2018</w:t>
            </w:r>
          </w:p>
        </w:tc>
        <w:tc>
          <w:tcPr>
            <w:tcW w:w="16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45,629,014</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456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(40,839)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909,816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869,433</w:t>
            </w:r>
          </w:p>
        </w:tc>
      </w:tr>
      <w:tr>
        <w:trPr>
          <w:trHeight w:val="20"/>
        </w:trPr>
        <w:tc>
          <w:tcPr>
            <w:tcW w:w="30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THE COMPANY</w:t>
      </w:r>
    </w:p>
    <w:p>
      <w:pPr>
        <w:spacing w:after="0" w:line="9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Just One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You</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Precious Firsts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Precious Baby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Simple Joys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OshKosh B'gosh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OshKosh</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Skip Hop, </w:t>
      </w:r>
      <w:r>
        <w:rPr>
          <w:rFonts w:ascii="Times New Roman" w:cs="Times New Roman" w:eastAsia="Times New Roman" w:hAnsi="Times New Roman"/>
          <w:sz w:val="16"/>
          <w:szCs w:val="16"/>
          <w:color w:val="auto"/>
        </w:rPr>
        <w:t>and other brands. The Company's products are sourced through contractual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92"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accounts of Carter's, Inc. and its wholly owned subsidiaries. All intercompany transactions and balances have been eliminated in consolidation.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9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The Company's fiscal year ends on the Saturday in December or January nearest the last day of December, resulting in an additional week of results every five or six fiscal years. Fiscal 2018, which ended on December 29, 2018, fiscal 2017, which ended on December 30, 2017, and fiscal 2016, which ended on December 31, 2016, all contained 52 weeks.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 in the Preparation of the Consolidated Financial Statements</w:t>
      </w:r>
    </w:p>
    <w:p>
      <w:pPr>
        <w:spacing w:after="0" w:line="92"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6"/>
          <w:szCs w:val="16"/>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2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As disclosed in Note 2, </w:t>
      </w:r>
      <w:r>
        <w:rPr>
          <w:rFonts w:ascii="Times New Roman" w:cs="Times New Roman" w:eastAsia="Times New Roman" w:hAnsi="Times New Roman"/>
          <w:sz w:val="16"/>
          <w:szCs w:val="16"/>
          <w:i w:val="1"/>
          <w:iCs w:val="1"/>
          <w:color w:val="auto"/>
        </w:rPr>
        <w:t>Significant Accounting Policies</w:t>
      </w:r>
      <w:r>
        <w:rPr>
          <w:rFonts w:ascii="Times New Roman" w:cs="Times New Roman" w:eastAsia="Times New Roman" w:hAnsi="Times New Roman"/>
          <w:sz w:val="16"/>
          <w:szCs w:val="16"/>
          <w:color w:val="auto"/>
        </w:rPr>
        <w:t xml:space="preserve">, and Note 3,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at the beginning of fiscal 2018 the Company adopted the Financial Accounting Standards Board's ("FASB") Accounting Standards Codification (“ASC”) No. 606, Revenue from Contracts with Customers, and related amendments (“ASC 606”) using the full retrospective adoption method. The full retrospective method required the Company to apply the standard to the financial statements for the period of adoption as well as to each prior reporting period presented.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Translation and Transactions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Translation adjustments</w:t>
      </w:r>
    </w:p>
    <w:p>
      <w:pPr>
        <w:spacing w:after="0" w:line="10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6"/>
          <w:szCs w:val="16"/>
          <w:color w:val="auto"/>
        </w:rPr>
        <w:t>The functional currency of substantially all of the Company's foreign operations is the local currency in each foreign country.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adjustments</w:t>
      </w:r>
    </w:p>
    <w:p>
      <w:pPr>
        <w:spacing w:after="0" w:line="9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6"/>
          <w:szCs w:val="16"/>
          <w:color w:val="auto"/>
        </w:rPr>
        <w:t>The Company also recognizes gains and losses on transactions that are denominated in a currency other than the respective entity's functional currency. Foreign currency transaction gains and losses also include intercompany loans with foreign subsidiaries that are of a short-term nature. Foreign currency transaction gains and losses are recognized in earnings, as a separate component of other expense, net, within the consolidated statements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Contracts</w:t>
      </w:r>
    </w:p>
    <w:p>
      <w:pPr>
        <w:spacing w:after="0" w:line="9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As part of the Company's overall strategy to manage the level of exposure to the risk of foreign currency exchange rate fluctuations, primarily between the U.S. dollar and the currencies of Canada and Mexico, the Company may use foreign currency forward contracts to hedge purchases that are made in U.S. dollars, primarily for inventory purchases in its Canadian and Mexican operations. As part of this hedging strategy, the Company may use foreign currency forward exchange contracts with maturities of less than 12 months to provide continuing coverage throughout the hedging period. Historically, these contracts were not designated for hedge accounting treatment, and therefore changes in the fair value of these contracts have been recorded in Other (income) expense, net in the Company's consolidated statement of operations. Such foreign currency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420"/>
          </w:cols>
          <w:pgMar w:left="240" w:top="341" w:right="239" w:bottom="1440" w:gutter="0" w:footer="0" w:header="0"/>
        </w:sectPr>
      </w:pPr>
    </w:p>
    <w:bookmarkStart w:id="56" w:name="page57"/>
    <w:bookmarkEnd w:id="56"/>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6"/>
          <w:szCs w:val="16"/>
          <w:color w:val="auto"/>
        </w:rPr>
        <w:t>gains and losses typically include the mark-to-market fair value adjustments at the end of each reporting period related to open contracts, as well as any realized gains and losses on contracts settled during the reporting period. The fair values of any unsettled currency contracts are included in other current assets or other current liabilities on the Company's consolidated balance sheet. On the consolidated statement of cash flows, the Company includes all activity, including cash settlement of any contracts, as a component of cash flows from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92"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6"/>
          <w:szCs w:val="16"/>
          <w:color w:val="auto"/>
        </w:rPr>
        <w:t>The Company considers all highly liquid investments that have original maturities of three months or less to be cash equivalents. Cash and cash equivalents consist of deposit accounts and cash management funds invested in U. S. government instruments. These investments are stated at cost, which approximates fair value. Cash equivalents also include amounts due from third-party financial institutions for credit and debit card transactions; these amounts typically settle in less than five days.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cash deposits risk</w:t>
      </w:r>
    </w:p>
    <w:p>
      <w:pPr>
        <w:spacing w:after="0" w:line="9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As of December 29, 2018, the Company had approximately $170.1 million of cash and cash equivalents in major financial institutions, including approximately $36.7 million in financial institutions located outside of the United States.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 as having acceptable risk profiles.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fiscal 2018, 2017, and 2016, no one customer accounted for 10% or more of the Company's consolidated net sales.</w:t>
      </w:r>
    </w:p>
    <w:p>
      <w:pPr>
        <w:spacing w:after="0" w:line="17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At December 29, 2018, three wholesale customers each had individual receivable balances in excess of 10% of gross accounts receivable, and the total receivable balances due from these three wholesale customers in the aggregate equaled approximately 40% of total gross trade receivables outstanding. At December 30, 2017, two wholesale customers each had individual receivable balances in excess of 10% of gross accounts receivable, and the total receivable balances due from these two wholesale customers in the aggregate equaled approximately 28% of total gross accounts receivable outstanding.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Accounts for Wholesale Accounts Receivable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Accounts receivable reserves</w:t>
      </w:r>
    </w:p>
    <w:p>
      <w:pPr>
        <w:spacing w:after="0" w:line="9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6"/>
          <w:szCs w:val="16"/>
          <w:color w:val="auto"/>
        </w:rPr>
        <w:t>The Company's accounts receivable reserves for wholesale customers include an allowance for doubtful accounts and an allowance for chargebacks. The allowance for doubtful accounts includes estimated losses resulting from the inability of its customers to make payments. If the financial condition of a customer were to deteriorate, resulting in an impairment of its ability to make payments, an additional allowance could be required. Past due balances over 90 days are reviewed individually for collectibility. The Company's credit and collections department reviews all other balances regularly. Account balances are charged off against the allowance when it is probable that the receivable will not be recovered. Provisions for the allowance for doubtful accounts are reflected in Selling, general and administrative expenses on the consolidated statement of operations and provisions for chargebacks are reflected as a reduction in Net sales on the consolidated statement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returns reserves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in very limited instances, the Company does not allow its wholesale customers to return goods to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p>
      <w:pPr>
        <w:spacing w:after="0" w:line="92"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Property, plant, and equipment are stated at cost, less accumulated depreciation and amortization. When fixed assets are sold or otherwise disposed of, the accounts are relieved of the original cost of the assets and the related accumulated depreciation or</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360"/>
          </w:cols>
          <w:pgMar w:left="240" w:top="119" w:right="299" w:bottom="1440" w:gutter="0" w:footer="0" w:header="0"/>
        </w:sectPr>
      </w:pPr>
    </w:p>
    <w:bookmarkStart w:id="57" w:name="page58"/>
    <w:bookmarkEnd w:id="57"/>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amortization and any resulting profit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 are amortized over the lesser of the asset life or related lease term. The Company capitalizes the cost of its fixtures designed and purchased for use at major wholesale accounts. The cost of these fixtures is amortized over 3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Internal-Use Software</w:t>
      </w:r>
    </w:p>
    <w:p>
      <w:pPr>
        <w:spacing w:after="0" w:line="92"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6"/>
          <w:szCs w:val="16"/>
          <w:color w:val="auto"/>
        </w:rPr>
        <w:t>The Company purchases software licenses from external vendors and also develops software internally using Company employees and consultants. Software license costs, including certain costs to internally develop software, that meet the applicable criteria are capitalized while all other costs are expensed as incurred. Capitalized software is depreciated or amortized on the straight-line method over its estimated useful lives, from 3 to 10 years. If a software application does not include a purchased license for the software, such as a cloud-based software application, the arrangement is accounted for as a service contract.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and Other Intangible Assets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Annual impairment reviews</w:t>
      </w:r>
    </w:p>
    <w:p>
      <w:pPr>
        <w:spacing w:after="0" w:line="9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Significant assumptions in the impairment models include estimates of future cash flows, discount rates, and, in the case of tradenames, royalty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9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9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6"/>
          <w:szCs w:val="16"/>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the Company performs the two-step goodwill impairment test as required. If it is determined that it is "not likely" that the fair value of the reporting unit is less than its carrying value, then no further testing is required and the Company documents the relevant qualitative factors that support the strength in the fair value.</w:t>
      </w:r>
    </w:p>
    <w:p>
      <w:pPr>
        <w:spacing w:after="0" w:line="324"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6"/>
          <w:szCs w:val="16"/>
          <w:color w:val="auto"/>
        </w:rPr>
        <w:t>The first step of a quantitative assessment is to compare the fair value of the reporting unit to its carrying value, including goodwill. The Company uses a discounted cash flow model to determine the fair value, using assumptions consistent with those of hypothetical marketplace participants. If the fair value of a reporting unit is less than its carrying value, the second step of the impairment test must be performed. The second step compares the implied fair value of the reporting unit goodwill with the carrying value of that goodwill, in order to determine the amount of the impairment loss and charge to the consolidated statement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Indefinite-lived tradenames</w:t>
      </w:r>
    </w:p>
    <w:p>
      <w:pPr>
        <w:spacing w:after="0" w:line="9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a discounted cash flow model that uses the relief-from-royalty method. If the carrying amount exceeds the fair value of the tradename, an impairment charge is recognized in the amount of the excess.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Other Long-Lived Assets</w:t>
      </w:r>
    </w:p>
    <w:p>
      <w:pPr>
        <w:spacing w:after="0" w:line="92"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color w:val="auto"/>
        </w:rPr>
        <w:t>The Company reviews other long-lived assets, including property, plant, and equipment, and licensing agreements, for impairment whenever events or changes in circumstances indicate that the carrying amount of such an asset may not be recoverable. Management will determine whether there has been a permanent impairment on such assets held for use in the business by comparing anticipated undiscounted future cash flows from the use and eventual disposition of the asset or asset group to the carrying value of the asset. The amount of any resulting impairment will be calculated by comparing the carrying</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400"/>
          </w:cols>
          <w:pgMar w:left="240" w:top="119" w:right="259" w:bottom="1440" w:gutter="0" w:footer="0" w:header="0"/>
        </w:sectPr>
      </w:pPr>
    </w:p>
    <w:bookmarkStart w:id="58" w:name="page59"/>
    <w:bookmarkEnd w:id="58"/>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value to fair value, which may be estimated using the present value of the same cash flows. Long-lived assets that meet the definition of held for sale will be valued at the lower of carrying amount or fair value, less costs to sell.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Debt Issuance Costs</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Debt issuance costs associated with the Company's secured revolving credit facility and senior term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 and classified as either current or non-current based on the expiration date of the credit facility.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92"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The fair value framework requires the Company to categorize certain assets and liabilities into three levels, based upon the assumptions used to price those assets or liabilities. The three levels are defined as follows:</w:t>
      </w:r>
    </w:p>
    <w:p>
      <w:pPr>
        <w:spacing w:after="0" w:line="15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color w:val="auto"/>
        </w:rPr>
        <w:t>Quoted prices in active markets for identical assets or liabilities.</w:t>
      </w:r>
    </w:p>
    <w:p>
      <w:pPr>
        <w:spacing w:after="0" w:line="63"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color w:val="auto"/>
        </w:rPr>
        <w:t>Quoted prices for similar assets and liabilities in active markets or inputs that are observable.</w:t>
      </w:r>
    </w:p>
    <w:p>
      <w:pPr>
        <w:spacing w:after="0" w:line="63"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6"/>
          <w:szCs w:val="16"/>
          <w:color w:val="auto"/>
        </w:rPr>
        <w:t>Unobservable inputs reflecting management's own assumptions about the inputs used in pricing the asset or liability.</w:t>
      </w:r>
    </w:p>
    <w:p>
      <w:pPr>
        <w:spacing w:after="0" w:line="20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99"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6"/>
          <w:szCs w:val="16"/>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8, </w:t>
      </w:r>
      <w:r>
        <w:rPr>
          <w:rFonts w:ascii="Times New Roman" w:cs="Times New Roman" w:eastAsia="Times New Roman" w:hAnsi="Times New Roman"/>
          <w:sz w:val="16"/>
          <w:szCs w:val="16"/>
          <w:i w:val="1"/>
          <w:iCs w:val="1"/>
          <w:color w:val="auto"/>
        </w:rPr>
        <w:t>Long-Term Debt</w:t>
      </w:r>
      <w:r>
        <w:rPr>
          <w:rFonts w:ascii="Times New Roman" w:cs="Times New Roman" w:eastAsia="Times New Roman" w:hAnsi="Times New Roman"/>
          <w:sz w:val="16"/>
          <w:szCs w:val="16"/>
          <w:color w:val="auto"/>
        </w:rPr>
        <w:t>, to the consolidated financial statements. Had the Company been required to remeasure and adjust the carrying values of its outstanding borrowings to fair value at the end of each reporting period, such fair value measurements would have been disclosed as a Level 2 liability in the fair value hierarchy.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92"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 xml:space="preserve">At the beginning of fiscal 2018, the Company adopted the provisions of ASC No. 606, Revenue from Contracts with Customers, and all related amendments (“ASC 606”) using the full retrospective adoption method. Refer to Note 3,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for additional information.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uses the five-step model to recognize revenue:</w:t>
      </w:r>
    </w:p>
    <w:p>
      <w:pPr>
        <w:spacing w:after="0" w:line="88" w:lineRule="exact"/>
        <w:rPr>
          <w:sz w:val="20"/>
          <w:szCs w:val="20"/>
          <w:color w:val="auto"/>
        </w:rPr>
      </w:pPr>
    </w:p>
    <w:p>
      <w:pPr>
        <w:ind w:left="880" w:hanging="288"/>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 with the customer;</w:t>
      </w:r>
    </w:p>
    <w:p>
      <w:pPr>
        <w:spacing w:after="0" w:line="63" w:lineRule="exact"/>
        <w:rPr>
          <w:rFonts w:ascii="Times New Roman" w:cs="Times New Roman" w:eastAsia="Times New Roman" w:hAnsi="Times New Roman"/>
          <w:sz w:val="16"/>
          <w:szCs w:val="16"/>
          <w:color w:val="auto"/>
        </w:rPr>
      </w:pPr>
    </w:p>
    <w:p>
      <w:pPr>
        <w:ind w:left="880" w:hanging="288"/>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Identity the performance obligation(s);</w:t>
      </w:r>
    </w:p>
    <w:p>
      <w:pPr>
        <w:spacing w:after="0" w:line="63" w:lineRule="exact"/>
        <w:rPr>
          <w:rFonts w:ascii="Times New Roman" w:cs="Times New Roman" w:eastAsia="Times New Roman" w:hAnsi="Times New Roman"/>
          <w:sz w:val="16"/>
          <w:szCs w:val="16"/>
          <w:color w:val="auto"/>
        </w:rPr>
      </w:pPr>
    </w:p>
    <w:p>
      <w:pPr>
        <w:ind w:left="880" w:hanging="288"/>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63" w:lineRule="exact"/>
        <w:rPr>
          <w:rFonts w:ascii="Times New Roman" w:cs="Times New Roman" w:eastAsia="Times New Roman" w:hAnsi="Times New Roman"/>
          <w:sz w:val="16"/>
          <w:szCs w:val="16"/>
          <w:color w:val="auto"/>
        </w:rPr>
      </w:pPr>
    </w:p>
    <w:p>
      <w:pPr>
        <w:ind w:left="880" w:hanging="288"/>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each performance obligation if multiple obligations exist; and</w:t>
      </w:r>
    </w:p>
    <w:p>
      <w:pPr>
        <w:spacing w:after="0" w:line="63" w:lineRule="exact"/>
        <w:rPr>
          <w:rFonts w:ascii="Times New Roman" w:cs="Times New Roman" w:eastAsia="Times New Roman" w:hAnsi="Times New Roman"/>
          <w:sz w:val="16"/>
          <w:szCs w:val="16"/>
          <w:color w:val="auto"/>
        </w:rPr>
      </w:pPr>
    </w:p>
    <w:p>
      <w:pPr>
        <w:ind w:left="880" w:hanging="288"/>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the revenue as the performance obligations are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Performance Obligations</w:t>
      </w:r>
    </w:p>
    <w:p>
      <w:pPr>
        <w:spacing w:after="0" w:line="9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Company identifies each distinct performance obligation to transfer goods (or bundle of goods). The Company recognizes revenue when (or as) it satisfies a performance obligation by transferring control of the goods to the customer. Other than inbound and outbound freight and shipping arrangements, the Company does not use third parties to satisfy its performance obligations in revenue arrangements with customers.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When Performance Obligations Are Satisfied</w:t>
      </w:r>
    </w:p>
    <w:p>
      <w:pPr>
        <w:spacing w:after="0" w:line="90"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Wholesale Revenues - The Company typically transfers control upon shipment. However, in certain arrangements where the Company retains the risk of loss during shipment, satisfaction of the performance obligation occurs when the goods reach the customer.</w:t>
      </w:r>
    </w:p>
    <w:p>
      <w:pPr>
        <w:spacing w:after="0" w:line="99"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Retail Revenues - For transactions in stores, the Company satisfies its performance obligation at point of sale when the customer takes possession of the goods and tenders payment. The redemption of loyalty points under the Company's rewards</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1380"/>
          </w:cols>
          <w:pgMar w:left="240" w:top="119" w:right="279" w:bottom="1440" w:gutter="0" w:footer="0" w:header="0"/>
        </w:sectPr>
      </w:pPr>
    </w:p>
    <w:bookmarkStart w:id="59" w:name="page60"/>
    <w:bookmarkEnd w:id="59"/>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program and redemptions of gift cards may be part of a transaction. For purchases made through the Company’s eCommerce channel, revenue is recognized when the goods are physically delivered to the customer.</w:t>
      </w:r>
    </w:p>
    <w:p>
      <w:pPr>
        <w:spacing w:after="0" w:line="99" w:lineRule="exact"/>
        <w:rPr>
          <w:sz w:val="20"/>
          <w:szCs w:val="20"/>
          <w:color w:val="auto"/>
        </w:rPr>
      </w:pPr>
    </w:p>
    <w:p>
      <w:pPr>
        <w:ind w:right="900"/>
        <w:spacing w:after="0" w:line="411" w:lineRule="auto"/>
        <w:rPr>
          <w:sz w:val="20"/>
          <w:szCs w:val="20"/>
          <w:color w:val="auto"/>
        </w:rPr>
      </w:pPr>
      <w:r>
        <w:rPr>
          <w:rFonts w:ascii="Times New Roman" w:cs="Times New Roman" w:eastAsia="Times New Roman" w:hAnsi="Times New Roman"/>
          <w:sz w:val="16"/>
          <w:szCs w:val="16"/>
          <w:color w:val="auto"/>
        </w:rPr>
        <w:t xml:space="preserve">The Company satisfies its performance obligations with licensees over time as customers have the right to use the intellectual property over the contract period. </w:t>
      </w:r>
      <w:r>
        <w:rPr>
          <w:rFonts w:ascii="Times New Roman" w:cs="Times New Roman" w:eastAsia="Times New Roman" w:hAnsi="Times New Roman"/>
          <w:sz w:val="16"/>
          <w:szCs w:val="16"/>
          <w:i w:val="1"/>
          <w:iCs w:val="1"/>
          <w:color w:val="auto"/>
        </w:rPr>
        <w:t>Significant Payment Terms</w:t>
      </w:r>
    </w:p>
    <w:p>
      <w:pPr>
        <w:ind w:right="140"/>
        <w:spacing w:after="0" w:line="298" w:lineRule="auto"/>
        <w:rPr>
          <w:sz w:val="20"/>
          <w:szCs w:val="20"/>
          <w:color w:val="auto"/>
        </w:rPr>
      </w:pPr>
      <w:r>
        <w:rPr>
          <w:rFonts w:ascii="Times New Roman" w:cs="Times New Roman" w:eastAsia="Times New Roman" w:hAnsi="Times New Roman"/>
          <w:sz w:val="16"/>
          <w:szCs w:val="16"/>
          <w:color w:val="auto"/>
        </w:rPr>
        <w:t>Retail customers tender a form of payment, such as cash or a credit/debit card, at point of sale. For wholesale customers and licensees, payment is due based on established terms.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Returns and Refunds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establishes return provisions for retail customers. It is the Company's policy not to accept returns from wholesale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Judgments</w:t>
      </w:r>
    </w:p>
    <w:p>
      <w:pPr>
        <w:spacing w:after="0" w:line="9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Sale of Goods - The Company relies on shipping terms to determine when performance obligations are satisfied. When goods are shipped to wholesale customers “FOB Shipping Point,” control of the goods is transferred to the customer at the time of shipment if there are no remaining performance obligations. The Company recognizes the revenue once control passes to the customer. For retail transactions, no significant judgments are involved since revenue is recognized at the point of sale when tender is exchanged and the customer receives the goods.</w:t>
      </w:r>
    </w:p>
    <w:p>
      <w:pPr>
        <w:spacing w:after="0" w:line="34"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6"/>
          <w:szCs w:val="16"/>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3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For retail transactions, the Company has significant experience with return patterns and relies on this experience to estimate expected returns when determining the transaction price.</w:t>
      </w:r>
    </w:p>
    <w:p>
      <w:pPr>
        <w:spacing w:after="0" w:line="3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Standalone Selling Prices - For arrangements that contain multiple performance obligations, the Company allocates the transaction price to each performance obligation on a relative standalone selling price basis.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Incurred to Obtain a Contract - Incremental costs to obtain contracts are not material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Policy Elections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those previously disclosed, the Company has made the following accounting policy elections and practical expedients:</w:t>
      </w:r>
    </w:p>
    <w:p>
      <w:pPr>
        <w:spacing w:after="0" w:line="88" w:lineRule="exact"/>
        <w:rPr>
          <w:sz w:val="20"/>
          <w:szCs w:val="20"/>
          <w:color w:val="auto"/>
        </w:rPr>
      </w:pPr>
    </w:p>
    <w:p>
      <w:pPr>
        <w:ind w:left="600" w:right="240" w:hanging="305"/>
        <w:spacing w:after="0" w:line="298" w:lineRule="auto"/>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Approach - The Company uses the portfolio approach when multiple contracts or performance obligations are involved in the determination of revenue recognition.</w:t>
      </w:r>
    </w:p>
    <w:p>
      <w:pPr>
        <w:spacing w:after="0" w:line="12"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 The Company excludes from the transaction price any taxes collected from customers that are remitted to taxing authorities.</w:t>
      </w:r>
    </w:p>
    <w:p>
      <w:pPr>
        <w:spacing w:after="0" w:line="87"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Shipping and Handling Charges - Charges that are incurred before and after the customer obtains control of goods are deemed to be fulfillment costs.</w:t>
      </w:r>
    </w:p>
    <w:p>
      <w:pPr>
        <w:spacing w:after="0" w:line="87" w:lineRule="exact"/>
        <w:rPr>
          <w:rFonts w:ascii="Times New Roman" w:cs="Times New Roman" w:eastAsia="Times New Roman" w:hAnsi="Times New Roman"/>
          <w:sz w:val="16"/>
          <w:szCs w:val="16"/>
          <w:color w:val="auto"/>
        </w:rPr>
      </w:pPr>
    </w:p>
    <w:p>
      <w:pPr>
        <w:ind w:left="600" w:hanging="305"/>
        <w:spacing w:after="0" w:line="298" w:lineRule="auto"/>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Value of Money - The Company's payment terms are less than one year from the transfer of goods. Therefore, the Company does not adjust promised amounts of consideration for the effects of the time value of money.</w:t>
      </w:r>
    </w:p>
    <w:p>
      <w:pPr>
        <w:spacing w:after="0" w:line="12" w:lineRule="exact"/>
        <w:rPr>
          <w:rFonts w:ascii="Times New Roman" w:cs="Times New Roman" w:eastAsia="Times New Roman" w:hAnsi="Times New Roman"/>
          <w:sz w:val="16"/>
          <w:szCs w:val="16"/>
          <w:color w:val="auto"/>
        </w:rPr>
      </w:pPr>
    </w:p>
    <w:p>
      <w:pPr>
        <w:ind w:left="600" w:right="720" w:hanging="305"/>
        <w:spacing w:after="0" w:line="298" w:lineRule="auto"/>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9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The Company records its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$3.0 million for fiscal 2018, $3.1 million for fiscal 2017, and $3.7 million for fiscal 2016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420"/>
          </w:cols>
          <w:pgMar w:left="240" w:top="119" w:right="239" w:bottom="1440" w:gutter="0" w:footer="0" w:header="0"/>
        </w:sectPr>
      </w:pPr>
    </w:p>
    <w:bookmarkStart w:id="60" w:name="page61"/>
    <w:bookmarkEnd w:id="60"/>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of Goods Sold and Selling, General and Administrative Expenses</w:t>
      </w:r>
    </w:p>
    <w:p>
      <w:pPr>
        <w:spacing w:after="0" w:line="9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In addition to the cost of product, cost of goods sold includes expenses related to the merchandising, design, and procurement of product. Also included are outbound shipping costs incurred in the eCommerce channel related to delivery of product to the end consumer. Generally, all other expenses, excluding interest and income taxes, are included in selling, general and administrative ("SG&amp;A") expenses, including distribution expenses. Distribution expenses that are included in SG&amp;A primarily consist of payments to third-party shippers and handling costs to process product through our distribution facilities and delivery to our wholesale customers and to our retail stores. Distribution expenses included in SG&amp;A totaled $188.9 million, $173.5 million, and $153.7 million for fiscal years 2018, 2017, and 2016,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Definitions of gross profit and gross margin very across the industry and as such, our metrics may not be comparable to other companies.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From Royalties and License Fees</w:t>
      </w:r>
    </w:p>
    <w:p>
      <w:pPr>
        <w:spacing w:after="0" w:line="9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 xml:space="preserve">The Company licenses the </w:t>
      </w:r>
      <w:r>
        <w:rPr>
          <w:rFonts w:ascii="Times New Roman" w:cs="Times New Roman" w:eastAsia="Times New Roman" w:hAnsi="Times New Roman"/>
          <w:sz w:val="16"/>
          <w:szCs w:val="16"/>
          <w:i w:val="1"/>
          <w:iCs w:val="1"/>
          <w:color w:val="auto"/>
        </w:rPr>
        <w:t>Carter's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Child of Mine, Just One 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Precious Firsts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Precious Baby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Carter's little baby basics,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Simple Joys</w:t>
      </w:r>
      <w:r>
        <w:rPr>
          <w:rFonts w:ascii="Times New Roman" w:cs="Times New Roman" w:eastAsia="Times New Roman" w:hAnsi="Times New Roman"/>
          <w:sz w:val="16"/>
          <w:szCs w:val="16"/>
          <w:color w:val="auto"/>
        </w:rPr>
        <w:t xml:space="preserve"> trademarks to other companies for use on baby and young children's products, including bedding, outerwear, sleepwear, shoes, underwear, socks, room décor, toys, stationery, hair accessories, furniture, and related products. These royalties are recorded as earned, based upon the sales of licensed products by licensees and reported as royalty income in the statements of operations.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 Expenses</w:t>
      </w:r>
    </w:p>
    <w:p>
      <w:pPr>
        <w:spacing w:after="0" w:line="92"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Costs associated with the production of advertising, such as writing, copy, printing, and other costs, are expensed as incurred. Costs associated with communicating advertising that has been produced, such as magazine costs and eCommerce site banners, are expensed when the advertising event takes place.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 Arrangements</w:t>
      </w:r>
    </w:p>
    <w:p>
      <w:pPr>
        <w:spacing w:after="0" w:line="9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The Company recognizes the cost resulting from all stock-based payment transactions in the financial statements at grant date fair value. Stock-based compensation expense is recognized over the requisite service period, net of estimated forfeitures. During the requisite service period, the Company also recognizes a deferred income tax benefit for the expense recognized for U.S. GAAP. At time of subsequent vesting, exercise, forfeiture, or expiration of an award, the difference between the Company's actual income tax deduction, if any, and the previously accrued income tax benefit is recognized in income tax expense/benefit during the current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determines the fair value of stock options using the Black-Scholes option pricing model, which requires the use of the following subjective assumptions:</w:t>
      </w:r>
    </w:p>
    <w:p>
      <w:pPr>
        <w:spacing w:after="0" w:line="88" w:lineRule="exact"/>
        <w:rPr>
          <w:sz w:val="20"/>
          <w:szCs w:val="20"/>
          <w:color w:val="auto"/>
        </w:rPr>
      </w:pPr>
    </w:p>
    <w:p>
      <w:pPr>
        <w:ind w:left="600" w:right="140" w:hanging="305"/>
        <w:spacing w:after="0" w:line="277"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 This is a measure of the amount by which a stock price has fluctuated or is expected to fluctuate. The Company uses actual monthly historical changes in the market value of its stock covering the expected life of options being valued. An increase in the expected volatility will increase the fair value of the stock option and related compensation expense.</w:t>
      </w:r>
    </w:p>
    <w:p>
      <w:pPr>
        <w:spacing w:after="0" w:line="30" w:lineRule="exact"/>
        <w:rPr>
          <w:rFonts w:ascii="Times New Roman" w:cs="Times New Roman" w:eastAsia="Times New Roman" w:hAnsi="Times New Roman"/>
          <w:sz w:val="16"/>
          <w:szCs w:val="16"/>
          <w:color w:val="auto"/>
        </w:rPr>
      </w:pPr>
    </w:p>
    <w:p>
      <w:pPr>
        <w:ind w:left="600" w:right="140" w:hanging="305"/>
        <w:spacing w:after="0" w:line="298"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This is the U.S. Treasury rate as of the grant date having a term equal to the expected term of the stock option. An increase in the risk-free interest rate will increase the fair value of the stock option and related compensation expense.</w:t>
      </w:r>
    </w:p>
    <w:p>
      <w:pPr>
        <w:spacing w:after="0" w:line="12" w:lineRule="exact"/>
        <w:rPr>
          <w:rFonts w:ascii="Times New Roman" w:cs="Times New Roman" w:eastAsia="Times New Roman" w:hAnsi="Times New Roman"/>
          <w:sz w:val="16"/>
          <w:szCs w:val="16"/>
          <w:color w:val="auto"/>
        </w:rPr>
      </w:pPr>
    </w:p>
    <w:p>
      <w:pPr>
        <w:ind w:left="600" w:hanging="305"/>
        <w:spacing w:after="0" w:line="277"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term - This is the period of time over which the stock options granted are expected to remain outstanding and is based on historical experience and estimated future exercise behavior. Separate groups of employees that have similar historical exercise behavior are considered separately for valuation purposes. An increase in the expected term will increase the fair value of the stock option and the related compensation expense.</w:t>
      </w:r>
    </w:p>
    <w:p>
      <w:pPr>
        <w:spacing w:after="0" w:line="30" w:lineRule="exact"/>
        <w:rPr>
          <w:rFonts w:ascii="Times New Roman" w:cs="Times New Roman" w:eastAsia="Times New Roman" w:hAnsi="Times New Roman"/>
          <w:sz w:val="16"/>
          <w:szCs w:val="16"/>
          <w:color w:val="auto"/>
        </w:rPr>
      </w:pPr>
    </w:p>
    <w:p>
      <w:pPr>
        <w:ind w:left="600" w:right="460" w:hanging="305"/>
        <w:spacing w:after="0" w:line="298"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The Company estimates a dividend yield based on the current dividend amount as a percentage of the current stock price. An increase in the dividend yield will decrease the fair value of the stock option and the related compensation expenses.</w:t>
      </w:r>
    </w:p>
    <w:p>
      <w:pPr>
        <w:spacing w:after="0" w:line="12"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Forfeitures - The Company estimates forfeitures of stock-based awards based on historical experience and expected future activity.</w:t>
      </w:r>
    </w:p>
    <w:p>
      <w:pPr>
        <w:spacing w:after="0" w:line="174"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Changes in these subjective assumptions can materially affect the estimate of fair value of stock-based compensation expense and the related amount recognized in the consolidated statements of operations.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1400"/>
          </w:cols>
          <w:pgMar w:left="240" w:top="119" w:right="259" w:bottom="1440" w:gutter="0" w:footer="0" w:header="0"/>
        </w:sectPr>
      </w:pPr>
    </w:p>
    <w:bookmarkStart w:id="61" w:name="page62"/>
    <w:bookmarkEnd w:id="61"/>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Time-Based Restricted Stock Awards</w:t>
      </w:r>
    </w:p>
    <w:p>
      <w:pPr>
        <w:spacing w:after="0" w:line="92"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Performance-Based Restricted Stock Awards</w:t>
      </w:r>
    </w:p>
    <w:p>
      <w:pPr>
        <w:spacing w:after="0" w:line="9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The Company reassesses the probability of vesting at each reporting period and adjusts stock-based compensation expense based on its probability assessment.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Awards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stock granted to non-management board members is determined based on the quoted closing price of the Company's common stock on the date of grant.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records the stock-based compensation expense immediately as there are no vesting terms.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 xml:space="preserve">The accompanying consolidated financial statements reflect current and deferred tax provisions, in accordance with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The deferred tax provision is determined under the liability method. Deferred tax assets and liabilities are recognized based on differences between the book and tax bases of assets and liabilities using presently enacted tax rates.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2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The Company assesses its income tax positions and records tax benefits for all years subject to examination based upon management's evaluation of the facts, circumstances, and information available at the reporting dates. A company may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 xml:space="preserve">For current and deferred tax provisions, ASC 740 requires an entity to account for the effects of new income tax legislation in the same reporting period that the tax legislation is enacted. Recent tax law changes known as the U.S. Tax Cuts and Jobs Act of 2017 (the "2017 Act") were enacted in the United States on December 22, 2017. The 2017 Act, among other things, reduces the United States federal corporate tax rate from 35% to 21%, requires companies to pay a one-time transition tax ("toll tax") on earnings of certain foreign subsidiaries that were previously tax deferred, and creates new taxes on certain foreign sourced earnings. For the 2017 Act, SEC Staff Accounting Bulletin No. 118, </w:t>
      </w:r>
      <w:r>
        <w:rPr>
          <w:rFonts w:ascii="Times New Roman" w:cs="Times New Roman" w:eastAsia="Times New Roman" w:hAnsi="Times New Roman"/>
          <w:sz w:val="16"/>
          <w:szCs w:val="16"/>
          <w:i w:val="1"/>
          <w:iCs w:val="1"/>
          <w:color w:val="auto"/>
        </w:rPr>
        <w:t>Income Tax Accounting Implications of the Tax Cuts and Jobs Act</w:t>
      </w:r>
      <w:r>
        <w:rPr>
          <w:rFonts w:ascii="Times New Roman" w:cs="Times New Roman" w:eastAsia="Times New Roman" w:hAnsi="Times New Roman"/>
          <w:sz w:val="16"/>
          <w:szCs w:val="16"/>
          <w:color w:val="auto"/>
        </w:rPr>
        <w:t xml:space="preserve">, permitted the Company to calculate and recognize provisional estimates during the period of enactment (fourth quarter of fiscal 2017) for the accounting of the 2017 Act. Subsequent adjustments to provisional estimates were reflected in the Company's income tax provisions/benefits during fiscal 2018. See Note 12,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to the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p>
      <w:pPr>
        <w:spacing w:after="0" w:line="92" w:lineRule="exact"/>
        <w:rPr>
          <w:sz w:val="20"/>
          <w:szCs w:val="20"/>
          <w:color w:val="auto"/>
        </w:rPr>
      </w:pPr>
    </w:p>
    <w:p>
      <w:pPr>
        <w:ind w:right="860"/>
        <w:spacing w:after="0" w:line="298" w:lineRule="auto"/>
        <w:rPr>
          <w:sz w:val="20"/>
          <w:szCs w:val="20"/>
          <w:color w:val="auto"/>
        </w:rPr>
      </w:pPr>
      <w:r>
        <w:rPr>
          <w:rFonts w:ascii="Times New Roman" w:cs="Times New Roman" w:eastAsia="Times New Roman" w:hAnsi="Times New Roman"/>
          <w:sz w:val="16"/>
          <w:szCs w:val="16"/>
          <w:color w:val="auto"/>
        </w:rPr>
        <w:t>Interest paid in cash approximated $33.6 million, $28.3 million, and $25.4 million for fiscal years 2018, 2017, and 2016, respectively. Income taxes paid in cash approximated $55.9 million, $132.9 million and $120.6 million for fiscal years 2018, 2017, and 2016, respectively.</w:t>
      </w:r>
    </w:p>
    <w:p>
      <w:pPr>
        <w:spacing w:after="0" w:line="9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6"/>
          <w:szCs w:val="16"/>
          <w:color w:val="auto"/>
        </w:rPr>
        <w:t>Additions to property, plant and equipment of approximately $1.9 million, $1.9 million, and $2.6 million were excluded from capital expenditures on the Company's consolidated statements of cash flows for fiscal years 2018, 2017, and 2016, respectively, since these amounts were accrued and unpaid at the end of each respective fiscal year.</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1420"/>
          </w:cols>
          <w:pgMar w:left="240" w:top="119" w:right="239" w:bottom="1440" w:gutter="0" w:footer="0" w:header="0"/>
        </w:sectPr>
      </w:pPr>
    </w:p>
    <w:bookmarkStart w:id="62" w:name="page63"/>
    <w:bookmarkEnd w:id="62"/>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92"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9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6"/>
          <w:szCs w:val="16"/>
          <w:color w:val="auto"/>
        </w:rPr>
        <w:t>Basic net income per share is calculated by dividing net income for the period by the weighted-average common shares outstanding for the period. Diluted net income per share includes the effect of dilutive instruments and uses the average share price for the period in determining the number of shares that are to be added to the weighted-average number of shares outstanding.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Open Market Repurchases of Common Stock</w:t>
      </w:r>
    </w:p>
    <w:p>
      <w:pPr>
        <w:spacing w:after="0" w:line="9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Shares of the Company's common stock that are repurchased by the Company through open market transactions are retired. Through the end of fiscal 2018,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Benefit Plans</w:t>
      </w:r>
    </w:p>
    <w:p>
      <w:pPr>
        <w:spacing w:after="0" w:line="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 The gains or losses that arise during the period are recognized as a component of comprehensive income, net of tax. These costs are then subsequently recognized as components of net periodic benefit cost in the consolidated statements of operations. Under the provisions of ASU No. 2015-04, </w:t>
      </w:r>
      <w:r>
        <w:rPr>
          <w:rFonts w:ascii="Times New Roman" w:cs="Times New Roman" w:eastAsia="Times New Roman" w:hAnsi="Times New Roman"/>
          <w:sz w:val="16"/>
          <w:szCs w:val="16"/>
          <w:i w:val="1"/>
          <w:iCs w:val="1"/>
          <w:color w:val="auto"/>
        </w:rPr>
        <w:t>Practical Expedient for the Measurement Date of an Employer's Defined Benefit Obligation and Plan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Assets</w:t>
      </w:r>
      <w:r>
        <w:rPr>
          <w:rFonts w:ascii="Times New Roman" w:cs="Times New Roman" w:eastAsia="Times New Roman" w:hAnsi="Times New Roman"/>
          <w:sz w:val="16"/>
          <w:szCs w:val="16"/>
          <w:color w:val="auto"/>
        </w:rPr>
        <w:t>, the Company is permitted to use December 31 of each year, as opposed to the Company's last day of each fiscal year, as an alternate measurement date for its defined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 plans.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Facility Closure and Severance Costs</w:t>
      </w:r>
    </w:p>
    <w:p>
      <w:pPr>
        <w:spacing w:after="0" w:line="9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The Company records severance costs when the appropriate notifications have been made to affected employees or when the decision is made, if the benefits are contractual. When employees are required to work for a period before termination, the severance costs are recognized over the required service period. Relocation and recruitment costs are expensed as incurred. For operating leases, lease termination costs are recognized at fair value at the date the Company ceases to use the leased property, and adjusted for the effects of deferred items recognized under the lease and reduced by estimated sub-lease rental income. Useful lives assigned to fixed assets at the facility to be closed are revised based on the specifics of the exit plan, resulting in accelerated depreciation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 and Deferred Rent</w:t>
      </w:r>
    </w:p>
    <w:p>
      <w:pPr>
        <w:spacing w:after="0" w:line="92"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6"/>
          <w:szCs w:val="16"/>
          <w:color w:val="auto"/>
        </w:rPr>
        <w:t>The Company enters into a significant number of lease transactions related to properties for its retail stores in addition to leases for offices, distribution facilities, and other uses. The lease agreements may contain provisions related to allowances for property improvements, rent escalation, and free rent periods. Substantially all of these leases are classified as operating leases for accounting purposes.</w:t>
      </w:r>
    </w:p>
    <w:p>
      <w:pPr>
        <w:spacing w:after="0" w:line="1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auto"/>
        </w:rPr>
        <w:t>For property improvement allowances, the Company records a deferred lease credit on the consolidated balance sheet and amortizes the deferred lease credit as a reduction of rent expense over the terms of the applicable lease. For scheduled rent escalation clauses during the lease term, the Company records rent expense on a straight-line basis over the term of the lease. The difference between the rent expense and the amount payable under the lease is included within the Company's liabilities on the consolidated balance sheet. The term of the lease over which the Company amortizes allowances and minimum rental expenses on a straight-line basis begins on the date of initial possession, which is generally when the Company enters the space and/or begins construction.</w:t>
      </w:r>
    </w:p>
    <w:p>
      <w:pPr>
        <w:spacing w:after="0" w:line="20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Where leases provide for contingent rents, which are generally determined as a percentage of gross sales, the Company records additional rent expense when management determines that achieving the specified level of revenue during the fiscal year is probable. Amounts accrued for contingent rent are included within the Company's liabilities on the consolidated balance sheet.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1420"/>
          </w:cols>
          <w:pgMar w:left="240" w:top="119" w:right="239" w:bottom="1440" w:gutter="0" w:footer="0" w:header="0"/>
        </w:sectPr>
      </w:pPr>
    </w:p>
    <w:bookmarkStart w:id="63" w:name="page64"/>
    <w:bookmarkEnd w:id="63"/>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9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Adopted in Fiscal 2018</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from Contracts with Customers (ASC No. 606)</w:t>
      </w:r>
    </w:p>
    <w:p>
      <w:pPr>
        <w:spacing w:after="0" w:line="88"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6"/>
          <w:szCs w:val="16"/>
          <w:color w:val="auto"/>
        </w:rPr>
        <w:t xml:space="preserve">At the beginning of fiscal 2018, the Company adopted the provisions of ASC No.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and all related amendments (“ASC 606”) using the full retrospective adoption method. Refer to Note 3,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xml:space="preserve"> for additional information.</w:t>
      </w:r>
    </w:p>
    <w:p>
      <w:pPr>
        <w:spacing w:after="0" w:line="9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 xml:space="preserve">Accounting Standards Codification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was effective for the Company at the beginning of its fiscal 2018. ASC 606 clarifies the principles for recognizing revenue and is applicable to all contracts with customers regardless of industry-specific or transaction-specific fact patterns. Further, the guidance requires improved and additional disclosures to help users of financial statements better understand the nature, amount, timing, and uncertainty of revenue that is recognized. Beginning in the first quarter of fiscal 2018, the Company applied the provisions of ASC 606 retrospectively to each prior reporting period presented for fiscal 2017 and fiscal 2016. For all periods prior to fiscal 2016, the adoption of ASC 606 is reported as an adjustment to opening retained earnings at the beginning of fiscal 2016 of approximately $0.6 million. The adoption of ASC 606, including any of the policy elections required or permitted by ASC 606, had no material effect on the Company's consolidated financial position, results of operations, cash flows, processes, systems, or controls.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Classification of Costs Related to Defined Benefit Pension and Other Post-retirement Benefit Plans (ASU 2017-07)</w:t>
      </w:r>
    </w:p>
    <w:p>
      <w:pPr>
        <w:spacing w:after="0" w:line="8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 xml:space="preserve">At the beginning of fiscal 2018, the Company adopted ASU No. 2017-07, </w:t>
      </w:r>
      <w:r>
        <w:rPr>
          <w:rFonts w:ascii="Times New Roman" w:cs="Times New Roman" w:eastAsia="Times New Roman" w:hAnsi="Times New Roman"/>
          <w:sz w:val="16"/>
          <w:szCs w:val="16"/>
          <w:i w:val="1"/>
          <w:iCs w:val="1"/>
          <w:color w:val="auto"/>
        </w:rPr>
        <w:t>Compensation - Retirement Benefits (Topic 715: Improving the Presentation of Net Periodic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Pension Cost and Net Periodic Post-retirement Benefit Cost </w:t>
      </w:r>
      <w:r>
        <w:rPr>
          <w:rFonts w:ascii="Times New Roman" w:cs="Times New Roman" w:eastAsia="Times New Roman" w:hAnsi="Times New Roman"/>
          <w:sz w:val="16"/>
          <w:szCs w:val="16"/>
          <w:color w:val="auto"/>
        </w:rPr>
        <w:t>("ASU 2017-07"). ASU 2017-07 changes how employers that sponsor defined benefit pension and/or other post-retirement benefit plans present the net periodic benefit costs in the statement of operations. Under this new guidance, an employer's statement of operations presents service cost arising in the current period in the same statement line item as other employee compensation. However, all other components of current period costs related to defined benefit plans, such as prior service costs and actuarial gains and losses, are presented on the statement of operations on a line item outside (or below) operating income. ASU 2017-07 affects only the classification of certain costs on the statement of operations, not the determination of costs. Net periodic pension costs related to the Company's frozen defined benefit pension plan and post-retirement medical benefit plan were not material for fiscal 2018, or prior periods. Prior period results have not been reclassified on the Company's statement of operations due to materiality.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Modifications to Share-based Compensation Awards (ASU 2017-09)</w:t>
      </w:r>
    </w:p>
    <w:p>
      <w:pPr>
        <w:spacing w:after="0" w:line="8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 xml:space="preserve">At the beginning of fiscal 2018, the Company adopted ASU No. 2017-09, </w:t>
      </w:r>
      <w:r>
        <w:rPr>
          <w:rFonts w:ascii="Times New Roman" w:cs="Times New Roman" w:eastAsia="Times New Roman" w:hAnsi="Times New Roman"/>
          <w:sz w:val="16"/>
          <w:szCs w:val="16"/>
          <w:i w:val="1"/>
          <w:iCs w:val="1"/>
          <w:color w:val="auto"/>
        </w:rPr>
        <w:t>Compensation-Stock Compensation Topic 718-Scope of Modification Accounting</w:t>
      </w:r>
      <w:r>
        <w:rPr>
          <w:rFonts w:ascii="Times New Roman" w:cs="Times New Roman" w:eastAsia="Times New Roman" w:hAnsi="Times New Roman"/>
          <w:sz w:val="16"/>
          <w:szCs w:val="16"/>
          <w:color w:val="auto"/>
        </w:rPr>
        <w:t xml:space="preserve"> ("ASU 2017-09"). ASU 2017-09 clarifies when changes to the terms and conditions of share-based payment awards must be accounted for as modifications. Entities apply the modification accounting guidance if the value, vesting conditions, or classification of an award changes. The Company has not modified any share-based payment awards. If the Company modifies share-based payment awards in the future, it will apply the provisions of ASU 2017-09.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Definition of a Business (ASU 2017-01)</w:t>
      </w:r>
    </w:p>
    <w:p>
      <w:pPr>
        <w:spacing w:after="0" w:line="8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 xml:space="preserve">At the beginning of fiscal 2018, the Company adopted ASU No. 2017-01, </w:t>
      </w:r>
      <w:r>
        <w:rPr>
          <w:rFonts w:ascii="Times New Roman" w:cs="Times New Roman" w:eastAsia="Times New Roman" w:hAnsi="Times New Roman"/>
          <w:sz w:val="16"/>
          <w:szCs w:val="16"/>
          <w:i w:val="1"/>
          <w:iCs w:val="1"/>
          <w:color w:val="auto"/>
        </w:rPr>
        <w:t>Business Combinations (Topic 805): Clarifying the Definition of a Business</w:t>
      </w:r>
      <w:r>
        <w:rPr>
          <w:rFonts w:ascii="Times New Roman" w:cs="Times New Roman" w:eastAsia="Times New Roman" w:hAnsi="Times New Roman"/>
          <w:sz w:val="16"/>
          <w:szCs w:val="16"/>
          <w:color w:val="auto"/>
        </w:rPr>
        <w:t xml:space="preserve"> ("ASU 2017-01"). ASU 2017-01 assists entities in determining if acquired assets constitute the acquisition of a business or the acquisition of assets for accounting and reporting purposes. This distinction is important because goodwill can only be recognized in an acquisition of a business. Prior to ASU 2017-01, if revenues were generated immediately before and after a transaction, the acquisition was typically considered a business. Under ASU 2017-01, entities are required to further assess the substance of the processes they acquire. If the Company commences or completes an acquisition in future periods, it will apply the provisions of ASU 2017-01.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Statement of Cash Flows (ASU 2016-15)</w:t>
      </w:r>
    </w:p>
    <w:p>
      <w:pPr>
        <w:spacing w:after="0" w:line="88"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6"/>
          <w:szCs w:val="16"/>
          <w:color w:val="auto"/>
        </w:rPr>
        <w:t xml:space="preserve">At the beginning of fiscal 2018, the Company adopted ASU No. 2016-15, </w:t>
      </w:r>
      <w:r>
        <w:rPr>
          <w:rFonts w:ascii="Times New Roman" w:cs="Times New Roman" w:eastAsia="Times New Roman" w:hAnsi="Times New Roman"/>
          <w:sz w:val="16"/>
          <w:szCs w:val="16"/>
          <w:i w:val="1"/>
          <w:iCs w:val="1"/>
          <w:color w:val="auto"/>
        </w:rPr>
        <w:t>Statement of Cash Flows (Topic 230)</w:t>
      </w:r>
      <w:r>
        <w:rPr>
          <w:rFonts w:ascii="Times New Roman" w:cs="Times New Roman" w:eastAsia="Times New Roman" w:hAnsi="Times New Roman"/>
          <w:sz w:val="16"/>
          <w:szCs w:val="16"/>
          <w:color w:val="auto"/>
        </w:rPr>
        <w:t xml:space="preserve"> ("ASU 2016-15"). ASU 2016-15 represents a consensus of the FASB’s Emerging Issues Task Force on eight separate issues that, if</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420"/>
          </w:cols>
          <w:pgMar w:left="240" w:top="119" w:right="239" w:bottom="1440" w:gutter="0" w:footer="0" w:header="0"/>
        </w:sectPr>
      </w:pPr>
    </w:p>
    <w:bookmarkStart w:id="64" w:name="page65"/>
    <w:bookmarkEnd w:id="64"/>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left="1" w:right="120"/>
        <w:spacing w:after="0" w:line="298" w:lineRule="auto"/>
        <w:rPr>
          <w:sz w:val="20"/>
          <w:szCs w:val="20"/>
          <w:color w:val="auto"/>
        </w:rPr>
      </w:pPr>
      <w:r>
        <w:rPr>
          <w:rFonts w:ascii="Times New Roman" w:cs="Times New Roman" w:eastAsia="Times New Roman" w:hAnsi="Times New Roman"/>
          <w:sz w:val="16"/>
          <w:szCs w:val="16"/>
          <w:color w:val="auto"/>
        </w:rPr>
        <w:t>present, can impact classifications on the statement of cash flows. The guidance requires application using a retrospective transition method. The adoption of ASU 2016-15 only impacted the classification of certain insurance proceeds on the Company's consolidated statement of cash flows for fiscal 2018.</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To Be Adopted After Fiscal 2018</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Leases (ASU 2016-02)</w:t>
      </w:r>
    </w:p>
    <w:p>
      <w:pPr>
        <w:spacing w:after="0" w:line="88" w:lineRule="exact"/>
        <w:rPr>
          <w:sz w:val="20"/>
          <w:szCs w:val="20"/>
          <w:color w:val="auto"/>
        </w:rPr>
      </w:pPr>
    </w:p>
    <w:p>
      <w:pPr>
        <w:ind w:left="1"/>
        <w:spacing w:after="0" w:line="262" w:lineRule="auto"/>
        <w:rPr>
          <w:sz w:val="20"/>
          <w:szCs w:val="20"/>
          <w:color w:val="auto"/>
        </w:rPr>
      </w:pPr>
      <w:r>
        <w:rPr>
          <w:rFonts w:ascii="Times New Roman" w:cs="Times New Roman" w:eastAsia="Times New Roman" w:hAnsi="Times New Roman"/>
          <w:sz w:val="16"/>
          <w:szCs w:val="16"/>
          <w:color w:val="auto"/>
        </w:rPr>
        <w:t xml:space="preserve">In February 2016, the FASB issued new lease accounting guidance in ASU No. 2016-02, </w:t>
      </w:r>
      <w:r>
        <w:rPr>
          <w:rFonts w:ascii="Times New Roman" w:cs="Times New Roman" w:eastAsia="Times New Roman" w:hAnsi="Times New Roman"/>
          <w:sz w:val="16"/>
          <w:szCs w:val="16"/>
          <w:i w:val="1"/>
          <w:iCs w:val="1"/>
          <w:color w:val="auto"/>
        </w:rPr>
        <w:t>Leases-Topic 842,</w:t>
      </w:r>
      <w:r>
        <w:rPr>
          <w:rFonts w:ascii="Times New Roman" w:cs="Times New Roman" w:eastAsia="Times New Roman" w:hAnsi="Times New Roman"/>
          <w:sz w:val="16"/>
          <w:szCs w:val="16"/>
          <w:color w:val="auto"/>
        </w:rPr>
        <w:t xml:space="preserve"> which has been codified in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("ASC 842"). Under this new guidance, as a lessee, certain of the Company’s leases under existing guidance are classified as operating leases that are not recorded on the balance sheet but are recorded in the statement of operations as expense is incurred. Upon adoption of the standard, the Company will be required to record substantially all leases on the balance sheet as a right-of-use ("ROU") asset and a lease liability. The Company expects to utilize the related package of practical expedients permitted by the transition guidance in ASU 2016-02, which allows the Company to carry forward its identification of contracts that are or contain leases, its historical lease classification and its initial direct costs for existing leases. The Company expects to recognize lease liabilities for its operating leases totaling between $800 million and $900 million upon adoption. The initial ROU assets recognized will be equal to the initial operating lease liabilities, adjusted for the balance on adoption date of prepaid and accrued rent, lease incentives and unamortized initial direct costs. The Company currently expects to recognize ROU assets totaling between $650 million and $750 million upon adoption. The Company does not expect adoption of the standard to have a material impact on the Company’s historical capital leases, which will be presented as finance leases under ASU 2016-02. Additionally, the Company does not believe adoption of this standard will have a material effect on the Company's consolidated results of operations or cash flows.</w:t>
      </w:r>
    </w:p>
    <w:p>
      <w:pPr>
        <w:spacing w:after="0" w:line="1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Reclassification of Certain Tax Effects from Accumulated Other Comprehensive Income (ASU 2018-02)</w:t>
      </w:r>
    </w:p>
    <w:p>
      <w:pPr>
        <w:spacing w:after="0" w:line="174" w:lineRule="exact"/>
        <w:rPr>
          <w:sz w:val="20"/>
          <w:szCs w:val="20"/>
          <w:color w:val="auto"/>
        </w:rPr>
      </w:pPr>
    </w:p>
    <w:p>
      <w:pPr>
        <w:ind w:left="1" w:right="40"/>
        <w:spacing w:after="0" w:line="261" w:lineRule="auto"/>
        <w:rPr>
          <w:sz w:val="20"/>
          <w:szCs w:val="20"/>
          <w:color w:val="auto"/>
        </w:rPr>
      </w:pPr>
      <w:r>
        <w:rPr>
          <w:rFonts w:ascii="Times New Roman" w:cs="Times New Roman" w:eastAsia="Times New Roman" w:hAnsi="Times New Roman"/>
          <w:sz w:val="16"/>
          <w:szCs w:val="16"/>
          <w:color w:val="auto"/>
        </w:rPr>
        <w:t xml:space="preserve">In February 2018, the FASB issued ASU No. 2018-02, </w:t>
      </w:r>
      <w:r>
        <w:rPr>
          <w:rFonts w:ascii="Times New Roman" w:cs="Times New Roman" w:eastAsia="Times New Roman" w:hAnsi="Times New Roman"/>
          <w:sz w:val="16"/>
          <w:szCs w:val="16"/>
          <w:i w:val="1"/>
          <w:iCs w:val="1"/>
          <w:color w:val="auto"/>
        </w:rPr>
        <w:t>Reclassification of Certain Tax Effects from Accumulated Other Comprehensive Income</w:t>
      </w:r>
      <w:r>
        <w:rPr>
          <w:rFonts w:ascii="Times New Roman" w:cs="Times New Roman" w:eastAsia="Times New Roman" w:hAnsi="Times New Roman"/>
          <w:sz w:val="16"/>
          <w:szCs w:val="16"/>
          <w:color w:val="auto"/>
        </w:rPr>
        <w:t xml:space="preserve"> ("ASU 2018-02"). ASU 2018-02 permits a company to reclassify the income tax effects of the U.S. Tax Cuts and Jobs Act of 2017 (the "2017 Tax Act") on items within accumulated other comprehensive income or loss ("AOCI-L") to retained earnings. Because most items that are charged to AOCI-L are recorded net of applicable income taxes, the subsequent reclassification of these items from AOCI-L to the statement of operations will be at different income tax rates due to the 2017 Tax Act, thereby leaving a "stranded" tax balance within AOCI-L. ASU 2018-02 will allow a company to transfer these "stranded" amounts from AOCI-L to retained earnings. ASU 2018-02 will be effective for the Company at the beginning of fiscal 2019, with early adoption permitted. The Company has amounts in its AOCI-L for defined benefit retirement plans that were recorded net of applicable income taxes, thus the Company anticipates the transfer of "stranded" tax amounts from its AOCI-L to retained earnings upon the adoption of ASU 2018-</w:t>
      </w:r>
    </w:p>
    <w:p>
      <w:pPr>
        <w:spacing w:after="0" w:line="2" w:lineRule="exact"/>
        <w:rPr>
          <w:sz w:val="20"/>
          <w:szCs w:val="20"/>
          <w:color w:val="auto"/>
        </w:rPr>
      </w:pPr>
    </w:p>
    <w:p>
      <w:pPr>
        <w:ind w:left="1" w:hanging="1"/>
        <w:spacing w:after="0" w:line="275" w:lineRule="auto"/>
        <w:tabs>
          <w:tab w:leader="none" w:pos="248"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believes the effect of the adoption of ASU 2018-02 will not be material to the Company's financial position. Further, the Company does not believe the adoption will have an effect on the Company's consolidated results of operations or cash flows.</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Credit Losses (ASU 2016-13)</w:t>
      </w:r>
    </w:p>
    <w:p>
      <w:pPr>
        <w:spacing w:after="0" w:line="88" w:lineRule="exact"/>
        <w:rPr>
          <w:sz w:val="20"/>
          <w:szCs w:val="20"/>
          <w:color w:val="auto"/>
        </w:rPr>
      </w:pPr>
    </w:p>
    <w:p>
      <w:pPr>
        <w:ind w:left="1"/>
        <w:spacing w:after="0" w:line="262" w:lineRule="auto"/>
        <w:rPr>
          <w:sz w:val="20"/>
          <w:szCs w:val="20"/>
          <w:color w:val="auto"/>
        </w:rPr>
      </w:pPr>
      <w:r>
        <w:rPr>
          <w:rFonts w:ascii="Times New Roman" w:cs="Times New Roman" w:eastAsia="Times New Roman" w:hAnsi="Times New Roman"/>
          <w:sz w:val="16"/>
          <w:szCs w:val="16"/>
          <w:color w:val="auto"/>
        </w:rPr>
        <w:t xml:space="preserve">In June 2016, the FASB issued ASU No. 2016-13, </w:t>
      </w:r>
      <w:r>
        <w:rPr>
          <w:rFonts w:ascii="Times New Roman" w:cs="Times New Roman" w:eastAsia="Times New Roman" w:hAnsi="Times New Roman"/>
          <w:sz w:val="16"/>
          <w:szCs w:val="16"/>
          <w:i w:val="1"/>
          <w:iCs w:val="1"/>
          <w:color w:val="auto"/>
        </w:rPr>
        <w:t>Financial Instruments-Credit Losses (Topic 326): Measurement of Credit Losses on Financial Instruments</w:t>
      </w:r>
      <w:r>
        <w:rPr>
          <w:rFonts w:ascii="Times New Roman" w:cs="Times New Roman" w:eastAsia="Times New Roman" w:hAnsi="Times New Roman"/>
          <w:sz w:val="16"/>
          <w:szCs w:val="16"/>
          <w:color w:val="auto"/>
        </w:rPr>
        <w:t xml:space="preserve"> ("ASU 2016-13")</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is effective for public companies for fiscal years beginning after December 15, 2019 with early adoption permitted for fiscal years beginning after December 15, 2018, including interim periods therein.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1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Goodwill Impairment Testing (ASU 2017-04)</w:t>
      </w:r>
    </w:p>
    <w:p>
      <w:pPr>
        <w:spacing w:after="0" w:line="88" w:lineRule="exact"/>
        <w:rPr>
          <w:sz w:val="20"/>
          <w:szCs w:val="20"/>
          <w:color w:val="auto"/>
        </w:rPr>
      </w:pPr>
    </w:p>
    <w:p>
      <w:pPr>
        <w:ind w:left="1" w:right="240"/>
        <w:spacing w:after="0" w:line="279" w:lineRule="auto"/>
        <w:rPr>
          <w:sz w:val="20"/>
          <w:szCs w:val="20"/>
          <w:color w:val="auto"/>
        </w:rPr>
      </w:pPr>
      <w:r>
        <w:rPr>
          <w:rFonts w:ascii="Times New Roman" w:cs="Times New Roman" w:eastAsia="Times New Roman" w:hAnsi="Times New Roman"/>
          <w:sz w:val="16"/>
          <w:szCs w:val="16"/>
          <w:color w:val="auto"/>
        </w:rPr>
        <w:t xml:space="preserve">In January 2017, the FASB issued ASU No. 2017-04, </w:t>
      </w:r>
      <w:r>
        <w:rPr>
          <w:rFonts w:ascii="Times New Roman" w:cs="Times New Roman" w:eastAsia="Times New Roman" w:hAnsi="Times New Roman"/>
          <w:sz w:val="16"/>
          <w:szCs w:val="16"/>
          <w:i w:val="1"/>
          <w:iCs w:val="1"/>
          <w:color w:val="auto"/>
        </w:rPr>
        <w:t>Intangibles-Goodwill and Other (Topic 350): Simplifying the Test for Goodwill Impairment</w:t>
      </w:r>
      <w:r>
        <w:rPr>
          <w:rFonts w:ascii="Times New Roman" w:cs="Times New Roman" w:eastAsia="Times New Roman" w:hAnsi="Times New Roman"/>
          <w:sz w:val="16"/>
          <w:szCs w:val="16"/>
          <w:color w:val="auto"/>
        </w:rPr>
        <w:t xml:space="preserve"> ("ASU 2017-04")</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ASU 2017-04 will eliminate the requirement to calculate the implied fair value of goodwill (step 2 of the current goodwill impairment test) to measure a goodwill impairment charge. Instead, entities will record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421"/>
          </w:cols>
          <w:pgMar w:left="239" w:top="119" w:right="239" w:bottom="1440" w:gutter="0" w:footer="0" w:header="0"/>
        </w:sectPr>
      </w:pPr>
    </w:p>
    <w:bookmarkStart w:id="65" w:name="page66"/>
    <w:bookmarkEnd w:id="65"/>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public companies is effective for annual and interim impairment tests performed in periods after December 15, 2019.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340"/>
          </w:cols>
          <w:pgMar w:left="240" w:top="119" w:right="319" w:bottom="1440" w:gutter="0" w:footer="0" w:header="0"/>
        </w:sectPr>
      </w:pPr>
    </w:p>
    <w:bookmarkStart w:id="66" w:name="page67"/>
    <w:bookmarkEnd w:id="66"/>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REVENUE RECOGNITION</w:t>
      </w:r>
    </w:p>
    <w:p>
      <w:pPr>
        <w:spacing w:after="0" w:line="92"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9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 xml:space="preserve">At the beginning of fiscal 2018, the Company adopted the provisions of ASC 606 using the full retrospective adoption method. Under the full retrospective method, the Company adjusted all periods in fiscal 2017 and fiscal 2016 to reflect the provisions of ASC 606, and retained earnings at January 2, 2016 (beginning of fiscal 2016) were adjusted for the cumulative effect for prior periods. Refer to the section "Revenue from Contracts with Customers (ASC No. 606)" in Note 2, </w:t>
      </w:r>
      <w:r>
        <w:rPr>
          <w:rFonts w:ascii="Times New Roman" w:cs="Times New Roman" w:eastAsia="Times New Roman" w:hAnsi="Times New Roman"/>
          <w:sz w:val="16"/>
          <w:szCs w:val="16"/>
          <w:i w:val="1"/>
          <w:iCs w:val="1"/>
          <w:color w:val="auto"/>
        </w:rPr>
        <w:t>Significant 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Policies</w:t>
      </w:r>
      <w:r>
        <w:rPr>
          <w:rFonts w:ascii="Times New Roman" w:cs="Times New Roman" w:eastAsia="Times New Roman" w:hAnsi="Times New Roman"/>
          <w:sz w:val="16"/>
          <w:szCs w:val="16"/>
          <w:color w:val="auto"/>
        </w:rPr>
        <w:t>, for changes to the Company's accounting policies due to the adoption of ASC 606.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606 affected the Company's retail channels as follows:</w:t>
      </w:r>
    </w:p>
    <w:p>
      <w:pPr>
        <w:spacing w:after="0" w:line="88" w:lineRule="exact"/>
        <w:rPr>
          <w:sz w:val="20"/>
          <w:szCs w:val="20"/>
          <w:color w:val="auto"/>
        </w:rPr>
      </w:pPr>
    </w:p>
    <w:p>
      <w:pPr>
        <w:jc w:val="both"/>
        <w:ind w:left="600" w:right="40" w:hanging="305"/>
        <w:spacing w:after="0" w:line="277" w:lineRule="auto"/>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the recognition of breakage revenue from unredeemed gift cards, which affected net sales, gross profit, income before income taxes, and net income on the Company's statements of operations. Basic and diluted net income per share were affected by $0.01 or less for each reporting period. Related gift card liabilities and income tax liabilities were also affected.</w:t>
      </w:r>
    </w:p>
    <w:p>
      <w:pPr>
        <w:spacing w:after="0" w:line="30" w:lineRule="exact"/>
        <w:rPr>
          <w:rFonts w:ascii="Times New Roman" w:cs="Times New Roman" w:eastAsia="Times New Roman" w:hAnsi="Times New Roman"/>
          <w:sz w:val="16"/>
          <w:szCs w:val="16"/>
          <w:color w:val="auto"/>
        </w:rPr>
      </w:pPr>
    </w:p>
    <w:p>
      <w:pPr>
        <w:ind w:left="600" w:right="120" w:hanging="305"/>
        <w:spacing w:after="0" w:line="277" w:lineRule="auto"/>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estimated value of goods expected to be returned by customers was reclassified between net sales and cost of goods sold, with no net effect on gross profit, income before income taxes, or net income on the Company's statement of operations. Related reclassifications were also made between other current assets and other current liabilities on the Company's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effects of retrospective adoption on the Company's consolidated Statements of Operations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4"/>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c>
          <w:tcPr>
            <w:tcW w:w="500" w:type="dxa"/>
            <w:vAlign w:val="bottom"/>
          </w:tcPr>
          <w:p>
            <w:pPr>
              <w:spacing w:after="0"/>
              <w:rPr>
                <w:sz w:val="17"/>
                <w:szCs w:val="17"/>
                <w:color w:val="auto"/>
              </w:rPr>
            </w:pPr>
          </w:p>
        </w:tc>
      </w:tr>
      <w:tr>
        <w:trPr>
          <w:trHeight w:val="30"/>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data)</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rPr>
              <w:t>2017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2016</w:t>
            </w:r>
          </w:p>
        </w:tc>
        <w:tc>
          <w:tcPr>
            <w:tcW w:w="500" w:type="dxa"/>
            <w:vAlign w:val="bottom"/>
          </w:tcPr>
          <w:p>
            <w:pPr>
              <w:spacing w:after="0"/>
              <w:rPr>
                <w:sz w:val="18"/>
                <w:szCs w:val="18"/>
                <w:color w:val="auto"/>
              </w:rPr>
            </w:pPr>
          </w:p>
        </w:tc>
      </w:tr>
      <w:tr>
        <w:trPr>
          <w:trHeight w:val="30"/>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7"/>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060" w:type="dxa"/>
            <w:vAlign w:val="bottom"/>
            <w:tcBorders>
              <w:bottom w:val="single" w:sz="8" w:color="CCEEFF"/>
            </w:tcBorders>
            <w:shd w:val="clear" w:color="auto" w:fill="CCEEFF"/>
          </w:tcPr>
          <w:p>
            <w:pPr>
              <w:jc w:val="right"/>
              <w:ind w:right="886"/>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92</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w:t>
            </w:r>
          </w:p>
        </w:tc>
      </w:tr>
      <w:tr>
        <w:trPr>
          <w:trHeight w:val="217"/>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060" w:type="dxa"/>
            <w:vAlign w:val="bottom"/>
          </w:tcPr>
          <w:p>
            <w:pPr>
              <w:jc w:val="right"/>
              <w:ind w:right="886"/>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Pr>
          <w:p>
            <w:pPr>
              <w:spacing w:after="0"/>
              <w:rPr>
                <w:sz w:val="18"/>
                <w:szCs w:val="18"/>
                <w:color w:val="auto"/>
              </w:rPr>
            </w:pPr>
          </w:p>
        </w:tc>
        <w:tc>
          <w:tcPr>
            <w:tcW w:w="960" w:type="dxa"/>
            <w:vAlign w:val="bottom"/>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30"/>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7"/>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060" w:type="dxa"/>
            <w:vAlign w:val="bottom"/>
            <w:tcBorders>
              <w:bottom w:val="single" w:sz="8" w:color="CCEEFF"/>
            </w:tcBorders>
            <w:shd w:val="clear" w:color="auto" w:fill="CCEEFF"/>
          </w:tcPr>
          <w:p>
            <w:pPr>
              <w:jc w:val="right"/>
              <w:ind w:right="886"/>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w:t>
            </w:r>
          </w:p>
        </w:tc>
      </w:tr>
      <w:tr>
        <w:trPr>
          <w:trHeight w:val="217"/>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60" w:type="dxa"/>
            <w:vAlign w:val="bottom"/>
          </w:tcPr>
          <w:p>
            <w:pPr>
              <w:jc w:val="right"/>
              <w:ind w:right="886"/>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84</w:t>
            </w:r>
          </w:p>
        </w:tc>
        <w:tc>
          <w:tcPr>
            <w:tcW w:w="120" w:type="dxa"/>
            <w:vAlign w:val="bottom"/>
          </w:tcPr>
          <w:p>
            <w:pPr>
              <w:spacing w:after="0"/>
              <w:rPr>
                <w:sz w:val="18"/>
                <w:szCs w:val="18"/>
                <w:color w:val="auto"/>
              </w:rPr>
            </w:pPr>
          </w:p>
        </w:tc>
        <w:tc>
          <w:tcPr>
            <w:tcW w:w="960" w:type="dxa"/>
            <w:vAlign w:val="bottom"/>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w:t>
            </w:r>
          </w:p>
        </w:tc>
      </w:tr>
      <w:tr>
        <w:trPr>
          <w:trHeight w:val="30"/>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8"/>
        </w:trPr>
        <w:tc>
          <w:tcPr>
            <w:tcW w:w="8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7"/>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1060" w:type="dxa"/>
            <w:vAlign w:val="bottom"/>
          </w:tcPr>
          <w:p>
            <w:pPr>
              <w:jc w:val="right"/>
              <w:ind w:right="88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r>
      <w:tr>
        <w:trPr>
          <w:trHeight w:val="30"/>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106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cumulative effect to the Company’s retained earnings at January 2, 2016 was an after-tax increase of approximately $0.6 million.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1420"/>
          </w:cols>
          <w:pgMar w:left="240" w:top="119" w:right="239" w:bottom="1440" w:gutter="0" w:footer="0" w:header="0"/>
        </w:sectPr>
      </w:pPr>
    </w:p>
    <w:bookmarkStart w:id="67" w:name="page68"/>
    <w:bookmarkEnd w:id="67"/>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effects of adoption of ASC 606 on the Company’s consolidated balance sheet at December 30, 2017 were as follows:</w:t>
      </w:r>
    </w:p>
    <w:p>
      <w:pPr>
        <w:spacing w:after="0" w:line="236"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As Previously</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As Amended for</w:t>
            </w:r>
          </w:p>
        </w:tc>
      </w:tr>
      <w:tr>
        <w:trPr>
          <w:trHeight w:val="164"/>
        </w:trPr>
        <w:tc>
          <w:tcPr>
            <w:tcW w:w="4380" w:type="dxa"/>
            <w:vAlign w:val="bottom"/>
          </w:tcPr>
          <w:p>
            <w:pPr>
              <w:ind w:left="20"/>
              <w:spacing w:after="0" w:line="164"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40"/>
              <w:spacing w:after="0" w:line="164" w:lineRule="exact"/>
              <w:rPr>
                <w:sz w:val="20"/>
                <w:szCs w:val="20"/>
                <w:color w:val="auto"/>
              </w:rPr>
            </w:pPr>
            <w:r>
              <w:rPr>
                <w:rFonts w:ascii="Times New Roman" w:cs="Times New Roman" w:eastAsia="Times New Roman" w:hAnsi="Times New Roman"/>
                <w:sz w:val="15"/>
                <w:szCs w:val="15"/>
                <w:b w:val="1"/>
                <w:bCs w:val="1"/>
                <w:color w:val="auto"/>
                <w:w w:val="96"/>
              </w:rPr>
              <w:t>Reported</w:t>
            </w:r>
          </w:p>
        </w:tc>
        <w:tc>
          <w:tcPr>
            <w:tcW w:w="260" w:type="dxa"/>
            <w:vAlign w:val="bottom"/>
          </w:tcPr>
          <w:p>
            <w:pPr>
              <w:spacing w:after="0"/>
              <w:rPr>
                <w:sz w:val="14"/>
                <w:szCs w:val="14"/>
                <w:color w:val="auto"/>
              </w:rPr>
            </w:pPr>
          </w:p>
        </w:tc>
        <w:tc>
          <w:tcPr>
            <w:tcW w:w="162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5"/>
                <w:szCs w:val="15"/>
                <w:b w:val="1"/>
                <w:bCs w:val="1"/>
                <w:color w:val="auto"/>
              </w:rPr>
              <w:t>ASC 606 Adjustments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3"/>
          </w:tcPr>
          <w:p>
            <w:pPr>
              <w:jc w:val="right"/>
              <w:ind w:right="620"/>
              <w:spacing w:after="0" w:line="164" w:lineRule="exact"/>
              <w:rPr>
                <w:sz w:val="20"/>
                <w:szCs w:val="20"/>
                <w:color w:val="auto"/>
              </w:rPr>
            </w:pPr>
            <w:r>
              <w:rPr>
                <w:rFonts w:ascii="Times New Roman" w:cs="Times New Roman" w:eastAsia="Times New Roman" w:hAnsi="Times New Roman"/>
                <w:sz w:val="15"/>
                <w:szCs w:val="15"/>
                <w:b w:val="1"/>
                <w:bCs w:val="1"/>
                <w:color w:val="auto"/>
              </w:rPr>
              <w:t>ASC 606</w:t>
            </w:r>
          </w:p>
        </w:tc>
      </w:tr>
      <w:tr>
        <w:trPr>
          <w:trHeight w:val="42"/>
        </w:trPr>
        <w:tc>
          <w:tcPr>
            <w:tcW w:w="43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22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217"/>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4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49,892</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3,043</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52,935</w:t>
            </w:r>
          </w:p>
        </w:tc>
      </w:tr>
      <w:tr>
        <w:trPr>
          <w:trHeight w:val="30"/>
        </w:trPr>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7"/>
        </w:trPr>
        <w:tc>
          <w:tcPr>
            <w:tcW w:w="4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current assets</w:t>
            </w:r>
          </w:p>
        </w:tc>
        <w:tc>
          <w:tcPr>
            <w:tcW w:w="142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1,017,669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3,043</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1,020,712</w:t>
            </w:r>
          </w:p>
        </w:tc>
      </w:tr>
      <w:tr>
        <w:trPr>
          <w:trHeight w:val="217"/>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2,067,999</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3,043</w:t>
            </w:r>
          </w:p>
        </w:tc>
        <w:tc>
          <w:tcPr>
            <w:tcW w:w="280" w:type="dxa"/>
            <w:vAlign w:val="bottom"/>
          </w:tcPr>
          <w:p>
            <w:pPr>
              <w:spacing w:after="0"/>
              <w:rPr>
                <w:sz w:val="18"/>
                <w:szCs w:val="18"/>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2,071,042</w:t>
            </w:r>
          </w:p>
        </w:tc>
      </w:tr>
      <w:tr>
        <w:trPr>
          <w:trHeight w:val="30"/>
        </w:trPr>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8"/>
        </w:trPr>
        <w:tc>
          <w:tcPr>
            <w:tcW w:w="4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7"/>
        </w:trPr>
        <w:tc>
          <w:tcPr>
            <w:tcW w:w="4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0"/>
        </w:trPr>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7"/>
        </w:trPr>
        <w:tc>
          <w:tcPr>
            <w:tcW w:w="4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42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146,510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2,624</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149,134</w:t>
            </w:r>
          </w:p>
        </w:tc>
      </w:tr>
      <w:tr>
        <w:trPr>
          <w:trHeight w:val="217"/>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328,624</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2,624</w:t>
            </w:r>
          </w:p>
        </w:tc>
        <w:tc>
          <w:tcPr>
            <w:tcW w:w="280" w:type="dxa"/>
            <w:vAlign w:val="bottom"/>
          </w:tcPr>
          <w:p>
            <w:pPr>
              <w:spacing w:after="0"/>
              <w:rPr>
                <w:sz w:val="18"/>
                <w:szCs w:val="18"/>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331,248</w:t>
            </w:r>
          </w:p>
        </w:tc>
      </w:tr>
      <w:tr>
        <w:trPr>
          <w:trHeight w:val="30"/>
        </w:trPr>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7"/>
        </w:trPr>
        <w:tc>
          <w:tcPr>
            <w:tcW w:w="4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142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84,848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96</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84,944</w:t>
            </w:r>
          </w:p>
        </w:tc>
      </w:tr>
      <w:tr>
        <w:trPr>
          <w:trHeight w:val="217"/>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liabilities</w:t>
            </w:r>
          </w:p>
        </w:tc>
        <w:tc>
          <w:tcPr>
            <w:tcW w:w="14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1,210,906</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2,720</w:t>
            </w:r>
          </w:p>
        </w:tc>
        <w:tc>
          <w:tcPr>
            <w:tcW w:w="280" w:type="dxa"/>
            <w:vAlign w:val="bottom"/>
          </w:tcPr>
          <w:p>
            <w:pPr>
              <w:spacing w:after="0"/>
              <w:rPr>
                <w:sz w:val="18"/>
                <w:szCs w:val="18"/>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1,213,626</w:t>
            </w:r>
          </w:p>
        </w:tc>
      </w:tr>
      <w:tr>
        <w:trPr>
          <w:trHeight w:val="30"/>
        </w:trPr>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8"/>
        </w:trPr>
        <w:tc>
          <w:tcPr>
            <w:tcW w:w="4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7"/>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Retained earnings</w:t>
            </w:r>
          </w:p>
        </w:tc>
        <w:tc>
          <w:tcPr>
            <w:tcW w:w="14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885,714</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323</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886,037</w:t>
            </w:r>
          </w:p>
        </w:tc>
      </w:tr>
      <w:tr>
        <w:trPr>
          <w:trHeight w:val="30"/>
        </w:trPr>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7"/>
        </w:trPr>
        <w:tc>
          <w:tcPr>
            <w:tcW w:w="4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42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857,093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323</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857,416</w:t>
            </w:r>
          </w:p>
        </w:tc>
      </w:tr>
      <w:tr>
        <w:trPr>
          <w:trHeight w:val="198"/>
        </w:trPr>
        <w:tc>
          <w:tcPr>
            <w:tcW w:w="4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14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2,067,999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3,043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2,071,042</w:t>
            </w:r>
          </w:p>
        </w:tc>
      </w:tr>
      <w:tr>
        <w:trPr>
          <w:trHeight w:val="30"/>
        </w:trPr>
        <w:tc>
          <w:tcPr>
            <w:tcW w:w="4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9" w:lineRule="exact"/>
        <w:rPr>
          <w:sz w:val="20"/>
          <w:szCs w:val="20"/>
          <w:color w:val="auto"/>
        </w:rPr>
      </w:pPr>
    </w:p>
    <w:p>
      <w:pPr>
        <w:ind w:left="441" w:right="20" w:hanging="441"/>
        <w:spacing w:after="0" w:line="260" w:lineRule="auto"/>
        <w:tabs>
          <w:tab w:leader="none" w:pos="44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Reclassification of estimated inventory expected to be returned by customers through future sales refund transactions. This amount was reclassified from the returns reserve (current liability) to a current asset. Prior to the Company's adoption of ASC 606, the Company's returns reserve (current liability) was reported net of the estimated inventory expected to be returned by customers through sales refund transactions.</w:t>
      </w:r>
    </w:p>
    <w:p>
      <w:pPr>
        <w:spacing w:after="0" w:line="195" w:lineRule="exact"/>
        <w:rPr>
          <w:rFonts w:ascii="Times New Roman" w:cs="Times New Roman" w:eastAsia="Times New Roman" w:hAnsi="Times New Roman"/>
          <w:sz w:val="13"/>
          <w:szCs w:val="13"/>
          <w:color w:val="auto"/>
        </w:rPr>
      </w:pPr>
    </w:p>
    <w:p>
      <w:pPr>
        <w:ind w:left="441" w:right="80" w:hanging="441"/>
        <w:spacing w:after="0" w:line="273" w:lineRule="auto"/>
        <w:tabs>
          <w:tab w:leader="none" w:pos="44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includes a reclassification of approximately $3.0 million for estimated inventory expected to be returned by customers, partially offset by a reclassification of approximately $0.4 million for gift card liabilities.</w:t>
      </w:r>
    </w:p>
    <w:p>
      <w:pPr>
        <w:spacing w:after="0" w:line="30"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Cumulative impact of approximately $0.6 million for after-tax adjustments to retained earnings at the beginning of fiscal 2016, offset by ASC 606 effects on fiscal 2017 and fiscal 2016 results of operations.</w:t>
      </w:r>
    </w:p>
    <w:p>
      <w:pPr>
        <w:spacing w:after="0" w:line="3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92" w:lineRule="exact"/>
        <w:rPr>
          <w:sz w:val="20"/>
          <w:szCs w:val="20"/>
          <w:color w:val="auto"/>
        </w:rPr>
      </w:pPr>
    </w:p>
    <w:p>
      <w:pPr>
        <w:ind w:left="1" w:right="180"/>
        <w:spacing w:after="0" w:line="290" w:lineRule="auto"/>
        <w:rPr>
          <w:sz w:val="20"/>
          <w:szCs w:val="20"/>
          <w:color w:val="auto"/>
        </w:rPr>
      </w:pPr>
      <w:r>
        <w:rPr>
          <w:rFonts w:ascii="Times New Roman" w:cs="Times New Roman" w:eastAsia="Times New Roman" w:hAnsi="Times New Roman"/>
          <w:sz w:val="16"/>
          <w:szCs w:val="16"/>
          <w:color w:val="auto"/>
        </w:rPr>
        <w:t>The Company sells its products directly to consumers ("direct-to-consumer") and to other retail companies and partners that subsequently sell the products directly to their own retail customers. The Company also earns royalties from its licensees. Disaggregated revenues from these sources for fiscal years 2018, 2017, and 2016 were as follows:</w:t>
      </w:r>
    </w:p>
    <w:p>
      <w:pPr>
        <w:spacing w:after="0" w:line="384"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gridSpan w:val="8"/>
          </w:tcPr>
          <w:p>
            <w:pPr>
              <w:ind w:left="220"/>
              <w:spacing w:after="0"/>
              <w:rPr>
                <w:sz w:val="20"/>
                <w:szCs w:val="20"/>
                <w:color w:val="auto"/>
              </w:rPr>
            </w:pPr>
            <w:r>
              <w:rPr>
                <w:rFonts w:ascii="Times New Roman" w:cs="Times New Roman" w:eastAsia="Times New Roman" w:hAnsi="Times New Roman"/>
                <w:sz w:val="15"/>
                <w:szCs w:val="15"/>
                <w:b w:val="1"/>
                <w:bCs w:val="1"/>
                <w:color w:val="auto"/>
              </w:rPr>
              <w:t>Fiscal year ended December 29, 2018</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8"/>
        </w:trPr>
        <w:tc>
          <w:tcPr>
            <w:tcW w:w="4240" w:type="dxa"/>
            <w:vAlign w:val="bottom"/>
          </w:tcPr>
          <w:p>
            <w:pPr>
              <w:jc w:val="right"/>
              <w:ind w:right="2826"/>
              <w:spacing w:after="0"/>
              <w:rPr>
                <w:sz w:val="20"/>
                <w:szCs w:val="20"/>
                <w:color w:val="auto"/>
              </w:rPr>
            </w:pPr>
            <w:r>
              <w:rPr>
                <w:rFonts w:ascii="Times New Roman" w:cs="Times New Roman" w:eastAsia="Times New Roman" w:hAnsi="Times New Roman"/>
                <w:sz w:val="15"/>
                <w:szCs w:val="15"/>
                <w:i w:val="1"/>
                <w:iCs w:val="1"/>
                <w:color w:val="auto"/>
                <w:w w:val="99"/>
              </w:rPr>
              <w:t>(dollars in thousands)</w:t>
            </w:r>
          </w:p>
        </w:tc>
        <w:tc>
          <w:tcPr>
            <w:tcW w:w="320" w:type="dxa"/>
            <w:vAlign w:val="bottom"/>
          </w:tcPr>
          <w:p>
            <w:pPr>
              <w:spacing w:after="0"/>
              <w:rPr>
                <w:sz w:val="15"/>
                <w:szCs w:val="15"/>
                <w:color w:val="auto"/>
              </w:rPr>
            </w:pPr>
          </w:p>
        </w:tc>
        <w:tc>
          <w:tcPr>
            <w:tcW w:w="1540" w:type="dxa"/>
            <w:vAlign w:val="bottom"/>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U.S. Retail</w:t>
            </w:r>
          </w:p>
        </w:tc>
        <w:tc>
          <w:tcPr>
            <w:tcW w:w="36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U.S. Wholesale</w:t>
            </w:r>
          </w:p>
        </w:tc>
        <w:tc>
          <w:tcPr>
            <w:tcW w:w="280" w:type="dxa"/>
            <w:vAlign w:val="bottom"/>
          </w:tcPr>
          <w:p>
            <w:pPr>
              <w:spacing w:after="0"/>
              <w:rPr>
                <w:sz w:val="15"/>
                <w:szCs w:val="15"/>
                <w:color w:val="auto"/>
              </w:rPr>
            </w:pPr>
          </w:p>
        </w:tc>
        <w:tc>
          <w:tcPr>
            <w:tcW w:w="1540" w:type="dxa"/>
            <w:vAlign w:val="bottom"/>
            <w:gridSpan w:val="4"/>
          </w:tcPr>
          <w:p>
            <w:pPr>
              <w:ind w:left="16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700" w:type="dxa"/>
            <w:vAlign w:val="bottom"/>
          </w:tcPr>
          <w:p>
            <w:pPr>
              <w:spacing w:after="0"/>
              <w:rPr>
                <w:sz w:val="15"/>
                <w:szCs w:val="15"/>
                <w:color w:val="auto"/>
              </w:rPr>
            </w:pPr>
          </w:p>
        </w:tc>
        <w:tc>
          <w:tcPr>
            <w:tcW w:w="100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w w:val="87"/>
              </w:rPr>
              <w:t>Total</w:t>
            </w:r>
          </w:p>
        </w:tc>
      </w:tr>
      <w:tr>
        <w:trPr>
          <w:trHeight w:val="42"/>
        </w:trPr>
        <w:tc>
          <w:tcPr>
            <w:tcW w:w="4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r>
      <w:tr>
        <w:trPr>
          <w:trHeight w:val="227"/>
        </w:trPr>
        <w:tc>
          <w:tcPr>
            <w:tcW w:w="4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Wholesale channel</w:t>
            </w: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1,180,687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163,637</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1,344,324</w:t>
            </w:r>
          </w:p>
        </w:tc>
      </w:tr>
      <w:tr>
        <w:trPr>
          <w:trHeight w:val="217"/>
        </w:trPr>
        <w:tc>
          <w:tcPr>
            <w:tcW w:w="4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Direct-to-consumer</w:t>
            </w:r>
          </w:p>
        </w:tc>
        <w:tc>
          <w:tcPr>
            <w:tcW w:w="320" w:type="dxa"/>
            <w:vAlign w:val="bottom"/>
          </w:tcPr>
          <w:p>
            <w:pPr>
              <w:spacing w:after="0"/>
              <w:rPr>
                <w:sz w:val="18"/>
                <w:szCs w:val="18"/>
                <w:color w:val="auto"/>
              </w:rPr>
            </w:pPr>
          </w:p>
        </w:tc>
        <w:tc>
          <w:tcPr>
            <w:tcW w:w="1420" w:type="dxa"/>
            <w:vAlign w:val="bottom"/>
            <w:gridSpan w:val="3"/>
          </w:tcPr>
          <w:p>
            <w:pPr>
              <w:jc w:val="right"/>
              <w:ind w:right="46"/>
              <w:spacing w:after="0"/>
              <w:rPr>
                <w:sz w:val="20"/>
                <w:szCs w:val="20"/>
                <w:color w:val="auto"/>
              </w:rPr>
            </w:pPr>
            <w:r>
              <w:rPr>
                <w:rFonts w:ascii="Times New Roman" w:cs="Times New Roman" w:eastAsia="Times New Roman" w:hAnsi="Times New Roman"/>
                <w:sz w:val="15"/>
                <w:szCs w:val="15"/>
                <w:color w:val="auto"/>
              </w:rPr>
              <w:t>1,851,193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266,752</w:t>
            </w:r>
          </w:p>
        </w:tc>
        <w:tc>
          <w:tcPr>
            <w:tcW w:w="100" w:type="dxa"/>
            <w:vAlign w:val="bottom"/>
          </w:tcPr>
          <w:p>
            <w:pPr>
              <w:spacing w:after="0"/>
              <w:rPr>
                <w:sz w:val="18"/>
                <w:szCs w:val="18"/>
                <w:color w:val="auto"/>
              </w:rPr>
            </w:pPr>
          </w:p>
        </w:tc>
        <w:tc>
          <w:tcPr>
            <w:tcW w:w="700" w:type="dxa"/>
            <w:vAlign w:val="bottom"/>
          </w:tcPr>
          <w:p>
            <w:pPr>
              <w:jc w:val="right"/>
              <w:ind w:right="52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2,117,945</w:t>
            </w:r>
          </w:p>
        </w:tc>
      </w:tr>
      <w:tr>
        <w:trPr>
          <w:trHeight w:val="30"/>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2"/>
        </w:trPr>
        <w:tc>
          <w:tcPr>
            <w:tcW w:w="4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1,851,193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1,180,687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430,389</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3,462,269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4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Royalty income</w:t>
            </w:r>
          </w:p>
        </w:tc>
        <w:tc>
          <w:tcPr>
            <w:tcW w:w="3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12,877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22,511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38,930</w:t>
            </w:r>
          </w:p>
        </w:tc>
      </w:tr>
      <w:tr>
        <w:trPr>
          <w:trHeight w:val="30"/>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05" w:lineRule="exact"/>
        <w:rPr>
          <w:sz w:val="20"/>
          <w:szCs w:val="20"/>
          <w:color w:val="auto"/>
        </w:rPr>
      </w:pPr>
    </w:p>
    <w:tbl>
      <w:tblPr>
        <w:tblLayout w:type="fixed"/>
        <w:tblInd w:w="21"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40" w:type="dxa"/>
            <w:vAlign w:val="bottom"/>
            <w:gridSpan w:val="8"/>
          </w:tcPr>
          <w:p>
            <w:pPr>
              <w:ind w:left="200"/>
              <w:spacing w:after="0"/>
              <w:rPr>
                <w:sz w:val="20"/>
                <w:szCs w:val="20"/>
                <w:color w:val="auto"/>
              </w:rPr>
            </w:pPr>
            <w:r>
              <w:rPr>
                <w:rFonts w:ascii="Times New Roman" w:cs="Times New Roman" w:eastAsia="Times New Roman" w:hAnsi="Times New Roman"/>
                <w:sz w:val="15"/>
                <w:szCs w:val="15"/>
                <w:b w:val="1"/>
                <w:bCs w:val="1"/>
                <w:color w:val="auto"/>
              </w:rPr>
              <w:t>Fiscal year ended December 30, 2017</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8"/>
        </w:trPr>
        <w:tc>
          <w:tcPr>
            <w:tcW w:w="4220" w:type="dxa"/>
            <w:vAlign w:val="bottom"/>
          </w:tcPr>
          <w:p>
            <w:pPr>
              <w:jc w:val="right"/>
              <w:ind w:right="2826"/>
              <w:spacing w:after="0"/>
              <w:rPr>
                <w:sz w:val="20"/>
                <w:szCs w:val="20"/>
                <w:color w:val="auto"/>
              </w:rPr>
            </w:pPr>
            <w:r>
              <w:rPr>
                <w:rFonts w:ascii="Times New Roman" w:cs="Times New Roman" w:eastAsia="Times New Roman" w:hAnsi="Times New Roman"/>
                <w:sz w:val="15"/>
                <w:szCs w:val="15"/>
                <w:i w:val="1"/>
                <w:iCs w:val="1"/>
                <w:color w:val="auto"/>
                <w:w w:val="98"/>
              </w:rPr>
              <w:t>(dollars in thousands)</w:t>
            </w:r>
          </w:p>
        </w:tc>
        <w:tc>
          <w:tcPr>
            <w:tcW w:w="320" w:type="dxa"/>
            <w:vAlign w:val="bottom"/>
          </w:tcPr>
          <w:p>
            <w:pPr>
              <w:spacing w:after="0"/>
              <w:rPr>
                <w:sz w:val="15"/>
                <w:szCs w:val="15"/>
                <w:color w:val="auto"/>
              </w:rPr>
            </w:pPr>
          </w:p>
        </w:tc>
        <w:tc>
          <w:tcPr>
            <w:tcW w:w="1540" w:type="dxa"/>
            <w:vAlign w:val="bottom"/>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U.S. Retail</w:t>
            </w:r>
          </w:p>
        </w:tc>
        <w:tc>
          <w:tcPr>
            <w:tcW w:w="3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U.S. Wholesale</w:t>
            </w:r>
          </w:p>
        </w:tc>
        <w:tc>
          <w:tcPr>
            <w:tcW w:w="260" w:type="dxa"/>
            <w:vAlign w:val="bottom"/>
          </w:tcPr>
          <w:p>
            <w:pPr>
              <w:spacing w:after="0"/>
              <w:rPr>
                <w:sz w:val="15"/>
                <w:szCs w:val="15"/>
                <w:color w:val="auto"/>
              </w:rPr>
            </w:pPr>
          </w:p>
        </w:tc>
        <w:tc>
          <w:tcPr>
            <w:tcW w:w="1540" w:type="dxa"/>
            <w:vAlign w:val="bottom"/>
            <w:gridSpan w:val="4"/>
          </w:tcPr>
          <w:p>
            <w:pPr>
              <w:ind w:left="16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680" w:type="dxa"/>
            <w:vAlign w:val="bottom"/>
          </w:tcPr>
          <w:p>
            <w:pPr>
              <w:spacing w:after="0"/>
              <w:rPr>
                <w:sz w:val="15"/>
                <w:szCs w:val="15"/>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w w:val="93"/>
              </w:rPr>
              <w:t>Total</w:t>
            </w:r>
          </w:p>
        </w:tc>
      </w:tr>
      <w:tr>
        <w:trPr>
          <w:trHeight w:val="42"/>
        </w:trPr>
        <w:tc>
          <w:tcPr>
            <w:tcW w:w="4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r>
      <w:tr>
        <w:trPr>
          <w:trHeight w:val="227"/>
        </w:trPr>
        <w:tc>
          <w:tcPr>
            <w:tcW w:w="42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Wholesale channel</w:t>
            </w: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1,209,663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160,850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1,370,513</w:t>
            </w:r>
          </w:p>
        </w:tc>
      </w:tr>
      <w:tr>
        <w:trPr>
          <w:trHeight w:val="217"/>
        </w:trPr>
        <w:tc>
          <w:tcPr>
            <w:tcW w:w="422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Direct-to-consumer</w:t>
            </w:r>
          </w:p>
        </w:tc>
        <w:tc>
          <w:tcPr>
            <w:tcW w:w="320" w:type="dxa"/>
            <w:vAlign w:val="bottom"/>
          </w:tcPr>
          <w:p>
            <w:pPr>
              <w:spacing w:after="0"/>
              <w:rPr>
                <w:sz w:val="18"/>
                <w:szCs w:val="18"/>
                <w:color w:val="auto"/>
              </w:rPr>
            </w:pPr>
          </w:p>
        </w:tc>
        <w:tc>
          <w:tcPr>
            <w:tcW w:w="1420" w:type="dxa"/>
            <w:vAlign w:val="bottom"/>
            <w:gridSpan w:val="3"/>
          </w:tcPr>
          <w:p>
            <w:pPr>
              <w:jc w:val="right"/>
              <w:ind w:right="46"/>
              <w:spacing w:after="0"/>
              <w:rPr>
                <w:sz w:val="20"/>
                <w:szCs w:val="20"/>
                <w:color w:val="auto"/>
              </w:rPr>
            </w:pPr>
            <w:r>
              <w:rPr>
                <w:rFonts w:ascii="Times New Roman" w:cs="Times New Roman" w:eastAsia="Times New Roman" w:hAnsi="Times New Roman"/>
                <w:sz w:val="15"/>
                <w:szCs w:val="15"/>
                <w:color w:val="auto"/>
              </w:rPr>
              <w:t>1,775,378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254,613</w:t>
            </w:r>
          </w:p>
        </w:tc>
        <w:tc>
          <w:tcPr>
            <w:tcW w:w="100" w:type="dxa"/>
            <w:vAlign w:val="bottom"/>
          </w:tcPr>
          <w:p>
            <w:pPr>
              <w:spacing w:after="0"/>
              <w:rPr>
                <w:sz w:val="18"/>
                <w:szCs w:val="18"/>
                <w:color w:val="auto"/>
              </w:rPr>
            </w:pPr>
          </w:p>
        </w:tc>
        <w:tc>
          <w:tcPr>
            <w:tcW w:w="680" w:type="dxa"/>
            <w:vAlign w:val="bottom"/>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2,029,991</w:t>
            </w:r>
          </w:p>
        </w:tc>
      </w:tr>
      <w:tr>
        <w:trPr>
          <w:trHeight w:val="30"/>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2"/>
        </w:trPr>
        <w:tc>
          <w:tcPr>
            <w:tcW w:w="4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1,775,378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1,209,663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415,463</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3,400,504</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42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Royalty income</w:t>
            </w:r>
          </w:p>
        </w:tc>
        <w:tc>
          <w:tcPr>
            <w:tcW w:w="3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15,541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23,767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3,873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43,181</w:t>
            </w:r>
          </w:p>
        </w:tc>
      </w:tr>
      <w:tr>
        <w:trPr>
          <w:trHeight w:val="30"/>
        </w:trPr>
        <w:tc>
          <w:tcPr>
            <w:tcW w:w="4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1421"/>
          </w:cols>
          <w:pgMar w:left="239" w:top="119" w:right="239" w:bottom="1440" w:gutter="0" w:footer="0" w:header="0"/>
        </w:sectPr>
      </w:pPr>
    </w:p>
    <w:bookmarkStart w:id="68" w:name="page69"/>
    <w:bookmarkEnd w:id="68"/>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378" w:lineRule="exact"/>
        <w:rPr>
          <w:sz w:val="20"/>
          <w:szCs w:val="20"/>
          <w:color w:val="auto"/>
        </w:rPr>
      </w:pPr>
    </w:p>
    <w:tbl>
      <w:tblPr>
        <w:tblLayout w:type="fixed"/>
        <w:tblInd w:w="21"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40" w:type="dxa"/>
            <w:vAlign w:val="bottom"/>
            <w:gridSpan w:val="8"/>
          </w:tcPr>
          <w:p>
            <w:pPr>
              <w:ind w:left="200"/>
              <w:spacing w:after="0"/>
              <w:rPr>
                <w:sz w:val="20"/>
                <w:szCs w:val="20"/>
                <w:color w:val="auto"/>
              </w:rPr>
            </w:pPr>
            <w:r>
              <w:rPr>
                <w:rFonts w:ascii="Times New Roman" w:cs="Times New Roman" w:eastAsia="Times New Roman" w:hAnsi="Times New Roman"/>
                <w:sz w:val="15"/>
                <w:szCs w:val="15"/>
                <w:b w:val="1"/>
                <w:bCs w:val="1"/>
                <w:color w:val="auto"/>
              </w:rPr>
              <w:t>Fiscal year ended December 31, 2016</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8"/>
        </w:trPr>
        <w:tc>
          <w:tcPr>
            <w:tcW w:w="4220" w:type="dxa"/>
            <w:vAlign w:val="bottom"/>
          </w:tcPr>
          <w:p>
            <w:pPr>
              <w:jc w:val="right"/>
              <w:ind w:right="2826"/>
              <w:spacing w:after="0"/>
              <w:rPr>
                <w:sz w:val="20"/>
                <w:szCs w:val="20"/>
                <w:color w:val="auto"/>
              </w:rPr>
            </w:pPr>
            <w:r>
              <w:rPr>
                <w:rFonts w:ascii="Times New Roman" w:cs="Times New Roman" w:eastAsia="Times New Roman" w:hAnsi="Times New Roman"/>
                <w:sz w:val="15"/>
                <w:szCs w:val="15"/>
                <w:i w:val="1"/>
                <w:iCs w:val="1"/>
                <w:color w:val="auto"/>
                <w:w w:val="98"/>
              </w:rPr>
              <w:t>(dollars in thousands)</w:t>
            </w:r>
          </w:p>
        </w:tc>
        <w:tc>
          <w:tcPr>
            <w:tcW w:w="320" w:type="dxa"/>
            <w:vAlign w:val="bottom"/>
          </w:tcPr>
          <w:p>
            <w:pPr>
              <w:spacing w:after="0"/>
              <w:rPr>
                <w:sz w:val="15"/>
                <w:szCs w:val="15"/>
                <w:color w:val="auto"/>
              </w:rPr>
            </w:pPr>
          </w:p>
        </w:tc>
        <w:tc>
          <w:tcPr>
            <w:tcW w:w="1540" w:type="dxa"/>
            <w:vAlign w:val="bottom"/>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U.S. Retail</w:t>
            </w:r>
          </w:p>
        </w:tc>
        <w:tc>
          <w:tcPr>
            <w:tcW w:w="3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U.S. Wholesale</w:t>
            </w:r>
          </w:p>
        </w:tc>
        <w:tc>
          <w:tcPr>
            <w:tcW w:w="260" w:type="dxa"/>
            <w:vAlign w:val="bottom"/>
          </w:tcPr>
          <w:p>
            <w:pPr>
              <w:spacing w:after="0"/>
              <w:rPr>
                <w:sz w:val="15"/>
                <w:szCs w:val="15"/>
                <w:color w:val="auto"/>
              </w:rPr>
            </w:pPr>
          </w:p>
        </w:tc>
        <w:tc>
          <w:tcPr>
            <w:tcW w:w="1540" w:type="dxa"/>
            <w:vAlign w:val="bottom"/>
            <w:gridSpan w:val="4"/>
          </w:tcPr>
          <w:p>
            <w:pPr>
              <w:ind w:left="16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680" w:type="dxa"/>
            <w:vAlign w:val="bottom"/>
          </w:tcPr>
          <w:p>
            <w:pPr>
              <w:spacing w:after="0"/>
              <w:rPr>
                <w:sz w:val="15"/>
                <w:szCs w:val="15"/>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w w:val="93"/>
              </w:rPr>
              <w:t>Total</w:t>
            </w:r>
          </w:p>
        </w:tc>
      </w:tr>
      <w:tr>
        <w:trPr>
          <w:trHeight w:val="42"/>
        </w:trPr>
        <w:tc>
          <w:tcPr>
            <w:tcW w:w="4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r>
      <w:tr>
        <w:trPr>
          <w:trHeight w:val="227"/>
        </w:trPr>
        <w:tc>
          <w:tcPr>
            <w:tcW w:w="42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Wholesale channel</w:t>
            </w: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1,178,034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133,681</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1,311,715</w:t>
            </w:r>
          </w:p>
        </w:tc>
      </w:tr>
      <w:tr>
        <w:trPr>
          <w:trHeight w:val="217"/>
        </w:trPr>
        <w:tc>
          <w:tcPr>
            <w:tcW w:w="422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Direct-to-consumer</w:t>
            </w:r>
          </w:p>
        </w:tc>
        <w:tc>
          <w:tcPr>
            <w:tcW w:w="320" w:type="dxa"/>
            <w:vAlign w:val="bottom"/>
          </w:tcPr>
          <w:p>
            <w:pPr>
              <w:spacing w:after="0"/>
              <w:rPr>
                <w:sz w:val="18"/>
                <w:szCs w:val="18"/>
                <w:color w:val="auto"/>
              </w:rPr>
            </w:pPr>
          </w:p>
        </w:tc>
        <w:tc>
          <w:tcPr>
            <w:tcW w:w="1420" w:type="dxa"/>
            <w:vAlign w:val="bottom"/>
            <w:gridSpan w:val="3"/>
          </w:tcPr>
          <w:p>
            <w:pPr>
              <w:jc w:val="right"/>
              <w:ind w:right="46"/>
              <w:spacing w:after="0"/>
              <w:rPr>
                <w:sz w:val="20"/>
                <w:szCs w:val="20"/>
                <w:color w:val="auto"/>
              </w:rPr>
            </w:pPr>
            <w:r>
              <w:rPr>
                <w:rFonts w:ascii="Times New Roman" w:cs="Times New Roman" w:eastAsia="Times New Roman" w:hAnsi="Times New Roman"/>
                <w:sz w:val="15"/>
                <w:szCs w:val="15"/>
                <w:color w:val="auto"/>
              </w:rPr>
              <w:t>1,655,784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231,044</w:t>
            </w:r>
          </w:p>
        </w:tc>
        <w:tc>
          <w:tcPr>
            <w:tcW w:w="100" w:type="dxa"/>
            <w:vAlign w:val="bottom"/>
          </w:tcPr>
          <w:p>
            <w:pPr>
              <w:spacing w:after="0"/>
              <w:rPr>
                <w:sz w:val="18"/>
                <w:szCs w:val="18"/>
                <w:color w:val="auto"/>
              </w:rPr>
            </w:pPr>
          </w:p>
        </w:tc>
        <w:tc>
          <w:tcPr>
            <w:tcW w:w="680" w:type="dxa"/>
            <w:vAlign w:val="bottom"/>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1,886,828</w:t>
            </w:r>
          </w:p>
        </w:tc>
      </w:tr>
      <w:tr>
        <w:trPr>
          <w:trHeight w:val="30"/>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2"/>
        </w:trPr>
        <w:tc>
          <w:tcPr>
            <w:tcW w:w="4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1,655,784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1,178,034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364,725</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3,198,543</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42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Royalty income</w:t>
            </w:r>
          </w:p>
        </w:tc>
        <w:tc>
          <w:tcPr>
            <w:tcW w:w="3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12,318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5,497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42,815</w:t>
            </w:r>
          </w:p>
        </w:tc>
      </w:tr>
      <w:tr>
        <w:trPr>
          <w:trHeight w:val="30"/>
        </w:trPr>
        <w:tc>
          <w:tcPr>
            <w:tcW w:w="4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Accounts Receivable from Customers and Licensees</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components of Accounts receivable, net, were as follows:</w:t>
      </w:r>
    </w:p>
    <w:p>
      <w:pPr>
        <w:spacing w:after="0" w:line="249"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80" w:type="dxa"/>
            <w:vAlign w:val="bottom"/>
          </w:tcPr>
          <w:p>
            <w:pPr>
              <w:spacing w:after="0"/>
              <w:rPr>
                <w:sz w:val="17"/>
                <w:szCs w:val="17"/>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40" w:type="dxa"/>
            <w:vAlign w:val="bottom"/>
          </w:tcPr>
          <w:p>
            <w:pPr>
              <w:spacing w:after="0"/>
              <w:rPr>
                <w:sz w:val="17"/>
                <w:szCs w:val="17"/>
                <w:color w:val="auto"/>
              </w:rPr>
            </w:pPr>
          </w:p>
        </w:tc>
        <w:tc>
          <w:tcPr>
            <w:tcW w:w="1680" w:type="dxa"/>
            <w:vAlign w:val="bottom"/>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7"/>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receivables from wholesale customers, net</w:t>
            </w: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244,258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229,968</w:t>
            </w:r>
          </w:p>
        </w:tc>
      </w:tr>
      <w:tr>
        <w:trPr>
          <w:trHeight w:val="217"/>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Royalties receivable</w:t>
            </w:r>
          </w:p>
        </w:tc>
        <w:tc>
          <w:tcPr>
            <w:tcW w:w="280" w:type="dxa"/>
            <w:vAlign w:val="bottom"/>
          </w:tcPr>
          <w:p>
            <w:pPr>
              <w:spacing w:after="0"/>
              <w:rPr>
                <w:sz w:val="18"/>
                <w:szCs w:val="18"/>
                <w:color w:val="auto"/>
              </w:rPr>
            </w:pP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9,279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9,818</w:t>
            </w:r>
          </w:p>
        </w:tc>
      </w:tr>
      <w:tr>
        <w:trPr>
          <w:trHeight w:val="30"/>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7"/>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Tenant allowances and other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16,588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14,511</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gross receivables</w:t>
            </w:r>
          </w:p>
        </w:tc>
        <w:tc>
          <w:tcPr>
            <w:tcW w:w="28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270,125</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254,297</w:t>
            </w:r>
          </w:p>
        </w:tc>
      </w:tr>
      <w:tr>
        <w:trPr>
          <w:trHeight w:val="30"/>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7"/>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Wholesale accounts receivable reserves</w:t>
            </w:r>
          </w:p>
        </w:tc>
        <w:tc>
          <w:tcPr>
            <w:tcW w:w="280" w:type="dxa"/>
            <w:vAlign w:val="bottom"/>
          </w:tcPr>
          <w:p>
            <w:pPr>
              <w:spacing w:after="0"/>
              <w:rPr>
                <w:sz w:val="18"/>
                <w:szCs w:val="18"/>
                <w:color w:val="auto"/>
              </w:rPr>
            </w:pPr>
          </w:p>
        </w:tc>
        <w:tc>
          <w:tcPr>
            <w:tcW w:w="1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(11,866)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(13,736)</w:t>
            </w:r>
          </w:p>
        </w:tc>
      </w:tr>
      <w:tr>
        <w:trPr>
          <w:trHeight w:val="30"/>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receivable, net</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258,259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240,561</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Contract Assets and Liabilities</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Company's contract assets are not material.</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Contract Liabilities</w:t>
      </w:r>
    </w:p>
    <w:p>
      <w:pPr>
        <w:spacing w:after="0" w:line="92" w:lineRule="exact"/>
        <w:rPr>
          <w:sz w:val="20"/>
          <w:szCs w:val="20"/>
          <w:color w:val="auto"/>
        </w:rPr>
      </w:pPr>
    </w:p>
    <w:p>
      <w:pPr>
        <w:ind w:left="1" w:right="520"/>
        <w:spacing w:after="0" w:line="298" w:lineRule="auto"/>
        <w:rPr>
          <w:sz w:val="20"/>
          <w:szCs w:val="20"/>
          <w:color w:val="auto"/>
        </w:rPr>
      </w:pPr>
      <w:r>
        <w:rPr>
          <w:rFonts w:ascii="Times New Roman" w:cs="Times New Roman" w:eastAsia="Times New Roman" w:hAnsi="Times New Roman"/>
          <w:sz w:val="16"/>
          <w:szCs w:val="16"/>
          <w:color w:val="auto"/>
        </w:rPr>
        <w:t>The Company recognizes a contract liability when it has received consideration from the customer and has a future obligation to transfer goods to the customer. Total contract liabilities consisted of the following amounts:</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80" w:type="dxa"/>
            <w:vAlign w:val="bottom"/>
          </w:tcPr>
          <w:p>
            <w:pPr>
              <w:spacing w:after="0"/>
              <w:rPr>
                <w:sz w:val="17"/>
                <w:szCs w:val="17"/>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40" w:type="dxa"/>
            <w:vAlign w:val="bottom"/>
          </w:tcPr>
          <w:p>
            <w:pPr>
              <w:spacing w:after="0"/>
              <w:rPr>
                <w:sz w:val="17"/>
                <w:szCs w:val="17"/>
                <w:color w:val="auto"/>
              </w:rPr>
            </w:pPr>
          </w:p>
        </w:tc>
        <w:tc>
          <w:tcPr>
            <w:tcW w:w="1680" w:type="dxa"/>
            <w:vAlign w:val="bottom"/>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liabilities-current:</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7"/>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Unredeemed gift cards</w:t>
            </w:r>
          </w:p>
        </w:tc>
        <w:tc>
          <w:tcPr>
            <w:tcW w:w="28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14,471</w:t>
            </w:r>
          </w:p>
        </w:tc>
        <w:tc>
          <w:tcPr>
            <w:tcW w:w="10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11,945</w:t>
            </w:r>
          </w:p>
        </w:tc>
      </w:tr>
      <w:tr>
        <w:trPr>
          <w:trHeight w:val="30"/>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7"/>
        </w:trPr>
        <w:tc>
          <w:tcPr>
            <w:tcW w:w="7320" w:type="dxa"/>
            <w:vAlign w:val="bottom"/>
            <w:tcBorders>
              <w:bottom w:val="single" w:sz="8" w:color="CCEEFF"/>
            </w:tcBorders>
            <w:shd w:val="clear" w:color="auto" w:fill="CCEEFF"/>
          </w:tcPr>
          <w:p>
            <w:pPr>
              <w:jc w:val="right"/>
              <w:ind w:right="4806"/>
              <w:spacing w:after="0"/>
              <w:rPr>
                <w:sz w:val="20"/>
                <w:szCs w:val="20"/>
                <w:color w:val="auto"/>
              </w:rPr>
            </w:pPr>
            <w:r>
              <w:rPr>
                <w:rFonts w:ascii="Times New Roman" w:cs="Times New Roman" w:eastAsia="Times New Roman" w:hAnsi="Times New Roman"/>
                <w:sz w:val="15"/>
                <w:szCs w:val="15"/>
                <w:color w:val="auto"/>
              </w:rPr>
              <w:t>Unredeemed customer loyalty rewards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7,355</w:t>
            </w:r>
          </w:p>
        </w:tc>
      </w:tr>
      <w:tr>
        <w:trPr>
          <w:trHeight w:val="227"/>
        </w:trPr>
        <w:tc>
          <w:tcPr>
            <w:tcW w:w="7320" w:type="dxa"/>
            <w:vAlign w:val="bottom"/>
          </w:tcPr>
          <w:p>
            <w:pPr>
              <w:jc w:val="right"/>
              <w:ind w:right="4806"/>
              <w:spacing w:after="0"/>
              <w:rPr>
                <w:sz w:val="20"/>
                <w:szCs w:val="20"/>
                <w:color w:val="auto"/>
              </w:rPr>
            </w:pPr>
            <w:r>
              <w:rPr>
                <w:rFonts w:ascii="Times New Roman" w:cs="Times New Roman" w:eastAsia="Times New Roman" w:hAnsi="Times New Roman"/>
                <w:sz w:val="15"/>
                <w:szCs w:val="15"/>
                <w:color w:val="auto"/>
              </w:rPr>
              <w:t>Total contract liabilities-current</w:t>
            </w:r>
            <w:r>
              <w:rPr>
                <w:rFonts w:ascii="Times New Roman" w:cs="Times New Roman" w:eastAsia="Times New Roman" w:hAnsi="Times New Roman"/>
                <w:sz w:val="19"/>
                <w:szCs w:val="19"/>
                <w:color w:val="auto"/>
                <w:vertAlign w:val="superscript"/>
              </w:rPr>
              <w:t>(*)</w:t>
            </w:r>
          </w:p>
        </w:tc>
        <w:tc>
          <w:tcPr>
            <w:tcW w:w="28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22,235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19,300</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441" w:hanging="441"/>
        <w:spacing w:after="0"/>
        <w:tabs>
          <w:tab w:leader="none" w:pos="441"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with Other current liabilities on the Company's consolidated balance sheet.</w:t>
      </w:r>
    </w:p>
    <w:p>
      <w:pPr>
        <w:spacing w:after="0" w:line="1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Composition of Contract Liabilities</w:t>
      </w:r>
    </w:p>
    <w:p>
      <w:pPr>
        <w:spacing w:after="0" w:line="90" w:lineRule="exact"/>
        <w:rPr>
          <w:sz w:val="20"/>
          <w:szCs w:val="20"/>
          <w:color w:val="auto"/>
        </w:rPr>
      </w:pPr>
    </w:p>
    <w:p>
      <w:pPr>
        <w:ind w:left="1" w:right="60"/>
        <w:spacing w:after="0" w:line="271" w:lineRule="auto"/>
        <w:rPr>
          <w:sz w:val="20"/>
          <w:szCs w:val="20"/>
          <w:color w:val="auto"/>
        </w:rPr>
      </w:pPr>
      <w:r>
        <w:rPr>
          <w:rFonts w:ascii="Times New Roman" w:cs="Times New Roman" w:eastAsia="Times New Roman" w:hAnsi="Times New Roman"/>
          <w:sz w:val="16"/>
          <w:szCs w:val="16"/>
          <w:color w:val="auto"/>
        </w:rPr>
        <w:t>Unredeemed gift cards - the Company is obligated to transfer goods in the future to customers who have purchased gift cards. Periodic changes in the gift card contract liability result from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 The majority of the Company's gift cards are redeemed within one year of issuance.</w:t>
      </w:r>
    </w:p>
    <w:p>
      <w:pPr>
        <w:spacing w:after="0" w:line="120" w:lineRule="exact"/>
        <w:rPr>
          <w:sz w:val="20"/>
          <w:szCs w:val="20"/>
          <w:color w:val="auto"/>
        </w:rPr>
      </w:pPr>
    </w:p>
    <w:p>
      <w:pPr>
        <w:jc w:val="both"/>
        <w:ind w:left="1" w:right="200"/>
        <w:spacing w:after="0" w:line="277" w:lineRule="auto"/>
        <w:rPr>
          <w:sz w:val="20"/>
          <w:szCs w:val="20"/>
          <w:color w:val="auto"/>
        </w:rPr>
      </w:pPr>
      <w:r>
        <w:rPr>
          <w:rFonts w:ascii="Times New Roman" w:cs="Times New Roman" w:eastAsia="Times New Roman" w:hAnsi="Times New Roman"/>
          <w:sz w:val="16"/>
          <w:szCs w:val="16"/>
          <w:color w:val="auto"/>
        </w:rPr>
        <w:t>Unredeemed loyalty rewards - points and reward certificates earned by customers under the Company’s loyalty programs represent obligations of the Company to transfer goods to the customer upon redemption. Periodic changes in the loyalty program contract liability result from reward certificate redemptions and expirations. The earning and redemption cycles for our loyalty program are under one year in duration.</w:t>
      </w:r>
    </w:p>
    <w:p>
      <w:pPr>
        <w:spacing w:after="0" w:line="3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NOTE 4 – BUSINESS ACQUISITIONS</w:t>
      </w:r>
    </w:p>
    <w:p>
      <w:pPr>
        <w:spacing w:after="0" w:line="92" w:lineRule="exact"/>
        <w:rPr>
          <w:sz w:val="20"/>
          <w:szCs w:val="20"/>
          <w:color w:val="auto"/>
        </w:rPr>
      </w:pPr>
    </w:p>
    <w:p>
      <w:pPr>
        <w:ind w:left="1" w:right="600"/>
        <w:spacing w:after="0" w:line="298" w:lineRule="auto"/>
        <w:rPr>
          <w:sz w:val="20"/>
          <w:szCs w:val="20"/>
          <w:color w:val="auto"/>
        </w:rPr>
      </w:pPr>
      <w:r>
        <w:rPr>
          <w:rFonts w:ascii="Times New Roman" w:cs="Times New Roman" w:eastAsia="Times New Roman" w:hAnsi="Times New Roman"/>
          <w:sz w:val="16"/>
          <w:szCs w:val="16"/>
          <w:color w:val="auto"/>
        </w:rPr>
        <w:t>Based on their purchase prices and pre-acquisition operating results and assets, neither of the businesses acquired by the Company in fiscal 2017 met the materiality requirements for preparation and presentation of pro forma financial information, either individually or in the aggregate.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1421"/>
          </w:cols>
          <w:pgMar w:left="239" w:top="119" w:right="239" w:bottom="1440" w:gutter="0" w:footer="0" w:header="0"/>
        </w:sectPr>
      </w:pPr>
    </w:p>
    <w:bookmarkStart w:id="69" w:name="page70"/>
    <w:bookmarkEnd w:id="69"/>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Skip Hop Acquisition</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 xml:space="preserve">Carter's, Inc.'s wholly-owned subsidiary, The William Carter Company ("TWCC"), acquired 100% of the voting equity interests of Skip Hop Holdings, Inc. and subsidiaries (collectively "Skip Hop") after the close of business on February 22, 2017. The Skip Hop purchase was deemed to be the acquisition of a business under the provisions of ASC No.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The Company's consolidated financial statements reflect the consolidation of the financial position, results of operations and cash flows of Skip Hop beginning February 23, 2017.</w:t>
      </w:r>
    </w:p>
    <w:p>
      <w:pPr>
        <w:spacing w:after="0" w:line="12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The measurement period (as defined in ASC 805) for Skip Hop was complete at the end of fiscal 2017 and all measurement period adjustments were reflected in the Company's consolidated balance sheet as of December 30, 2017. As a result of the measurement period adjustments recorded between the acquisition date and the end of fiscal 2017, the net assets acquired consisted of the following: $46.0 million of goodwill including an assembled workforce; $104.1 million of intangible assets comprised of a tradename and acquired customer relationships; $53.9 million of tangible assets acquired; and $20.8 million of liabilities in addition to $36.3 million of deferred income tax liabilities. The adjusted purchase price was approximately $142.5 million, net of $0.8 million of cash acquired.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Mexican Licensee</w:t>
      </w:r>
    </w:p>
    <w:p>
      <w:pPr>
        <w:spacing w:after="0" w:line="9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On August 1, 2017, the Company, through certain of its wholly-owned subsidiaries, acquired the outstanding equity of the Company's licensee in Mexico and a related entity (collectively "Carter's Mexico"). Both entities are incorporated under Mexican law. Prior to the acquisition, Carter's Mexico was primarily a licensee and wholesale customer of the Company. The Carter's Mexico purchase was deemed to be the acquisition of a business under the provisions of ASC 805. The Company's consolidated financial statements reflect the consolidation of the financial position, results of operations and cash flows of Carter's Mexico beginning August 1, 2017. Carter's Mexico became part of the Company's International reportable segment.</w:t>
      </w:r>
    </w:p>
    <w:p>
      <w:pPr>
        <w:spacing w:after="0" w:line="126"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As of December 30, 2017, preliminary values assigned to assets acquired included inventories of approximately $8.3 million, a customer relationships intangible asset of approximately $3.5 million, and goodwill of approximately $6.2 million. Measurement period adjustments made in the first quarter of fiscal 2018 were not material.</w:t>
      </w:r>
    </w:p>
    <w:p>
      <w:pPr>
        <w:spacing w:after="0" w:line="9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The measurement period (as defined in ASC 805) for the acquisition of Carter's Mexico was completed during the second quarter of fiscal 2018 and all measurement period adjustments were reflected in the Company's consolidated balance sheet as of December 29, 2018. As a result of the measurement period adjustments recorded between the acquisition date and the end of the second quarter of fiscal 2018, the values assigned to assets acquired included inventories of approximately $8.0 million, a customer relationships intangible asset of approximately $3.5 million, and goodwill of approximately $6.3 million.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PROPERTY, PLANT, AND EQUIPMENT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plant, and equipment, net consists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7"/>
                <w:szCs w:val="17"/>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7"/>
                <w:szCs w:val="17"/>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Fixtures, equipment, computer hardware and software</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425,686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430,156</w:t>
            </w: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Land, building, and leasehold improvements</w:t>
            </w:r>
          </w:p>
        </w:tc>
        <w:tc>
          <w:tcPr>
            <w:tcW w:w="22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348,131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336,981</w:t>
            </w:r>
          </w:p>
        </w:tc>
      </w:tr>
      <w:tr>
        <w:trPr>
          <w:trHeight w:val="30"/>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Marketing fixtures</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7,001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7,602</w:t>
            </w: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Construction in progress</w:t>
            </w:r>
          </w:p>
        </w:tc>
        <w:tc>
          <w:tcPr>
            <w:tcW w:w="22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7,358</w:t>
            </w:r>
          </w:p>
        </w:tc>
      </w:tr>
      <w:tr>
        <w:trPr>
          <w:trHeight w:val="30"/>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7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799,335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782,097</w:t>
            </w: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Accumulated depreciation and amortization</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(448,898)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(404,173)</w:t>
            </w:r>
          </w:p>
        </w:tc>
      </w:tr>
      <w:tr>
        <w:trPr>
          <w:trHeight w:val="30"/>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9"/>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350,437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377,924</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Depreciation and amortization expense related to property, plant, and equipment was approximately $85.9 million, $81.8 million, and $71.5 million for fiscal years 2018, 2017, and 2016, respectively.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420"/>
          </w:cols>
          <w:pgMar w:left="240" w:top="119" w:right="239" w:bottom="1440" w:gutter="0" w:footer="0" w:header="0"/>
        </w:sectPr>
      </w:pPr>
    </w:p>
    <w:bookmarkStart w:id="70" w:name="page71"/>
    <w:bookmarkEnd w:id="70"/>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NOTE 6 – GOODWILL AND OTHER INTANGIBLE ASSETS</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table summarizes the Company’s goodwill and other intangible assets at the end of the fiscal year:</w:t>
      </w:r>
    </w:p>
    <w:p>
      <w:pPr>
        <w:spacing w:after="0" w:line="249" w:lineRule="exact"/>
        <w:rPr>
          <w:sz w:val="20"/>
          <w:szCs w:val="20"/>
          <w:color w:val="auto"/>
        </w:rPr>
      </w:pPr>
    </w:p>
    <w:tbl>
      <w:tblPr>
        <w:tblLayout w:type="fixed"/>
        <w:tblInd w:w="441"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December 29, 2018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0"/>
        </w:trPr>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24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Weighted-average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useful life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Gross amount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amortization</w:t>
            </w:r>
          </w:p>
        </w:tc>
        <w:tc>
          <w:tcPr>
            <w:tcW w:w="100" w:type="dxa"/>
            <w:vAlign w:val="bottom"/>
          </w:tcPr>
          <w:p>
            <w:pPr>
              <w:spacing w:after="0"/>
              <w:rPr>
                <w:sz w:val="17"/>
                <w:szCs w:val="17"/>
                <w:color w:val="auto"/>
              </w:rPr>
            </w:pPr>
          </w:p>
        </w:tc>
        <w:tc>
          <w:tcPr>
            <w:tcW w:w="10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amount</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Gross 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amortization</w:t>
            </w:r>
          </w:p>
        </w:tc>
        <w:tc>
          <w:tcPr>
            <w:tcW w:w="10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w w:val="98"/>
              </w:rPr>
              <w:t>Net amount</w:t>
            </w:r>
          </w:p>
        </w:tc>
      </w:tr>
      <w:tr>
        <w:trPr>
          <w:trHeight w:val="30"/>
        </w:trPr>
        <w:tc>
          <w:tcPr>
            <w:tcW w:w="24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7"/>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Carter’s goodwill</w:t>
            </w:r>
            <w:r>
              <w:rPr>
                <w:rFonts w:ascii="Times New Roman" w:cs="Times New Roman" w:eastAsia="Times New Roman" w:hAnsi="Times New Roman"/>
                <w:sz w:val="19"/>
                <w:szCs w:val="19"/>
                <w:color w:val="auto"/>
                <w:vertAlign w:val="superscript"/>
              </w:rPr>
              <w:t>(1)</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Indefinite</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136,570</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136,570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136,570</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136,570</w:t>
            </w:r>
          </w:p>
        </w:tc>
      </w:tr>
      <w:tr>
        <w:trPr>
          <w:trHeight w:val="247"/>
        </w:trPr>
        <w:tc>
          <w:tcPr>
            <w:tcW w:w="2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Canada goodwill</w:t>
            </w:r>
            <w:r>
              <w:rPr>
                <w:rFonts w:ascii="Times New Roman" w:cs="Times New Roman" w:eastAsia="Times New Roman" w:hAnsi="Times New Roman"/>
                <w:sz w:val="19"/>
                <w:szCs w:val="19"/>
                <w:color w:val="auto"/>
                <w:vertAlign w:val="superscript"/>
              </w:rPr>
              <w:t>(2)</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Indefinite</w:t>
            </w:r>
          </w:p>
        </w:tc>
        <w:tc>
          <w:tcPr>
            <w:tcW w:w="260" w:type="dxa"/>
            <w:vAlign w:val="bottom"/>
          </w:tcPr>
          <w:p>
            <w:pPr>
              <w:spacing w:after="0"/>
              <w:rPr>
                <w:sz w:val="21"/>
                <w:szCs w:val="2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38,869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42,223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42,223</w:t>
            </w:r>
          </w:p>
        </w:tc>
      </w:tr>
      <w:tr>
        <w:trPr>
          <w:trHeight w:val="247"/>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Skip Hop goodwill</w:t>
            </w:r>
            <w:r>
              <w:rPr>
                <w:rFonts w:ascii="Times New Roman" w:cs="Times New Roman" w:eastAsia="Times New Roman" w:hAnsi="Times New Roman"/>
                <w:sz w:val="19"/>
                <w:szCs w:val="19"/>
                <w:color w:val="auto"/>
                <w:vertAlign w:val="superscript"/>
              </w:rPr>
              <w:t>(3)</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Indefinite</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45,960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45,960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45,997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45,997</w:t>
            </w:r>
          </w:p>
        </w:tc>
      </w:tr>
      <w:tr>
        <w:trPr>
          <w:trHeight w:val="247"/>
        </w:trPr>
        <w:tc>
          <w:tcPr>
            <w:tcW w:w="2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Carter's Mexico goodwill</w:t>
            </w:r>
            <w:r>
              <w:rPr>
                <w:rFonts w:ascii="Times New Roman" w:cs="Times New Roman" w:eastAsia="Times New Roman" w:hAnsi="Times New Roman"/>
                <w:sz w:val="19"/>
                <w:szCs w:val="19"/>
                <w:color w:val="auto"/>
                <w:vertAlign w:val="superscript"/>
              </w:rPr>
              <w:t>(4)</w:t>
            </w:r>
          </w:p>
        </w:tc>
        <w:tc>
          <w:tcPr>
            <w:tcW w:w="13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Indefinite</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5,702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5,702</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5,634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5,634</w:t>
            </w: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goodwill</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227,101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227,101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230,424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230,424</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7"/>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i w:val="1"/>
                <w:iCs w:val="1"/>
                <w:color w:val="auto"/>
              </w:rPr>
              <w:t xml:space="preserve">Carter’s </w:t>
            </w:r>
            <w:r>
              <w:rPr>
                <w:rFonts w:ascii="Times New Roman" w:cs="Times New Roman" w:eastAsia="Times New Roman" w:hAnsi="Times New Roman"/>
                <w:sz w:val="15"/>
                <w:szCs w:val="15"/>
                <w:color w:val="auto"/>
              </w:rPr>
              <w:t>tradename</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Indefinite</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220,233</w:t>
            </w:r>
          </w:p>
        </w:tc>
        <w:tc>
          <w:tcPr>
            <w:tcW w:w="28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220,233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220,233</w:t>
            </w:r>
          </w:p>
        </w:tc>
        <w:tc>
          <w:tcPr>
            <w:tcW w:w="26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220,233</w:t>
            </w:r>
          </w:p>
        </w:tc>
      </w:tr>
      <w:tr>
        <w:trPr>
          <w:trHeight w:val="217"/>
        </w:trPr>
        <w:tc>
          <w:tcPr>
            <w:tcW w:w="2420" w:type="dxa"/>
            <w:vAlign w:val="bottom"/>
          </w:tcPr>
          <w:p>
            <w:pPr>
              <w:ind w:left="60"/>
              <w:spacing w:after="0"/>
              <w:rPr>
                <w:sz w:val="20"/>
                <w:szCs w:val="20"/>
                <w:color w:val="auto"/>
              </w:rPr>
            </w:pPr>
            <w:r>
              <w:rPr>
                <w:rFonts w:ascii="Times New Roman" w:cs="Times New Roman" w:eastAsia="Times New Roman" w:hAnsi="Times New Roman"/>
                <w:sz w:val="15"/>
                <w:szCs w:val="15"/>
                <w:i w:val="1"/>
                <w:iCs w:val="1"/>
                <w:color w:val="auto"/>
              </w:rPr>
              <w:t xml:space="preserve">OshKosh </w:t>
            </w:r>
            <w:r>
              <w:rPr>
                <w:rFonts w:ascii="Times New Roman" w:cs="Times New Roman" w:eastAsia="Times New Roman" w:hAnsi="Times New Roman"/>
                <w:sz w:val="15"/>
                <w:szCs w:val="15"/>
                <w:color w:val="auto"/>
              </w:rPr>
              <w:t>tradename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Indefinite</w:t>
            </w:r>
          </w:p>
        </w:tc>
        <w:tc>
          <w:tcPr>
            <w:tcW w:w="260" w:type="dxa"/>
            <w:vAlign w:val="bottom"/>
          </w:tcPr>
          <w:p>
            <w:pPr>
              <w:spacing w:after="0"/>
              <w:rPr>
                <w:sz w:val="18"/>
                <w:szCs w:val="18"/>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85,500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85,500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85,500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85,500</w:t>
            </w:r>
          </w:p>
        </w:tc>
      </w:tr>
      <w:tr>
        <w:trPr>
          <w:trHeight w:val="30"/>
        </w:trPr>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7"/>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i w:val="1"/>
                <w:iCs w:val="1"/>
                <w:color w:val="auto"/>
              </w:rPr>
              <w:t xml:space="preserve">Skip Hop </w:t>
            </w:r>
            <w:r>
              <w:rPr>
                <w:rFonts w:ascii="Times New Roman" w:cs="Times New Roman" w:eastAsia="Times New Roman" w:hAnsi="Times New Roman"/>
                <w:sz w:val="15"/>
                <w:szCs w:val="15"/>
                <w:color w:val="auto"/>
              </w:rPr>
              <w:t>tradename</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Indefinite</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56,800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56,800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56,800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56,800</w:t>
            </w:r>
          </w:p>
        </w:tc>
      </w:tr>
      <w:tr>
        <w:trPr>
          <w:trHeight w:val="217"/>
        </w:trPr>
        <w:tc>
          <w:tcPr>
            <w:tcW w:w="2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Finite-life tradenames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5 - 20 years</w:t>
            </w:r>
          </w:p>
        </w:tc>
        <w:tc>
          <w:tcPr>
            <w:tcW w:w="260" w:type="dxa"/>
            <w:vAlign w:val="bottom"/>
          </w:tcPr>
          <w:p>
            <w:pPr>
              <w:spacing w:after="0"/>
              <w:rPr>
                <w:sz w:val="18"/>
                <w:szCs w:val="18"/>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3,911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3,159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3,018</w:t>
            </w:r>
          </w:p>
        </w:tc>
      </w:tr>
      <w:tr>
        <w:trPr>
          <w:trHeight w:val="30"/>
        </w:trPr>
        <w:tc>
          <w:tcPr>
            <w:tcW w:w="2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tradenames, net</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366,444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365,692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366,083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365,551</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Skip Hop customer relationships</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15 years</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47,300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5,480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41,820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47,300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2,304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44,996</w:t>
            </w:r>
          </w:p>
        </w:tc>
      </w:tr>
      <w:tr>
        <w:trPr>
          <w:trHeight w:val="217"/>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Carter's Mexico customer relationships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10 years</w:t>
            </w:r>
          </w:p>
        </w:tc>
        <w:tc>
          <w:tcPr>
            <w:tcW w:w="260" w:type="dxa"/>
            <w:vAlign w:val="bottom"/>
          </w:tcPr>
          <w:p>
            <w:pPr>
              <w:spacing w:after="0"/>
              <w:rPr>
                <w:sz w:val="18"/>
                <w:szCs w:val="18"/>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3,146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2,691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3,000</w:t>
            </w:r>
          </w:p>
        </w:tc>
      </w:tr>
      <w:tr>
        <w:trPr>
          <w:trHeight w:val="30"/>
        </w:trPr>
        <w:tc>
          <w:tcPr>
            <w:tcW w:w="2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customer relationships, net</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50,446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5,935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44,511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50,435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2,439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47,996</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441" w:hanging="441"/>
        <w:spacing w:after="0"/>
        <w:tabs>
          <w:tab w:leader="none" w:pos="44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$45.9 million is assigned to the U.S. Wholesale segment, $82.0 million is assigned to the U.S. Retail segment, and $8.6 million is assigned to the International segment.</w:t>
      </w:r>
    </w:p>
    <w:p>
      <w:pPr>
        <w:spacing w:after="0" w:line="48"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Goodwill for Canada (Bonnie Togs) is assigned to the International segment.</w:t>
      </w:r>
    </w:p>
    <w:p>
      <w:pPr>
        <w:spacing w:after="0" w:line="48"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$28.6 million is assigned to the U.S. Wholesale segment, $15.5 million is assigned to the International segment, and $1.9 million is assigned to the U.S. Retail segment.</w:t>
      </w:r>
    </w:p>
    <w:p>
      <w:pPr>
        <w:spacing w:after="0" w:line="48"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Goodwill for Carter's Mexico is assigned to the International segment.</w:t>
      </w:r>
    </w:p>
    <w:p>
      <w:pPr>
        <w:spacing w:after="0" w:line="52" w:lineRule="exact"/>
        <w:rPr>
          <w:sz w:val="20"/>
          <w:szCs w:val="20"/>
          <w:color w:val="auto"/>
        </w:rPr>
      </w:pPr>
    </w:p>
    <w:p>
      <w:pPr>
        <w:ind w:left="1"/>
        <w:spacing w:after="0" w:line="271" w:lineRule="auto"/>
        <w:rPr>
          <w:sz w:val="20"/>
          <w:szCs w:val="20"/>
          <w:color w:val="auto"/>
        </w:rPr>
      </w:pPr>
      <w:r>
        <w:rPr>
          <w:rFonts w:ascii="Times New Roman" w:cs="Times New Roman" w:eastAsia="Times New Roman" w:hAnsi="Times New Roman"/>
          <w:sz w:val="16"/>
          <w:szCs w:val="16"/>
          <w:color w:val="auto"/>
        </w:rPr>
        <w:t>Changes in the carrying values between comparative periods for goodwill related to the Company's 2011 acquisition of its Canadian business (Bonnie Togs) were due to fluctuations in the foreign currency exchange rates between the Canadian and U.S. dollar that were used in the remeasurement process for preparing the Company's consolidated financial statements. The changes in the carrying values of goodwill, customer relationships, and tradename intangible assets for Skip Hop and Carter's Mexico, including the related accumulated amortization, that were not attributable to amortization expense was also impacted by foreign currency exchange rate fluctuations.</w:t>
      </w:r>
    </w:p>
    <w:p>
      <w:pPr>
        <w:spacing w:after="0" w:line="120" w:lineRule="exact"/>
        <w:rPr>
          <w:sz w:val="20"/>
          <w:szCs w:val="20"/>
          <w:color w:val="auto"/>
        </w:rPr>
      </w:pPr>
    </w:p>
    <w:p>
      <w:pPr>
        <w:ind w:left="1" w:right="340"/>
        <w:spacing w:after="0" w:line="298" w:lineRule="auto"/>
        <w:rPr>
          <w:sz w:val="20"/>
          <w:szCs w:val="20"/>
          <w:color w:val="auto"/>
        </w:rPr>
      </w:pPr>
      <w:r>
        <w:rPr>
          <w:rFonts w:ascii="Times New Roman" w:cs="Times New Roman" w:eastAsia="Times New Roman" w:hAnsi="Times New Roman"/>
          <w:sz w:val="16"/>
          <w:szCs w:val="16"/>
          <w:color w:val="auto"/>
        </w:rPr>
        <w:t>Amortization expense for intangible assets subject to amortization was approximately $3.7 million, $2.6 million, and $1.9 million for fiscal years 2018, 2017, and 2016, respectively.</w:t>
      </w:r>
    </w:p>
    <w:p>
      <w:pPr>
        <w:spacing w:after="0" w:line="9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estimated amortization expense for the next five fiscal years is as follows:</w:t>
      </w:r>
    </w:p>
    <w:p>
      <w:pPr>
        <w:spacing w:after="0" w:line="236"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60" w:type="dxa"/>
            <w:vAlign w:val="bottom"/>
          </w:tcPr>
          <w:p>
            <w:pPr>
              <w:spacing w:after="0"/>
              <w:rPr>
                <w:sz w:val="17"/>
                <w:szCs w:val="17"/>
                <w:color w:val="auto"/>
              </w:rPr>
            </w:pPr>
          </w:p>
        </w:tc>
        <w:tc>
          <w:tcPr>
            <w:tcW w:w="1980" w:type="dxa"/>
            <w:vAlign w:val="bottom"/>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Amortization expense</w:t>
            </w:r>
          </w:p>
        </w:tc>
      </w:tr>
      <w:tr>
        <w:trPr>
          <w:trHeight w:val="30"/>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2019</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3,732</w:t>
            </w:r>
          </w:p>
        </w:tc>
      </w:tr>
      <w:tr>
        <w:trPr>
          <w:trHeight w:val="205"/>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3,732</w:t>
            </w:r>
          </w:p>
        </w:tc>
      </w:tr>
      <w:tr>
        <w:trPr>
          <w:trHeight w:val="30"/>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15"/>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3,732</w:t>
            </w:r>
          </w:p>
        </w:tc>
      </w:tr>
      <w:tr>
        <w:trPr>
          <w:trHeight w:val="205"/>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3,732</w:t>
            </w:r>
          </w:p>
        </w:tc>
      </w:tr>
      <w:tr>
        <w:trPr>
          <w:trHeight w:val="30"/>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3,690</w:t>
            </w:r>
          </w:p>
        </w:tc>
      </w:tr>
      <w:tr>
        <w:trPr>
          <w:trHeight w:val="30"/>
        </w:trPr>
        <w:tc>
          <w:tcPr>
            <w:tcW w:w="8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1421"/>
          </w:cols>
          <w:pgMar w:left="239" w:top="119" w:right="239" w:bottom="1440" w:gutter="0" w:footer="0" w:header="0"/>
        </w:sectPr>
      </w:pPr>
    </w:p>
    <w:bookmarkStart w:id="71" w:name="page72"/>
    <w:bookmarkEnd w:id="71"/>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ACCUMULATED OTHER COMPREHENSIVE (LOSS)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Accumulated other comprehensive (loss) income is summarized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Cumulative</w:t>
            </w:r>
          </w:p>
        </w:tc>
        <w:tc>
          <w:tcPr>
            <w:tcW w:w="120" w:type="dxa"/>
            <w:vAlign w:val="bottom"/>
          </w:tcPr>
          <w:p>
            <w:pPr>
              <w:spacing w:after="0"/>
              <w:rPr>
                <w:sz w:val="16"/>
                <w:szCs w:val="16"/>
                <w:color w:val="auto"/>
              </w:rPr>
            </w:pPr>
          </w:p>
        </w:tc>
        <w:tc>
          <w:tcPr>
            <w:tcW w:w="134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9"/>
              </w:rPr>
              <w:t>Accumulated other</w:t>
            </w:r>
          </w:p>
        </w:tc>
      </w:tr>
      <w:tr>
        <w:trPr>
          <w:trHeight w:val="18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Pension liability</w:t>
            </w: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Post-retirement</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translation</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comprehensive (loss)</w:t>
            </w:r>
          </w:p>
        </w:tc>
      </w:tr>
      <w:tr>
        <w:trPr>
          <w:trHeight w:val="196"/>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adjustments</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liability adjustments</w:t>
            </w: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adjustments</w:t>
            </w:r>
          </w:p>
        </w:tc>
        <w:tc>
          <w:tcPr>
            <w:tcW w:w="120" w:type="dxa"/>
            <w:vAlign w:val="bottom"/>
          </w:tcPr>
          <w:p>
            <w:pPr>
              <w:spacing w:after="0"/>
              <w:rPr>
                <w:sz w:val="17"/>
                <w:szCs w:val="17"/>
                <w:color w:val="auto"/>
              </w:rPr>
            </w:pPr>
          </w:p>
        </w:tc>
        <w:tc>
          <w:tcPr>
            <w:tcW w:w="134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rPr>
              <w:t>income</w:t>
            </w:r>
          </w:p>
        </w:tc>
      </w:tr>
      <w:tr>
        <w:trPr>
          <w:trHeight w:val="30"/>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January 2,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(8,185)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1,404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(29,586)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(36,367)</w:t>
            </w: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 2016 change</w:t>
            </w:r>
          </w:p>
        </w:tc>
        <w:tc>
          <w:tcPr>
            <w:tcW w:w="160" w:type="dxa"/>
            <w:vAlign w:val="bottom"/>
          </w:tcPr>
          <w:p>
            <w:pPr>
              <w:spacing w:after="0"/>
              <w:rPr>
                <w:sz w:val="18"/>
                <w:szCs w:val="18"/>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1,627</w:t>
            </w:r>
          </w:p>
        </w:tc>
      </w:tr>
      <w:tr>
        <w:trPr>
          <w:trHeight w:val="30"/>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2016</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(8,851)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1,735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(34,740)</w:t>
            </w: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 2017 change</w:t>
            </w:r>
          </w:p>
        </w:tc>
        <w:tc>
          <w:tcPr>
            <w:tcW w:w="160" w:type="dxa"/>
            <w:vAlign w:val="bottom"/>
          </w:tcPr>
          <w:p>
            <w:pPr>
              <w:spacing w:after="0"/>
              <w:rPr>
                <w:sz w:val="18"/>
                <w:szCs w:val="18"/>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6,339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5,647</w:t>
            </w:r>
          </w:p>
        </w:tc>
      </w:tr>
      <w:tr>
        <w:trPr>
          <w:trHeight w:val="30"/>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30, 2017</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(9,281)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1,473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(29,093)</w:t>
            </w: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 2018 change</w:t>
            </w:r>
          </w:p>
        </w:tc>
        <w:tc>
          <w:tcPr>
            <w:tcW w:w="160" w:type="dxa"/>
            <w:vAlign w:val="bottom"/>
          </w:tcPr>
          <w:p>
            <w:pPr>
              <w:spacing w:after="0"/>
              <w:rPr>
                <w:sz w:val="18"/>
                <w:szCs w:val="18"/>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(11,746)</w:t>
            </w:r>
          </w:p>
        </w:tc>
      </w:tr>
      <w:tr>
        <w:trPr>
          <w:trHeight w:val="30"/>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29,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(9,562)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(32,964)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(40,839)</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6"/>
          <w:szCs w:val="16"/>
          <w:color w:val="auto"/>
        </w:rPr>
        <w:t xml:space="preserve">As of December 29, 2018 and December 30, 2017, the cumulative tax effect on the pension liability adjustments were $5.4 million and $5.3 million, respectively. As of December 29, 2018 and December 30, 2017, the cumulative tax effect on the post-retirement liability adjustments were approximately $1.0 million for both years. The deferred income taxes associated with these obligations are subject to adjustments upon the Company's adoption of ASC 2018-02. See Note 2, </w:t>
      </w:r>
      <w:r>
        <w:rPr>
          <w:rFonts w:ascii="Times New Roman" w:cs="Times New Roman" w:eastAsia="Times New Roman" w:hAnsi="Times New Roman"/>
          <w:sz w:val="16"/>
          <w:szCs w:val="16"/>
          <w:i w:val="1"/>
          <w:iCs w:val="1"/>
          <w:color w:val="auto"/>
        </w:rPr>
        <w:t>Significant 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Policies.</w:t>
      </w:r>
    </w:p>
    <w:p>
      <w:pPr>
        <w:spacing w:after="0" w:line="12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For the fiscal years ended December 29, 2018 and December 30, 2017, amounts reclassified from accumulated other comprehensive loss to the consolidated statements of operations consisted of amortization of actuarial gains and losses related to the Company's defined benefit retirement plans. Such amortization amounts are included in the net periodic cost or benefit recognized for these plans during the respective fiscal year. For additional information, see Note 11</w:t>
      </w:r>
      <w:r>
        <w:rPr>
          <w:rFonts w:ascii="Times New Roman" w:cs="Times New Roman" w:eastAsia="Times New Roman" w:hAnsi="Times New Roman"/>
          <w:sz w:val="16"/>
          <w:szCs w:val="16"/>
          <w:i w:val="1"/>
          <w:iCs w:val="1"/>
          <w:color w:val="auto"/>
        </w:rPr>
        <w:t>, Employee Benefit Plans</w:t>
      </w:r>
      <w:r>
        <w:rPr>
          <w:rFonts w:ascii="Times New Roman" w:cs="Times New Roman" w:eastAsia="Times New Roman" w:hAnsi="Times New Roman"/>
          <w:sz w:val="16"/>
          <w:szCs w:val="16"/>
          <w:color w:val="auto"/>
        </w:rPr>
        <w:t>, to the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LONG-TERM DEBT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8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80" w:type="dxa"/>
            <w:vAlign w:val="bottom"/>
          </w:tcPr>
          <w:p>
            <w:pPr>
              <w:spacing w:after="0"/>
              <w:rPr>
                <w:sz w:val="17"/>
                <w:szCs w:val="17"/>
                <w:color w:val="auto"/>
              </w:rPr>
            </w:pPr>
          </w:p>
        </w:tc>
        <w:tc>
          <w:tcPr>
            <w:tcW w:w="1520" w:type="dxa"/>
            <w:vAlign w:val="bottom"/>
          </w:tcPr>
          <w:p>
            <w:pPr>
              <w:jc w:val="right"/>
              <w:ind w:right="16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notes at amounts repayable</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400,000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400,000</w:t>
            </w:r>
          </w:p>
        </w:tc>
      </w:tr>
      <w:tr>
        <w:trPr>
          <w:trHeight w:val="217"/>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unamortized issuance-related costs for senior notes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(3,694)</w:t>
            </w:r>
          </w:p>
        </w:tc>
      </w:tr>
      <w:tr>
        <w:trPr>
          <w:trHeight w:val="30"/>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7"/>
        </w:trPr>
        <w:tc>
          <w:tcPr>
            <w:tcW w:w="7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Senior notes, net</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397,264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396,306</w:t>
            </w:r>
          </w:p>
        </w:tc>
      </w:tr>
      <w:tr>
        <w:trPr>
          <w:trHeight w:val="197"/>
        </w:trPr>
        <w:tc>
          <w:tcPr>
            <w:tcW w:w="7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Secured revolving credit facility</w:t>
            </w: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196,000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221,000</w:t>
            </w:r>
          </w:p>
        </w:tc>
      </w:tr>
      <w:tr>
        <w:trPr>
          <w:trHeight w:val="30"/>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2"/>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Total long-term debt, net</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593,264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617,306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Senior Notes</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During fiscal 2013, the Company's 100% owned subsidiary, TWCC issued $400 million principal amount of senior notes (the "senior notes") at par, bearing interest at a rate of 5.25% per annum, and maturing on August 15, 2021, all of which were outstanding as of December 29, 2018. At issuance, TWCC received net proceeds from the offering of the senior notes of approximately $394.2 million, after deducting bank fees and other related fees. Approximately $7.0 million, including both bank fees and other third party expenses, was capitalized in connection with the issuance and is being amortized over the term of the senior notes.</w:t>
      </w:r>
    </w:p>
    <w:p>
      <w:pPr>
        <w:spacing w:after="0" w:line="281"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The senior notes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1420"/>
          </w:cols>
          <w:pgMar w:left="240" w:top="119" w:right="239" w:bottom="1440" w:gutter="0" w:footer="0" w:header="0"/>
        </w:sectPr>
      </w:pPr>
    </w:p>
    <w:bookmarkStart w:id="72" w:name="page73"/>
    <w:bookmarkEnd w:id="72"/>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On and after August 15, 2017, TWCC may redeem all or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August 15 of each of the years indicated is as follows: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4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426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Percentage</w:t>
            </w:r>
          </w:p>
        </w:tc>
      </w:tr>
      <w:tr>
        <w:trPr>
          <w:trHeight w:val="30"/>
        </w:trPr>
        <w:tc>
          <w:tcPr>
            <w:tcW w:w="44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1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2018</w:t>
            </w:r>
          </w:p>
        </w:tc>
        <w:tc>
          <w:tcPr>
            <w:tcW w:w="4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101.31%</w:t>
            </w:r>
          </w:p>
        </w:tc>
      </w:tr>
      <w:tr>
        <w:trPr>
          <w:trHeight w:val="217"/>
        </w:trPr>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2019 and thereafter</w:t>
            </w:r>
          </w:p>
        </w:tc>
        <w:tc>
          <w:tcPr>
            <w:tcW w:w="4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r>
    </w:tbl>
    <w:p>
      <w:pPr>
        <w:spacing w:after="0" w:line="17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In addition, if TWCC or any of its restricted subsidiaries engages in certain asset sales, under certain circumstances TWCC will be required to use the net proceeds to make an offer to purchase the senior notes at 100% of their principal amount.</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indenture governing the senior notes includes a number of covenants, that, among other things and subject to certain exceptions, restrict TWCC's ability and the ability of certain of its subsidiaries to: (a) incur, assume or guarantee additional indebtedness; (b) issue disqualified stock and preferred stock; (c) pay dividends or make distributions or other restricted payments; (d) prepay, redeem or repurchase certain debt; (e) make loans and investments (including joint ventures); (f) incur liens; (g) create restrictions on the payment of dividends or other amounts from restricted subsidiaries that are not guarantors of the notes; (h) sell or otherwise dispose of assets, including capital stock of subsidiaries; (i) consolidate or merge with or into, or sell substantially all of TWCC's assets to, another person; (j) designate subsidiaries as unrestricted subsidiaries; and (k) enter into transactions with affiliates. Specific provisions restrict the ability of the Company's operating subsidiary, TWCC, from paying cash dividends to Carter’s, Inc. in excess of $100.0 million plus an additional amount that builds based on 50% of our consolidated net income on a cumulative basis beginning with the third fiscal quarter of 2013 and subject to certain conditions, unless TWCC and its consolidated subsidiaries meet a leverage ratio requirement under the indenture, which could restrict Carter's, Inc. from paying cash dividends on our common stock.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Revolving Credit Facility</w:t>
      </w:r>
    </w:p>
    <w:p>
      <w:pPr>
        <w:spacing w:after="0" w:line="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On August 25, 2017, TWCC and the syndicate of lenders entered into a fourth amended and restated secured revolving credit agreement. This amendment to the secured revolving credit facility provides: (a) an extension of the term of the facility to August 25, 2022 and (b) an increase in the aggregate credit line to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 In addition, the secured revolving credit facility provides for incremental borrowing facilities up to $425 million, which are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 In connection with the amendment, the Company paid approximately $2.1 million in debt issuance costs. These debt issuance costs, together with existing unamortized debt issuance costs, are being amortized over the five-year remaining term of the secured revolving credit facility.</w:t>
      </w:r>
    </w:p>
    <w:p>
      <w:pPr>
        <w:spacing w:after="0" w:line="12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On September 21, 2018, TWCC and a syndicate of lenders entered into Amendment No. 1 to its fourth amended and restated credit agreement that, among other things, extended the term of the facility from August 25, 2022 to September 21, 2023. In connection with the amendment, the Company paid approximately $1.0 million in debt issuance costs. These newly-incurred debt issuance costs, together with existing unamortized debt issuance costs, are being amortized over the five-year remaining term of the secured revolving credit facility.</w:t>
      </w:r>
    </w:p>
    <w:p>
      <w:pPr>
        <w:spacing w:after="0" w:line="12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6"/>
          <w:szCs w:val="16"/>
          <w:color w:val="auto"/>
        </w:rPr>
        <w:t>Under the secured revolving credit facility,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1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As of December 29, 2018 and December 30, 2017, the Company had $196.0 million and $221.0 million in outstanding borrowings under its secured revolving credit facility, respectively, exclusive of $5.0 million and $4.5 million of outstanding letters of credit,</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1400"/>
          </w:cols>
          <w:pgMar w:left="240" w:top="119" w:right="259" w:bottom="1440" w:gutter="0" w:footer="0" w:header="0"/>
        </w:sectPr>
      </w:pPr>
    </w:p>
    <w:bookmarkStart w:id="73" w:name="page74"/>
    <w:bookmarkEnd w:id="73"/>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respectively. As of December 29, 2018 and December 30, 2017, there were approximately $549.0 million and $524.5 million available for future borrowing, respectively.</w:t>
      </w:r>
    </w:p>
    <w:p>
      <w:pPr>
        <w:spacing w:after="0" w:line="17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As of December 29, 2018, the interest rate margins applicable to the amended revolving credit facility were 1.625% for LIBOR (London Interbank Offered Rate) rate loans (which may be adjusted based on a leverage-based pricing grid ranging from 1.125% to 1.875%) and 0.625% for base rate loans (which may be adjusted based on a leverage-based pricing grid ranging from 0.125% to 0.875%).</w:t>
      </w:r>
    </w:p>
    <w:p>
      <w:pPr>
        <w:spacing w:after="0" w:line="11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6"/>
          <w:szCs w:val="16"/>
          <w:color w:val="auto"/>
        </w:rPr>
        <w:t>As of December 29, 2018 and December 30, 2017, U.S. dollar borrowings outstanding under the secured revolving credit facility accrued interest at a LIBOR rate plus the applicable base rate, which resulted in a weighted-average borrowing rate of 4.11% and 2.93%, respectively. There were no Canadian borrowings outstanding on December 29, 2018 or December 30, 2017.</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Covenants</w:t>
      </w:r>
    </w:p>
    <w:p>
      <w:pPr>
        <w:spacing w:after="0" w:line="6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Subject to certain customary exceptions, the amended revolving credit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31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amended revolving credit facility also contains financial covenants. Specifically, TWCC and its subsidiaries will not (i) permit at the end of any four consecutive fiscal quarters the Lease Adjusted Leverage Ratio (defined as, with certain adjustments, the ratio of the Company's consolidated indebtedness plus six times rent expense, as defined, to consolidated net income before interest, taxes, depreciation, amortization, and rent expense ("EBITDAR")) to exceed 4.00:1.00 (provided, however, that if any "Material Acquisition" occurs and the Lease Adjusted Leverage Ratio on a pro forma basis giving effect to the consummation of the Material Acquisition is less than</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4.00:1.00, then the maximum Lease Adjusted Leverage Ratio may be increased to 4.50:1.00 for the fiscal quarter in which such Material Acquisition is consummated and the three fiscal quarters immediately following the fiscal quarter in which such Material Acquisition occurs) or (ii) permit at the end of any four consecutive fiscal quarters the Consolidated Fixed Charge Coverage Ratio (defined as, with certain adjustments, the ratio of consolidated EBITDAR to consolidated fixed charges (defined as interest plus rent expense)), for any such period to be less than 2.25:1.00 (provided, however, that if any Material Acquisition occurs and the Consolidated Fixed Charge Coverage Ratio on a pro forma basis giving effect to the consummation of the Material Acquisition is at least 2.25:1.00, then the minimum Consolidated Fixed Charge Coverage Ratio may be decreased to 2.00:1.00 for the fiscal quarter in which such Material Acquisition is consummated and the three fiscal quarters immediately following the fiscal quarter in which such Material Acquisition occurs).</w:t>
      </w:r>
    </w:p>
    <w:p>
      <w:pPr>
        <w:spacing w:after="0" w:line="132"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6"/>
          <w:szCs w:val="16"/>
          <w:color w:val="auto"/>
        </w:rPr>
        <w:t>The amended revolving credit facility also provides that certain covenants fall away and that the liens over the collateral securing each of the Company and certain subsidiaries' collective obligations are released following, among other things, the achievement of, and during the maintenance of, investment grade ratings by Moody's Investor Services, Inc. and Standard &amp; Poor's Ratings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29, 2018, the Company was in compliance with its financial debt covenants under the secured revolving credit facility.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Repurchases</w:t>
      </w:r>
    </w:p>
    <w:p>
      <w:pPr>
        <w:spacing w:after="0" w:line="9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6"/>
          <w:szCs w:val="16"/>
          <w:color w:val="auto"/>
        </w:rPr>
        <w:t>In fiscal years prior to 2016, the Company's Board of Directors authorized the repurchase of shares of the Company's common stock in amounts up to $462.5 million. On both February 24, 2016 and February 22, 2018, the Company's Board of Directors authorized an additional $500 million of share repurchases, thereby authorizing repurchase amounts up to $1.46 billion. The total remaining capacity under the repurchase authorizations as of December 29, 2018 was $392.6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Open-market repurchases of our common stock during fiscal years 2018, 2017 and 2016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2"/>
        </w:trPr>
        <w:tc>
          <w:tcPr>
            <w:tcW w:w="56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9"/>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8"/>
                <w:szCs w:val="18"/>
                <w:color w:val="auto"/>
              </w:rPr>
            </w:pPr>
          </w:p>
        </w:tc>
        <w:tc>
          <w:tcPr>
            <w:tcW w:w="164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300" w:type="dxa"/>
            <w:vAlign w:val="bottom"/>
          </w:tcPr>
          <w:p>
            <w:pPr>
              <w:spacing w:after="0"/>
              <w:rPr>
                <w:sz w:val="18"/>
                <w:szCs w:val="18"/>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Number of shares repurchased</w:t>
            </w: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1,879,529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2,103,401</w:t>
            </w:r>
          </w:p>
        </w:tc>
        <w:tc>
          <w:tcPr>
            <w:tcW w:w="3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3,049,381</w:t>
            </w:r>
          </w:p>
        </w:tc>
      </w:tr>
      <w:tr>
        <w:trPr>
          <w:trHeight w:val="217"/>
        </w:trPr>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Aggregate cost of shares repurchased </w:t>
            </w:r>
            <w:r>
              <w:rPr>
                <w:rFonts w:ascii="Times New Roman" w:cs="Times New Roman" w:eastAsia="Times New Roman" w:hAnsi="Times New Roman"/>
                <w:sz w:val="15"/>
                <w:szCs w:val="15"/>
                <w:i w:val="1"/>
                <w:iCs w:val="1"/>
                <w:color w:val="auto"/>
              </w:rPr>
              <w:t>(dollars in thousands)</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193,028</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188,762</w:t>
            </w:r>
          </w:p>
        </w:tc>
        <w:tc>
          <w:tcPr>
            <w:tcW w:w="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300,445</w:t>
            </w:r>
          </w:p>
        </w:tc>
      </w:tr>
      <w:tr>
        <w:trPr>
          <w:trHeight w:val="30"/>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Average price per share</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89.74</w:t>
            </w:r>
          </w:p>
        </w:tc>
        <w:tc>
          <w:tcPr>
            <w:tcW w:w="3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98.53</w:t>
            </w:r>
          </w:p>
        </w:tc>
      </w:tr>
      <w:tr>
        <w:trPr>
          <w:trHeight w:val="30"/>
        </w:trPr>
        <w:tc>
          <w:tcPr>
            <w:tcW w:w="5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1420"/>
          </w:cols>
          <w:pgMar w:left="240" w:top="119" w:right="239" w:bottom="1440" w:gutter="0" w:footer="0" w:header="0"/>
        </w:sectPr>
      </w:pPr>
    </w:p>
    <w:bookmarkStart w:id="74" w:name="page75"/>
    <w:bookmarkEnd w:id="74"/>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860"/>
        <w:spacing w:after="0" w:line="298" w:lineRule="auto"/>
        <w:rPr>
          <w:sz w:val="20"/>
          <w:szCs w:val="20"/>
          <w:color w:val="auto"/>
        </w:rPr>
      </w:pPr>
      <w:r>
        <w:rPr>
          <w:rFonts w:ascii="Times New Roman" w:cs="Times New Roman" w:eastAsia="Times New Roman" w:hAnsi="Times New Roman"/>
          <w:sz w:val="16"/>
          <w:szCs w:val="16"/>
          <w:color w:val="auto"/>
        </w:rPr>
        <w:t>In addition to the open-market repurchases completed in fiscal years 2018, 2017 and 2016, the Company completed additional open-market repurchases totaling approximately $387.6 million in fiscal year priors to 2016.</w:t>
      </w:r>
    </w:p>
    <w:p>
      <w:pPr>
        <w:spacing w:after="0" w:line="346"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6"/>
          <w:szCs w:val="16"/>
          <w:color w:val="auto"/>
        </w:rPr>
        <w:t>Future share repurchases may occur from time to time in the open market, in negotiated transactions, or otherwise. The timing and amount of any repurchases will be determined by the Company based on its evaluation of market conditions, share price, other investment priorities, and other factors. The share repurchase authorizations have no expiration dates.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9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 fiscal 2018, the Company's Board of Directors declared and paid quarterly cash dividends of $0.45 per share during all four quarters. In fiscal 2017, the Company's Board of Directors paid quarterly cash dividends of $0.37 per share during all four quarters.</w:t>
      </w:r>
    </w:p>
    <w:p>
      <w:pPr>
        <w:spacing w:after="0" w:line="99" w:lineRule="exact"/>
        <w:rPr>
          <w:sz w:val="20"/>
          <w:szCs w:val="20"/>
          <w:color w:val="auto"/>
        </w:rPr>
      </w:pPr>
    </w:p>
    <w:p>
      <w:pPr>
        <w:ind w:right="680"/>
        <w:spacing w:after="0" w:line="298" w:lineRule="auto"/>
        <w:rPr>
          <w:sz w:val="20"/>
          <w:szCs w:val="20"/>
          <w:color w:val="auto"/>
        </w:rPr>
      </w:pPr>
      <w:r>
        <w:rPr>
          <w:rFonts w:ascii="Times New Roman" w:cs="Times New Roman" w:eastAsia="Times New Roman" w:hAnsi="Times New Roman"/>
          <w:sz w:val="16"/>
          <w:szCs w:val="16"/>
          <w:color w:val="auto"/>
        </w:rPr>
        <w:t>On February 14, 2019, the Company's Board of Directors authorized a quarterly cash dividend payment of $0.50 per common share, payable on March 22, 2019 to shareholders of record at the close of business on March 12, 2019.</w:t>
      </w:r>
    </w:p>
    <w:p>
      <w:pPr>
        <w:spacing w:after="0" w:line="99"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Future declarations of dividends and the establishment of future record and payment dates are at the discretion of the Company's Board of Directors based on a number of factors, including the Company's future financial performance and other investment priorities.</w:t>
      </w:r>
    </w:p>
    <w:p>
      <w:pPr>
        <w:spacing w:after="0" w:line="9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Provisions in the Company's secured revolving credit facility and indenture governing its senior notes could have the effect of restricting the Company’s ability to pay future cash dividends on or make future repurchases of its common stock, as further described in Note 8</w:t>
      </w:r>
      <w:r>
        <w:rPr>
          <w:rFonts w:ascii="Times New Roman" w:cs="Times New Roman" w:eastAsia="Times New Roman" w:hAnsi="Times New Roman"/>
          <w:sz w:val="16"/>
          <w:szCs w:val="16"/>
          <w:i w:val="1"/>
          <w:iCs w:val="1"/>
          <w:color w:val="auto"/>
        </w:rPr>
        <w:t>, Long-Term Debt,</w:t>
      </w:r>
      <w:r>
        <w:rPr>
          <w:rFonts w:ascii="Times New Roman" w:cs="Times New Roman" w:eastAsia="Times New Roman" w:hAnsi="Times New Roman"/>
          <w:sz w:val="16"/>
          <w:szCs w:val="16"/>
          <w:color w:val="auto"/>
        </w:rPr>
        <w:t xml:space="preserve"> to the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STOCK-BASED COMPENSATION</w:t>
      </w:r>
    </w:p>
    <w:p>
      <w:pPr>
        <w:spacing w:after="0" w:line="9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9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color w:val="auto"/>
        </w:rPr>
        <w:t>At the Company's May 17, 2018 shareholders' meeting, the shareholders approved an amendment to the Plan to increase the maximum number of shares of stock available under the Plan by 3,000,000 shares from a cumulative total of 15,778,392 shares to 18,778,392 shares. As of December 29, 2018, there were 3,702,701 remaining shares available for grant under the Plan. The Plan makes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2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6"/>
          <w:szCs w:val="16"/>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recorded stock-based compensation cost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For the fiscal years ended</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0"/>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00" w:type="dxa"/>
            <w:vAlign w:val="bottom"/>
          </w:tcPr>
          <w:p>
            <w:pPr>
              <w:spacing w:after="0"/>
              <w:rPr>
                <w:sz w:val="18"/>
                <w:szCs w:val="18"/>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4,788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4,244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4,237</w:t>
            </w: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0"/>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Time-based awards</w:t>
            </w: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7,938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7,532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7,451</w:t>
            </w:r>
          </w:p>
        </w:tc>
      </w:tr>
      <w:tr>
        <w:trPr>
          <w:trHeight w:val="217"/>
        </w:trPr>
        <w:tc>
          <w:tcPr>
            <w:tcW w:w="5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Performance-based awards</w:t>
            </w:r>
          </w:p>
        </w:tc>
        <w:tc>
          <w:tcPr>
            <w:tcW w:w="220" w:type="dxa"/>
            <w:vAlign w:val="bottom"/>
          </w:tcPr>
          <w:p>
            <w:pPr>
              <w:spacing w:after="0"/>
              <w:rPr>
                <w:sz w:val="18"/>
                <w:szCs w:val="18"/>
                <w:color w:val="auto"/>
              </w:rPr>
            </w:pPr>
          </w:p>
        </w:tc>
        <w:tc>
          <w:tcPr>
            <w:tcW w:w="16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4,602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3,974</w:t>
            </w:r>
          </w:p>
        </w:tc>
      </w:tr>
      <w:tr>
        <w:trPr>
          <w:trHeight w:val="30"/>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awards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1,185</w:t>
            </w:r>
          </w:p>
        </w:tc>
      </w:tr>
      <w:tr>
        <w:trPr>
          <w:trHeight w:val="219"/>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14,673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17,549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16,847</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6"/>
          <w:szCs w:val="16"/>
          <w:color w:val="auto"/>
        </w:rPr>
        <w:t>The Company recognizes compensation cost ratably over the applicable performance periods based on the estimated probability of achievement of its performance targets at the end of each period. During fiscal 2018, the Company revised the estimated achievement of performance targets related to certain performance-based grants resulting in a $3.9 million reduction to stock compensation expense.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1420"/>
          </w:cols>
          <w:pgMar w:left="240" w:top="119" w:right="239" w:bottom="1440" w:gutter="0" w:footer="0" w:header="0"/>
        </w:sectPr>
      </w:pPr>
    </w:p>
    <w:bookmarkStart w:id="75" w:name="page76"/>
    <w:bookmarkEnd w:id="75"/>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options vest in equal annual installments over a four-year period. The Company issues new shares to satisfy stock option exercises.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Company's stock options for the fiscal year ended December 29, 2018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Weighted-average</w:t>
            </w:r>
          </w:p>
        </w:tc>
        <w:tc>
          <w:tcPr>
            <w:tcW w:w="140" w:type="dxa"/>
            <w:vAlign w:val="bottom"/>
          </w:tcPr>
          <w:p>
            <w:pPr>
              <w:spacing w:after="0"/>
              <w:rPr>
                <w:sz w:val="16"/>
                <w:szCs w:val="16"/>
                <w:color w:val="auto"/>
              </w:rPr>
            </w:pPr>
          </w:p>
        </w:tc>
        <w:tc>
          <w:tcPr>
            <w:tcW w:w="1440" w:type="dxa"/>
            <w:vAlign w:val="bottom"/>
          </w:tcPr>
          <w:p>
            <w:pPr>
              <w:jc w:val="center"/>
              <w:ind w:right="66"/>
              <w:spacing w:after="0"/>
              <w:rPr>
                <w:sz w:val="20"/>
                <w:szCs w:val="20"/>
                <w:color w:val="auto"/>
              </w:rPr>
            </w:pPr>
            <w:r>
              <w:rPr>
                <w:rFonts w:ascii="Times New Roman" w:cs="Times New Roman" w:eastAsia="Times New Roman" w:hAnsi="Times New Roman"/>
                <w:sz w:val="15"/>
                <w:szCs w:val="15"/>
                <w:b w:val="1"/>
                <w:bCs w:val="1"/>
                <w:color w:val="auto"/>
                <w:w w:val="99"/>
              </w:rPr>
              <w:t>Aggregate intrinsic</w:t>
            </w:r>
          </w:p>
        </w:tc>
      </w:tr>
      <w:tr>
        <w:trPr>
          <w:trHeight w:val="185"/>
        </w:trPr>
        <w:tc>
          <w:tcPr>
            <w:tcW w:w="4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Weighted- average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remaining contractual</w:t>
            </w:r>
          </w:p>
        </w:tc>
        <w:tc>
          <w:tcPr>
            <w:tcW w:w="140" w:type="dxa"/>
            <w:vAlign w:val="bottom"/>
          </w:tcPr>
          <w:p>
            <w:pPr>
              <w:spacing w:after="0"/>
              <w:rPr>
                <w:sz w:val="16"/>
                <w:szCs w:val="16"/>
                <w:color w:val="auto"/>
              </w:rPr>
            </w:pPr>
          </w:p>
        </w:tc>
        <w:tc>
          <w:tcPr>
            <w:tcW w:w="1440" w:type="dxa"/>
            <w:vAlign w:val="bottom"/>
          </w:tcPr>
          <w:p>
            <w:pPr>
              <w:jc w:val="center"/>
              <w:ind w:right="66"/>
              <w:spacing w:after="0"/>
              <w:rPr>
                <w:sz w:val="20"/>
                <w:szCs w:val="20"/>
                <w:color w:val="auto"/>
              </w:rPr>
            </w:pPr>
            <w:r>
              <w:rPr>
                <w:rFonts w:ascii="Times New Roman" w:cs="Times New Roman" w:eastAsia="Times New Roman" w:hAnsi="Times New Roman"/>
                <w:sz w:val="15"/>
                <w:szCs w:val="15"/>
                <w:b w:val="1"/>
                <w:bCs w:val="1"/>
                <w:color w:val="auto"/>
                <w:w w:val="99"/>
              </w:rPr>
              <w:t>value</w:t>
            </w:r>
          </w:p>
        </w:tc>
      </w:tr>
      <w:tr>
        <w:trPr>
          <w:trHeight w:val="196"/>
        </w:trPr>
        <w:tc>
          <w:tcPr>
            <w:tcW w:w="4700" w:type="dxa"/>
            <w:vAlign w:val="bottom"/>
          </w:tcPr>
          <w:p>
            <w:pPr>
              <w:spacing w:after="0"/>
              <w:rPr>
                <w:sz w:val="17"/>
                <w:szCs w:val="17"/>
                <w:color w:val="auto"/>
              </w:rPr>
            </w:pPr>
          </w:p>
        </w:tc>
        <w:tc>
          <w:tcPr>
            <w:tcW w:w="1620" w:type="dxa"/>
            <w:vAlign w:val="bottom"/>
          </w:tcPr>
          <w:p>
            <w:pPr>
              <w:jc w:val="right"/>
              <w:ind w:right="186"/>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0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exercise price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terms (years)</w:t>
            </w:r>
          </w:p>
        </w:tc>
        <w:tc>
          <w:tcPr>
            <w:tcW w:w="140" w:type="dxa"/>
            <w:vAlign w:val="bottom"/>
          </w:tcPr>
          <w:p>
            <w:pPr>
              <w:spacing w:after="0"/>
              <w:rPr>
                <w:sz w:val="17"/>
                <w:szCs w:val="17"/>
                <w:color w:val="auto"/>
              </w:rPr>
            </w:pPr>
          </w:p>
        </w:tc>
        <w:tc>
          <w:tcPr>
            <w:tcW w:w="1440" w:type="dxa"/>
            <w:vAlign w:val="bottom"/>
          </w:tcPr>
          <w:p>
            <w:pPr>
              <w:jc w:val="center"/>
              <w:ind w:right="66"/>
              <w:spacing w:after="0"/>
              <w:rPr>
                <w:sz w:val="20"/>
                <w:szCs w:val="20"/>
                <w:color w:val="auto"/>
              </w:rPr>
            </w:pPr>
            <w:r>
              <w:rPr>
                <w:rFonts w:ascii="Times New Roman" w:cs="Times New Roman" w:eastAsia="Times New Roman" w:hAnsi="Times New Roman"/>
                <w:sz w:val="15"/>
                <w:szCs w:val="15"/>
                <w:b w:val="1"/>
                <w:bCs w:val="1"/>
                <w:color w:val="auto"/>
                <w:w w:val="98"/>
              </w:rPr>
              <w:t>(in thousands)</w:t>
            </w:r>
          </w:p>
        </w:tc>
      </w:tr>
      <w:tr>
        <w:trPr>
          <w:trHeight w:val="30"/>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December 30, 2017</w:t>
            </w:r>
          </w:p>
        </w:tc>
        <w:tc>
          <w:tcPr>
            <w:tcW w:w="16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1,494,223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$61.76</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198"/>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6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255,532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$118.43</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17"/>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Exercised</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(261,113)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$40.58</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0"/>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(40,533)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$98.01</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17"/>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Expired</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(968)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$95.10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0"/>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1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December 29, 2018</w:t>
            </w:r>
          </w:p>
        </w:tc>
        <w:tc>
          <w:tcPr>
            <w:tcW w:w="16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1,447,141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$74.55</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21,714</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4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Vested and Expected to Vest, December 29, 2018</w:t>
            </w:r>
          </w:p>
        </w:tc>
        <w:tc>
          <w:tcPr>
            <w:tcW w:w="16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1,377,440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$73.10</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21,714</w:t>
            </w:r>
          </w:p>
        </w:tc>
      </w:tr>
      <w:tr>
        <w:trPr>
          <w:trHeight w:val="217"/>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Exercisable, December 29, 2018</w:t>
            </w:r>
          </w:p>
        </w:tc>
        <w:tc>
          <w:tcPr>
            <w:tcW w:w="162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851,264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$57.33</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21,714</w:t>
            </w:r>
          </w:p>
        </w:tc>
      </w:tr>
    </w:tbl>
    <w:p>
      <w:pPr>
        <w:spacing w:after="0" w:line="17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6"/>
          <w:szCs w:val="16"/>
          <w:color w:val="auto"/>
        </w:rPr>
        <w:t>The intrinsic value of stock options exercised during the fiscal years ended December 29, 2018, December 30, 2017, and December 31, 2016 was approximately $16.6 million, $14.9 million, and $9.0 million, respectively. At December 29, 2018, there was approximately $8.8 million of unrecognized compensation cost (net of estimated forfeitures) related to stock options which is expected to be recognized over a weighted-average period of approximately 2.6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weighted-average assumptions used to calculate the fair value of options granted in each of the respective fiscal years: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For the fiscal years ended</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0"/>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7"/>
        </w:trPr>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00" w:type="dxa"/>
            <w:vAlign w:val="bottom"/>
          </w:tcPr>
          <w:p>
            <w:pPr>
              <w:spacing w:after="0"/>
              <w:rPr>
                <w:sz w:val="17"/>
                <w:szCs w:val="17"/>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00" w:type="dxa"/>
            <w:vAlign w:val="bottom"/>
          </w:tcPr>
          <w:p>
            <w:pPr>
              <w:spacing w:after="0"/>
              <w:rPr>
                <w:sz w:val="17"/>
                <w:szCs w:val="17"/>
                <w:color w:val="auto"/>
              </w:rPr>
            </w:pPr>
          </w:p>
        </w:tc>
        <w:tc>
          <w:tcPr>
            <w:tcW w:w="164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42"/>
        </w:trPr>
        <w:tc>
          <w:tcPr>
            <w:tcW w:w="56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0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26.95%</w:t>
            </w:r>
          </w:p>
        </w:tc>
      </w:tr>
      <w:tr>
        <w:trPr>
          <w:trHeight w:val="217"/>
        </w:trPr>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r>
      <w:tr>
        <w:trPr>
          <w:trHeight w:val="30"/>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term (years)</w:t>
            </w: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6.0</w:t>
            </w:r>
          </w:p>
        </w:tc>
      </w:tr>
      <w:tr>
        <w:trPr>
          <w:trHeight w:val="217"/>
        </w:trPr>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 yield</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30"/>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fair value of options granted</w:t>
            </w:r>
          </w:p>
        </w:tc>
        <w:tc>
          <w:tcPr>
            <w:tcW w:w="2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27.36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19.57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21.41</w:t>
            </w:r>
          </w:p>
        </w:tc>
      </w:tr>
      <w:tr>
        <w:trPr>
          <w:trHeight w:val="30"/>
        </w:trPr>
        <w:tc>
          <w:tcPr>
            <w:tcW w:w="5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Awards</w:t>
      </w:r>
    </w:p>
    <w:p>
      <w:pPr>
        <w:spacing w:after="0" w:line="92" w:lineRule="exact"/>
        <w:rPr>
          <w:sz w:val="20"/>
          <w:szCs w:val="20"/>
          <w:color w:val="auto"/>
        </w:rPr>
      </w:pPr>
    </w:p>
    <w:p>
      <w:pPr>
        <w:ind w:right="680"/>
        <w:spacing w:after="0" w:line="298" w:lineRule="auto"/>
        <w:rPr>
          <w:sz w:val="20"/>
          <w:szCs w:val="20"/>
          <w:color w:val="auto"/>
        </w:rPr>
      </w:pPr>
      <w:r>
        <w:rPr>
          <w:rFonts w:ascii="Times New Roman" w:cs="Times New Roman" w:eastAsia="Times New Roman" w:hAnsi="Times New Roman"/>
          <w:sz w:val="16"/>
          <w:szCs w:val="16"/>
          <w:color w:val="auto"/>
        </w:rPr>
        <w:t>Restricted stock awards issued under the Plan vest based upon: 1) continued service (time-based) or 2) a combination of continued service and performance targets (performance-based).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activity related to all restricted stock awards during the fiscal year ended December 29,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1480" w:type="dxa"/>
            <w:vAlign w:val="bottom"/>
          </w:tcPr>
          <w:p>
            <w:pPr>
              <w:jc w:val="center"/>
              <w:ind w:left="626"/>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1480" w:type="dxa"/>
            <w:vAlign w:val="bottom"/>
          </w:tcPr>
          <w:p>
            <w:pPr>
              <w:jc w:val="center"/>
              <w:ind w:left="626"/>
              <w:spacing w:after="0"/>
              <w:rPr>
                <w:sz w:val="20"/>
                <w:szCs w:val="20"/>
                <w:color w:val="auto"/>
              </w:rPr>
            </w:pPr>
            <w:r>
              <w:rPr>
                <w:rFonts w:ascii="Times New Roman" w:cs="Times New Roman" w:eastAsia="Times New Roman" w:hAnsi="Times New Roman"/>
                <w:sz w:val="15"/>
                <w:szCs w:val="15"/>
                <w:b w:val="1"/>
                <w:bCs w:val="1"/>
                <w:color w:val="auto"/>
              </w:rPr>
              <w:t>stock</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w w:val="98"/>
              </w:rPr>
              <w:t>Weighted-average grant-date</w:t>
            </w:r>
          </w:p>
        </w:tc>
      </w:tr>
      <w:tr>
        <w:trPr>
          <w:trHeight w:val="196"/>
        </w:trPr>
        <w:tc>
          <w:tcPr>
            <w:tcW w:w="6980" w:type="dxa"/>
            <w:vAlign w:val="bottom"/>
          </w:tcPr>
          <w:p>
            <w:pPr>
              <w:spacing w:after="0"/>
              <w:rPr>
                <w:sz w:val="17"/>
                <w:szCs w:val="17"/>
                <w:color w:val="auto"/>
              </w:rPr>
            </w:pPr>
          </w:p>
        </w:tc>
        <w:tc>
          <w:tcPr>
            <w:tcW w:w="1480" w:type="dxa"/>
            <w:vAlign w:val="bottom"/>
          </w:tcPr>
          <w:p>
            <w:pPr>
              <w:jc w:val="center"/>
              <w:ind w:left="626"/>
              <w:spacing w:after="0"/>
              <w:rPr>
                <w:sz w:val="20"/>
                <w:szCs w:val="20"/>
                <w:color w:val="auto"/>
              </w:rPr>
            </w:pPr>
            <w:r>
              <w:rPr>
                <w:rFonts w:ascii="Times New Roman" w:cs="Times New Roman" w:eastAsia="Times New Roman" w:hAnsi="Times New Roman"/>
                <w:sz w:val="15"/>
                <w:szCs w:val="15"/>
                <w:b w:val="1"/>
                <w:bCs w:val="1"/>
                <w:color w:val="auto"/>
                <w:w w:val="98"/>
              </w:rPr>
              <w:t>awards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30"/>
        </w:trPr>
        <w:tc>
          <w:tcPr>
            <w:tcW w:w="6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Outstanding, December 30, 2017</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397,848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85.44</w:t>
            </w:r>
          </w:p>
        </w:tc>
      </w:tr>
      <w:tr>
        <w:trPr>
          <w:trHeight w:val="21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143,085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118.03</w:t>
            </w:r>
          </w:p>
        </w:tc>
      </w:tr>
      <w:tr>
        <w:trPr>
          <w:trHeight w:val="30"/>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7"/>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(151,321)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84.56</w:t>
            </w:r>
          </w:p>
        </w:tc>
      </w:tr>
      <w:tr>
        <w:trPr>
          <w:trHeight w:val="21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97.83</w:t>
            </w:r>
          </w:p>
        </w:tc>
      </w:tr>
      <w:tr>
        <w:trPr>
          <w:trHeight w:val="30"/>
        </w:trPr>
        <w:tc>
          <w:tcPr>
            <w:tcW w:w="6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December 29, 2018</w:t>
            </w:r>
          </w:p>
        </w:tc>
        <w:tc>
          <w:tcPr>
            <w:tcW w:w="7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374,008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97.57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During fiscal 2017, a total of 168,471 shares of restricted stock vested with a weighted-average fair value of $74.00 per share. During fiscal 2016, a total of 218,335 shares of restricted stock vested with a weighted-average fair value of $62.98 per share.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1420"/>
          </w:cols>
          <w:pgMar w:left="240" w:top="119" w:right="239" w:bottom="1440" w:gutter="0" w:footer="0" w:header="0"/>
        </w:sectPr>
      </w:pPr>
    </w:p>
    <w:bookmarkStart w:id="76" w:name="page77"/>
    <w:bookmarkEnd w:id="76"/>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At December 29, 2018, there was approximately $16.0 million of unrecognized compensation cost (net of estimated forfeitures) related to all restricted stock awards which is expected to be recognized over a weighted-average period of approximately 2.3 years.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Time-based Restricted Stock Awards</w:t>
      </w:r>
    </w:p>
    <w:p>
      <w:pPr>
        <w:spacing w:after="0" w:line="9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color w:val="auto"/>
        </w:rPr>
        <w:t>Time-based restricted stock awards vest in equal annual installments or cliff vest after a three- or four-year period. During fiscal years 2018, 2017, and 2016, a total of 100,625 shares, 114,703 shares, and 124,135 shares, respectively, of time-based restricted stock vested with a weighted-average fair value of $85.64 per share, $76.58 per share, and $65.80 per share, respectively. At December 29, 2018, there was approximately $13.4 million of unrecognized compensation cost (net of estimated forfeitures) related to time-based restricted stock which is expected to be recognized over a weighted-average period of approximately 2.4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Performance-based Restricted Stock Awards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w w:val="98"/>
              </w:rPr>
              <w:t>Weighted-average fair value per</w:t>
            </w:r>
          </w:p>
        </w:tc>
      </w:tr>
      <w:tr>
        <w:trPr>
          <w:trHeight w:val="196"/>
        </w:trPr>
        <w:tc>
          <w:tcPr>
            <w:tcW w:w="6740" w:type="dxa"/>
            <w:vAlign w:val="bottom"/>
            <w:gridSpan w:val="2"/>
          </w:tcPr>
          <w:p>
            <w:pPr>
              <w:ind w:left="296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228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Number of shares granted</w:t>
            </w:r>
          </w:p>
        </w:tc>
        <w:tc>
          <w:tcPr>
            <w:tcW w:w="200" w:type="dxa"/>
            <w:vAlign w:val="bottom"/>
          </w:tcPr>
          <w:p>
            <w:pPr>
              <w:spacing w:after="0"/>
              <w:rPr>
                <w:sz w:val="17"/>
                <w:szCs w:val="17"/>
                <w:color w:val="auto"/>
              </w:rPr>
            </w:pPr>
          </w:p>
        </w:tc>
        <w:tc>
          <w:tcPr>
            <w:tcW w:w="2160" w:type="dxa"/>
            <w:vAlign w:val="bottom"/>
          </w:tcPr>
          <w:p>
            <w:pPr>
              <w:jc w:val="right"/>
              <w:ind w:right="886"/>
              <w:spacing w:after="0"/>
              <w:rPr>
                <w:sz w:val="20"/>
                <w:szCs w:val="20"/>
                <w:color w:val="auto"/>
              </w:rPr>
            </w:pPr>
            <w:r>
              <w:rPr>
                <w:rFonts w:ascii="Times New Roman" w:cs="Times New Roman" w:eastAsia="Times New Roman" w:hAnsi="Times New Roman"/>
                <w:sz w:val="15"/>
                <w:szCs w:val="15"/>
                <w:b w:val="1"/>
                <w:bCs w:val="1"/>
                <w:color w:val="auto"/>
              </w:rPr>
              <w:t>share</w:t>
            </w:r>
          </w:p>
        </w:tc>
      </w:tr>
      <w:tr>
        <w:trPr>
          <w:trHeight w:val="30"/>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19"/>
        </w:trPr>
        <w:tc>
          <w:tcPr>
            <w:tcW w:w="6620" w:type="dxa"/>
            <w:vAlign w:val="bottom"/>
            <w:tcBorders>
              <w:bottom w:val="single" w:sz="8" w:color="CCEEFF"/>
            </w:tcBorders>
            <w:shd w:val="clear" w:color="auto" w:fill="CCEEFF"/>
          </w:tcPr>
          <w:p>
            <w:pPr>
              <w:jc w:val="right"/>
              <w:ind w:right="6226"/>
              <w:spacing w:after="0"/>
              <w:rPr>
                <w:sz w:val="20"/>
                <w:szCs w:val="20"/>
                <w:color w:val="auto"/>
              </w:rPr>
            </w:pPr>
            <w:r>
              <w:rPr>
                <w:rFonts w:ascii="Times New Roman" w:cs="Times New Roman" w:eastAsia="Times New Roman" w:hAnsi="Times New Roman"/>
                <w:sz w:val="15"/>
                <w:szCs w:val="15"/>
                <w:color w:val="auto"/>
                <w:w w:val="99"/>
              </w:rPr>
              <w:t>2016</w:t>
            </w:r>
          </w:p>
        </w:tc>
        <w:tc>
          <w:tcPr>
            <w:tcW w:w="12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53,070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90.66</w:t>
            </w:r>
          </w:p>
        </w:tc>
      </w:tr>
      <w:tr>
        <w:trPr>
          <w:trHeight w:val="217"/>
        </w:trPr>
        <w:tc>
          <w:tcPr>
            <w:tcW w:w="6620" w:type="dxa"/>
            <w:vAlign w:val="bottom"/>
          </w:tcPr>
          <w:p>
            <w:pPr>
              <w:jc w:val="right"/>
              <w:ind w:right="6226"/>
              <w:spacing w:after="0"/>
              <w:rPr>
                <w:sz w:val="20"/>
                <w:szCs w:val="20"/>
                <w:color w:val="auto"/>
              </w:rPr>
            </w:pPr>
            <w:r>
              <w:rPr>
                <w:rFonts w:ascii="Times New Roman" w:cs="Times New Roman" w:eastAsia="Times New Roman" w:hAnsi="Times New Roman"/>
                <w:sz w:val="15"/>
                <w:szCs w:val="15"/>
                <w:color w:val="auto"/>
                <w:w w:val="99"/>
              </w:rPr>
              <w:t>2017</w:t>
            </w:r>
          </w:p>
        </w:tc>
        <w:tc>
          <w:tcPr>
            <w:tcW w:w="120" w:type="dxa"/>
            <w:vAlign w:val="bottom"/>
          </w:tcPr>
          <w:p>
            <w:pPr>
              <w:spacing w:after="0"/>
              <w:rPr>
                <w:sz w:val="18"/>
                <w:szCs w:val="18"/>
                <w:color w:val="auto"/>
              </w:rPr>
            </w:pPr>
          </w:p>
        </w:tc>
        <w:tc>
          <w:tcPr>
            <w:tcW w:w="22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60,952</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83.84</w:t>
            </w:r>
          </w:p>
        </w:tc>
      </w:tr>
      <w:tr>
        <w:trPr>
          <w:trHeight w:val="30"/>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17"/>
        </w:trPr>
        <w:tc>
          <w:tcPr>
            <w:tcW w:w="6620" w:type="dxa"/>
            <w:vAlign w:val="bottom"/>
            <w:shd w:val="clear" w:color="auto" w:fill="CCEEFF"/>
          </w:tcPr>
          <w:p>
            <w:pPr>
              <w:jc w:val="right"/>
              <w:ind w:right="6226"/>
              <w:spacing w:after="0"/>
              <w:rPr>
                <w:sz w:val="20"/>
                <w:szCs w:val="20"/>
                <w:color w:val="auto"/>
              </w:rPr>
            </w:pPr>
            <w:r>
              <w:rPr>
                <w:rFonts w:ascii="Times New Roman" w:cs="Times New Roman" w:eastAsia="Times New Roman" w:hAnsi="Times New Roman"/>
                <w:sz w:val="15"/>
                <w:szCs w:val="15"/>
                <w:color w:val="auto"/>
                <w:w w:val="99"/>
              </w:rPr>
              <w:t>2018</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45,625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120.25</w:t>
            </w:r>
          </w:p>
        </w:tc>
      </w:tr>
      <w:tr>
        <w:trPr>
          <w:trHeight w:val="30"/>
        </w:trPr>
        <w:tc>
          <w:tcPr>
            <w:tcW w:w="6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During the fiscal year ended December 29, 2018, a total of 50,696 performance shares vested with a weighted-average fair value of $82.40 per share. As of December 29, 2018, a total of 153,922 performance shares were unvested with a weighted-average fair value of $96.47 per share. Vesting of these 153,922 performance shares is based on the performance targets for the shares granted in fiscal 2018, 2017, and 2016. As of December 29, 2018, there was approximately $2.6 million of unrecognized compensation cost (net of estimated forfeitures) related to the unvested performance-based restricted stock awards which is expected to be recognized over a weighted-average period of approximately 1.7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Awards</w:t>
      </w:r>
    </w:p>
    <w:p>
      <w:pPr>
        <w:spacing w:after="0" w:line="9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Included in restricted stock awards are grants to non-management members of the Company's Board of Directors. At issuance, these awards were fully vested and issued as shares of the Company's common stock. During fiscal years 2018, 2017, and 2016, such awards were as follows:</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jc w:val="right"/>
              <w:ind w:right="526"/>
              <w:spacing w:after="0"/>
              <w:rPr>
                <w:sz w:val="20"/>
                <w:szCs w:val="20"/>
                <w:color w:val="auto"/>
              </w:rPr>
            </w:pPr>
            <w:r>
              <w:rPr>
                <w:rFonts w:ascii="Times New Roman" w:cs="Times New Roman" w:eastAsia="Times New Roman" w:hAnsi="Times New Roman"/>
                <w:sz w:val="15"/>
                <w:szCs w:val="15"/>
                <w:b w:val="1"/>
                <w:bCs w:val="1"/>
                <w:color w:val="auto"/>
              </w:rPr>
              <w:t>Aggregate value</w:t>
            </w:r>
          </w:p>
        </w:tc>
      </w:tr>
      <w:tr>
        <w:trPr>
          <w:trHeight w:val="196"/>
        </w:trPr>
        <w:tc>
          <w:tcPr>
            <w:tcW w:w="4220" w:type="dxa"/>
            <w:vAlign w:val="bottom"/>
            <w:gridSpan w:val="2"/>
          </w:tcPr>
          <w:p>
            <w:pPr>
              <w:ind w:left="170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232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Number of shares issued</w:t>
            </w:r>
          </w:p>
        </w:tc>
        <w:tc>
          <w:tcPr>
            <w:tcW w:w="2300" w:type="dxa"/>
            <w:vAlign w:val="bottom"/>
            <w:gridSpan w:val="2"/>
          </w:tcPr>
          <w:p>
            <w:pPr>
              <w:ind w:left="440"/>
              <w:spacing w:after="0"/>
              <w:rPr>
                <w:sz w:val="20"/>
                <w:szCs w:val="20"/>
                <w:color w:val="auto"/>
              </w:rPr>
            </w:pPr>
            <w:r>
              <w:rPr>
                <w:rFonts w:ascii="Times New Roman" w:cs="Times New Roman" w:eastAsia="Times New Roman" w:hAnsi="Times New Roman"/>
                <w:sz w:val="15"/>
                <w:szCs w:val="15"/>
                <w:b w:val="1"/>
                <w:bCs w:val="1"/>
                <w:color w:val="auto"/>
              </w:rPr>
              <w:t>Fair value per share</w:t>
            </w:r>
          </w:p>
        </w:tc>
        <w:tc>
          <w:tcPr>
            <w:tcW w:w="2200" w:type="dxa"/>
            <w:vAlign w:val="bottom"/>
          </w:tcPr>
          <w:p>
            <w:pPr>
              <w:jc w:val="right"/>
              <w:ind w:right="586"/>
              <w:spacing w:after="0"/>
              <w:rPr>
                <w:sz w:val="20"/>
                <w:szCs w:val="20"/>
                <w:color w:val="auto"/>
              </w:rPr>
            </w:pPr>
            <w:r>
              <w:rPr>
                <w:rFonts w:ascii="Times New Roman" w:cs="Times New Roman" w:eastAsia="Times New Roman" w:hAnsi="Times New Roman"/>
                <w:sz w:val="15"/>
                <w:szCs w:val="15"/>
                <w:b w:val="1"/>
                <w:bCs w:val="1"/>
                <w:color w:val="auto"/>
              </w:rPr>
              <w:t>(in thousands)</w:t>
            </w:r>
          </w:p>
        </w:tc>
      </w:tr>
      <w:tr>
        <w:trPr>
          <w:trHeight w:val="30"/>
        </w:trPr>
        <w:tc>
          <w:tcPr>
            <w:tcW w:w="4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07"/>
        </w:trPr>
        <w:tc>
          <w:tcPr>
            <w:tcW w:w="4100" w:type="dxa"/>
            <w:vAlign w:val="bottom"/>
            <w:tcBorders>
              <w:bottom w:val="single" w:sz="8" w:color="CCEEFF"/>
            </w:tcBorders>
            <w:shd w:val="clear" w:color="auto" w:fill="CCEEFF"/>
          </w:tcPr>
          <w:p>
            <w:pPr>
              <w:jc w:val="right"/>
              <w:ind w:right="3706"/>
              <w:spacing w:after="0"/>
              <w:rPr>
                <w:sz w:val="20"/>
                <w:szCs w:val="20"/>
                <w:color w:val="auto"/>
              </w:rPr>
            </w:pPr>
            <w:r>
              <w:rPr>
                <w:rFonts w:ascii="Times New Roman" w:cs="Times New Roman" w:eastAsia="Times New Roman" w:hAnsi="Times New Roman"/>
                <w:sz w:val="15"/>
                <w:szCs w:val="15"/>
                <w:color w:val="auto"/>
                <w:w w:val="99"/>
              </w:rPr>
              <w:t>2016</w:t>
            </w:r>
          </w:p>
        </w:tc>
        <w:tc>
          <w:tcPr>
            <w:tcW w:w="12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12,758</w:t>
            </w:r>
          </w:p>
        </w:tc>
        <w:tc>
          <w:tcPr>
            <w:tcW w:w="12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$101.10</w:t>
            </w:r>
          </w:p>
        </w:tc>
        <w:tc>
          <w:tcPr>
            <w:tcW w:w="10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w:t>
            </w:r>
          </w:p>
        </w:tc>
      </w:tr>
      <w:tr>
        <w:trPr>
          <w:trHeight w:val="217"/>
        </w:trPr>
        <w:tc>
          <w:tcPr>
            <w:tcW w:w="4100" w:type="dxa"/>
            <w:vAlign w:val="bottom"/>
          </w:tcPr>
          <w:p>
            <w:pPr>
              <w:jc w:val="right"/>
              <w:ind w:right="3706"/>
              <w:spacing w:after="0"/>
              <w:rPr>
                <w:sz w:val="20"/>
                <w:szCs w:val="20"/>
                <w:color w:val="auto"/>
              </w:rPr>
            </w:pPr>
            <w:r>
              <w:rPr>
                <w:rFonts w:ascii="Times New Roman" w:cs="Times New Roman" w:eastAsia="Times New Roman" w:hAnsi="Times New Roman"/>
                <w:sz w:val="15"/>
                <w:szCs w:val="15"/>
                <w:color w:val="auto"/>
                <w:w w:val="99"/>
              </w:rPr>
              <w:t>2017</w:t>
            </w:r>
          </w:p>
        </w:tc>
        <w:tc>
          <w:tcPr>
            <w:tcW w:w="1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13,860</w:t>
            </w:r>
          </w:p>
        </w:tc>
        <w:tc>
          <w:tcPr>
            <w:tcW w:w="1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$84.46</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$1,171</w:t>
            </w:r>
          </w:p>
        </w:tc>
      </w:tr>
      <w:tr>
        <w:trPr>
          <w:trHeight w:val="30"/>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17"/>
        </w:trPr>
        <w:tc>
          <w:tcPr>
            <w:tcW w:w="4100" w:type="dxa"/>
            <w:vAlign w:val="bottom"/>
            <w:shd w:val="clear" w:color="auto" w:fill="CCEEFF"/>
          </w:tcPr>
          <w:p>
            <w:pPr>
              <w:jc w:val="right"/>
              <w:ind w:right="3706"/>
              <w:spacing w:after="0"/>
              <w:rPr>
                <w:sz w:val="20"/>
                <w:szCs w:val="20"/>
                <w:color w:val="auto"/>
              </w:rPr>
            </w:pPr>
            <w:r>
              <w:rPr>
                <w:rFonts w:ascii="Times New Roman" w:cs="Times New Roman" w:eastAsia="Times New Roman" w:hAnsi="Times New Roman"/>
                <w:sz w:val="15"/>
                <w:szCs w:val="15"/>
                <w:color w:val="auto"/>
                <w:w w:val="99"/>
              </w:rPr>
              <w:t>2018</w:t>
            </w: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10,971</w:t>
            </w: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$109.67</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$1,203</w:t>
            </w:r>
          </w:p>
        </w:tc>
      </w:tr>
      <w:tr>
        <w:trPr>
          <w:trHeight w:val="30"/>
        </w:trPr>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received no proceeds from the issuance of these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EMPLOYEE BENEFIT PLANS</w:t>
      </w:r>
    </w:p>
    <w:p>
      <w:pPr>
        <w:spacing w:after="0" w:line="92"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1400"/>
          </w:cols>
          <w:pgMar w:left="240" w:top="119" w:right="259" w:bottom="1440" w:gutter="0" w:footer="0" w:header="0"/>
        </w:sectPr>
      </w:pPr>
    </w:p>
    <w:bookmarkStart w:id="77" w:name="page78"/>
    <w:bookmarkEnd w:id="77"/>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Oshkosh B'Gosh Pension Plan</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Funded Status</w:t>
      </w:r>
    </w:p>
    <w:p>
      <w:pPr>
        <w:spacing w:after="0" w:line="92" w:lineRule="exact"/>
        <w:rPr>
          <w:sz w:val="20"/>
          <w:szCs w:val="20"/>
          <w:color w:val="auto"/>
        </w:rPr>
      </w:pPr>
    </w:p>
    <w:p>
      <w:pPr>
        <w:ind w:left="1" w:right="640"/>
        <w:spacing w:after="0" w:line="298" w:lineRule="auto"/>
        <w:rPr>
          <w:sz w:val="20"/>
          <w:szCs w:val="20"/>
          <w:color w:val="auto"/>
        </w:rPr>
      </w:pPr>
      <w:r>
        <w:rPr>
          <w:rFonts w:ascii="Times New Roman" w:cs="Times New Roman" w:eastAsia="Times New Roman" w:hAnsi="Times New Roman"/>
          <w:sz w:val="16"/>
          <w:szCs w:val="16"/>
          <w:color w:val="auto"/>
        </w:rPr>
        <w:t>The retirement benefits under the OshKosh B'Gosh pension plan were frozen as of December 31, 2005. A reconciliation of changes in the projected pension benefit obligation and plan assets is as follows:</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gridSpan w:val="4"/>
          </w:tcPr>
          <w:p>
            <w:pPr>
              <w:jc w:val="right"/>
              <w:ind w:right="1586"/>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r>
      <w:tr>
        <w:trPr>
          <w:trHeight w:val="30"/>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340" w:type="dxa"/>
            <w:vAlign w:val="bottom"/>
          </w:tcPr>
          <w:p>
            <w:pPr>
              <w:spacing w:after="0"/>
              <w:rPr>
                <w:sz w:val="18"/>
                <w:szCs w:val="18"/>
                <w:color w:val="auto"/>
              </w:rPr>
            </w:pPr>
          </w:p>
        </w:tc>
        <w:tc>
          <w:tcPr>
            <w:tcW w:w="21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340" w:type="dxa"/>
            <w:vAlign w:val="bottom"/>
          </w:tcPr>
          <w:p>
            <w:pPr>
              <w:spacing w:after="0"/>
              <w:rPr>
                <w:sz w:val="18"/>
                <w:szCs w:val="18"/>
                <w:color w:val="auto"/>
              </w:rPr>
            </w:pPr>
          </w:p>
        </w:tc>
        <w:tc>
          <w:tcPr>
            <w:tcW w:w="2040" w:type="dxa"/>
            <w:vAlign w:val="bottom"/>
          </w:tcPr>
          <w:p>
            <w:pPr>
              <w:jc w:val="right"/>
              <w:ind w:right="52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Change in projected benefit obligation:</w:t>
            </w:r>
          </w:p>
        </w:tc>
        <w:tc>
          <w:tcPr>
            <w:tcW w:w="3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r>
      <w:tr>
        <w:trPr>
          <w:trHeight w:val="217"/>
        </w:trPr>
        <w:tc>
          <w:tcPr>
            <w:tcW w:w="6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Projected benefit obligation at beginning of year</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66,747</w:t>
            </w:r>
          </w:p>
        </w:tc>
        <w:tc>
          <w:tcPr>
            <w:tcW w:w="120" w:type="dxa"/>
            <w:vAlign w:val="bottom"/>
          </w:tcPr>
          <w:p>
            <w:pPr>
              <w:spacing w:after="0"/>
              <w:rPr>
                <w:sz w:val="18"/>
                <w:szCs w:val="18"/>
                <w:color w:val="auto"/>
              </w:rPr>
            </w:pP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62,427</w:t>
            </w:r>
          </w:p>
        </w:tc>
      </w:tr>
      <w:tr>
        <w:trPr>
          <w:trHeight w:val="30"/>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7"/>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cost</w:t>
            </w:r>
          </w:p>
        </w:tc>
        <w:tc>
          <w:tcPr>
            <w:tcW w:w="3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2,287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2,446</w:t>
            </w:r>
          </w:p>
        </w:tc>
      </w:tr>
      <w:tr>
        <w:trPr>
          <w:trHeight w:val="217"/>
        </w:trPr>
        <w:tc>
          <w:tcPr>
            <w:tcW w:w="6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Actuarial (gain) loss</w:t>
            </w:r>
          </w:p>
        </w:tc>
        <w:tc>
          <w:tcPr>
            <w:tcW w:w="3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4,269</w:t>
            </w:r>
          </w:p>
        </w:tc>
      </w:tr>
      <w:tr>
        <w:trPr>
          <w:trHeight w:val="30"/>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7"/>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Benefits paid</w:t>
            </w: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(2,395)</w:t>
            </w:r>
          </w:p>
        </w:tc>
      </w:tr>
      <w:tr>
        <w:trPr>
          <w:trHeight w:val="25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Projected benefit obligation at end of year</w:t>
            </w: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62,297</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66,747</w:t>
            </w:r>
          </w:p>
        </w:tc>
      </w:tr>
      <w:tr>
        <w:trPr>
          <w:trHeight w:val="182"/>
        </w:trPr>
        <w:tc>
          <w:tcPr>
            <w:tcW w:w="6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217"/>
        </w:trPr>
        <w:tc>
          <w:tcPr>
            <w:tcW w:w="6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Change in plan assets:</w:t>
            </w: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0"/>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7"/>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Fair value of plan assets at beginning of year</w:t>
            </w:r>
          </w:p>
        </w:tc>
        <w:tc>
          <w:tcPr>
            <w:tcW w:w="34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54,437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51,213</w:t>
            </w:r>
          </w:p>
        </w:tc>
      </w:tr>
      <w:tr>
        <w:trPr>
          <w:trHeight w:val="217"/>
        </w:trPr>
        <w:tc>
          <w:tcPr>
            <w:tcW w:w="6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Actual return on plan assets</w:t>
            </w:r>
          </w:p>
        </w:tc>
        <w:tc>
          <w:tcPr>
            <w:tcW w:w="3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5,619</w:t>
            </w:r>
          </w:p>
        </w:tc>
      </w:tr>
      <w:tr>
        <w:trPr>
          <w:trHeight w:val="30"/>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7"/>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Employer contribution</w:t>
            </w:r>
          </w:p>
        </w:tc>
        <w:tc>
          <w:tcPr>
            <w:tcW w:w="3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6,000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6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Benefits paid</w:t>
            </w:r>
          </w:p>
        </w:tc>
        <w:tc>
          <w:tcPr>
            <w:tcW w:w="3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w:t>
            </w:r>
          </w:p>
        </w:tc>
      </w:tr>
      <w:tr>
        <w:trPr>
          <w:trHeight w:val="30"/>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of plan assets at end of year</w:t>
            </w: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55,564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54,437</w:t>
            </w: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82"/>
        </w:trPr>
        <w:tc>
          <w:tcPr>
            <w:tcW w:w="6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27"/>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Unfunded status</w:t>
            </w: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6,733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2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12,310</w:t>
            </w: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 w:right="40"/>
        <w:spacing w:after="0" w:line="267" w:lineRule="auto"/>
        <w:rPr>
          <w:sz w:val="20"/>
          <w:szCs w:val="20"/>
          <w:color w:val="auto"/>
        </w:rPr>
      </w:pPr>
      <w:r>
        <w:rPr>
          <w:rFonts w:ascii="Times New Roman" w:cs="Times New Roman" w:eastAsia="Times New Roman" w:hAnsi="Times New Roman"/>
          <w:sz w:val="16"/>
          <w:szCs w:val="16"/>
          <w:color w:val="auto"/>
        </w:rPr>
        <w:t>The accumulated benefit obligation is equal to the projected benefit obligation as of December 29, 2018 and December 30, 2017 because the plan is frozen. The unfunded status is included in other long-term liabilities in the Company's consolidated balance sheet. The Company made a discretionary contribution of $6.0 million to the OshKosh B'Gosh pension plan in fiscal 2018. The Company does not expect to make any contributions to the OshKosh B'Gosh pension plan during fiscal 2019 as the plan's funding exceeds the minimum funding requirements. The actuarial gain in fiscal 2018 was primarily attributable to a higher discount rate while the actuarial loss incurred in fiscal 2017 was primarily attributable to a lower discount rate.</w:t>
      </w:r>
    </w:p>
    <w:p>
      <w:pPr>
        <w:spacing w:after="0" w:line="1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Net Periodic Pension Cost and Changes Recognized in Other Comprehensive Income</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components of net periodic pension cost recognized in the statement of operations and changes recognized in other comprehensive income were as follows:</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For the fiscal year ended</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0"/>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00" w:type="dxa"/>
            <w:vAlign w:val="bottom"/>
          </w:tcPr>
          <w:p>
            <w:pPr>
              <w:spacing w:after="0"/>
              <w:rPr>
                <w:sz w:val="18"/>
                <w:szCs w:val="18"/>
                <w:color w:val="auto"/>
              </w:rPr>
            </w:pPr>
          </w:p>
        </w:tc>
        <w:tc>
          <w:tcPr>
            <w:tcW w:w="162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Recognized in the statement of 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cost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2,287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2,446</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2,515</w:t>
            </w:r>
          </w:p>
        </w:tc>
      </w:tr>
      <w:tr>
        <w:trPr>
          <w:trHeight w:val="30"/>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return on plan assets</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(2,701)</w:t>
            </w:r>
          </w:p>
        </w:tc>
      </w:tr>
      <w:tr>
        <w:trPr>
          <w:trHeight w:val="247"/>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Recognized actuarial loss</w:t>
            </w:r>
            <w:r>
              <w:rPr>
                <w:rFonts w:ascii="Times New Roman" w:cs="Times New Roman" w:eastAsia="Times New Roman" w:hAnsi="Times New Roman"/>
                <w:sz w:val="19"/>
                <w:szCs w:val="19"/>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709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681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578</w:t>
            </w:r>
          </w:p>
        </w:tc>
      </w:tr>
      <w:tr>
        <w:trPr>
          <w:trHeight w:val="227"/>
        </w:trPr>
        <w:tc>
          <w:tcPr>
            <w:tcW w:w="5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Net periodic pension cost</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392</w:t>
            </w:r>
          </w:p>
        </w:tc>
      </w:tr>
      <w:tr>
        <w:trPr>
          <w:trHeight w:val="190"/>
        </w:trPr>
        <w:tc>
          <w:tcPr>
            <w:tcW w:w="5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r>
      <w:tr>
        <w:trPr>
          <w:trHeight w:val="21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Changes recognized in other comprehensive income:</w:t>
            </w: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r>
      <w:tr>
        <w:trPr>
          <w:trHeight w:val="217"/>
        </w:trPr>
        <w:tc>
          <w:tcPr>
            <w:tcW w:w="5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arising during the fiscal year</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1,251</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1,644</w:t>
            </w:r>
          </w:p>
        </w:tc>
      </w:tr>
      <w:tr>
        <w:trPr>
          <w:trHeight w:val="30"/>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net loss</w:t>
            </w:r>
            <w:r>
              <w:rPr>
                <w:rFonts w:ascii="Times New Roman" w:cs="Times New Roman" w:eastAsia="Times New Roman" w:hAnsi="Times New Roman"/>
                <w:sz w:val="19"/>
                <w:szCs w:val="19"/>
                <w:color w:val="auto"/>
                <w:vertAlign w:val="superscript"/>
              </w:rPr>
              <w:t>(1)</w:t>
            </w:r>
          </w:p>
        </w:tc>
        <w:tc>
          <w:tcPr>
            <w:tcW w:w="2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w:t>
            </w:r>
          </w:p>
        </w:tc>
      </w:tr>
      <w:tr>
        <w:trPr>
          <w:trHeight w:val="197"/>
        </w:trPr>
        <w:tc>
          <w:tcPr>
            <w:tcW w:w="57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changes recognized in other comprehensive income</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361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570</w:t>
            </w:r>
          </w:p>
        </w:tc>
        <w:tc>
          <w:tcPr>
            <w:tcW w:w="120" w:type="dxa"/>
            <w:vAlign w:val="bottom"/>
          </w:tcPr>
          <w:p>
            <w:pPr>
              <w:spacing w:after="0"/>
              <w:rPr>
                <w:sz w:val="17"/>
                <w:szCs w:val="17"/>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1,066</w:t>
            </w:r>
          </w:p>
        </w:tc>
      </w:tr>
      <w:tr>
        <w:trPr>
          <w:trHeight w:val="30"/>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net periodic cost and changes recognized in other comprehensive income</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1,096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1,458</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441" w:right="20" w:hanging="441"/>
        <w:spacing w:after="0" w:line="273" w:lineRule="auto"/>
        <w:tabs>
          <w:tab w:leader="none" w:pos="441"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pre-tax amounts reclassified from accumulated other comprehensive loss. For fiscal 2019, approximately $0.8 million is expected to be reclassified from accumulated other comprehensive loss to a component of net periodic pension cost.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1421"/>
          </w:cols>
          <w:pgMar w:left="239" w:top="119" w:right="239" w:bottom="1440" w:gutter="0" w:footer="0" w:header="0"/>
        </w:sectPr>
      </w:pPr>
    </w:p>
    <w:bookmarkStart w:id="78" w:name="page79"/>
    <w:bookmarkEnd w:id="78"/>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Assumptions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actuarial computations utilized the following assumptions, using year-end measurement dates: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Benefit obligation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2017</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42"/>
        </w:trPr>
        <w:tc>
          <w:tcPr>
            <w:tcW w:w="20" w:type="dxa"/>
            <w:vAlign w:val="bottom"/>
            <w:tcBorders>
              <w:bottom w:val="single" w:sz="8" w:color="CCEEFF"/>
            </w:tcBorders>
          </w:tcPr>
          <w:p>
            <w:pPr>
              <w:spacing w:after="0"/>
              <w:rPr>
                <w:sz w:val="3"/>
                <w:szCs w:val="3"/>
                <w:color w:val="auto"/>
              </w:rPr>
            </w:pPr>
          </w:p>
        </w:tc>
        <w:tc>
          <w:tcPr>
            <w:tcW w:w="1120" w:type="dxa"/>
            <w:vAlign w:val="bottom"/>
            <w:tcBorders>
              <w:top w:val="single" w:sz="8" w:color="auto"/>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48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4.00%</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7"/>
        </w:trPr>
        <w:tc>
          <w:tcPr>
            <w:tcW w:w="20" w:type="dxa"/>
            <w:vAlign w:val="bottom"/>
            <w:shd w:val="clear" w:color="auto" w:fill="CCEEFF"/>
          </w:tcPr>
          <w:p>
            <w:pPr>
              <w:spacing w:after="0"/>
              <w:rPr>
                <w:sz w:val="21"/>
                <w:szCs w:val="21"/>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periodic pension cost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2016</w:t>
            </w:r>
          </w:p>
        </w:tc>
      </w:tr>
      <w:tr>
        <w:trPr>
          <w:trHeight w:val="197"/>
        </w:trPr>
        <w:tc>
          <w:tcPr>
            <w:tcW w:w="2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4800" w:type="dxa"/>
            <w:vAlign w:val="bottom"/>
            <w:tcBorders>
              <w:top w:val="single" w:sz="8" w:color="CCEEFF"/>
            </w:tcBorders>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3.50%</w:t>
            </w:r>
          </w:p>
        </w:tc>
        <w:tc>
          <w:tcPr>
            <w:tcW w:w="120" w:type="dxa"/>
            <w:vAlign w:val="bottom"/>
            <w:tcBorders>
              <w:top w:val="single" w:sz="8" w:color="CCEEFF"/>
            </w:tcBorders>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4.00%</w:t>
            </w:r>
          </w:p>
        </w:tc>
        <w:tc>
          <w:tcPr>
            <w:tcW w:w="100" w:type="dxa"/>
            <w:vAlign w:val="bottom"/>
            <w:tcBorders>
              <w:top w:val="single" w:sz="8" w:color="CCEEFF"/>
            </w:tcBorders>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4.25%</w:t>
            </w: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long-term rate of return on assets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6.25%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6.00%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6.00%</w:t>
            </w:r>
          </w:p>
        </w:tc>
      </w:tr>
      <w:tr>
        <w:trPr>
          <w:trHeight w:val="30"/>
        </w:trPr>
        <w:tc>
          <w:tcPr>
            <w:tcW w:w="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The discount rates used at December 29, 2018, December 30, 2017, and December 31, 2016 were determined with consideration given to the Citigroup Pension Discount and Liability Index and the Barclay Capital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considers historic returns adjusted for changes in overall economic conditions that may affect future returns and a weighting of each investment class.</w:t>
      </w:r>
    </w:p>
    <w:p>
      <w:pPr>
        <w:spacing w:after="0" w:line="126"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A 0.25% change in the assumed discount rate would result in an increase or decrease in the amount of the pension plan's projected benefit obligation of approximately $2.0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currently expects benefit payments for its defined benefit pension plans as follows for the next ten fiscal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48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0"/>
        </w:trPr>
        <w:tc>
          <w:tcPr>
            <w:tcW w:w="53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2019</w:t>
            </w:r>
          </w:p>
        </w:tc>
        <w:tc>
          <w:tcPr>
            <w:tcW w:w="4840" w:type="dxa"/>
            <w:vAlign w:val="bottom"/>
            <w:tcBorders>
              <w:bottom w:val="single" w:sz="8" w:color="CCEEFF"/>
            </w:tcBorders>
            <w:shd w:val="clear" w:color="auto" w:fill="CCEEFF"/>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3,020</w:t>
            </w:r>
          </w:p>
        </w:tc>
      </w:tr>
      <w:tr>
        <w:trPr>
          <w:trHeight w:val="205"/>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4840" w:type="dxa"/>
            <w:vAlign w:val="bottom"/>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2,600</w:t>
            </w:r>
          </w:p>
        </w:tc>
      </w:tr>
      <w:tr>
        <w:trPr>
          <w:trHeight w:val="30"/>
        </w:trPr>
        <w:tc>
          <w:tcPr>
            <w:tcW w:w="53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4840" w:type="dxa"/>
            <w:vAlign w:val="bottom"/>
            <w:tcBorders>
              <w:bottom w:val="single" w:sz="8" w:color="CCEEFF"/>
            </w:tcBorders>
            <w:shd w:val="clear" w:color="auto" w:fill="CCEEFF"/>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2,660</w:t>
            </w:r>
          </w:p>
        </w:tc>
      </w:tr>
      <w:tr>
        <w:trPr>
          <w:trHeight w:val="205"/>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4840" w:type="dxa"/>
            <w:vAlign w:val="bottom"/>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2,860</w:t>
            </w:r>
          </w:p>
        </w:tc>
      </w:tr>
      <w:tr>
        <w:trPr>
          <w:trHeight w:val="30"/>
        </w:trPr>
        <w:tc>
          <w:tcPr>
            <w:tcW w:w="53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4840" w:type="dxa"/>
            <w:vAlign w:val="bottom"/>
            <w:tcBorders>
              <w:bottom w:val="single" w:sz="8" w:color="CCEEFF"/>
            </w:tcBorders>
            <w:shd w:val="clear" w:color="auto" w:fill="CCEEFF"/>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2,940</w:t>
            </w:r>
          </w:p>
        </w:tc>
      </w:tr>
      <w:tr>
        <w:trPr>
          <w:trHeight w:val="205"/>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2024-2028</w:t>
            </w:r>
          </w:p>
        </w:tc>
        <w:tc>
          <w:tcPr>
            <w:tcW w:w="4840" w:type="dxa"/>
            <w:vAlign w:val="bottom"/>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17,850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Plan Assets</w:t>
      </w:r>
    </w:p>
    <w:p>
      <w:pPr>
        <w:spacing w:after="0" w:line="9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6"/>
          <w:szCs w:val="16"/>
          <w:color w:val="auto"/>
        </w:rPr>
        <w:t>The Company's investment strategy is to invest in a well-diversified portfolio consisting of mutual funds or group annuity contracts that minimize concentration of risks by utilizing a variety of asset types, fund strategies, and fund managers. The target allocation for plan assets is 45% equity securities, 50% bond funds, and 5% real estate investments. The plan expects to gradually reduce its equity exposure.</w:t>
      </w:r>
    </w:p>
    <w:p>
      <w:pPr>
        <w:spacing w:after="0" w:line="117"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The Company’s investment policy anticipates a rate of return sufficient to fund pension plan benefits while minimizing the risk to the Company of additional funding. Based on actual returns over a long-term basis, the Company believes that a 5.50% annual return on plan assets can be achieved based on the current allocation and investment strategy.</w:t>
      </w:r>
    </w:p>
    <w:p>
      <w:pPr>
        <w:spacing w:after="0" w:line="30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6"/>
          <w:szCs w:val="16"/>
          <w:color w:val="auto"/>
        </w:rPr>
        <w:t>Equity securities primarily include funds invested in large-cap and mid-cap companies, primarily located in the U.S., with a small exposure to international equities. Fixed income securities include funds holding corporate bonds of companies from diverse industries, and U.S. Treasuries. Real estate funds include investments in actively managed mutual funds that invest in real estate.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1420"/>
          </w:cols>
          <w:pgMar w:left="240" w:top="119" w:right="239" w:bottom="1440" w:gutter="0" w:footer="0" w:header="0"/>
        </w:sectPr>
      </w:pPr>
    </w:p>
    <w:bookmarkStart w:id="79" w:name="page80"/>
    <w:bookmarkEnd w:id="79"/>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fair value of the Company's pension plan assets at December 29, 2018 and December 30, 2017, by asset category, were as follows:</w:t>
      </w:r>
    </w:p>
    <w:p>
      <w:pPr>
        <w:spacing w:after="0" w:line="228" w:lineRule="exact"/>
        <w:rPr>
          <w:sz w:val="20"/>
          <w:szCs w:val="20"/>
          <w:color w:val="auto"/>
        </w:rPr>
      </w:pPr>
    </w:p>
    <w:tbl>
      <w:tblPr>
        <w:tblLayout w:type="fixed"/>
        <w:tblInd w:w="1"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8"/>
              </w:rPr>
              <w:t>December 29, 2018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Asset Category</w:t>
            </w:r>
          </w:p>
        </w:tc>
        <w:tc>
          <w:tcPr>
            <w:tcW w:w="260" w:type="dxa"/>
            <w:vAlign w:val="bottom"/>
          </w:tcPr>
          <w:p>
            <w:pPr>
              <w:spacing w:after="0"/>
              <w:rPr>
                <w:sz w:val="15"/>
                <w:szCs w:val="15"/>
                <w:color w:val="auto"/>
              </w:rPr>
            </w:pPr>
          </w:p>
        </w:tc>
        <w:tc>
          <w:tcPr>
            <w:tcW w:w="920" w:type="dxa"/>
            <w:vAlign w:val="bottom"/>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240" w:type="dxa"/>
            <w:vAlign w:val="bottom"/>
          </w:tcPr>
          <w:p>
            <w:pPr>
              <w:spacing w:after="0"/>
              <w:rPr>
                <w:sz w:val="15"/>
                <w:szCs w:val="15"/>
                <w:color w:val="auto"/>
              </w:rPr>
            </w:pPr>
          </w:p>
        </w:tc>
        <w:tc>
          <w:tcPr>
            <w:tcW w:w="10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8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Level 1</w:t>
            </w:r>
          </w:p>
        </w:tc>
        <w:tc>
          <w:tcPr>
            <w:tcW w:w="260" w:type="dxa"/>
            <w:vAlign w:val="bottom"/>
          </w:tcPr>
          <w:p>
            <w:pPr>
              <w:spacing w:after="0"/>
              <w:rPr>
                <w:sz w:val="15"/>
                <w:szCs w:val="15"/>
                <w:color w:val="auto"/>
              </w:rPr>
            </w:pPr>
          </w:p>
        </w:tc>
        <w:tc>
          <w:tcPr>
            <w:tcW w:w="1000" w:type="dxa"/>
            <w:vAlign w:val="bottom"/>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Level 2</w:t>
            </w:r>
          </w:p>
        </w:tc>
      </w:tr>
      <w:tr>
        <w:trPr>
          <w:trHeight w:val="42"/>
        </w:trPr>
        <w:tc>
          <w:tcPr>
            <w:tcW w:w="20" w:type="dxa"/>
            <w:vAlign w:val="bottom"/>
            <w:tcBorders>
              <w:bottom w:val="single" w:sz="8" w:color="CCEEFF"/>
            </w:tcBorders>
          </w:tcPr>
          <w:p>
            <w:pPr>
              <w:spacing w:after="0"/>
              <w:rPr>
                <w:sz w:val="3"/>
                <w:szCs w:val="3"/>
                <w:color w:val="auto"/>
              </w:rPr>
            </w:pPr>
          </w:p>
        </w:tc>
        <w:tc>
          <w:tcPr>
            <w:tcW w:w="960" w:type="dxa"/>
            <w:vAlign w:val="bottom"/>
            <w:tcBorders>
              <w:top w:val="single" w:sz="8" w:color="auto"/>
              <w:bottom w:val="single" w:sz="8" w:color="CCEEFF"/>
            </w:tcBorders>
          </w:tcPr>
          <w:p>
            <w:pPr>
              <w:spacing w:after="0"/>
              <w:rPr>
                <w:sz w:val="3"/>
                <w:szCs w:val="3"/>
                <w:color w:val="auto"/>
              </w:rPr>
            </w:pPr>
          </w:p>
        </w:tc>
        <w:tc>
          <w:tcPr>
            <w:tcW w:w="25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550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539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i w:val="1"/>
                <w:iCs w:val="1"/>
                <w:color w:val="auto"/>
              </w:rPr>
              <w:t>Equity Securities: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0" w:type="dxa"/>
            <w:vAlign w:val="bottom"/>
            <w:shd w:val="clear" w:color="auto" w:fill="CCEEFF"/>
          </w:tcPr>
          <w:p>
            <w:pPr>
              <w:spacing w:after="0"/>
              <w:rPr>
                <w:sz w:val="21"/>
                <w:szCs w:val="21"/>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U.S. Large-Cap blend</w:t>
            </w:r>
            <w:r>
              <w:rPr>
                <w:rFonts w:ascii="Times New Roman" w:cs="Times New Roman" w:eastAsia="Times New Roman" w:hAnsi="Times New Roman"/>
                <w:sz w:val="19"/>
                <w:szCs w:val="19"/>
                <w:color w:val="auto"/>
                <w:vertAlign w:val="superscript"/>
              </w:rPr>
              <w:t>(1)</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7,693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7,693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7,418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7,418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U.S. Large-Cap growth</w:t>
            </w:r>
          </w:p>
        </w:tc>
        <w:tc>
          <w:tcPr>
            <w:tcW w:w="260" w:type="dxa"/>
            <w:vAlign w:val="bottom"/>
          </w:tcPr>
          <w:p>
            <w:pPr>
              <w:spacing w:after="0"/>
              <w:rPr>
                <w:sz w:val="18"/>
                <w:szCs w:val="18"/>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3,478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3,478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U.S. Mid-Cap growth</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3,355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3,355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3,228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3,228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U.S. Small-Cap blend</w:t>
            </w:r>
          </w:p>
        </w:tc>
        <w:tc>
          <w:tcPr>
            <w:tcW w:w="260" w:type="dxa"/>
            <w:vAlign w:val="bottom"/>
          </w:tcPr>
          <w:p>
            <w:pPr>
              <w:spacing w:after="0"/>
              <w:rPr>
                <w:sz w:val="18"/>
                <w:szCs w:val="18"/>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2,224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2,224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International blend</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8,302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8,302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8,142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8,142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i w:val="1"/>
                <w:iCs w:val="1"/>
                <w:color w:val="auto"/>
              </w:rPr>
              <w:t>Fixed income securities: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0" w:type="dxa"/>
            <w:vAlign w:val="bottom"/>
            <w:shd w:val="clear" w:color="auto" w:fill="CCEEFF"/>
          </w:tcPr>
          <w:p>
            <w:pPr>
              <w:spacing w:after="0"/>
              <w:rPr>
                <w:sz w:val="21"/>
                <w:szCs w:val="21"/>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bonds</w:t>
            </w:r>
            <w:r>
              <w:rPr>
                <w:rFonts w:ascii="Times New Roman" w:cs="Times New Roman" w:eastAsia="Times New Roman" w:hAnsi="Times New Roman"/>
                <w:sz w:val="19"/>
                <w:szCs w:val="19"/>
                <w:color w:val="auto"/>
                <w:vertAlign w:val="superscript"/>
              </w:rPr>
              <w:t>(2)</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27,247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27,006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241</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26,888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26,480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408</w:t>
            </w:r>
          </w:p>
        </w:tc>
      </w:tr>
      <w:tr>
        <w:trPr>
          <w:trHeight w:val="247"/>
        </w:trPr>
        <w:tc>
          <w:tcPr>
            <w:tcW w:w="20" w:type="dxa"/>
            <w:vAlign w:val="bottom"/>
            <w:tcBorders>
              <w:bottom w:val="single" w:sz="8" w:color="CCEEFF"/>
            </w:tcBorders>
          </w:tcPr>
          <w:p>
            <w:pPr>
              <w:spacing w:after="0"/>
              <w:rPr>
                <w:sz w:val="21"/>
                <w:szCs w:val="21"/>
                <w:color w:val="auto"/>
              </w:rPr>
            </w:pPr>
          </w:p>
        </w:tc>
        <w:tc>
          <w:tcPr>
            <w:tcW w:w="3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Real estate</w:t>
            </w:r>
            <w:r>
              <w:rPr>
                <w:rFonts w:ascii="Times New Roman" w:cs="Times New Roman" w:eastAsia="Times New Roman" w:hAnsi="Times New Roman"/>
                <w:sz w:val="19"/>
                <w:szCs w:val="19"/>
                <w:color w:val="auto"/>
                <w:vertAlign w:val="superscript"/>
              </w:rPr>
              <w:t>(3)</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2,715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2,715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2,744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2,744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55,564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55,323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54,437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54,029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9" w:lineRule="exact"/>
        <w:rPr>
          <w:sz w:val="20"/>
          <w:szCs w:val="20"/>
          <w:color w:val="auto"/>
        </w:rPr>
      </w:pPr>
    </w:p>
    <w:p>
      <w:pPr>
        <w:ind w:left="441" w:hanging="441"/>
        <w:spacing w:after="0"/>
        <w:tabs>
          <w:tab w:leader="none" w:pos="44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comprises low-cost equity index funds not actively managed that track the Standard &amp; Poor's 500 Index.</w:t>
      </w:r>
    </w:p>
    <w:p>
      <w:pPr>
        <w:spacing w:after="0" w:line="72"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invests in both U.S. Treasuries and mid-term corporate debt from U.S. issuers from diverse industries.</w:t>
      </w:r>
    </w:p>
    <w:p>
      <w:pPr>
        <w:spacing w:after="0" w:line="72"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represents an investment in a mutual fund that invests primarily in real estate securities, including common stocks, preferred stock and other equity securities issued by real estate companies.</w:t>
      </w:r>
    </w:p>
    <w:p>
      <w:pPr>
        <w:spacing w:after="0" w:line="1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Post-retirement Life and Medical Plan</w:t>
      </w:r>
    </w:p>
    <w:p>
      <w:pPr>
        <w:spacing w:after="0" w:line="92" w:lineRule="exact"/>
        <w:rPr>
          <w:sz w:val="20"/>
          <w:szCs w:val="20"/>
          <w:color w:val="auto"/>
        </w:rPr>
      </w:pPr>
    </w:p>
    <w:p>
      <w:pPr>
        <w:ind w:left="1" w:right="140"/>
        <w:spacing w:after="0" w:line="277" w:lineRule="auto"/>
        <w:rPr>
          <w:sz w:val="20"/>
          <w:szCs w:val="20"/>
          <w:color w:val="auto"/>
        </w:rPr>
      </w:pPr>
      <w:r>
        <w:rPr>
          <w:rFonts w:ascii="Times New Roman" w:cs="Times New Roman" w:eastAsia="Times New Roman" w:hAnsi="Times New Roman"/>
          <w:sz w:val="16"/>
          <w:szCs w:val="16"/>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Accumulated Post-Retirement Benefit Obligation</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is a reconciliation of the accumulated post-retirement benefit obligation ("APBO") under this plan:</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gridSpan w:val="4"/>
          </w:tcPr>
          <w:p>
            <w:pPr>
              <w:jc w:val="right"/>
              <w:ind w:right="1206"/>
              <w:spacing w:after="0"/>
              <w:rPr>
                <w:sz w:val="20"/>
                <w:szCs w:val="20"/>
                <w:color w:val="auto"/>
              </w:rPr>
            </w:pPr>
            <w:r>
              <w:rPr>
                <w:rFonts w:ascii="Times New Roman" w:cs="Times New Roman" w:eastAsia="Times New Roman" w:hAnsi="Times New Roman"/>
                <w:sz w:val="15"/>
                <w:szCs w:val="15"/>
                <w:b w:val="1"/>
                <w:bCs w:val="1"/>
                <w:color w:val="auto"/>
              </w:rPr>
              <w:t>For the fiscal years ended</w:t>
            </w:r>
          </w:p>
        </w:tc>
      </w:tr>
      <w:tr>
        <w:trPr>
          <w:trHeight w:val="30"/>
        </w:trPr>
        <w:tc>
          <w:tcPr>
            <w:tcW w:w="7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6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60" w:type="dxa"/>
            <w:vAlign w:val="bottom"/>
          </w:tcPr>
          <w:p>
            <w:pPr>
              <w:spacing w:after="0"/>
              <w:rPr>
                <w:sz w:val="18"/>
                <w:szCs w:val="18"/>
                <w:color w:val="auto"/>
              </w:rPr>
            </w:pPr>
          </w:p>
        </w:tc>
        <w:tc>
          <w:tcPr>
            <w:tcW w:w="1780" w:type="dxa"/>
            <w:vAlign w:val="bottom"/>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APBO at beginning of fiscal year</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3,969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4,125</w:t>
            </w:r>
          </w:p>
        </w:tc>
      </w:tr>
      <w:tr>
        <w:trPr>
          <w:trHeight w:val="217"/>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Service cost</w:t>
            </w:r>
          </w:p>
        </w:tc>
        <w:tc>
          <w:tcPr>
            <w:tcW w:w="260" w:type="dxa"/>
            <w:vAlign w:val="bottom"/>
          </w:tcPr>
          <w:p>
            <w:pPr>
              <w:spacing w:after="0"/>
              <w:rPr>
                <w:sz w:val="18"/>
                <w:szCs w:val="18"/>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30</w:t>
            </w:r>
          </w:p>
        </w:tc>
      </w:tr>
      <w:tr>
        <w:trPr>
          <w:trHeight w:val="30"/>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cost</w:t>
            </w:r>
          </w:p>
        </w:tc>
        <w:tc>
          <w:tcPr>
            <w:tcW w:w="26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137</w:t>
            </w:r>
          </w:p>
        </w:tc>
      </w:tr>
      <w:tr>
        <w:trPr>
          <w:trHeight w:val="217"/>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Actuarial loss (gain)</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26</w:t>
            </w:r>
          </w:p>
        </w:tc>
      </w:tr>
      <w:tr>
        <w:trPr>
          <w:trHeight w:val="30"/>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Plan participants' contribution</w:t>
            </w:r>
          </w:p>
        </w:tc>
        <w:tc>
          <w:tcPr>
            <w:tcW w:w="26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w:t>
            </w:r>
          </w:p>
        </w:tc>
      </w:tr>
      <w:tr>
        <w:trPr>
          <w:trHeight w:val="217"/>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Benefits paid</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w:t>
            </w:r>
          </w:p>
        </w:tc>
      </w:tr>
      <w:tr>
        <w:trPr>
          <w:trHeight w:val="30"/>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APBO at end of fiscal year</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3,228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3,969</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 w:right="260"/>
        <w:spacing w:after="0" w:line="298" w:lineRule="auto"/>
        <w:rPr>
          <w:sz w:val="20"/>
          <w:szCs w:val="20"/>
          <w:color w:val="auto"/>
        </w:rPr>
      </w:pPr>
      <w:r>
        <w:rPr>
          <w:rFonts w:ascii="Times New Roman" w:cs="Times New Roman" w:eastAsia="Times New Roman" w:hAnsi="Times New Roman"/>
          <w:sz w:val="16"/>
          <w:szCs w:val="16"/>
          <w:color w:val="auto"/>
        </w:rPr>
        <w:t>Approximately $2.9 million and $3.6 million of the APBO at the end of fiscal 2018 and 2017, respectively, were classified as other long term liabilities in the Company's consolidated balance sheets.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1421"/>
          </w:cols>
          <w:pgMar w:left="239" w:top="119" w:right="239" w:bottom="1440" w:gutter="0" w:footer="0" w:header="0"/>
        </w:sectPr>
      </w:pPr>
    </w:p>
    <w:bookmarkStart w:id="80" w:name="page81"/>
    <w:bookmarkEnd w:id="80"/>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Net Periodic Post-Retirement (Benefit) Cost and Changes Recognized in Other Comprehensive Income</w:t>
      </w:r>
    </w:p>
    <w:p>
      <w:pPr>
        <w:spacing w:after="0" w:line="92" w:lineRule="exact"/>
        <w:rPr>
          <w:sz w:val="20"/>
          <w:szCs w:val="20"/>
          <w:color w:val="auto"/>
        </w:rPr>
      </w:pPr>
    </w:p>
    <w:p>
      <w:pPr>
        <w:ind w:left="1" w:right="340"/>
        <w:spacing w:after="0" w:line="298" w:lineRule="auto"/>
        <w:rPr>
          <w:sz w:val="20"/>
          <w:szCs w:val="20"/>
          <w:color w:val="auto"/>
        </w:rPr>
      </w:pPr>
      <w:r>
        <w:rPr>
          <w:rFonts w:ascii="Times New Roman" w:cs="Times New Roman" w:eastAsia="Times New Roman" w:hAnsi="Times New Roman"/>
          <w:sz w:val="16"/>
          <w:szCs w:val="16"/>
          <w:color w:val="auto"/>
        </w:rPr>
        <w:t>The components of net periodic post-retirement cost (benefit) recognized in the statement of operations and changes recognized in other comprehensive income were as follows:</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For the fiscal year ended</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00" w:type="dxa"/>
            <w:vAlign w:val="bottom"/>
          </w:tcPr>
          <w:p>
            <w:pPr>
              <w:spacing w:after="0"/>
              <w:rPr>
                <w:sz w:val="18"/>
                <w:szCs w:val="18"/>
                <w:color w:val="auto"/>
              </w:rPr>
            </w:pPr>
          </w:p>
        </w:tc>
        <w:tc>
          <w:tcPr>
            <w:tcW w:w="162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31, 2016</w:t>
            </w:r>
          </w:p>
        </w:tc>
        <w:tc>
          <w:tcPr>
            <w:tcW w:w="0" w:type="dxa"/>
            <w:vAlign w:val="bottom"/>
          </w:tcPr>
          <w:p>
            <w:pPr>
              <w:spacing w:after="0"/>
              <w:rPr>
                <w:sz w:val="1"/>
                <w:szCs w:val="1"/>
                <w:color w:val="auto"/>
              </w:rPr>
            </w:pPr>
          </w:p>
        </w:tc>
      </w:tr>
      <w:tr>
        <w:trPr>
          <w:trHeight w:val="30"/>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Recognized in the statement of 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Service cost – benefits attributed to service during the period</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Interest cost on accumulated post-retirement benefit obligation</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177</w:t>
            </w:r>
          </w:p>
        </w:tc>
        <w:tc>
          <w:tcPr>
            <w:tcW w:w="0" w:type="dxa"/>
            <w:vAlign w:val="bottom"/>
          </w:tcPr>
          <w:p>
            <w:pPr>
              <w:spacing w:after="0"/>
              <w:rPr>
                <w:sz w:val="1"/>
                <w:szCs w:val="1"/>
                <w:color w:val="auto"/>
              </w:rPr>
            </w:pPr>
          </w:p>
        </w:tc>
      </w:tr>
      <w:tr>
        <w:trPr>
          <w:trHeight w:val="247"/>
        </w:trPr>
        <w:tc>
          <w:tcPr>
            <w:tcW w:w="5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Amortization net actuarial gain</w:t>
            </w:r>
            <w:r>
              <w:rPr>
                <w:rFonts w:ascii="Times New Roman" w:cs="Times New Roman" w:eastAsia="Times New Roman" w:hAnsi="Times New Roman"/>
                <w:sz w:val="19"/>
                <w:szCs w:val="19"/>
                <w:color w:val="auto"/>
                <w:vertAlign w:val="superscript"/>
              </w:rPr>
              <w:t>(*)</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0" w:type="dxa"/>
            <w:vAlign w:val="bottom"/>
          </w:tcPr>
          <w:p>
            <w:pPr>
              <w:spacing w:after="0"/>
              <w:rPr>
                <w:sz w:val="1"/>
                <w:szCs w:val="1"/>
                <w:color w:val="auto"/>
              </w:rPr>
            </w:pPr>
          </w:p>
        </w:tc>
      </w:tr>
      <w:tr>
        <w:trPr>
          <w:trHeight w:val="22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periodic post-retirement (benefit) cost</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Changes recognized in other comprehensive income:</w:t>
            </w: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loss (gain) arising during the fiscal year</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Prior service cost</w:t>
            </w:r>
          </w:p>
        </w:tc>
        <w:tc>
          <w:tcPr>
            <w:tcW w:w="2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47"/>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Amortization of net gain</w:t>
            </w:r>
            <w:r>
              <w:rPr>
                <w:rFonts w:ascii="Times New Roman" w:cs="Times New Roman" w:eastAsia="Times New Roman" w:hAnsi="Times New Roman"/>
                <w:sz w:val="19"/>
                <w:szCs w:val="19"/>
                <w:color w:val="auto"/>
                <w:vertAlign w:val="superscript"/>
              </w:rPr>
              <w:t>(*)</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289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306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198</w:t>
            </w:r>
          </w:p>
        </w:tc>
        <w:tc>
          <w:tcPr>
            <w:tcW w:w="0" w:type="dxa"/>
            <w:vAlign w:val="bottom"/>
          </w:tcPr>
          <w:p>
            <w:pPr>
              <w:spacing w:after="0"/>
              <w:rPr>
                <w:sz w:val="1"/>
                <w:szCs w:val="1"/>
                <w:color w:val="auto"/>
              </w:rPr>
            </w:pPr>
          </w:p>
        </w:tc>
      </w:tr>
      <w:tr>
        <w:trPr>
          <w:trHeight w:val="22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changes recognized in other comprehensive income</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0" w:type="dxa"/>
            <w:vAlign w:val="bottom"/>
          </w:tcPr>
          <w:p>
            <w:pPr>
              <w:spacing w:after="0"/>
              <w:rPr>
                <w:sz w:val="1"/>
                <w:szCs w:val="1"/>
                <w:color w:val="auto"/>
              </w:rPr>
            </w:pPr>
          </w:p>
        </w:tc>
      </w:tr>
      <w:tr>
        <w:trPr>
          <w:trHeight w:val="174"/>
        </w:trPr>
        <w:tc>
          <w:tcPr>
            <w:tcW w:w="57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Total net periodic (benefit) cost and changes recognized in other comprehensive</w:t>
            </w:r>
          </w:p>
        </w:tc>
        <w:tc>
          <w:tcPr>
            <w:tcW w:w="2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5"/>
                <w:szCs w:val="15"/>
                <w:color w:val="auto"/>
              </w:rPr>
              <w:t>193</w:t>
            </w:r>
          </w:p>
        </w:tc>
        <w:tc>
          <w:tcPr>
            <w:tcW w:w="120" w:type="dxa"/>
            <w:vAlign w:val="bottom"/>
          </w:tcPr>
          <w:p>
            <w:pPr>
              <w:spacing w:after="0"/>
              <w:rPr>
                <w:sz w:val="15"/>
                <w:szCs w:val="15"/>
                <w:color w:val="auto"/>
              </w:rPr>
            </w:pPr>
          </w:p>
        </w:tc>
        <w:tc>
          <w:tcPr>
            <w:tcW w:w="20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0" w:type="dxa"/>
            <w:vAlign w:val="bottom"/>
          </w:tcPr>
          <w:p>
            <w:pPr>
              <w:spacing w:after="0"/>
              <w:rPr>
                <w:sz w:val="1"/>
                <w:szCs w:val="1"/>
                <w:color w:val="auto"/>
              </w:rPr>
            </w:pPr>
          </w:p>
        </w:tc>
      </w:tr>
      <w:tr>
        <w:trPr>
          <w:trHeight w:val="211"/>
        </w:trPr>
        <w:tc>
          <w:tcPr>
            <w:tcW w:w="572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2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441" w:right="20" w:hanging="441"/>
        <w:spacing w:after="0" w:line="273" w:lineRule="auto"/>
        <w:tabs>
          <w:tab w:leader="none" w:pos="44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pre-tax amounts reclassified from accumulated other comprehensive loss. For fiscal 2019, approximately $0.4 million is expected to be reclassified from accumulated other comprehensive loss as a credit to periodic net periodic pension cost.</w:t>
      </w:r>
    </w:p>
    <w:p>
      <w:pPr>
        <w:spacing w:after="0" w:line="1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Assumptions</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actuarial computations utilized the following assumptions, using year-end measurement dates:</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Benefit obligation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2017</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2"/>
        </w:trPr>
        <w:tc>
          <w:tcPr>
            <w:tcW w:w="20" w:type="dxa"/>
            <w:vAlign w:val="bottom"/>
            <w:tcBorders>
              <w:bottom w:val="single" w:sz="8" w:color="CCEEFF"/>
            </w:tcBorders>
          </w:tcPr>
          <w:p>
            <w:pPr>
              <w:spacing w:after="0"/>
              <w:rPr>
                <w:sz w:val="3"/>
                <w:szCs w:val="3"/>
                <w:color w:val="auto"/>
              </w:rPr>
            </w:pPr>
          </w:p>
        </w:tc>
        <w:tc>
          <w:tcPr>
            <w:tcW w:w="1120" w:type="dxa"/>
            <w:vAlign w:val="bottom"/>
            <w:tcBorders>
              <w:top w:val="single" w:sz="8" w:color="auto"/>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51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6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4.00%</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3.25%</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7"/>
        </w:trPr>
        <w:tc>
          <w:tcPr>
            <w:tcW w:w="2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periodic pension cost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2017</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5"/>
                <w:szCs w:val="15"/>
                <w:b w:val="1"/>
                <w:bCs w:val="1"/>
                <w:color w:val="auto"/>
              </w:rPr>
              <w:t>2016</w:t>
            </w:r>
          </w:p>
        </w:tc>
      </w:tr>
      <w:tr>
        <w:trPr>
          <w:trHeight w:val="197"/>
        </w:trPr>
        <w:tc>
          <w:tcPr>
            <w:tcW w:w="2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514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3.25%</w:t>
            </w: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3.50%</w:t>
            </w: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jc w:val="right"/>
              <w:ind w:right="486"/>
              <w:spacing w:after="0"/>
              <w:rPr>
                <w:sz w:val="20"/>
                <w:szCs w:val="20"/>
                <w:color w:val="auto"/>
              </w:rPr>
            </w:pPr>
            <w:r>
              <w:rPr>
                <w:rFonts w:ascii="Times New Roman" w:cs="Times New Roman" w:eastAsia="Times New Roman" w:hAnsi="Times New Roman"/>
                <w:sz w:val="15"/>
                <w:szCs w:val="15"/>
                <w:color w:val="auto"/>
              </w:rPr>
              <w:t>3.75%</w:t>
            </w:r>
          </w:p>
        </w:tc>
      </w:tr>
    </w:tbl>
    <w:p>
      <w:pPr>
        <w:spacing w:after="0" w:line="174" w:lineRule="exact"/>
        <w:rPr>
          <w:sz w:val="20"/>
          <w:szCs w:val="20"/>
          <w:color w:val="auto"/>
        </w:rPr>
      </w:pPr>
    </w:p>
    <w:p>
      <w:pPr>
        <w:ind w:left="1" w:right="280"/>
        <w:spacing w:after="0" w:line="277" w:lineRule="auto"/>
        <w:rPr>
          <w:sz w:val="20"/>
          <w:szCs w:val="20"/>
          <w:color w:val="auto"/>
        </w:rPr>
      </w:pPr>
      <w:r>
        <w:rPr>
          <w:rFonts w:ascii="Times New Roman" w:cs="Times New Roman" w:eastAsia="Times New Roman" w:hAnsi="Times New Roman"/>
          <w:sz w:val="16"/>
          <w:szCs w:val="16"/>
          <w:color w:val="auto"/>
        </w:rPr>
        <w:t>The discount rates used at December 29, 2018, December 30, 2017, and December 31, 2016, were determined with primary consideration given to the Citigroup Pension Discount and Liability Index adjusted for the timing of expected plan distributions. The Company believes this index reflects a risk-free rate with maturities that are comparable to the timing of the expected payments under the plan.</w:t>
      </w:r>
    </w:p>
    <w:p>
      <w:pPr>
        <w:spacing w:after="0" w:line="117" w:lineRule="exact"/>
        <w:rPr>
          <w:sz w:val="20"/>
          <w:szCs w:val="20"/>
          <w:color w:val="auto"/>
        </w:rPr>
      </w:pPr>
    </w:p>
    <w:p>
      <w:pPr>
        <w:ind w:left="1" w:right="280"/>
        <w:spacing w:after="0" w:line="298" w:lineRule="auto"/>
        <w:rPr>
          <w:sz w:val="20"/>
          <w:szCs w:val="20"/>
          <w:color w:val="auto"/>
        </w:rPr>
      </w:pPr>
      <w:r>
        <w:rPr>
          <w:rFonts w:ascii="Times New Roman" w:cs="Times New Roman" w:eastAsia="Times New Roman" w:hAnsi="Times New Roman"/>
          <w:sz w:val="16"/>
          <w:szCs w:val="16"/>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99" w:lineRule="exact"/>
        <w:rPr>
          <w:sz w:val="20"/>
          <w:szCs w:val="20"/>
          <w:color w:val="auto"/>
        </w:rPr>
      </w:pPr>
    </w:p>
    <w:p>
      <w:pPr>
        <w:ind w:left="1" w:right="220"/>
        <w:spacing w:after="0" w:line="271" w:lineRule="auto"/>
        <w:rPr>
          <w:sz w:val="20"/>
          <w:szCs w:val="20"/>
          <w:color w:val="auto"/>
        </w:rPr>
      </w:pPr>
      <w:r>
        <w:rPr>
          <w:rFonts w:ascii="Times New Roman" w:cs="Times New Roman" w:eastAsia="Times New Roman" w:hAnsi="Times New Roman"/>
          <w:sz w:val="16"/>
          <w:szCs w:val="16"/>
          <w:color w:val="auto"/>
        </w:rPr>
        <w:t>The Company's contribution for these post-retirement benefit obligations was approximately $0.3 million in fiscal year 2018, $0.3 million in fiscal year 2017, and $0.4 million in fiscal year 2016. The Company expects that its contribution and benefit payments for post-retirement benefit obligations will be approximately $0.3 million for fiscal years 2019, 2020, 2021, 2022, and 2023. For the five years subsequent to fiscal 2023, the aggregate contributions and benefit payments for post-retirement benefit obligations is expected to be approximately $1.1 million. The Company does not pre-fund this plan and as a result there are no plan assets.</w:t>
      </w:r>
    </w:p>
    <w:p>
      <w:pPr>
        <w:spacing w:after="0" w:line="11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Deferred Compensation Plan</w:t>
      </w:r>
    </w:p>
    <w:p>
      <w:pPr>
        <w:spacing w:after="0" w:line="92" w:lineRule="exact"/>
        <w:rPr>
          <w:sz w:val="20"/>
          <w:szCs w:val="20"/>
          <w:color w:val="auto"/>
        </w:rPr>
      </w:pPr>
    </w:p>
    <w:p>
      <w:pPr>
        <w:ind w:left="1" w:right="40"/>
        <w:spacing w:after="0" w:line="277" w:lineRule="auto"/>
        <w:rPr>
          <w:sz w:val="20"/>
          <w:szCs w:val="20"/>
          <w:color w:val="auto"/>
        </w:rPr>
      </w:pPr>
      <w:r>
        <w:rPr>
          <w:rFonts w:ascii="Times New Roman" w:cs="Times New Roman" w:eastAsia="Times New Roman" w:hAnsi="Times New Roman"/>
          <w:sz w:val="16"/>
          <w:szCs w:val="16"/>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The Company invests comparable amounts in marketable securities to mitigate the risk associated with the investment return on the employee deferrals.</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Defined Contribution Plan</w:t>
      </w:r>
    </w:p>
    <w:p>
      <w:pPr>
        <w:spacing w:after="0" w:line="92" w:lineRule="exact"/>
        <w:rPr>
          <w:sz w:val="20"/>
          <w:szCs w:val="20"/>
          <w:color w:val="auto"/>
        </w:rPr>
      </w:pPr>
    </w:p>
    <w:p>
      <w:pPr>
        <w:jc w:val="both"/>
        <w:ind w:left="1" w:right="140"/>
        <w:spacing w:after="0" w:line="277" w:lineRule="auto"/>
        <w:rPr>
          <w:sz w:val="20"/>
          <w:szCs w:val="20"/>
          <w:color w:val="auto"/>
        </w:rPr>
      </w:pPr>
      <w:r>
        <w:rPr>
          <w:rFonts w:ascii="Times New Roman" w:cs="Times New Roman" w:eastAsia="Times New Roman" w:hAnsi="Times New Roman"/>
          <w:sz w:val="16"/>
          <w:szCs w:val="16"/>
          <w:color w:val="auto"/>
        </w:rPr>
        <w:t>The Company also sponsors defined contribution savings plans in the United States and Canada. The U.S. plan covers employees who are at least 21 years of age and have completed one calendar month of service and, if part-time, work a minimum of one thousand hours of service within the one-year period following the commencement of employment or during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1421"/>
          </w:cols>
          <w:pgMar w:left="239" w:top="119" w:right="239" w:bottom="1440" w:gutter="0" w:footer="0" w:header="0"/>
        </w:sectPr>
      </w:pPr>
    </w:p>
    <w:bookmarkStart w:id="81" w:name="page82"/>
    <w:bookmarkEnd w:id="81"/>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color w:val="auto"/>
        </w:rPr>
        <w:t>any subsequent calendar year. The plan provides for a discretionary employer match. The Company's expense for the U.S. defined contribution savings plan totaled approximately $8.0 million, $13.9 million, and $10.5 million for the fiscal years ended December 29, 2018, December 30, 2017, and December 31, 2016, respectively. Expenses related to the Canadian defined contribution savings plan were approximately $0.1 million for the fiscal year ended December 29, 2018 and approximately $0.3 million for the fiscal year ended December 30, 2017; amounts for fiscal 2016 were not material.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 for Income Taxes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for income taxes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For the fiscal year ended</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00" w:type="dxa"/>
            <w:vAlign w:val="bottom"/>
          </w:tcPr>
          <w:p>
            <w:pPr>
              <w:spacing w:after="0"/>
              <w:rPr>
                <w:sz w:val="18"/>
                <w:szCs w:val="18"/>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Current tax provision:</w:t>
            </w:r>
          </w:p>
        </w:tc>
        <w:tc>
          <w:tcPr>
            <w:tcW w:w="426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Federal</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48,129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117,676</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113,326</w:t>
            </w:r>
          </w:p>
        </w:tc>
      </w:tr>
      <w:tr>
        <w:trPr>
          <w:trHeight w:val="30"/>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w:t>
            </w: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9,437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11,368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11,407</w:t>
            </w: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Foreign</w:t>
            </w:r>
          </w:p>
        </w:tc>
        <w:tc>
          <w:tcPr>
            <w:tcW w:w="220" w:type="dxa"/>
            <w:vAlign w:val="bottom"/>
          </w:tcPr>
          <w:p>
            <w:pPr>
              <w:spacing w:after="0"/>
              <w:rPr>
                <w:sz w:val="18"/>
                <w:szCs w:val="18"/>
                <w:color w:val="auto"/>
              </w:rPr>
            </w:pPr>
          </w:p>
        </w:tc>
        <w:tc>
          <w:tcPr>
            <w:tcW w:w="16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14,116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11,937</w:t>
            </w:r>
          </w:p>
        </w:tc>
      </w:tr>
      <w:tr>
        <w:trPr>
          <w:trHeight w:val="30"/>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provision</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74,925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143,160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136,670</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8"/>
              </w:rPr>
              <w:t>Deferred tax provision (benefit):</w:t>
            </w:r>
          </w:p>
        </w:tc>
        <w:tc>
          <w:tcPr>
            <w:tcW w:w="3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Federal</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(55,191)</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1,215</w:t>
            </w:r>
          </w:p>
        </w:tc>
      </w:tr>
      <w:tr>
        <w:trPr>
          <w:trHeight w:val="30"/>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w:t>
            </w: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332</w:t>
            </w: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Foreign</w:t>
            </w:r>
          </w:p>
        </w:tc>
        <w:tc>
          <w:tcPr>
            <w:tcW w:w="220" w:type="dxa"/>
            <w:vAlign w:val="bottom"/>
          </w:tcPr>
          <w:p>
            <w:pPr>
              <w:spacing w:after="0"/>
              <w:rPr>
                <w:sz w:val="18"/>
                <w:szCs w:val="18"/>
                <w:color w:val="auto"/>
              </w:rPr>
            </w:pPr>
          </w:p>
        </w:tc>
        <w:tc>
          <w:tcPr>
            <w:tcW w:w="1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w:t>
            </w:r>
          </w:p>
        </w:tc>
      </w:tr>
      <w:tr>
        <w:trPr>
          <w:trHeight w:val="30"/>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provision</w:t>
            </w: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(54,936)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1,061</w:t>
            </w:r>
          </w:p>
        </w:tc>
      </w:tr>
      <w:tr>
        <w:trPr>
          <w:trHeight w:val="219"/>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Total provision</w:t>
            </w: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73,907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88,224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137,731</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The foreign portion of the tax position substantially relates to the Company's international operations in Canada, Hong Kong and Mexico in addition to foreign tax withholdings related to the Company's foreign royalty income.</w:t>
      </w:r>
    </w:p>
    <w:p>
      <w:pPr>
        <w:spacing w:after="0" w:line="9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The Company plans to repatriate undistributed earnings from Hong Kong and a portion of its previously taxed earnings from Canada, and has provided for deferred income taxes related to these earnings. Due to the impact of the one-time toll tax enacted under the U.S. Tax Cuts and Jobs Act of 2017 ( the “2017 Act”) which taxed cumulative earnings in our foreign subsidiaries and the current US tax regime which taxes foreign earnings in the year earned, taxes associated with repatriation are not material. Deferred income taxes have not been provided for the portion of undistributed foreign earnings from Canada or Mexico that we do not plan to repatriate, or any additional outside basis difference inherent in all foreign entities, as these amounts continue to be indefinitely reinvested in foreign operations. Total undistributed earnings from the Company’s subsidiaries in Canada and Mexico amounted to approximately $82 million. Unrecognized deferred tax liability related to undistributed earnings from the Company's subsidiaries in Canada and Mexico are estimated to be less than $2 million, based on applicable withholding taxes, levels of foreign income previously taxed in the U.S. and applicable foreign tax credit limitations. The company accounts for the additional U.S. income tax on its foreign earnings under Global Intangible Low-Taxed Income ("GILTI") as a period expense in the period in which additional tax is due.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Provisional estimate</w:t>
      </w:r>
    </w:p>
    <w:p>
      <w:pPr>
        <w:spacing w:after="0" w:line="9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The provision for income taxes recognized by the Company during 2017 reflected certain provisional estimates for the accounting of the December 22, 2017 enactment of tax law changes known as the 2017 Act. During the fourth quarter of fiscal 2017, the Company recognized an income tax provisional tax expense of $10.4 million related to the Company's total post-1986 foreign earnings and profits ("E&amp;P") that the Company previously deferred from United States income taxes. During fiscal 2018, the Company completed its calculation of the one-time transition tax for all of its foreign subsidiaries. The adjustment made to this provisional tax expense estimate was not material.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1420"/>
          </w:cols>
          <w:pgMar w:left="240" w:top="119" w:right="239" w:bottom="1440" w:gutter="0" w:footer="0" w:header="0"/>
        </w:sectPr>
      </w:pPr>
    </w:p>
    <w:bookmarkStart w:id="82" w:name="page83"/>
    <w:bookmarkEnd w:id="82"/>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income before income taxes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For the fiscal year ended</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0"/>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00" w:type="dxa"/>
            <w:vAlign w:val="bottom"/>
          </w:tcPr>
          <w:p>
            <w:pPr>
              <w:spacing w:after="0"/>
              <w:rPr>
                <w:sz w:val="18"/>
                <w:szCs w:val="18"/>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Domestic</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260,722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325,620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344,674</w:t>
            </w: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220" w:type="dxa"/>
            <w:vAlign w:val="bottom"/>
          </w:tcPr>
          <w:p>
            <w:pPr>
              <w:spacing w:after="0"/>
              <w:rPr>
                <w:sz w:val="18"/>
                <w:szCs w:val="18"/>
                <w:color w:val="auto"/>
              </w:rPr>
            </w:pPr>
          </w:p>
        </w:tc>
        <w:tc>
          <w:tcPr>
            <w:tcW w:w="16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95,253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65,452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50,766</w:t>
            </w:r>
          </w:p>
        </w:tc>
      </w:tr>
      <w:tr>
        <w:trPr>
          <w:trHeight w:val="30"/>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355,975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391,072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395,440</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Effective Rate Reconciliation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difference between the Company's effective income tax rate and the federal statutory tax rate is reconciled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For the fiscal year ended</w:t>
            </w:r>
          </w:p>
        </w:tc>
        <w:tc>
          <w:tcPr>
            <w:tcW w:w="1880" w:type="dxa"/>
            <w:vAlign w:val="bottom"/>
          </w:tcPr>
          <w:p>
            <w:pPr>
              <w:spacing w:after="0"/>
              <w:rPr>
                <w:sz w:val="17"/>
                <w:szCs w:val="17"/>
                <w:color w:val="auto"/>
              </w:rPr>
            </w:pPr>
          </w:p>
        </w:tc>
      </w:tr>
      <w:tr>
        <w:trPr>
          <w:trHeight w:val="30"/>
        </w:trPr>
        <w:tc>
          <w:tcPr>
            <w:tcW w:w="556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9"/>
        </w:trPr>
        <w:tc>
          <w:tcPr>
            <w:tcW w:w="5560" w:type="dxa"/>
            <w:vAlign w:val="bottom"/>
          </w:tcPr>
          <w:p>
            <w:pPr>
              <w:spacing w:after="0"/>
              <w:rPr>
                <w:sz w:val="18"/>
                <w:szCs w:val="18"/>
                <w:color w:val="auto"/>
              </w:rPr>
            </w:pPr>
          </w:p>
        </w:tc>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December 30, 2017</w:t>
            </w:r>
          </w:p>
        </w:tc>
        <w:tc>
          <w:tcPr>
            <w:tcW w:w="1880" w:type="dxa"/>
            <w:vAlign w:val="bottom"/>
          </w:tcPr>
          <w:p>
            <w:pPr>
              <w:jc w:val="right"/>
              <w:ind w:right="26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5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Statutory federal income tax rate</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1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35.0 %</w:t>
            </w:r>
          </w:p>
        </w:tc>
        <w:tc>
          <w:tcPr>
            <w:tcW w:w="1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35.0 %</w:t>
            </w: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income taxes, net of federal income tax benefit</w:t>
            </w: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2.1 %</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2.3 %</w:t>
            </w:r>
          </w:p>
        </w:tc>
      </w:tr>
      <w:tr>
        <w:trPr>
          <w:trHeight w:val="30"/>
        </w:trPr>
        <w:tc>
          <w:tcPr>
            <w:tcW w:w="5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Impact of foreign operations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Settlement of uncertain tax positions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30"/>
        </w:trPr>
        <w:tc>
          <w:tcPr>
            <w:tcW w:w="5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from stock-based compensation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Imposition of transition tax on foreign subsidiaries</w:t>
            </w:r>
          </w:p>
        </w:tc>
        <w:tc>
          <w:tcPr>
            <w:tcW w:w="1980" w:type="dxa"/>
            <w:vAlign w:val="bottom"/>
            <w:gridSpan w:val="2"/>
          </w:tcPr>
          <w:p>
            <w:pPr>
              <w:ind w:left="1540"/>
              <w:spacing w:after="0"/>
              <w:rPr>
                <w:sz w:val="20"/>
                <w:szCs w:val="20"/>
                <w:color w:val="auto"/>
              </w:rPr>
            </w:pPr>
            <w:r>
              <w:rPr>
                <w:rFonts w:ascii="Times New Roman" w:cs="Times New Roman" w:eastAsia="Times New Roman" w:hAnsi="Times New Roman"/>
                <w:sz w:val="15"/>
                <w:szCs w:val="15"/>
                <w:color w:val="auto"/>
              </w:rPr>
              <w:t>— %</w:t>
            </w: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0"/>
        </w:trPr>
        <w:tc>
          <w:tcPr>
            <w:tcW w:w="5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Revaluation of deferred taxes</w:t>
            </w:r>
          </w:p>
        </w:tc>
        <w:tc>
          <w:tcPr>
            <w:tcW w:w="1980" w:type="dxa"/>
            <w:vAlign w:val="bottom"/>
            <w:tcBorders>
              <w:bottom w:val="single" w:sz="8" w:color="CCEEFF"/>
            </w:tcBorders>
            <w:gridSpan w:val="2"/>
            <w:shd w:val="clear" w:color="auto" w:fill="CCEEFF"/>
          </w:tcPr>
          <w:p>
            <w:pPr>
              <w:ind w:left="1540"/>
              <w:spacing w:after="0"/>
              <w:rPr>
                <w:sz w:val="20"/>
                <w:szCs w:val="20"/>
                <w:color w:val="auto"/>
              </w:rPr>
            </w:pPr>
            <w:r>
              <w:rPr>
                <w:rFonts w:ascii="Times New Roman" w:cs="Times New Roman" w:eastAsia="Times New Roman" w:hAnsi="Times New Roman"/>
                <w:sz w:val="15"/>
                <w:szCs w:val="15"/>
                <w:color w:val="auto"/>
              </w:rPr>
              <w:t>— %</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9"/>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20.8 %</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22.6 %</w:t>
            </w:r>
          </w:p>
        </w:tc>
        <w:tc>
          <w:tcPr>
            <w:tcW w:w="12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34.8 %</w:t>
            </w:r>
          </w:p>
        </w:tc>
      </w:tr>
      <w:tr>
        <w:trPr>
          <w:trHeight w:val="20"/>
        </w:trPr>
        <w:tc>
          <w:tcPr>
            <w:tcW w:w="55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The Company and its subsidiaries file a consolidated United States federal income tax return, as well as separate and combined income tax returns in numerous state and foreign jurisdictions. In most cases, the Company is no longer subject to US tax authority examinations for years prior to fiscal 2014.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Taxes</w:t>
      </w:r>
    </w:p>
    <w:p>
      <w:pPr>
        <w:spacing w:after="0" w:line="92"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The following table reflects the Company’s calculation of the components of deferred assets and liabilities as of December 29, 2018 and December 30, 2017. Certain previously reported amounts as of December 30, 2017 were revised in the table below. The revisions were not material to the previously issued financial statements.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7"/>
                <w:szCs w:val="17"/>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7"/>
                <w:szCs w:val="17"/>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7"/>
              </w:rPr>
              <w:t>Deferred tax assets:</w:t>
            </w:r>
          </w:p>
        </w:tc>
        <w:tc>
          <w:tcPr>
            <w:tcW w:w="638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CCEEFF"/>
            </w:tcBorders>
            <w:gridSpan w:val="4"/>
            <w:shd w:val="clear" w:color="auto" w:fill="CCEEFF"/>
          </w:tcPr>
          <w:p>
            <w:pPr>
              <w:jc w:val="right"/>
              <w:ind w:right="1226"/>
              <w:spacing w:after="0" w:line="141" w:lineRule="exact"/>
              <w:rPr>
                <w:sz w:val="20"/>
                <w:szCs w:val="20"/>
                <w:color w:val="auto"/>
              </w:rPr>
            </w:pPr>
            <w:r>
              <w:rPr>
                <w:rFonts w:ascii="Times New Roman" w:cs="Times New Roman" w:eastAsia="Times New Roman" w:hAnsi="Times New Roman"/>
                <w:sz w:val="15"/>
                <w:szCs w:val="15"/>
                <w:color w:val="auto"/>
              </w:rPr>
              <w:t>Assets (Liabilities)</w:t>
            </w:r>
          </w:p>
        </w:tc>
      </w:tr>
      <w:tr>
        <w:trPr>
          <w:trHeight w:val="217"/>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Accounts receivable allowance</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3,674</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3,632</w:t>
            </w:r>
          </w:p>
        </w:tc>
      </w:tr>
      <w:tr>
        <w:trPr>
          <w:trHeight w:val="30"/>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Inventory</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7,785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6,759</w:t>
            </w:r>
          </w:p>
        </w:tc>
      </w:tr>
      <w:tr>
        <w:trPr>
          <w:trHeight w:val="217"/>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Accrued liabilities</w:t>
            </w:r>
          </w:p>
        </w:tc>
        <w:tc>
          <w:tcPr>
            <w:tcW w:w="22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10,672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13,174</w:t>
            </w:r>
          </w:p>
        </w:tc>
      </w:tr>
      <w:tr>
        <w:trPr>
          <w:trHeight w:val="30"/>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Equity-based 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5,278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6,796</w:t>
            </w:r>
          </w:p>
        </w:tc>
      </w:tr>
      <w:tr>
        <w:trPr>
          <w:trHeight w:val="217"/>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Deferred employee benefits</w:t>
            </w:r>
          </w:p>
        </w:tc>
        <w:tc>
          <w:tcPr>
            <w:tcW w:w="22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6,425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8,112</w:t>
            </w:r>
          </w:p>
        </w:tc>
      </w:tr>
      <w:tr>
        <w:trPr>
          <w:trHeight w:val="30"/>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rent</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33,761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34,422</w:t>
            </w:r>
          </w:p>
        </w:tc>
      </w:tr>
      <w:tr>
        <w:trPr>
          <w:trHeight w:val="217"/>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2,335</w:t>
            </w:r>
          </w:p>
        </w:tc>
      </w:tr>
      <w:tr>
        <w:trPr>
          <w:trHeight w:val="30"/>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70,602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75,230</w:t>
            </w:r>
          </w:p>
        </w:tc>
      </w:tr>
      <w:tr>
        <w:trPr>
          <w:trHeight w:val="178"/>
        </w:trPr>
        <w:tc>
          <w:tcPr>
            <w:tcW w:w="20" w:type="dxa"/>
            <w:vAlign w:val="bottom"/>
          </w:tcPr>
          <w:p>
            <w:pPr>
              <w:spacing w:after="0"/>
              <w:rPr>
                <w:sz w:val="15"/>
                <w:szCs w:val="15"/>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Deferred tax liabilities:</w:t>
            </w: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r>
      <w:tr>
        <w:trPr>
          <w:trHeight w:val="42"/>
        </w:trPr>
        <w:tc>
          <w:tcPr>
            <w:tcW w:w="2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(63,763)</w:t>
            </w:r>
          </w:p>
        </w:tc>
      </w:tr>
      <w:tr>
        <w:trPr>
          <w:trHeight w:val="217"/>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Tradename and licensing agreements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(89,142)</w:t>
            </w:r>
          </w:p>
        </w:tc>
      </w:tr>
      <w:tr>
        <w:trPr>
          <w:trHeight w:val="30"/>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(5,328)</w:t>
            </w:r>
          </w:p>
        </w:tc>
      </w:tr>
      <w:tr>
        <w:trPr>
          <w:trHeight w:val="197"/>
        </w:trPr>
        <w:tc>
          <w:tcPr>
            <w:tcW w:w="20" w:type="dxa"/>
            <w:vAlign w:val="bottom"/>
          </w:tcPr>
          <w:p>
            <w:pPr>
              <w:spacing w:after="0"/>
              <w:rPr>
                <w:sz w:val="17"/>
                <w:szCs w:val="17"/>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(155,866)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(158,233)</w:t>
            </w:r>
          </w:p>
        </w:tc>
      </w:tr>
      <w:tr>
        <w:trPr>
          <w:trHeight w:val="30"/>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deferred tax asset (liability)</w:t>
            </w:r>
          </w:p>
        </w:tc>
        <w:tc>
          <w:tcPr>
            <w:tcW w:w="2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(85,264)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(83,003)</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1420"/>
          </w:cols>
          <w:pgMar w:left="240" w:top="119" w:right="239" w:bottom="1440" w:gutter="0" w:footer="0" w:header="0"/>
        </w:sectPr>
      </w:pPr>
    </w:p>
    <w:bookmarkStart w:id="83" w:name="page84"/>
    <w:bookmarkEnd w:id="83"/>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Amounts recognized in the consolidated balance sheets:</w:t>
      </w:r>
    </w:p>
    <w:p>
      <w:pPr>
        <w:spacing w:after="0" w:line="249"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7"/>
                <w:szCs w:val="17"/>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7"/>
                <w:szCs w:val="17"/>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r>
      <w:tr>
        <w:trPr>
          <w:trHeight w:val="207"/>
        </w:trPr>
        <w:tc>
          <w:tcPr>
            <w:tcW w:w="7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CCEEFF"/>
            </w:tcBorders>
            <w:gridSpan w:val="4"/>
            <w:shd w:val="clear" w:color="auto" w:fill="CCEEFF"/>
          </w:tcPr>
          <w:p>
            <w:pPr>
              <w:jc w:val="right"/>
              <w:ind w:right="1226"/>
              <w:spacing w:after="0"/>
              <w:rPr>
                <w:sz w:val="20"/>
                <w:szCs w:val="20"/>
                <w:color w:val="auto"/>
              </w:rPr>
            </w:pPr>
            <w:r>
              <w:rPr>
                <w:rFonts w:ascii="Times New Roman" w:cs="Times New Roman" w:eastAsia="Times New Roman" w:hAnsi="Times New Roman"/>
                <w:sz w:val="15"/>
                <w:szCs w:val="15"/>
                <w:color w:val="auto"/>
              </w:rPr>
              <w:t>Assets (Liabilities)</w:t>
            </w:r>
          </w:p>
        </w:tc>
      </w:tr>
      <w:tr>
        <w:trPr>
          <w:trHeight w:val="247"/>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w:t>
            </w:r>
            <w:r>
              <w:rPr>
                <w:rFonts w:ascii="Times New Roman" w:cs="Times New Roman" w:eastAsia="Times New Roman" w:hAnsi="Times New Roman"/>
                <w:sz w:val="19"/>
                <w:szCs w:val="19"/>
                <w:color w:val="auto"/>
                <w:vertAlign w:val="superscript"/>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2,083</w:t>
            </w:r>
          </w:p>
        </w:tc>
        <w:tc>
          <w:tcPr>
            <w:tcW w:w="120" w:type="dxa"/>
            <w:vAlign w:val="bottom"/>
          </w:tcPr>
          <w:p>
            <w:pPr>
              <w:spacing w:after="0"/>
              <w:rPr>
                <w:sz w:val="21"/>
                <w:szCs w:val="21"/>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1,941</w:t>
            </w:r>
          </w:p>
        </w:tc>
      </w:tr>
      <w:tr>
        <w:trPr>
          <w:trHeight w:val="247"/>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(84,944)</w:t>
            </w: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deferred tax asset (liability)</w:t>
            </w: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(85,264)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(83,003)</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441" w:hanging="441"/>
        <w:spacing w:after="0"/>
        <w:tabs>
          <w:tab w:leader="none" w:pos="44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December 30, 2017, deferred tax assets are a component of non-current Other assets on the Company's consolidated balance sheet.</w:t>
      </w:r>
    </w:p>
    <w:p>
      <w:pPr>
        <w:spacing w:after="0" w:line="163" w:lineRule="exact"/>
        <w:rPr>
          <w:sz w:val="20"/>
          <w:szCs w:val="20"/>
          <w:color w:val="auto"/>
        </w:rPr>
      </w:pPr>
    </w:p>
    <w:p>
      <w:pPr>
        <w:ind w:left="1" w:right="260"/>
        <w:spacing w:after="0" w:line="298" w:lineRule="auto"/>
        <w:rPr>
          <w:sz w:val="20"/>
          <w:szCs w:val="20"/>
          <w:color w:val="auto"/>
        </w:rPr>
      </w:pPr>
      <w:r>
        <w:rPr>
          <w:rFonts w:ascii="Times New Roman" w:cs="Times New Roman" w:eastAsia="Times New Roman" w:hAnsi="Times New Roman"/>
          <w:sz w:val="16"/>
          <w:szCs w:val="16"/>
          <w:color w:val="auto"/>
        </w:rPr>
        <w:t>During the fourth quarter of fiscal 2017, the Company remeasured certain deferred tax assets and liabilities based on the rates at which they are expected to reverse in the future, which is generally a 21% federal rate. The remeasurement resulted in an income tax benefit of $50.4 million.</w:t>
      </w:r>
    </w:p>
    <w:p>
      <w:pPr>
        <w:sectPr>
          <w:pgSz w:w="11900" w:h="16838" w:orient="portrait"/>
          <w:cols w:equalWidth="0" w:num="1">
            <w:col w:w="11421"/>
          </w:cols>
          <w:pgMar w:left="239" w:top="119" w:right="239" w:bottom="1440" w:gutter="0" w:footer="0" w:header="0"/>
        </w:sectPr>
      </w:pP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Uncertain Tax Positions</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is a reconciliation of the beginning and ending amount of unrecognized tax benefits:</w:t>
      </w:r>
    </w:p>
    <w:p>
      <w:pPr>
        <w:spacing w:after="0" w:line="251"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58050" cy="156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156845"/>
                    </a:xfrm>
                    <a:prstGeom prst="rect">
                      <a:avLst/>
                    </a:prstGeom>
                    <a:noFill/>
                  </pic:spPr>
                </pic:pic>
              </a:graphicData>
            </a:graphic>
          </wp:anchor>
        </w:drawing>
      </w:r>
    </w:p>
    <w:p>
      <w:pPr>
        <w:spacing w:after="0" w:line="53"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b w:val="1"/>
          <w:bCs w:val="1"/>
          <w:color w:val="auto"/>
        </w:rPr>
        <w:t>Balance at January 2, 2016</w:t>
      </w:r>
    </w:p>
    <w:p>
      <w:pPr>
        <w:spacing w:after="0" w:line="66"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Additions based on tax positions related to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58050" cy="14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149225"/>
                    </a:xfrm>
                    <a:prstGeom prst="rect">
                      <a:avLst/>
                    </a:prstGeom>
                    <a:noFill/>
                  </pic:spPr>
                </pic:pic>
              </a:graphicData>
            </a:graphic>
          </wp:anchor>
        </w:drawing>
      </w:r>
    </w:p>
    <w:p>
      <w:pPr>
        <w:spacing w:after="0" w:line="42"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Reductions for prior year tax positions</w:t>
      </w:r>
    </w:p>
    <w:p>
      <w:pPr>
        <w:spacing w:after="0" w:line="62"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Reductions for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58050" cy="149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149225"/>
                    </a:xfrm>
                    <a:prstGeom prst="rect">
                      <a:avLst/>
                    </a:prstGeom>
                    <a:noFill/>
                  </pic:spPr>
                </pic:pic>
              </a:graphicData>
            </a:graphic>
          </wp:anchor>
        </w:drawing>
      </w:r>
    </w:p>
    <w:p>
      <w:pPr>
        <w:spacing w:after="0" w:line="42"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Reductions for prior year tax settlements</w:t>
      </w:r>
    </w:p>
    <w:p>
      <w:pPr>
        <w:spacing w:after="0" w:line="71"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b w:val="1"/>
          <w:bCs w:val="1"/>
          <w:color w:val="auto"/>
        </w:rPr>
        <w:t>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258050" cy="149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149225"/>
                    </a:xfrm>
                    <a:prstGeom prst="rect">
                      <a:avLst/>
                    </a:prstGeom>
                    <a:noFill/>
                  </pic:spPr>
                </pic:pic>
              </a:graphicData>
            </a:graphic>
          </wp:anchor>
        </w:drawing>
      </w:r>
    </w:p>
    <w:p>
      <w:pPr>
        <w:spacing w:after="0" w:line="46"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Additions based on tax positions related to fiscal 2017</w:t>
      </w:r>
    </w:p>
    <w:p>
      <w:pPr>
        <w:spacing w:after="0" w:line="62"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Reductions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58050" cy="149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149225"/>
                    </a:xfrm>
                    <a:prstGeom prst="rect">
                      <a:avLst/>
                    </a:prstGeom>
                    <a:noFill/>
                  </pic:spPr>
                </pic:pic>
              </a:graphicData>
            </a:graphic>
          </wp:anchor>
        </w:drawing>
      </w:r>
    </w:p>
    <w:p>
      <w:pPr>
        <w:spacing w:after="0" w:line="42"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Reductions for lapse of statute of limitations</w:t>
      </w:r>
    </w:p>
    <w:p>
      <w:pPr>
        <w:spacing w:after="0" w:line="71"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b w:val="1"/>
          <w:bCs w:val="1"/>
          <w:color w:val="auto"/>
        </w:rPr>
        <w:t>Balance at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258050" cy="14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149225"/>
                    </a:xfrm>
                    <a:prstGeom prst="rect">
                      <a:avLst/>
                    </a:prstGeom>
                    <a:noFill/>
                  </pic:spPr>
                </pic:pic>
              </a:graphicData>
            </a:graphic>
          </wp:anchor>
        </w:drawing>
      </w:r>
    </w:p>
    <w:p>
      <w:pPr>
        <w:spacing w:after="0" w:line="46"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Additions based on tax positions related to fiscal 2018</w:t>
      </w:r>
    </w:p>
    <w:p>
      <w:pPr>
        <w:spacing w:after="0" w:line="62"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Additions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58050" cy="149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149225"/>
                    </a:xfrm>
                    <a:prstGeom prst="rect">
                      <a:avLst/>
                    </a:prstGeom>
                    <a:noFill/>
                  </pic:spPr>
                </pic:pic>
              </a:graphicData>
            </a:graphic>
          </wp:anchor>
        </w:drawing>
      </w:r>
    </w:p>
    <w:p>
      <w:pPr>
        <w:spacing w:after="0" w:line="42"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color w:val="auto"/>
        </w:rPr>
        <w:t>Reductions for lapse of statute of limitations</w:t>
      </w:r>
    </w:p>
    <w:p>
      <w:pPr>
        <w:spacing w:after="0" w:line="83"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5"/>
          <w:szCs w:val="15"/>
          <w:b w:val="1"/>
          <w:bCs w:val="1"/>
          <w:color w:val="auto"/>
        </w:rPr>
        <w:t>Balance at December 29,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
        <w:spacing w:after="0"/>
        <w:tabs>
          <w:tab w:leader="none" w:pos="1322"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9,415</w:t>
      </w:r>
    </w:p>
    <w:p>
      <w:pPr>
        <w:spacing w:after="0" w:line="6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2,849</w:t>
      </w:r>
    </w:p>
    <w:p>
      <w:pPr>
        <w:spacing w:after="0" w:line="6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(39)</w:t>
      </w:r>
    </w:p>
    <w:p>
      <w:pPr>
        <w:spacing w:after="0" w:line="6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(995)</w:t>
      </w:r>
    </w:p>
    <w:p>
      <w:pPr>
        <w:spacing w:after="0" w:line="6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11531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spacing w:after="0" w:line="55" w:lineRule="exact"/>
        <w:rPr>
          <w:sz w:val="20"/>
          <w:szCs w:val="20"/>
          <w:color w:val="auto"/>
        </w:rPr>
      </w:pPr>
    </w:p>
    <w:p>
      <w:pPr>
        <w:ind w:left="1283" w:hanging="1283"/>
        <w:spacing w:after="0"/>
        <w:tabs>
          <w:tab w:leader="none" w:pos="128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10,537</w:t>
      </w:r>
    </w:p>
    <w:p>
      <w:pPr>
        <w:spacing w:after="0" w:line="62" w:lineRule="exact"/>
        <w:rPr>
          <w:rFonts w:ascii="Times New Roman" w:cs="Times New Roman" w:eastAsia="Times New Roman" w:hAnsi="Times New Roman"/>
          <w:sz w:val="15"/>
          <w:szCs w:val="15"/>
          <w:color w:val="auto"/>
        </w:rPr>
      </w:pPr>
    </w:p>
    <w:p>
      <w:pPr>
        <w:ind w:left="1343"/>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3,380</w:t>
      </w:r>
    </w:p>
    <w:p>
      <w:pPr>
        <w:spacing w:after="0" w:line="62" w:lineRule="exact"/>
        <w:rPr>
          <w:rFonts w:ascii="Times New Roman" w:cs="Times New Roman" w:eastAsia="Times New Roman" w:hAnsi="Times New Roman"/>
          <w:sz w:val="15"/>
          <w:szCs w:val="15"/>
          <w:color w:val="auto"/>
        </w:rPr>
      </w:pPr>
    </w:p>
    <w:p>
      <w:pPr>
        <w:ind w:left="1403"/>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(120)</w:t>
      </w:r>
    </w:p>
    <w:p>
      <w:pPr>
        <w:spacing w:after="0" w:line="7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(1,604)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11531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spacing w:after="0" w:line="55" w:lineRule="exact"/>
        <w:rPr>
          <w:sz w:val="20"/>
          <w:szCs w:val="20"/>
          <w:color w:val="auto"/>
        </w:rPr>
      </w:pPr>
    </w:p>
    <w:p>
      <w:pPr>
        <w:ind w:left="1283" w:hanging="1283"/>
        <w:spacing w:after="0"/>
        <w:tabs>
          <w:tab w:leader="none" w:pos="1283"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12,193</w:t>
      </w:r>
    </w:p>
    <w:p>
      <w:pPr>
        <w:spacing w:after="0" w:line="62" w:lineRule="exact"/>
        <w:rPr>
          <w:rFonts w:ascii="Times New Roman" w:cs="Times New Roman" w:eastAsia="Times New Roman" w:hAnsi="Times New Roman"/>
          <w:sz w:val="15"/>
          <w:szCs w:val="15"/>
          <w:color w:val="auto"/>
        </w:rPr>
      </w:pPr>
    </w:p>
    <w:p>
      <w:pPr>
        <w:ind w:left="1343"/>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3,350</w:t>
      </w:r>
    </w:p>
    <w:p>
      <w:pPr>
        <w:spacing w:after="0" w:line="62" w:lineRule="exact"/>
        <w:rPr>
          <w:rFonts w:ascii="Times New Roman" w:cs="Times New Roman" w:eastAsia="Times New Roman" w:hAnsi="Times New Roman"/>
          <w:sz w:val="15"/>
          <w:szCs w:val="15"/>
          <w:color w:val="auto"/>
        </w:rPr>
      </w:pPr>
    </w:p>
    <w:p>
      <w:pPr>
        <w:ind w:left="1463"/>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241</w:t>
      </w:r>
    </w:p>
    <w:p>
      <w:pPr>
        <w:spacing w:after="0" w:line="6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(1,867)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11531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spacing w:after="0" w:line="55" w:lineRule="exact"/>
        <w:rPr>
          <w:sz w:val="20"/>
          <w:szCs w:val="20"/>
          <w:color w:val="auto"/>
        </w:rPr>
      </w:pPr>
    </w:p>
    <w:p>
      <w:pPr>
        <w:ind w:left="1283" w:hanging="1283"/>
        <w:spacing w:after="0"/>
        <w:tabs>
          <w:tab w:leader="none" w:pos="1283"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11531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53160"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46990</wp:posOffset>
            </wp:positionV>
            <wp:extent cx="11531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919" w:space="720"/>
            <w:col w:w="1783"/>
          </w:cols>
          <w:pgMar w:left="239" w:top="119" w:right="239" w:bottom="1440" w:gutter="0" w:footer="0" w:header="0"/>
          <w:type w:val="continuous"/>
        </w:sectPr>
      </w:pPr>
    </w:p>
    <w:p>
      <w:pPr>
        <w:spacing w:after="0" w:line="23" w:lineRule="exact"/>
        <w:rPr>
          <w:sz w:val="20"/>
          <w:szCs w:val="20"/>
          <w:color w:val="auto"/>
        </w:rPr>
      </w:pPr>
    </w:p>
    <w:p>
      <w:pPr>
        <w:jc w:val="both"/>
        <w:ind w:left="1" w:right="20"/>
        <w:spacing w:after="0" w:line="271" w:lineRule="auto"/>
        <w:rPr>
          <w:sz w:val="20"/>
          <w:szCs w:val="20"/>
          <w:color w:val="auto"/>
        </w:rPr>
      </w:pPr>
      <w:r>
        <w:rPr>
          <w:rFonts w:ascii="Times New Roman" w:cs="Times New Roman" w:eastAsia="Times New Roman" w:hAnsi="Times New Roman"/>
          <w:sz w:val="16"/>
          <w:szCs w:val="16"/>
          <w:color w:val="auto"/>
        </w:rPr>
        <w:t>As of December 29, 2018, the Company had gross unrecognized tax benefits of approximately $13.9 million, of which $11.9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20" w:lineRule="exact"/>
        <w:rPr>
          <w:sz w:val="20"/>
          <w:szCs w:val="20"/>
          <w:color w:val="auto"/>
        </w:rPr>
      </w:pPr>
    </w:p>
    <w:p>
      <w:pPr>
        <w:ind w:left="1" w:right="300"/>
        <w:spacing w:after="0" w:line="277" w:lineRule="auto"/>
        <w:rPr>
          <w:sz w:val="20"/>
          <w:szCs w:val="20"/>
          <w:color w:val="auto"/>
        </w:rPr>
      </w:pPr>
      <w:r>
        <w:rPr>
          <w:rFonts w:ascii="Times New Roman" w:cs="Times New Roman" w:eastAsia="Times New Roman" w:hAnsi="Times New Roman"/>
          <w:sz w:val="16"/>
          <w:szCs w:val="16"/>
          <w:color w:val="auto"/>
        </w:rPr>
        <w:t>Included in the reserves for unrecognized tax benefits are approximately $2.9 million of reserves for which the statute of limitations is expected to expire within the next fiscal year. If these tax benefits are ultimately recognized, such recognition, net of federal income taxes, may affect the annual effective tax rate for fiscal 2019 and the effective tax rate in the quarter in which the benefits are recognized.</w:t>
      </w:r>
    </w:p>
    <w:p>
      <w:pPr>
        <w:spacing w:after="0" w:line="117" w:lineRule="exact"/>
        <w:rPr>
          <w:sz w:val="20"/>
          <w:szCs w:val="20"/>
          <w:color w:val="auto"/>
        </w:rPr>
      </w:pPr>
    </w:p>
    <w:p>
      <w:pPr>
        <w:ind w:left="1" w:right="120"/>
        <w:spacing w:after="0" w:line="271" w:lineRule="auto"/>
        <w:rPr>
          <w:sz w:val="20"/>
          <w:szCs w:val="20"/>
          <w:color w:val="auto"/>
        </w:rPr>
      </w:pPr>
      <w:r>
        <w:rPr>
          <w:rFonts w:ascii="Times New Roman" w:cs="Times New Roman" w:eastAsia="Times New Roman" w:hAnsi="Times New Roman"/>
          <w:sz w:val="16"/>
          <w:szCs w:val="16"/>
          <w:color w:val="auto"/>
        </w:rPr>
        <w:t>The Company recognizes interest related to unrecognized tax benefits as a component of interest expense and penalties related to unrecognized tax benefits as a component of income tax expense. During fiscal 2018, expense recorded on uncertain tax positions was approximately $0.8 million. During fiscal 2017 and 2016, interest expense recorded on uncertain tax positions was not significant. The Company had accrued interest on uncertain tax positions of approximately $1.8 million and $1.0 million as of December 29, 2018 and December 30, 2017, respectively.</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1421"/>
          </w:cols>
          <w:pgMar w:left="239" w:top="119" w:right="239" w:bottom="1440" w:gutter="0" w:footer="0" w:header="0"/>
          <w:type w:val="continuous"/>
        </w:sectPr>
      </w:pPr>
    </w:p>
    <w:bookmarkStart w:id="84" w:name="page85"/>
    <w:bookmarkEnd w:id="84"/>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NOTE 13 – EARNINGS PER SHARE</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is a reconciliation of basic common shares outstanding to diluted common and common equivalent shares outstanding:</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For the fiscal year ended</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December 30, 2017</w:t>
            </w:r>
          </w:p>
        </w:tc>
        <w:tc>
          <w:tcPr>
            <w:tcW w:w="200" w:type="dxa"/>
            <w:vAlign w:val="bottom"/>
          </w:tcPr>
          <w:p>
            <w:pPr>
              <w:spacing w:after="0"/>
              <w:rPr>
                <w:sz w:val="18"/>
                <w:szCs w:val="18"/>
                <w:color w:val="auto"/>
              </w:rPr>
            </w:pPr>
          </w:p>
        </w:tc>
        <w:tc>
          <w:tcPr>
            <w:tcW w:w="162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53"/>
        </w:trPr>
        <w:tc>
          <w:tcPr>
            <w:tcW w:w="20" w:type="dxa"/>
            <w:vAlign w:val="bottom"/>
            <w:shd w:val="clear" w:color="auto" w:fill="CCEEFF"/>
          </w:tcPr>
          <w:p>
            <w:pPr>
              <w:spacing w:after="0"/>
              <w:rPr>
                <w:sz w:val="13"/>
                <w:szCs w:val="13"/>
                <w:color w:val="auto"/>
              </w:rPr>
            </w:pPr>
          </w:p>
        </w:tc>
        <w:tc>
          <w:tcPr>
            <w:tcW w:w="570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Weighted-average number of common and common equivalent shares outstanding:</w:t>
            </w: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66"/>
        </w:trPr>
        <w:tc>
          <w:tcPr>
            <w:tcW w:w="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auto"/>
            </w:tcBorders>
            <w:shd w:val="clear" w:color="auto" w:fill="CCEEFF"/>
          </w:tcPr>
          <w:p>
            <w:pPr>
              <w:spacing w:after="0"/>
              <w:rPr>
                <w:sz w:val="5"/>
                <w:szCs w:val="5"/>
                <w:color w:val="auto"/>
              </w:rPr>
            </w:pPr>
          </w:p>
        </w:tc>
        <w:tc>
          <w:tcPr>
            <w:tcW w:w="378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CCEEFF"/>
            </w:tcBorders>
            <w:shd w:val="clear" w:color="auto" w:fill="CCEEFF"/>
          </w:tcPr>
          <w:p>
            <w:pPr>
              <w:spacing w:after="0"/>
              <w:rPr>
                <w:sz w:val="5"/>
                <w:szCs w:val="5"/>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Basic number of common shares outstanding</w:t>
            </w:r>
          </w:p>
        </w:tc>
        <w:tc>
          <w:tcPr>
            <w:tcW w:w="22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46,160,935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47,593,211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49,917,858</w:t>
            </w: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Dilutive effect of equity awards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487,485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552,864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457,849</w:t>
            </w:r>
          </w:p>
        </w:tc>
      </w:tr>
      <w:tr>
        <w:trPr>
          <w:trHeight w:val="197"/>
        </w:trPr>
        <w:tc>
          <w:tcPr>
            <w:tcW w:w="20" w:type="dxa"/>
            <w:vAlign w:val="bottom"/>
          </w:tcPr>
          <w:p>
            <w:pPr>
              <w:spacing w:after="0"/>
              <w:rPr>
                <w:sz w:val="17"/>
                <w:szCs w:val="17"/>
                <w:color w:val="auto"/>
              </w:rPr>
            </w:pPr>
          </w:p>
        </w:tc>
        <w:tc>
          <w:tcPr>
            <w:tcW w:w="57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Diluted number of common and common equivalent shares outstanding</w:t>
            </w: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46,648,420</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48,146,075</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50,375,707</w:t>
            </w:r>
          </w:p>
        </w:tc>
      </w:tr>
      <w:tr>
        <w:trPr>
          <w:trHeight w:val="70"/>
        </w:trPr>
        <w:tc>
          <w:tcPr>
            <w:tcW w:w="2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37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r>
      <w:tr>
        <w:trPr>
          <w:trHeight w:val="162"/>
        </w:trPr>
        <w:tc>
          <w:tcPr>
            <w:tcW w:w="20" w:type="dxa"/>
            <w:vAlign w:val="bottom"/>
            <w:shd w:val="clear" w:color="auto" w:fill="CCEEFF"/>
          </w:tcPr>
          <w:p>
            <w:pPr>
              <w:spacing w:after="0"/>
              <w:rPr>
                <w:sz w:val="14"/>
                <w:szCs w:val="14"/>
                <w:color w:val="auto"/>
              </w:rPr>
            </w:pPr>
          </w:p>
        </w:tc>
        <w:tc>
          <w:tcPr>
            <w:tcW w:w="57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Earnings per share:</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auto"/>
            </w:tcBorders>
            <w:shd w:val="clear" w:color="auto" w:fill="CCEEFF"/>
          </w:tcPr>
          <w:p>
            <w:pPr>
              <w:spacing w:after="0"/>
              <w:rPr>
                <w:sz w:val="3"/>
                <w:szCs w:val="3"/>
                <w:color w:val="auto"/>
              </w:rPr>
            </w:pPr>
          </w:p>
        </w:tc>
        <w:tc>
          <w:tcPr>
            <w:tcW w:w="378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data)</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282,068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302,848</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257,709</w:t>
            </w: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Income allocated to participating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w:t>
            </w:r>
          </w:p>
        </w:tc>
      </w:tr>
      <w:tr>
        <w:trPr>
          <w:trHeight w:val="197"/>
        </w:trPr>
        <w:tc>
          <w:tcPr>
            <w:tcW w:w="20" w:type="dxa"/>
            <w:vAlign w:val="bottom"/>
          </w:tcPr>
          <w:p>
            <w:pPr>
              <w:spacing w:after="0"/>
              <w:rPr>
                <w:sz w:val="17"/>
                <w:szCs w:val="17"/>
                <w:color w:val="auto"/>
              </w:rPr>
            </w:pPr>
          </w:p>
        </w:tc>
        <w:tc>
          <w:tcPr>
            <w:tcW w:w="57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Net income available to common shareholders</w:t>
            </w:r>
          </w:p>
        </w:tc>
        <w:tc>
          <w:tcPr>
            <w:tcW w:w="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279,920</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300,441</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255,663</w:t>
            </w:r>
          </w:p>
        </w:tc>
      </w:tr>
      <w:tr>
        <w:trPr>
          <w:trHeight w:val="70"/>
        </w:trPr>
        <w:tc>
          <w:tcPr>
            <w:tcW w:w="2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37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700" w:type="dxa"/>
            <w:vAlign w:val="bottom"/>
            <w:tcBorders>
              <w:bottom w:val="single" w:sz="8" w:color="CCEEFF"/>
            </w:tcBorders>
            <w:gridSpan w:val="3"/>
            <w:shd w:val="clear" w:color="auto" w:fill="CCEEFF"/>
          </w:tcPr>
          <w:p>
            <w:pPr>
              <w:ind w:left="300"/>
              <w:spacing w:after="0" w:line="157" w:lineRule="exact"/>
              <w:rPr>
                <w:sz w:val="20"/>
                <w:szCs w:val="20"/>
                <w:color w:val="auto"/>
              </w:rPr>
            </w:pPr>
            <w:r>
              <w:rPr>
                <w:rFonts w:ascii="Times New Roman" w:cs="Times New Roman" w:eastAsia="Times New Roman" w:hAnsi="Times New Roman"/>
                <w:sz w:val="15"/>
                <w:szCs w:val="15"/>
                <w:color w:val="auto"/>
              </w:rPr>
              <w:t>Basic net income per common share</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6.06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6.31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5.12</w:t>
            </w:r>
          </w:p>
        </w:tc>
      </w:tr>
      <w:tr>
        <w:trPr>
          <w:trHeight w:val="198"/>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282,068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302,848</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257,709</w:t>
            </w: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Income allocated to participating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(2,032)</w:t>
            </w:r>
          </w:p>
        </w:tc>
      </w:tr>
      <w:tr>
        <w:trPr>
          <w:trHeight w:val="197"/>
        </w:trPr>
        <w:tc>
          <w:tcPr>
            <w:tcW w:w="20" w:type="dxa"/>
            <w:vAlign w:val="bottom"/>
          </w:tcPr>
          <w:p>
            <w:pPr>
              <w:spacing w:after="0"/>
              <w:rPr>
                <w:sz w:val="17"/>
                <w:szCs w:val="17"/>
                <w:color w:val="auto"/>
              </w:rPr>
            </w:pPr>
          </w:p>
        </w:tc>
        <w:tc>
          <w:tcPr>
            <w:tcW w:w="57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Net income available to common shareholders</w:t>
            </w:r>
          </w:p>
        </w:tc>
        <w:tc>
          <w:tcPr>
            <w:tcW w:w="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279,936</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300,462</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255,677</w:t>
            </w:r>
          </w:p>
        </w:tc>
      </w:tr>
      <w:tr>
        <w:trPr>
          <w:trHeight w:val="70"/>
        </w:trPr>
        <w:tc>
          <w:tcPr>
            <w:tcW w:w="2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37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700" w:type="dxa"/>
            <w:vAlign w:val="bottom"/>
            <w:tcBorders>
              <w:bottom w:val="single" w:sz="8" w:color="CCEEFF"/>
            </w:tcBorders>
            <w:gridSpan w:val="3"/>
            <w:shd w:val="clear" w:color="auto" w:fill="CCEEFF"/>
          </w:tcPr>
          <w:p>
            <w:pPr>
              <w:ind w:left="300"/>
              <w:spacing w:after="0" w:line="157" w:lineRule="exact"/>
              <w:rPr>
                <w:sz w:val="20"/>
                <w:szCs w:val="20"/>
                <w:color w:val="auto"/>
              </w:rPr>
            </w:pPr>
            <w:r>
              <w:rPr>
                <w:rFonts w:ascii="Times New Roman" w:cs="Times New Roman" w:eastAsia="Times New Roman" w:hAnsi="Times New Roman"/>
                <w:sz w:val="15"/>
                <w:szCs w:val="15"/>
                <w:color w:val="auto"/>
              </w:rPr>
              <w:t>Diluted net income per common share</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6.00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6.24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5.08</w:t>
            </w:r>
          </w:p>
        </w:tc>
      </w:tr>
      <w:tr>
        <w:trPr>
          <w:trHeight w:val="198"/>
        </w:trPr>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239"/>
        </w:trPr>
        <w:tc>
          <w:tcPr>
            <w:tcW w:w="20" w:type="dxa"/>
            <w:vAlign w:val="bottom"/>
            <w:tcBorders>
              <w:bottom w:val="single" w:sz="8" w:color="auto"/>
            </w:tcBorders>
            <w:shd w:val="clear" w:color="auto" w:fill="CCEEFF"/>
          </w:tcPr>
          <w:p>
            <w:pPr>
              <w:spacing w:after="0"/>
              <w:rPr>
                <w:sz w:val="20"/>
                <w:szCs w:val="20"/>
                <w:color w:val="auto"/>
              </w:rPr>
            </w:pPr>
          </w:p>
        </w:tc>
        <w:tc>
          <w:tcPr>
            <w:tcW w:w="5700" w:type="dxa"/>
            <w:vAlign w:val="bottom"/>
            <w:tcBorders>
              <w:bottom w:val="single" w:sz="8" w:color="auto"/>
            </w:tcBorders>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Anti-dilutive shares excluded from dilutive earnings per share calculations</w:t>
            </w:r>
            <w:r>
              <w:rPr>
                <w:rFonts w:ascii="Times New Roman" w:cs="Times New Roman" w:eastAsia="Times New Roman" w:hAnsi="Times New Roman"/>
                <w:sz w:val="19"/>
                <w:szCs w:val="19"/>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289,839</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629,944</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247,460</w:t>
            </w:r>
          </w:p>
        </w:tc>
      </w:tr>
    </w:tbl>
    <w:p>
      <w:pPr>
        <w:spacing w:after="0" w:line="54" w:lineRule="exact"/>
        <w:rPr>
          <w:sz w:val="20"/>
          <w:szCs w:val="20"/>
          <w:color w:val="auto"/>
        </w:rPr>
      </w:pPr>
    </w:p>
    <w:p>
      <w:pPr>
        <w:ind w:left="441" w:hanging="441"/>
        <w:spacing w:after="0"/>
        <w:tabs>
          <w:tab w:leader="none" w:pos="441"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volume of antidilutive shares is, in part, due to the related unamortized compensation costs.</w:t>
      </w:r>
    </w:p>
    <w:p>
      <w:pPr>
        <w:spacing w:after="0" w:line="163" w:lineRule="exact"/>
        <w:rPr>
          <w:sz w:val="20"/>
          <w:szCs w:val="20"/>
          <w:color w:val="auto"/>
        </w:rPr>
      </w:pPr>
    </w:p>
    <w:p>
      <w:pPr>
        <w:ind w:left="1" w:right="140"/>
        <w:spacing w:after="0" w:line="267" w:lineRule="auto"/>
        <w:rPr>
          <w:sz w:val="20"/>
          <w:szCs w:val="20"/>
          <w:color w:val="auto"/>
        </w:rPr>
      </w:pPr>
      <w:r>
        <w:rPr>
          <w:rFonts w:ascii="Times New Roman" w:cs="Times New Roman" w:eastAsia="Times New Roman" w:hAnsi="Times New Roman"/>
          <w:sz w:val="16"/>
          <w:szCs w:val="16"/>
          <w:color w:val="auto"/>
        </w:rPr>
        <w:t xml:space="preserve">The Company grants shares of its common stock in the form of restricted stock awards to certain key employees under the Company's Amended and Restated Equity Incentive Plan (see Note 10, </w:t>
      </w: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to the consolidated financial statements). Prior to vesting of the restricted stock awards, the grant recipients are entitled to receive non-forfeitable cash dividends if the Company's board of directors declares and pays dividends on the Company's common stock. Accordingly, unvested shares of the Company's restricted stock awards are deemed to be participating securities for purposes of computing diluted earnings per share (EPS), and therefore the Company's diluted EPS represents the lower of the amounts calculated under the treasury stock method or the two-class method of calculating diluted EPS.</w:t>
      </w:r>
    </w:p>
    <w:p>
      <w:pPr>
        <w:spacing w:after="0" w:line="1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NOTE 14 – SEGMENT INFORMATION</w:t>
      </w:r>
    </w:p>
    <w:p>
      <w:pPr>
        <w:spacing w:after="0" w:line="92" w:lineRule="exact"/>
        <w:rPr>
          <w:sz w:val="20"/>
          <w:szCs w:val="20"/>
          <w:color w:val="auto"/>
        </w:rPr>
      </w:pPr>
    </w:p>
    <w:p>
      <w:pPr>
        <w:ind w:left="1" w:right="20"/>
        <w:spacing w:after="0" w:line="277" w:lineRule="auto"/>
        <w:rPr>
          <w:sz w:val="20"/>
          <w:szCs w:val="20"/>
          <w:color w:val="auto"/>
        </w:rPr>
      </w:pPr>
      <w:r>
        <w:rPr>
          <w:rFonts w:ascii="Times New Roman" w:cs="Times New Roman" w:eastAsia="Times New Roman" w:hAnsi="Times New Roman"/>
          <w:sz w:val="16"/>
          <w:szCs w:val="16"/>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17" w:lineRule="exact"/>
        <w:rPr>
          <w:sz w:val="20"/>
          <w:szCs w:val="20"/>
          <w:color w:val="auto"/>
        </w:rPr>
      </w:pPr>
    </w:p>
    <w:p>
      <w:pPr>
        <w:ind w:left="1" w:right="120"/>
        <w:spacing w:after="0" w:line="267" w:lineRule="auto"/>
        <w:rPr>
          <w:sz w:val="20"/>
          <w:szCs w:val="20"/>
          <w:color w:val="auto"/>
        </w:rPr>
      </w:pPr>
      <w:r>
        <w:rPr>
          <w:rFonts w:ascii="Times New Roman" w:cs="Times New Roman" w:eastAsia="Times New Roman" w:hAnsi="Times New Roman"/>
          <w:sz w:val="16"/>
          <w:szCs w:val="16"/>
          <w:color w:val="auto"/>
        </w:rPr>
        <w:t xml:space="preserve">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accounting policies of the segments are the same as those described in Note 2, </w:t>
      </w:r>
      <w:r>
        <w:rPr>
          <w:rFonts w:ascii="Times New Roman" w:cs="Times New Roman" w:eastAsia="Times New Roman" w:hAnsi="Times New Roman"/>
          <w:sz w:val="16"/>
          <w:szCs w:val="16"/>
          <w:i w:val="1"/>
          <w:iCs w:val="1"/>
          <w:color w:val="auto"/>
        </w:rPr>
        <w:t>Summary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Significant Accounting Policies</w:t>
      </w:r>
      <w:r>
        <w:rPr>
          <w:rFonts w:ascii="Times New Roman" w:cs="Times New Roman" w:eastAsia="Times New Roman" w:hAnsi="Times New Roman"/>
          <w:sz w:val="16"/>
          <w:szCs w:val="16"/>
          <w:color w:val="auto"/>
        </w:rPr>
        <w:t>, to the consolidated financial statements.</w:t>
      </w:r>
    </w:p>
    <w:p>
      <w:pPr>
        <w:spacing w:after="0" w:line="126" w:lineRule="exact"/>
        <w:rPr>
          <w:sz w:val="20"/>
          <w:szCs w:val="20"/>
          <w:color w:val="auto"/>
        </w:rPr>
      </w:pPr>
    </w:p>
    <w:p>
      <w:pPr>
        <w:ind w:left="1" w:right="460"/>
        <w:spacing w:after="0" w:line="271" w:lineRule="auto"/>
        <w:rPr>
          <w:sz w:val="20"/>
          <w:szCs w:val="20"/>
          <w:color w:val="auto"/>
        </w:rPr>
      </w:pPr>
      <w:r>
        <w:rPr>
          <w:rFonts w:ascii="Times New Roman" w:cs="Times New Roman" w:eastAsia="Times New Roman" w:hAnsi="Times New Roman"/>
          <w:sz w:val="16"/>
          <w:szCs w:val="16"/>
          <w:color w:val="auto"/>
        </w:rPr>
        <w:t>At the beginning of fiscal 2017, the Company combined its Carter's Retail and OshKosh Retail operating segments into a single U.S. Retail operating segment, and its Carter's Wholesale and OshKosh Wholesale operating segments into a single U.S. Wholesale operating segment, in order to reflect the sales-channel approach the Company's executive management now uses to evaluate its business performance and manage operations in the United States. The Company's International operating segment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1421"/>
          </w:cols>
          <w:pgMar w:left="239" w:top="119" w:right="239" w:bottom="1440" w:gutter="0" w:footer="0" w:header="0"/>
        </w:sectPr>
      </w:pPr>
    </w:p>
    <w:bookmarkStart w:id="85" w:name="page86"/>
    <w:bookmarkEnd w:id="85"/>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was not affected by these changes. The Company's operating and reportable segments are now U.S. Retail, U.S. Wholesale, and International.</w:t>
      </w:r>
    </w:p>
    <w:p>
      <w:pPr>
        <w:spacing w:after="0" w:line="174" w:lineRule="exact"/>
        <w:rPr>
          <w:sz w:val="20"/>
          <w:szCs w:val="20"/>
          <w:color w:val="auto"/>
        </w:rPr>
      </w:pPr>
    </w:p>
    <w:p>
      <w:pPr>
        <w:ind w:left="1" w:right="340"/>
        <w:spacing w:after="0" w:line="298" w:lineRule="auto"/>
        <w:rPr>
          <w:sz w:val="20"/>
          <w:szCs w:val="20"/>
          <w:color w:val="auto"/>
        </w:rPr>
      </w:pPr>
      <w:r>
        <w:rPr>
          <w:rFonts w:ascii="Times New Roman" w:cs="Times New Roman" w:eastAsia="Times New Roman" w:hAnsi="Times New Roman"/>
          <w:sz w:val="16"/>
          <w:szCs w:val="16"/>
          <w:color w:val="auto"/>
        </w:rPr>
        <w:t>Prior periods have been conformed to reflect the Company's current segment structure by adding together Carter's Retail and OshKosh Retail as U.S. Retail and Carter's Wholesale and OshKosh Wholesale as U.S. Wholesale. Prior results for the International segment and Corporate expenses were not impacted.</w:t>
      </w:r>
    </w:p>
    <w:p>
      <w:pPr>
        <w:spacing w:after="0" w:line="9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table below presents certain segment information for the periods indicated</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gridSpan w:val="4"/>
          </w:tcPr>
          <w:p>
            <w:pPr>
              <w:ind w:left="640"/>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 of</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 of</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00" w:type="dxa"/>
            <w:vAlign w:val="bottom"/>
          </w:tcPr>
          <w:p>
            <w:pPr>
              <w:spacing w:after="0"/>
              <w:rPr>
                <w:sz w:val="17"/>
                <w:szCs w:val="17"/>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200" w:type="dxa"/>
            <w:vAlign w:val="bottom"/>
          </w:tcPr>
          <w:p>
            <w:pPr>
              <w:spacing w:after="0"/>
              <w:rPr>
                <w:sz w:val="17"/>
                <w:szCs w:val="17"/>
                <w:color w:val="auto"/>
              </w:rPr>
            </w:pPr>
          </w:p>
        </w:tc>
        <w:tc>
          <w:tcPr>
            <w:tcW w:w="162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200" w:type="dxa"/>
            <w:vAlign w:val="bottom"/>
          </w:tcPr>
          <w:p>
            <w:pPr>
              <w:spacing w:after="0"/>
              <w:rPr>
                <w:sz w:val="17"/>
                <w:szCs w:val="17"/>
                <w:color w:val="auto"/>
              </w:rPr>
            </w:pPr>
          </w:p>
        </w:tc>
        <w:tc>
          <w:tcPr>
            <w:tcW w:w="162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31, 2016</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 of Total</w:t>
            </w:r>
          </w:p>
        </w:tc>
      </w:tr>
      <w:tr>
        <w:trPr>
          <w:trHeight w:val="30"/>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8"/>
        </w:trPr>
        <w:tc>
          <w:tcPr>
            <w:tcW w:w="2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auto"/>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r>
      <w:tr>
        <w:trPr>
          <w:trHeight w:val="217"/>
        </w:trPr>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U.S. Retail</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1,851,193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53.5%</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1,775,378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1,655,784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51.8%</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U.S. Wholesale</w:t>
            </w: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1,180,687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1,209,663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1,178,034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w:t>
            </w:r>
          </w:p>
        </w:tc>
      </w:tr>
      <w:tr>
        <w:trPr>
          <w:trHeight w:val="217"/>
        </w:trPr>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430,389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415,463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364,725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30"/>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net sales</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3,462,269</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3,400,504</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3,198,543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 of</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 of</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18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segment</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segment</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segment</w:t>
            </w:r>
          </w:p>
        </w:tc>
      </w:tr>
      <w:tr>
        <w:trPr>
          <w:trHeight w:val="164"/>
        </w:trPr>
        <w:tc>
          <w:tcPr>
            <w:tcW w:w="20" w:type="dxa"/>
            <w:vAlign w:val="bottom"/>
          </w:tcPr>
          <w:p>
            <w:pPr>
              <w:spacing w:after="0"/>
              <w:rPr>
                <w:sz w:val="14"/>
                <w:szCs w:val="14"/>
                <w:color w:val="auto"/>
              </w:rPr>
            </w:pPr>
          </w:p>
        </w:tc>
        <w:tc>
          <w:tcPr>
            <w:tcW w:w="200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Operating income:</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line="164" w:lineRule="exact"/>
              <w:rPr>
                <w:sz w:val="20"/>
                <w:szCs w:val="20"/>
                <w:color w:val="auto"/>
              </w:rPr>
            </w:pPr>
            <w:r>
              <w:rPr>
                <w:rFonts w:ascii="Times New Roman" w:cs="Times New Roman" w:eastAsia="Times New Roman" w:hAnsi="Times New Roman"/>
                <w:sz w:val="15"/>
                <w:szCs w:val="15"/>
                <w:b w:val="1"/>
                <w:bCs w:val="1"/>
                <w:color w:val="auto"/>
              </w:rPr>
              <w:t>net sales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line="164" w:lineRule="exact"/>
              <w:rPr>
                <w:sz w:val="20"/>
                <w:szCs w:val="20"/>
                <w:color w:val="auto"/>
              </w:rPr>
            </w:pPr>
            <w:r>
              <w:rPr>
                <w:rFonts w:ascii="Times New Roman" w:cs="Times New Roman" w:eastAsia="Times New Roman" w:hAnsi="Times New Roman"/>
                <w:sz w:val="15"/>
                <w:szCs w:val="15"/>
                <w:b w:val="1"/>
                <w:bCs w:val="1"/>
                <w:color w:val="auto"/>
              </w:rPr>
              <w:t>net sales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6"/>
              </w:rPr>
              <w:t>net sales</w:t>
            </w:r>
          </w:p>
        </w:tc>
      </w:tr>
      <w:tr>
        <w:trPr>
          <w:trHeight w:val="42"/>
        </w:trPr>
        <w:tc>
          <w:tcPr>
            <w:tcW w:w="20" w:type="dxa"/>
            <w:vAlign w:val="bottom"/>
            <w:tcBorders>
              <w:bottom w:val="single" w:sz="8" w:color="CCEEFF"/>
            </w:tcBorders>
          </w:tcPr>
          <w:p>
            <w:pPr>
              <w:spacing w:after="0"/>
              <w:rPr>
                <w:sz w:val="3"/>
                <w:szCs w:val="3"/>
                <w:color w:val="auto"/>
              </w:rPr>
            </w:pPr>
          </w:p>
        </w:tc>
        <w:tc>
          <w:tcPr>
            <w:tcW w:w="560" w:type="dxa"/>
            <w:vAlign w:val="bottom"/>
            <w:tcBorders>
              <w:top w:val="single" w:sz="8" w:color="auto"/>
              <w:bottom w:val="single" w:sz="8" w:color="CCEEFF"/>
            </w:tcBorders>
          </w:tcPr>
          <w:p>
            <w:pPr>
              <w:spacing w:after="0"/>
              <w:rPr>
                <w:sz w:val="3"/>
                <w:szCs w:val="3"/>
                <w:color w:val="auto"/>
              </w:rPr>
            </w:pPr>
          </w:p>
        </w:tc>
        <w:tc>
          <w:tcPr>
            <w:tcW w:w="580" w:type="dxa"/>
            <w:vAlign w:val="bottom"/>
            <w:tcBorders>
              <w:top w:val="single" w:sz="8" w:color="auto"/>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7"/>
        </w:trPr>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U.S. Retail</w:t>
            </w:r>
            <w:r>
              <w:rPr>
                <w:rFonts w:ascii="Times New Roman" w:cs="Times New Roman" w:eastAsia="Times New Roman" w:hAnsi="Times New Roman"/>
                <w:sz w:val="19"/>
                <w:szCs w:val="19"/>
                <w:color w:val="auto"/>
                <w:vertAlign w:val="superscript"/>
              </w:rPr>
              <w:t>(1)(2)(4)</w:t>
            </w: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224,784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215,640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211,951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247"/>
        </w:trPr>
        <w:tc>
          <w:tcPr>
            <w:tcW w:w="2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U.S. Wholesale</w:t>
            </w:r>
            <w:r>
              <w:rPr>
                <w:rFonts w:ascii="Times New Roman" w:cs="Times New Roman" w:eastAsia="Times New Roman" w:hAnsi="Times New Roman"/>
                <w:sz w:val="19"/>
                <w:szCs w:val="19"/>
                <w:color w:val="auto"/>
                <w:vertAlign w:val="superscript"/>
              </w:rPr>
              <w:t>(3)(4)</w:t>
            </w:r>
          </w:p>
        </w:tc>
        <w:tc>
          <w:tcPr>
            <w:tcW w:w="200" w:type="dxa"/>
            <w:vAlign w:val="bottom"/>
          </w:tcPr>
          <w:p>
            <w:pPr>
              <w:spacing w:after="0"/>
              <w:rPr>
                <w:sz w:val="21"/>
                <w:szCs w:val="21"/>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224,194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252,090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260,953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22.2%</w:t>
            </w:r>
          </w:p>
        </w:tc>
      </w:tr>
      <w:tr>
        <w:trPr>
          <w:trHeight w:val="247"/>
        </w:trPr>
        <w:tc>
          <w:tcPr>
            <w:tcW w:w="2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International</w:t>
            </w:r>
            <w:r>
              <w:rPr>
                <w:rFonts w:ascii="Times New Roman" w:cs="Times New Roman" w:eastAsia="Times New Roman" w:hAnsi="Times New Roman"/>
                <w:sz w:val="19"/>
                <w:szCs w:val="19"/>
                <w:color w:val="auto"/>
                <w:vertAlign w:val="superscript"/>
              </w:rPr>
              <w:t>(4)(5)</w:t>
            </w: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39,253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46,426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59,194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r>
      <w:tr>
        <w:trPr>
          <w:trHeight w:val="227"/>
        </w:trPr>
        <w:tc>
          <w:tcPr>
            <w:tcW w:w="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Corporate expenses</w:t>
            </w:r>
            <w:r>
              <w:rPr>
                <w:rFonts w:ascii="Times New Roman" w:cs="Times New Roman" w:eastAsia="Times New Roman" w:hAnsi="Times New Roman"/>
                <w:sz w:val="19"/>
                <w:szCs w:val="19"/>
                <w:color w:val="auto"/>
                <w:vertAlign w:val="superscript"/>
              </w:rPr>
              <w:t>(6)(7)</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(96,798)</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(94,549)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(106,170)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operating income</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391,433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419,607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425,928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54" w:lineRule="exact"/>
        <w:rPr>
          <w:sz w:val="20"/>
          <w:szCs w:val="20"/>
          <w:color w:val="auto"/>
        </w:rPr>
      </w:pPr>
    </w:p>
    <w:p>
      <w:pPr>
        <w:ind w:left="441" w:hanging="441"/>
        <w:spacing w:after="0"/>
        <w:tabs>
          <w:tab w:leader="none" w:pos="44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2018 includes insurance recovery of approximately $0.4 million associated with unusual storm-related store closures in 2017.</w:t>
      </w:r>
    </w:p>
    <w:p>
      <w:pPr>
        <w:spacing w:after="0" w:line="72"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2017 includes approximately $2.7 million of expenses related to store restructuring and approximately $12.7 million for provisions for special employee compensation.</w:t>
      </w:r>
    </w:p>
    <w:p>
      <w:pPr>
        <w:spacing w:after="0" w:line="72" w:lineRule="exact"/>
        <w:rPr>
          <w:rFonts w:ascii="Times New Roman" w:cs="Times New Roman" w:eastAsia="Times New Roman" w:hAnsi="Times New Roman"/>
          <w:sz w:val="13"/>
          <w:szCs w:val="13"/>
          <w:color w:val="auto"/>
        </w:rPr>
      </w:pPr>
    </w:p>
    <w:p>
      <w:pPr>
        <w:ind w:left="881" w:right="40" w:hanging="881"/>
        <w:spacing w:after="0" w:line="273" w:lineRule="auto"/>
        <w:tabs>
          <w:tab w:leader="none" w:pos="43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approximately $12.8 million of charges, partially offset by a $1.9 million recovery claim settlement, related to a customer bankruptcy for fiscal 2018. Fiscal 2017 includes approximately $3.3 million for provisions for special employee compensation.</w:t>
      </w:r>
    </w:p>
    <w:p>
      <w:pPr>
        <w:spacing w:after="0" w:line="30" w:lineRule="exact"/>
        <w:rPr>
          <w:rFonts w:ascii="Times New Roman" w:cs="Times New Roman" w:eastAsia="Times New Roman" w:hAnsi="Times New Roman"/>
          <w:sz w:val="13"/>
          <w:szCs w:val="13"/>
          <w:color w:val="auto"/>
        </w:rPr>
      </w:pPr>
    </w:p>
    <w:p>
      <w:pPr>
        <w:ind w:left="441" w:hanging="441"/>
        <w:spacing w:after="0"/>
        <w:tabs>
          <w:tab w:leader="none" w:pos="44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$1.2 million of certain costs related to inventory acquired from Skip Hop in operating income between U.S. Wholesale, U.S. Retail, and International for fiscal 2017.</w:t>
      </w:r>
    </w:p>
    <w:p>
      <w:pPr>
        <w:spacing w:after="0" w:line="72" w:lineRule="exact"/>
        <w:rPr>
          <w:rFonts w:ascii="Times New Roman" w:cs="Times New Roman" w:eastAsia="Times New Roman" w:hAnsi="Times New Roman"/>
          <w:sz w:val="13"/>
          <w:szCs w:val="13"/>
          <w:color w:val="auto"/>
        </w:rPr>
      </w:pPr>
    </w:p>
    <w:p>
      <w:pPr>
        <w:ind w:left="881" w:right="100" w:hanging="881"/>
        <w:spacing w:after="0" w:line="273" w:lineRule="auto"/>
        <w:tabs>
          <w:tab w:leader="none" w:pos="43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international licensing income. Fiscal 2018 includes approximately $5.3 million in costs associated with changes to the Company's business model in China, which includes inventory and severance charges. Fiscal 2017 includes approximately $2.3 million for provisions for special employee compensation.</w:t>
      </w:r>
    </w:p>
    <w:p>
      <w:pPr>
        <w:spacing w:after="0" w:line="30" w:lineRule="exact"/>
        <w:rPr>
          <w:rFonts w:ascii="Times New Roman" w:cs="Times New Roman" w:eastAsia="Times New Roman" w:hAnsi="Times New Roman"/>
          <w:sz w:val="13"/>
          <w:szCs w:val="13"/>
          <w:color w:val="auto"/>
        </w:rPr>
      </w:pPr>
    </w:p>
    <w:p>
      <w:pPr>
        <w:ind w:left="881" w:right="280" w:hanging="881"/>
        <w:spacing w:after="0" w:line="273" w:lineRule="auto"/>
        <w:tabs>
          <w:tab w:leader="none" w:pos="43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expenses related to incentive compensation, stock-based compensation, executive management, severance and relocation, finance, building occupancy, information technology, certain legal fees, consulting, and audit fees.</w:t>
      </w:r>
    </w:p>
    <w:p>
      <w:pPr>
        <w:spacing w:after="0" w:line="80" w:lineRule="exact"/>
        <w:rPr>
          <w:rFonts w:ascii="Times New Roman" w:cs="Times New Roman" w:eastAsia="Times New Roman" w:hAnsi="Times New Roman"/>
          <w:sz w:val="13"/>
          <w:szCs w:val="13"/>
          <w:color w:val="auto"/>
        </w:rPr>
      </w:pPr>
    </w:p>
    <w:p>
      <w:pPr>
        <w:ind w:left="601" w:hanging="601"/>
        <w:spacing w:after="0"/>
        <w:tabs>
          <w:tab w:leader="none" w:pos="60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following charges for fiscal 2017 and fiscal 2016:</w:t>
      </w:r>
    </w:p>
    <w:p>
      <w:pPr>
        <w:spacing w:after="0" w:line="275" w:lineRule="exact"/>
        <w:rPr>
          <w:sz w:val="20"/>
          <w:szCs w:val="20"/>
          <w:color w:val="auto"/>
        </w:rPr>
      </w:pPr>
    </w:p>
    <w:tbl>
      <w:tblPr>
        <w:tblLayout w:type="fixed"/>
        <w:tblInd w:w="1461"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4"/>
          </w:tcPr>
          <w:p>
            <w:pPr>
              <w:jc w:val="right"/>
              <w:ind w:right="606"/>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r>
      <w:tr>
        <w:trPr>
          <w:trHeight w:val="30"/>
        </w:trPr>
        <w:tc>
          <w:tcPr>
            <w:tcW w:w="5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100" w:type="dxa"/>
            <w:vAlign w:val="bottom"/>
          </w:tcPr>
          <w:p>
            <w:pPr>
              <w:spacing w:after="0"/>
              <w:rPr>
                <w:sz w:val="18"/>
                <w:szCs w:val="18"/>
                <w:color w:val="auto"/>
              </w:rPr>
            </w:pPr>
          </w:p>
        </w:tc>
        <w:tc>
          <w:tcPr>
            <w:tcW w:w="1320" w:type="dxa"/>
            <w:vAlign w:val="bottom"/>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w w:val="97"/>
              </w:rPr>
              <w:t>December 31, 2016</w:t>
            </w:r>
          </w:p>
        </w:tc>
      </w:tr>
      <w:tr>
        <w:trPr>
          <w:trHeight w:val="30"/>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Provisions for special employee compensation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5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H.W. Carter and Sons tradenames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30"/>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 to Skip Hop contingent consideration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5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 sourcing initiative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30"/>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Acquisition-related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30"/>
        </w:trPr>
        <w:tc>
          <w:tcPr>
            <w:tcW w:w="5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1421"/>
          </w:cols>
          <w:pgMar w:left="239" w:top="119" w:right="239" w:bottom="1440" w:gutter="0" w:footer="0" w:header="0"/>
        </w:sectPr>
      </w:pPr>
    </w:p>
    <w:bookmarkStart w:id="86" w:name="page87"/>
    <w:bookmarkEnd w:id="86"/>
    <w:p>
      <w:pPr>
        <w:ind w:left="5241"/>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Additional Data by Segment</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table below represents inventory by segment:</w:t>
      </w:r>
    </w:p>
    <w:p>
      <w:pPr>
        <w:spacing w:after="0" w:line="249" w:lineRule="exact"/>
        <w:rPr>
          <w:sz w:val="20"/>
          <w:szCs w:val="20"/>
          <w:color w:val="auto"/>
        </w:rPr>
      </w:pPr>
    </w:p>
    <w:tbl>
      <w:tblPr>
        <w:tblLayout w:type="fixed"/>
        <w:tblInd w:w="21"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4"/>
          </w:tcPr>
          <w:p>
            <w:pPr>
              <w:jc w:val="right"/>
              <w:ind w:right="1006"/>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r>
      <w:tr>
        <w:trPr>
          <w:trHeight w:val="30"/>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8"/>
                <w:szCs w:val="18"/>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Wholesale</w:t>
            </w:r>
            <w:r>
              <w:rPr>
                <w:rFonts w:ascii="Times New Roman" w:cs="Times New Roman" w:eastAsia="Times New Roman" w:hAnsi="Times New Roman"/>
                <w:sz w:val="19"/>
                <w:szCs w:val="19"/>
                <w:color w:val="auto"/>
                <w:vertAlign w:val="superscript"/>
              </w:rPr>
              <w:t>(*)</w:t>
            </w:r>
          </w:p>
        </w:tc>
        <w:tc>
          <w:tcPr>
            <w:tcW w:w="2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414,174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389,484</w:t>
            </w:r>
          </w:p>
        </w:tc>
      </w:tr>
      <w:tr>
        <w:trPr>
          <w:trHeight w:val="217"/>
        </w:trPr>
        <w:tc>
          <w:tcPr>
            <w:tcW w:w="7660" w:type="dxa"/>
            <w:vAlign w:val="bottom"/>
          </w:tcPr>
          <w:p>
            <w:pPr>
              <w:spacing w:after="0"/>
              <w:rPr>
                <w:sz w:val="20"/>
                <w:szCs w:val="20"/>
                <w:color w:val="auto"/>
              </w:rPr>
            </w:pPr>
            <w:r>
              <w:rPr>
                <w:rFonts w:ascii="Times New Roman" w:cs="Times New Roman" w:eastAsia="Times New Roman" w:hAnsi="Times New Roman"/>
                <w:sz w:val="15"/>
                <w:szCs w:val="15"/>
                <w:color w:val="auto"/>
              </w:rPr>
              <w:t>U.S. Retail</w:t>
            </w:r>
          </w:p>
        </w:tc>
        <w:tc>
          <w:tcPr>
            <w:tcW w:w="200" w:type="dxa"/>
            <w:vAlign w:val="bottom"/>
          </w:tcPr>
          <w:p>
            <w:pPr>
              <w:spacing w:after="0"/>
              <w:rPr>
                <w:sz w:val="18"/>
                <w:szCs w:val="18"/>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96,241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93,404</w:t>
            </w:r>
          </w:p>
        </w:tc>
      </w:tr>
      <w:tr>
        <w:trPr>
          <w:trHeight w:val="30"/>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63,811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65,834</w:t>
            </w:r>
          </w:p>
        </w:tc>
      </w:tr>
      <w:tr>
        <w:trPr>
          <w:trHeight w:val="219"/>
        </w:trPr>
        <w:tc>
          <w:tcPr>
            <w:tcW w:w="76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574,226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548,722</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441" w:hanging="441"/>
        <w:spacing w:after="0"/>
        <w:tabs>
          <w:tab w:leader="none" w:pos="44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Wholesale inventories also include inventory produced and warehoused for the U.S. Retail segment.</w:t>
      </w:r>
    </w:p>
    <w:p>
      <w:pPr>
        <w:spacing w:after="0" w:line="1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table below represents consolidated net sales by product:</w:t>
      </w:r>
    </w:p>
    <w:p>
      <w:pPr>
        <w:spacing w:after="0" w:line="175" w:lineRule="exact"/>
        <w:rPr>
          <w:sz w:val="20"/>
          <w:szCs w:val="20"/>
          <w:color w:val="auto"/>
        </w:rPr>
      </w:pPr>
    </w:p>
    <w:tbl>
      <w:tblPr>
        <w:tblLayout w:type="fixed"/>
        <w:tblInd w:w="21"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0"/>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8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14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30, 2017</w:t>
            </w:r>
          </w:p>
        </w:tc>
        <w:tc>
          <w:tcPr>
            <w:tcW w:w="200" w:type="dxa"/>
            <w:vAlign w:val="bottom"/>
          </w:tcPr>
          <w:p>
            <w:pPr>
              <w:spacing w:after="0"/>
              <w:rPr>
                <w:sz w:val="18"/>
                <w:szCs w:val="18"/>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31, 2016</w:t>
            </w:r>
          </w:p>
        </w:tc>
      </w:tr>
      <w:tr>
        <w:trPr>
          <w:trHeight w:val="30"/>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Baby</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1,239,009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1,294,404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1,241,452</w:t>
            </w:r>
          </w:p>
        </w:tc>
      </w:tr>
      <w:tr>
        <w:trPr>
          <w:trHeight w:val="217"/>
        </w:trPr>
        <w:tc>
          <w:tcPr>
            <w:tcW w:w="5820" w:type="dxa"/>
            <w:vAlign w:val="bottom"/>
          </w:tcPr>
          <w:p>
            <w:pPr>
              <w:spacing w:after="0"/>
              <w:rPr>
                <w:sz w:val="20"/>
                <w:szCs w:val="20"/>
                <w:color w:val="auto"/>
              </w:rPr>
            </w:pPr>
            <w:r>
              <w:rPr>
                <w:rFonts w:ascii="Times New Roman" w:cs="Times New Roman" w:eastAsia="Times New Roman" w:hAnsi="Times New Roman"/>
                <w:sz w:val="15"/>
                <w:szCs w:val="15"/>
                <w:color w:val="auto"/>
              </w:rPr>
              <w:t>Playclothes</w:t>
            </w:r>
          </w:p>
        </w:tc>
        <w:tc>
          <w:tcPr>
            <w:tcW w:w="180" w:type="dxa"/>
            <w:vAlign w:val="bottom"/>
          </w:tcPr>
          <w:p>
            <w:pPr>
              <w:spacing w:after="0"/>
              <w:rPr>
                <w:sz w:val="18"/>
                <w:szCs w:val="18"/>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1,303,610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1,239,546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1,214,995</w:t>
            </w:r>
          </w:p>
        </w:tc>
      </w:tr>
      <w:tr>
        <w:trPr>
          <w:trHeight w:val="30"/>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Sleepwear</w:t>
            </w:r>
          </w:p>
        </w:tc>
        <w:tc>
          <w:tcPr>
            <w:tcW w:w="1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431,961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426,703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407,078</w:t>
            </w:r>
          </w:p>
        </w:tc>
      </w:tr>
      <w:tr>
        <w:trPr>
          <w:trHeight w:val="217"/>
        </w:trPr>
        <w:tc>
          <w:tcPr>
            <w:tcW w:w="582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8"/>
                <w:szCs w:val="18"/>
                <w:color w:val="auto"/>
              </w:rPr>
            </w:pPr>
          </w:p>
        </w:tc>
        <w:tc>
          <w:tcPr>
            <w:tcW w:w="15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487,689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439,851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335,018</w:t>
            </w:r>
          </w:p>
        </w:tc>
      </w:tr>
      <w:tr>
        <w:trPr>
          <w:trHeight w:val="30"/>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9"/>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net sales</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3,462,269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3,400,504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3,198,543</w:t>
            </w:r>
          </w:p>
        </w:tc>
      </w:tr>
    </w:tbl>
    <w:p>
      <w:pPr>
        <w:spacing w:after="0" w:line="5" w:lineRule="exact"/>
        <w:rPr>
          <w:sz w:val="20"/>
          <w:szCs w:val="20"/>
          <w:color w:val="auto"/>
        </w:rPr>
      </w:pPr>
    </w:p>
    <w:p>
      <w:pPr>
        <w:ind w:left="441" w:hanging="441"/>
        <w:spacing w:after="0"/>
        <w:tabs>
          <w:tab w:leader="none" w:pos="441"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product offerings include bedding, outwear, swimwear, shoes, socks, diaper bags, gift sets, toys, and hair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-89535</wp:posOffset>
            </wp:positionV>
            <wp:extent cx="35464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46475" cy="7620"/>
                    </a:xfrm>
                    <a:prstGeom prst="rect">
                      <a:avLst/>
                    </a:prstGeom>
                    <a:noFill/>
                  </pic:spPr>
                </pic:pic>
              </a:graphicData>
            </a:graphic>
          </wp:anchor>
        </w:drawing>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Geographical Data</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90" w:lineRule="exact"/>
        <w:rPr>
          <w:sz w:val="20"/>
          <w:szCs w:val="20"/>
          <w:color w:val="auto"/>
        </w:rPr>
      </w:pPr>
    </w:p>
    <w:p>
      <w:pPr>
        <w:ind w:left="1" w:right="100"/>
        <w:spacing w:after="0" w:line="298" w:lineRule="auto"/>
        <w:rPr>
          <w:sz w:val="20"/>
          <w:szCs w:val="20"/>
          <w:color w:val="auto"/>
        </w:rPr>
      </w:pPr>
      <w:r>
        <w:rPr>
          <w:rFonts w:ascii="Times New Roman" w:cs="Times New Roman" w:eastAsia="Times New Roman" w:hAnsi="Times New Roman"/>
          <w:sz w:val="16"/>
          <w:szCs w:val="16"/>
          <w:color w:val="auto"/>
        </w:rPr>
        <w:t>The Company's international sales principally represent sales to customers in Canada. Such sales were 64.2% and 64.9% of total international sales in fiscal 2018 and 2017, respectively.</w:t>
      </w:r>
    </w:p>
    <w:p>
      <w:pPr>
        <w:spacing w:after="0" w:line="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Long-Lived Assets</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represents property, plant, and equipment, net, by geographic area:</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4"/>
          </w:tcPr>
          <w:p>
            <w:pPr>
              <w:jc w:val="right"/>
              <w:ind w:right="1006"/>
              <w:spacing w:after="0"/>
              <w:rPr>
                <w:sz w:val="20"/>
                <w:szCs w:val="20"/>
                <w:color w:val="auto"/>
              </w:rPr>
            </w:pPr>
            <w:r>
              <w:rPr>
                <w:rFonts w:ascii="Times New Roman" w:cs="Times New Roman" w:eastAsia="Times New Roman" w:hAnsi="Times New Roman"/>
                <w:sz w:val="15"/>
                <w:szCs w:val="15"/>
                <w:b w:val="1"/>
                <w:bCs w:val="1"/>
                <w:color w:val="auto"/>
              </w:rPr>
              <w:t>For the fiscal year ended</w:t>
            </w:r>
          </w:p>
        </w:tc>
      </w:tr>
      <w:tr>
        <w:trPr>
          <w:trHeight w:val="30"/>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8"/>
                <w:szCs w:val="18"/>
                <w:color w:val="auto"/>
              </w:rPr>
            </w:pPr>
          </w:p>
        </w:tc>
        <w:tc>
          <w:tcPr>
            <w:tcW w:w="1620" w:type="dxa"/>
            <w:vAlign w:val="bottom"/>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7"/>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314,679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337,369</w:t>
            </w: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International</w:t>
            </w:r>
          </w:p>
        </w:tc>
        <w:tc>
          <w:tcPr>
            <w:tcW w:w="20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35,758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40,555</w:t>
            </w:r>
          </w:p>
        </w:tc>
      </w:tr>
      <w:tr>
        <w:trPr>
          <w:trHeight w:val="30"/>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9"/>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350,437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377,924</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 w:right="80"/>
        <w:spacing w:after="0" w:line="298" w:lineRule="auto"/>
        <w:rPr>
          <w:sz w:val="20"/>
          <w:szCs w:val="20"/>
          <w:color w:val="auto"/>
        </w:rPr>
      </w:pPr>
      <w:r>
        <w:rPr>
          <w:rFonts w:ascii="Times New Roman" w:cs="Times New Roman" w:eastAsia="Times New Roman" w:hAnsi="Times New Roman"/>
          <w:sz w:val="16"/>
          <w:szCs w:val="16"/>
          <w:color w:val="auto"/>
        </w:rPr>
        <w:t>Long-lived assets in the international segment relate principally to Canada. Long-lived assets in Canada were 87.4% and 87.6% of total international long-lived assets at the end of fiscal 2018 and 2017, respectively.</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NOTE 15 – FAIR VALUE MEASUREMENTS</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92" w:lineRule="exact"/>
        <w:rPr>
          <w:sz w:val="20"/>
          <w:szCs w:val="20"/>
          <w:color w:val="auto"/>
        </w:rPr>
      </w:pPr>
    </w:p>
    <w:p>
      <w:pPr>
        <w:ind w:left="1" w:right="320"/>
        <w:spacing w:after="0" w:line="271" w:lineRule="auto"/>
        <w:rPr>
          <w:sz w:val="20"/>
          <w:szCs w:val="20"/>
          <w:color w:val="auto"/>
        </w:rPr>
      </w:pPr>
      <w:r>
        <w:rPr>
          <w:rFonts w:ascii="Times New Roman" w:cs="Times New Roman" w:eastAsia="Times New Roman" w:hAnsi="Times New Roman"/>
          <w:sz w:val="16"/>
          <w:szCs w:val="16"/>
          <w:color w:val="auto"/>
        </w:rPr>
        <w:t>The Company invests in marketable securities, principally equity based mutual funds, to mitigate the risk associated with the investment return on employee deferrals of compensation. All of the marketable securities are included in Other assets on the accompanying consolidated balance sheets, and their aggregate fair values were approximately $15.7 million and $16.7 million at the end of fiscal 2018 and fiscal 2017, respectively. These investments are classified as Level 1 within the fair value hierarchy. Investments in marketable securities incurred a net loss of approximately $1.0 million and $0.1 million for fiscal 2018 and 2017, respectively.</w:t>
      </w:r>
    </w:p>
    <w:p>
      <w:pPr>
        <w:spacing w:after="0" w:line="118" w:lineRule="exact"/>
        <w:rPr>
          <w:sz w:val="20"/>
          <w:szCs w:val="20"/>
          <w:color w:val="auto"/>
        </w:rPr>
      </w:pPr>
    </w:p>
    <w:p>
      <w:pPr>
        <w:ind w:left="1" w:right="80"/>
        <w:spacing w:after="0" w:line="300" w:lineRule="auto"/>
        <w:rPr>
          <w:sz w:val="20"/>
          <w:szCs w:val="20"/>
          <w:color w:val="auto"/>
        </w:rPr>
      </w:pPr>
      <w:r>
        <w:rPr>
          <w:rFonts w:ascii="Times New Roman" w:cs="Times New Roman" w:eastAsia="Times New Roman" w:hAnsi="Times New Roman"/>
          <w:sz w:val="16"/>
          <w:szCs w:val="16"/>
          <w:color w:val="auto"/>
        </w:rPr>
        <w:t xml:space="preserve">The fair value of the Company's pension plan assets at December 29, 2018 and December 30, 2017, by asset category, are disclosed in Note 11, </w:t>
      </w:r>
      <w:r>
        <w:rPr>
          <w:rFonts w:ascii="Times New Roman" w:cs="Times New Roman" w:eastAsia="Times New Roman" w:hAnsi="Times New Roman"/>
          <w:sz w:val="16"/>
          <w:szCs w:val="16"/>
          <w:i w:val="1"/>
          <w:iCs w:val="1"/>
          <w:color w:val="auto"/>
        </w:rPr>
        <w:t>Employee Benefits Plans</w:t>
      </w:r>
      <w:r>
        <w:rPr>
          <w:rFonts w:ascii="Times New Roman" w:cs="Times New Roman" w:eastAsia="Times New Roman" w:hAnsi="Times New Roman"/>
          <w:sz w:val="16"/>
          <w:szCs w:val="16"/>
          <w:color w:val="auto"/>
        </w:rPr>
        <w:t>, to the consolidated financial statements.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1421"/>
          </w:cols>
          <w:pgMar w:left="239" w:top="119" w:right="239" w:bottom="1440" w:gutter="0" w:footer="0" w:header="0"/>
        </w:sectPr>
      </w:pPr>
    </w:p>
    <w:bookmarkStart w:id="87" w:name="page88"/>
    <w:bookmarkEnd w:id="87"/>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Forward Contracts</w:t>
      </w:r>
    </w:p>
    <w:p>
      <w:pPr>
        <w:spacing w:after="0" w:line="9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6"/>
          <w:szCs w:val="16"/>
          <w:color w:val="auto"/>
        </w:rPr>
        <w:t>Fair values of any unsettled foreign exchange forward contracts are calculated by using readily observable market inputs (market-quoted currency exchange rates in effect between the U.S. dollar and the currencies of Canada and Mexico) and are classified as Level 2 within the fair value hierarchy. Any unsettled foreign exchange forward contracts are included in other current assets or other current liabilities on the Company's consolidated balance sheet at the end of each fiscal reporting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29, 2018, there were no open foreign currency contracts. As of December 30, 2017, the fair value of open foreign currency contracts was not material.</w:t>
      </w:r>
    </w:p>
    <w:p>
      <w:pPr>
        <w:spacing w:after="0" w:line="17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Realized and unrealized gains and losses on foreign currency contracts were not material for fiscal 2018 and 2017. For foreign currency contracts settled during fiscal 2016, the Company realized net losses of $3.2 million. These amounts are included in other (income) expense, net on the Company's consolidated statement of operations. The were no open foreign currency contracts at the end of fiscal 2016.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Borrowings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29, 2018, the fair value of the Company's $196.0 million in borrowings under its secured revolving credit facility approximated carrying value.</w:t>
      </w:r>
    </w:p>
    <w:p>
      <w:pPr>
        <w:spacing w:after="0" w:line="174"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6"/>
          <w:szCs w:val="16"/>
          <w:color w:val="auto"/>
        </w:rPr>
        <w:t>The fair value of the Company's senior notes at December 29, 2018 was approximately $399 million. The fair value of these senior notes with a notional value and carrying value (gross of debt issuance costs) of $400 million was estimated using a quoted price as provided in the secondary market, which considers the Company's credit risk and market related conditions, and is therefore within Level 2 of the fair value hierarchy.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OTHER CURRENT AND LONG-TERM LIABILITIES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liabilities that exceeded five percent of total current liabilities (at the end of either fiscal year)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7"/>
                <w:szCs w:val="17"/>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7"/>
                <w:szCs w:val="17"/>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bonuses and incentive compensation</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8,409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27,566</w:t>
            </w: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taxes payable</w:t>
            </w:r>
          </w:p>
        </w:tc>
        <w:tc>
          <w:tcPr>
            <w:tcW w:w="22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17,415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16,252</w:t>
            </w:r>
          </w:p>
        </w:tc>
      </w:tr>
      <w:tr>
        <w:trPr>
          <w:trHeight w:val="30"/>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7"/>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employee benefits</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16,421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21,735</w:t>
            </w: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and deferred rent</w:t>
            </w:r>
          </w:p>
        </w:tc>
        <w:tc>
          <w:tcPr>
            <w:tcW w:w="220" w:type="dxa"/>
            <w:vAlign w:val="bottom"/>
          </w:tcPr>
          <w:p>
            <w:pPr>
              <w:spacing w:after="0"/>
              <w:rPr>
                <w:sz w:val="18"/>
                <w:szCs w:val="18"/>
                <w:color w:val="auto"/>
              </w:rPr>
            </w:pPr>
          </w:p>
        </w:tc>
        <w:tc>
          <w:tcPr>
            <w:tcW w:w="1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18,213</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long-term liabilities that exceeded five percent of total liabilities (at the end of either fiscal year)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7"/>
                <w:szCs w:val="17"/>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29, 2018</w:t>
            </w:r>
          </w:p>
        </w:tc>
        <w:tc>
          <w:tcPr>
            <w:tcW w:w="200" w:type="dxa"/>
            <w:vAlign w:val="bottom"/>
          </w:tcPr>
          <w:p>
            <w:pPr>
              <w:spacing w:after="0"/>
              <w:rPr>
                <w:sz w:val="17"/>
                <w:szCs w:val="17"/>
                <w:color w:val="auto"/>
              </w:rPr>
            </w:pP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December 30, 2017</w:t>
            </w:r>
          </w:p>
        </w:tc>
      </w:tr>
      <w:tr>
        <w:trPr>
          <w:trHeight w:val="30"/>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lease incentives</w:t>
            </w:r>
          </w:p>
        </w:tc>
        <w:tc>
          <w:tcPr>
            <w:tcW w:w="2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72,345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75,104</w:t>
            </w:r>
          </w:p>
        </w:tc>
      </w:tr>
      <w:tr>
        <w:trPr>
          <w:trHeight w:val="30"/>
        </w:trPr>
        <w:tc>
          <w:tcPr>
            <w:tcW w:w="7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LEASE COMMITMENTS</w:t>
      </w:r>
    </w:p>
    <w:p>
      <w:pPr>
        <w:spacing w:after="0" w:line="9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Rent expense under operating leases (including properties and computer and office equipment) was approximately $165.6 million, $161.9 million, and $150.6 million for the fiscal years ended December 29, 2018, December 30, 2017, and December 31, 2016, respectively.</w:t>
      </w:r>
    </w:p>
    <w:p>
      <w:pPr>
        <w:spacing w:after="0" w:line="9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Minimum annual rental commitments under current non-cancellable operating leases, as of December 29, 2018, substantially all of which relate to leased real estate,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340" w:type="dxa"/>
            <w:vAlign w:val="bottom"/>
          </w:tcPr>
          <w:p>
            <w:pPr>
              <w:spacing w:after="0"/>
              <w:rPr>
                <w:sz w:val="17"/>
                <w:szCs w:val="17"/>
                <w:color w:val="auto"/>
              </w:rPr>
            </w:pPr>
          </w:p>
        </w:tc>
        <w:tc>
          <w:tcPr>
            <w:tcW w:w="1920" w:type="dxa"/>
            <w:vAlign w:val="bottom"/>
          </w:tcPr>
          <w:p>
            <w:pPr>
              <w:jc w:val="right"/>
              <w:ind w:right="506"/>
              <w:spacing w:after="0"/>
              <w:rPr>
                <w:sz w:val="20"/>
                <w:szCs w:val="20"/>
                <w:color w:val="auto"/>
              </w:rPr>
            </w:pPr>
            <w:r>
              <w:rPr>
                <w:rFonts w:ascii="Times New Roman" w:cs="Times New Roman" w:eastAsia="Times New Roman" w:hAnsi="Times New Roman"/>
                <w:sz w:val="15"/>
                <w:szCs w:val="15"/>
                <w:b w:val="1"/>
                <w:bCs w:val="1"/>
                <w:color w:val="auto"/>
              </w:rPr>
              <w:t>Operating Leases</w:t>
            </w:r>
          </w:p>
        </w:tc>
      </w:tr>
      <w:tr>
        <w:trPr>
          <w:trHeight w:val="30"/>
        </w:trPr>
        <w:tc>
          <w:tcPr>
            <w:tcW w:w="9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7"/>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2019</w:t>
            </w: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163,963</w:t>
            </w:r>
          </w:p>
        </w:tc>
      </w:tr>
      <w:tr>
        <w:trPr>
          <w:trHeight w:val="205"/>
        </w:trPr>
        <w:tc>
          <w:tcPr>
            <w:tcW w:w="9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340" w:type="dxa"/>
            <w:vAlign w:val="bottom"/>
          </w:tcPr>
          <w:p>
            <w:pPr>
              <w:spacing w:after="0"/>
              <w:rPr>
                <w:sz w:val="17"/>
                <w:szCs w:val="17"/>
                <w:color w:val="auto"/>
              </w:rPr>
            </w:pPr>
          </w:p>
        </w:tc>
        <w:tc>
          <w:tcPr>
            <w:tcW w:w="19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150,010</w:t>
            </w:r>
          </w:p>
        </w:tc>
      </w:tr>
      <w:tr>
        <w:trPr>
          <w:trHeight w:val="30"/>
        </w:trPr>
        <w:tc>
          <w:tcPr>
            <w:tcW w:w="9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5"/>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34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134,203</w:t>
            </w:r>
          </w:p>
        </w:tc>
      </w:tr>
      <w:tr>
        <w:trPr>
          <w:trHeight w:val="205"/>
        </w:trPr>
        <w:tc>
          <w:tcPr>
            <w:tcW w:w="9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340" w:type="dxa"/>
            <w:vAlign w:val="bottom"/>
          </w:tcPr>
          <w:p>
            <w:pPr>
              <w:spacing w:after="0"/>
              <w:rPr>
                <w:sz w:val="17"/>
                <w:szCs w:val="17"/>
                <w:color w:val="auto"/>
              </w:rPr>
            </w:pPr>
          </w:p>
        </w:tc>
        <w:tc>
          <w:tcPr>
            <w:tcW w:w="19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116,773</w:t>
            </w:r>
          </w:p>
        </w:tc>
      </w:tr>
      <w:tr>
        <w:trPr>
          <w:trHeight w:val="30"/>
        </w:trPr>
        <w:tc>
          <w:tcPr>
            <w:tcW w:w="9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5"/>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4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102,487</w:t>
            </w:r>
          </w:p>
        </w:tc>
      </w:tr>
      <w:tr>
        <w:trPr>
          <w:trHeight w:val="205"/>
        </w:trPr>
        <w:tc>
          <w:tcPr>
            <w:tcW w:w="9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340" w:type="dxa"/>
            <w:vAlign w:val="bottom"/>
          </w:tcPr>
          <w:p>
            <w:pPr>
              <w:spacing w:after="0"/>
              <w:rPr>
                <w:sz w:val="17"/>
                <w:szCs w:val="17"/>
                <w:color w:val="auto"/>
              </w:rPr>
            </w:pPr>
          </w:p>
        </w:tc>
        <w:tc>
          <w:tcPr>
            <w:tcW w:w="19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235,731</w:t>
            </w:r>
          </w:p>
        </w:tc>
      </w:tr>
      <w:tr>
        <w:trPr>
          <w:trHeight w:val="30"/>
        </w:trPr>
        <w:tc>
          <w:tcPr>
            <w:tcW w:w="9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9"/>
        </w:trPr>
        <w:tc>
          <w:tcPr>
            <w:tcW w:w="9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w:t>
            </w: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903,167</w:t>
            </w:r>
          </w:p>
        </w:tc>
      </w:tr>
      <w:tr>
        <w:trPr>
          <w:trHeight w:val="20"/>
        </w:trPr>
        <w:tc>
          <w:tcPr>
            <w:tcW w:w="9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1420"/>
          </w:cols>
          <w:pgMar w:left="240" w:top="119" w:right="239" w:bottom="1440" w:gutter="0" w:footer="0" w:header="0"/>
        </w:sectPr>
      </w:pPr>
    </w:p>
    <w:bookmarkStart w:id="88" w:name="page89"/>
    <w:bookmarkEnd w:id="88"/>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Amounts related to property include leases on retail stores as well as various corporate offices, distribution facilities, and other premises. Our average term remaining for a retail store lease in the United States is approximately 4.9 years, excluding renewal options.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commitments under capital leases were approximately $1.3 million at December 29, 2018.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COMMITMENTS AND CONTINGENCIES</w:t>
      </w:r>
    </w:p>
    <w:p>
      <w:pPr>
        <w:spacing w:after="0" w:line="92" w:lineRule="exact"/>
        <w:rPr>
          <w:sz w:val="20"/>
          <w:szCs w:val="20"/>
          <w:color w:val="auto"/>
        </w:rPr>
      </w:pPr>
    </w:p>
    <w:p>
      <w:pPr>
        <w:ind w:right="800"/>
        <w:spacing w:after="0" w:line="298" w:lineRule="auto"/>
        <w:rPr>
          <w:sz w:val="20"/>
          <w:szCs w:val="20"/>
          <w:color w:val="auto"/>
        </w:rPr>
      </w:pPr>
      <w:r>
        <w:rPr>
          <w:rFonts w:ascii="Times New Roman" w:cs="Times New Roman" w:eastAsia="Times New Roman" w:hAnsi="Times New Roman"/>
          <w:sz w:val="16"/>
          <w:szCs w:val="16"/>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99"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The Company's contractual obligations and commitments also include obligations associated with leases, the secured revolving credit agreement, senior notes, employee benefit plans, and facility consolidations/closures as disclosed elsewhere in the notes to the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 VALUATION AND QUALIFYING ACCOUNTS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regarding accounts receivable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Wholesale accounts</w:t>
            </w:r>
          </w:p>
        </w:tc>
        <w:tc>
          <w:tcPr>
            <w:tcW w:w="14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Wholesale sales returns</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0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receivable reserves</w:t>
            </w:r>
          </w:p>
        </w:tc>
        <w:tc>
          <w:tcPr>
            <w:tcW w:w="1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reserves</w:t>
            </w:r>
          </w:p>
        </w:tc>
        <w:tc>
          <w:tcPr>
            <w:tcW w:w="420" w:type="dxa"/>
            <w:vAlign w:val="bottom"/>
          </w:tcPr>
          <w:p>
            <w:pPr>
              <w:spacing w:after="0"/>
              <w:rPr>
                <w:sz w:val="17"/>
                <w:szCs w:val="17"/>
                <w:color w:val="auto"/>
              </w:rPr>
            </w:pPr>
          </w:p>
        </w:tc>
        <w:tc>
          <w:tcPr>
            <w:tcW w:w="1380" w:type="dxa"/>
            <w:vAlign w:val="bottom"/>
          </w:tcPr>
          <w:p>
            <w:pPr>
              <w:jc w:val="right"/>
              <w:ind w:right="66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30"/>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January 2, 2016</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8,543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8,943</w:t>
            </w:r>
          </w:p>
        </w:tc>
      </w:tr>
      <w:tr>
        <w:trPr>
          <w:trHeight w:val="217"/>
        </w:trPr>
        <w:tc>
          <w:tcPr>
            <w:tcW w:w="5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Additional provisions</w:t>
            </w:r>
          </w:p>
        </w:tc>
        <w:tc>
          <w:tcPr>
            <w:tcW w:w="200" w:type="dxa"/>
            <w:vAlign w:val="bottom"/>
          </w:tcPr>
          <w:p>
            <w:pPr>
              <w:spacing w:after="0"/>
              <w:rPr>
                <w:sz w:val="18"/>
                <w:szCs w:val="18"/>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6,088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13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6,088</w:t>
            </w:r>
          </w:p>
        </w:tc>
      </w:tr>
      <w:tr>
        <w:trPr>
          <w:trHeight w:val="30"/>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7"/>
        </w:trPr>
        <w:tc>
          <w:tcPr>
            <w:tcW w:w="5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Charges to reserve</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(6,279)</w:t>
            </w:r>
          </w:p>
        </w:tc>
      </w:tr>
      <w:tr>
        <w:trPr>
          <w:trHeight w:val="197"/>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2016</w:t>
            </w:r>
          </w:p>
        </w:tc>
        <w:tc>
          <w:tcPr>
            <w:tcW w:w="2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8,752</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420" w:type="dxa"/>
            <w:vAlign w:val="bottom"/>
            <w:tcBorders>
              <w:top w:val="single" w:sz="8" w:color="auto"/>
            </w:tcBorders>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8,752</w:t>
            </w:r>
          </w:p>
        </w:tc>
      </w:tr>
      <w:tr>
        <w:trPr>
          <w:trHeight w:val="30"/>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7"/>
        </w:trPr>
        <w:tc>
          <w:tcPr>
            <w:tcW w:w="5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Additional provisions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8,204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8,204</w:t>
            </w:r>
          </w:p>
        </w:tc>
      </w:tr>
      <w:tr>
        <w:trPr>
          <w:trHeight w:val="217"/>
        </w:trPr>
        <w:tc>
          <w:tcPr>
            <w:tcW w:w="57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Charges to reserve</w:t>
            </w:r>
          </w:p>
        </w:tc>
        <w:tc>
          <w:tcPr>
            <w:tcW w:w="200" w:type="dxa"/>
            <w:vAlign w:val="bottom"/>
          </w:tcPr>
          <w:p>
            <w:pPr>
              <w:spacing w:after="0"/>
              <w:rPr>
                <w:sz w:val="18"/>
                <w:szCs w:val="18"/>
                <w:color w:val="auto"/>
              </w:rPr>
            </w:pPr>
          </w:p>
        </w:tc>
        <w:tc>
          <w:tcPr>
            <w:tcW w:w="1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(3,220)</w:t>
            </w:r>
          </w:p>
        </w:tc>
      </w:tr>
      <w:tr>
        <w:trPr>
          <w:trHeight w:val="30"/>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30, 2017</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13,736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13,736</w:t>
            </w:r>
          </w:p>
        </w:tc>
      </w:tr>
      <w:tr>
        <w:trPr>
          <w:trHeight w:val="217"/>
        </w:trPr>
        <w:tc>
          <w:tcPr>
            <w:tcW w:w="5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Additional provisions</w:t>
            </w:r>
          </w:p>
        </w:tc>
        <w:tc>
          <w:tcPr>
            <w:tcW w:w="200" w:type="dxa"/>
            <w:vAlign w:val="bottom"/>
          </w:tcPr>
          <w:p>
            <w:pPr>
              <w:spacing w:after="0"/>
              <w:rPr>
                <w:sz w:val="18"/>
                <w:szCs w:val="18"/>
                <w:color w:val="auto"/>
              </w:rPr>
            </w:pPr>
          </w:p>
        </w:tc>
        <w:tc>
          <w:tcPr>
            <w:tcW w:w="16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30,280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13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30,280</w:t>
            </w:r>
          </w:p>
        </w:tc>
      </w:tr>
      <w:tr>
        <w:trPr>
          <w:trHeight w:val="30"/>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7"/>
        </w:trPr>
        <w:tc>
          <w:tcPr>
            <w:tcW w:w="5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Charges to reserve</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(32,150)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(32,150)</w:t>
            </w:r>
          </w:p>
        </w:tc>
      </w:tr>
      <w:tr>
        <w:trPr>
          <w:trHeight w:val="219"/>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29, 2018</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11,866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11,866</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UNAUDITED QUARTERLY FINANCIAL DATA</w:t>
      </w:r>
    </w:p>
    <w:p>
      <w:pPr>
        <w:spacing w:after="0" w:line="9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Company experiences seasonal fluctuations in its sales and profitability due to the timing of certain holidays and key retail shopping periods, typically resulting in lower sales and gross profit in the first half of its fiscal year.</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1420"/>
          </w:cols>
          <w:pgMar w:left="240" w:top="119" w:right="239" w:bottom="1440" w:gutter="0" w:footer="0" w:header="0"/>
        </w:sectPr>
      </w:pPr>
    </w:p>
    <w:bookmarkStart w:id="89" w:name="page90"/>
    <w:bookmarkEnd w:id="89"/>
    <w:p>
      <w:pPr>
        <w:ind w:left="1"/>
        <w:spacing w:after="0"/>
        <w:rPr>
          <w:sz w:val="20"/>
          <w:szCs w:val="20"/>
          <w:color w:val="auto"/>
        </w:rPr>
      </w:pPr>
      <w:r>
        <w:rPr>
          <w:rFonts w:ascii="Times New Roman" w:cs="Times New Roman" w:eastAsia="Times New Roman" w:hAnsi="Times New Roman"/>
          <w:sz w:val="16"/>
          <w:szCs w:val="16"/>
          <w:color w:val="auto"/>
        </w:rPr>
        <w:t>The unaudited summarized financial data by quarter for the fiscal years ended December 29, 2018 and December 30, 2017 is presented in the table below:</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data)</w:t>
            </w:r>
          </w:p>
        </w:tc>
        <w:tc>
          <w:tcPr>
            <w:tcW w:w="2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Quarter 1</w:t>
            </w: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Quarter 2</w:t>
            </w:r>
          </w:p>
        </w:tc>
        <w:tc>
          <w:tcPr>
            <w:tcW w:w="24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Quarter 3</w:t>
            </w:r>
          </w:p>
        </w:tc>
        <w:tc>
          <w:tcPr>
            <w:tcW w:w="220" w:type="dxa"/>
            <w:vAlign w:val="bottom"/>
          </w:tcPr>
          <w:p>
            <w:pPr>
              <w:spacing w:after="0"/>
              <w:rPr>
                <w:sz w:val="19"/>
                <w:szCs w:val="19"/>
                <w:color w:val="auto"/>
              </w:rPr>
            </w:pPr>
          </w:p>
        </w:tc>
        <w:tc>
          <w:tcPr>
            <w:tcW w:w="1140" w:type="dxa"/>
            <w:vAlign w:val="bottom"/>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Quarter 4</w:t>
            </w:r>
            <w:r>
              <w:rPr>
                <w:rFonts w:ascii="Times New Roman" w:cs="Times New Roman" w:eastAsia="Times New Roman" w:hAnsi="Times New Roman"/>
                <w:sz w:val="19"/>
                <w:szCs w:val="19"/>
                <w:b w:val="1"/>
                <w:bCs w:val="1"/>
                <w:color w:val="auto"/>
                <w:vertAlign w:val="superscript"/>
              </w:rPr>
              <w:t>(2)</w:t>
            </w:r>
          </w:p>
        </w:tc>
      </w:tr>
      <w:tr>
        <w:trPr>
          <w:trHeight w:val="219"/>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6"/>
              </w:rPr>
              <w:t>Fiscal 2018:</w:t>
            </w:r>
          </w:p>
        </w:tc>
        <w:tc>
          <w:tcPr>
            <w:tcW w:w="5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sales</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755,786</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696,197</w:t>
            </w:r>
          </w:p>
        </w:tc>
        <w:tc>
          <w:tcPr>
            <w:tcW w:w="12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923,907</w:t>
            </w:r>
          </w:p>
        </w:tc>
        <w:tc>
          <w:tcPr>
            <w:tcW w:w="10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1,086,379</w:t>
            </w:r>
          </w:p>
        </w:tc>
      </w:tr>
      <w:tr>
        <w:trPr>
          <w:trHeight w:val="30"/>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332,477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309,958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387,450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467,598</w:t>
            </w:r>
          </w:p>
        </w:tc>
      </w:tr>
      <w:tr>
        <w:trPr>
          <w:trHeight w:val="217"/>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Royalty income, net</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7,994</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10,355</w:t>
            </w:r>
          </w:p>
        </w:tc>
        <w:tc>
          <w:tcPr>
            <w:tcW w:w="12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10,224</w:t>
            </w:r>
          </w:p>
        </w:tc>
        <w:tc>
          <w:tcPr>
            <w:tcW w:w="10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10,357</w:t>
            </w:r>
          </w:p>
        </w:tc>
      </w:tr>
      <w:tr>
        <w:trPr>
          <w:trHeight w:val="30"/>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280,162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263,343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294,117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307,358</w:t>
            </w:r>
          </w:p>
        </w:tc>
      </w:tr>
      <w:tr>
        <w:trPr>
          <w:trHeight w:val="217"/>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60,309</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56,970</w:t>
            </w:r>
          </w:p>
        </w:tc>
        <w:tc>
          <w:tcPr>
            <w:tcW w:w="12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103,557</w:t>
            </w:r>
          </w:p>
        </w:tc>
        <w:tc>
          <w:tcPr>
            <w:tcW w:w="10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170,597</w:t>
            </w:r>
          </w:p>
        </w:tc>
      </w:tr>
      <w:tr>
        <w:trPr>
          <w:trHeight w:val="30"/>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42,469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37,268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71,770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130,561</w:t>
            </w:r>
          </w:p>
        </w:tc>
      </w:tr>
      <w:tr>
        <w:trPr>
          <w:trHeight w:val="247"/>
        </w:trPr>
        <w:tc>
          <w:tcPr>
            <w:tcW w:w="20" w:type="dxa"/>
            <w:vAlign w:val="bottom"/>
          </w:tcPr>
          <w:p>
            <w:pPr>
              <w:spacing w:after="0"/>
              <w:rPr>
                <w:sz w:val="21"/>
                <w:szCs w:val="21"/>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net income per common share</w:t>
            </w:r>
            <w:r>
              <w:rPr>
                <w:rFonts w:ascii="Times New Roman" w:cs="Times New Roman" w:eastAsia="Times New Roman" w:hAnsi="Times New Roman"/>
                <w:sz w:val="19"/>
                <w:szCs w:val="19"/>
                <w:color w:val="auto"/>
                <w:vertAlign w:val="superscript"/>
              </w:rPr>
              <w:t>(1)</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0.90</w:t>
            </w:r>
          </w:p>
        </w:tc>
        <w:tc>
          <w:tcPr>
            <w:tcW w:w="120" w:type="dxa"/>
            <w:vAlign w:val="bottom"/>
          </w:tcPr>
          <w:p>
            <w:pPr>
              <w:spacing w:after="0"/>
              <w:rPr>
                <w:sz w:val="21"/>
                <w:szCs w:val="21"/>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0.80</w:t>
            </w:r>
          </w:p>
        </w:tc>
        <w:tc>
          <w:tcPr>
            <w:tcW w:w="120" w:type="dxa"/>
            <w:vAlign w:val="bottom"/>
          </w:tcPr>
          <w:p>
            <w:pPr>
              <w:spacing w:after="0"/>
              <w:rPr>
                <w:sz w:val="21"/>
                <w:szCs w:val="21"/>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Pr>
          <w:p>
            <w:pPr>
              <w:spacing w:after="0"/>
              <w:rPr>
                <w:sz w:val="21"/>
                <w:szCs w:val="21"/>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2.85</w:t>
            </w:r>
          </w:p>
        </w:tc>
      </w:tr>
      <w:tr>
        <w:trPr>
          <w:trHeight w:val="247"/>
        </w:trPr>
        <w:tc>
          <w:tcPr>
            <w:tcW w:w="20" w:type="dxa"/>
            <w:vAlign w:val="bottom"/>
            <w:shd w:val="clear" w:color="auto" w:fill="CCEEFF"/>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net income per common share</w:t>
            </w:r>
            <w:r>
              <w:rPr>
                <w:rFonts w:ascii="Times New Roman" w:cs="Times New Roman" w:eastAsia="Times New Roman" w:hAnsi="Times New Roman"/>
                <w:sz w:val="19"/>
                <w:szCs w:val="19"/>
                <w:color w:val="auto"/>
                <w:vertAlign w:val="superscript"/>
              </w:rPr>
              <w:t>(1)</w:t>
            </w: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0.89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0.79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2.83</w:t>
            </w:r>
          </w:p>
        </w:tc>
      </w:tr>
      <w:tr>
        <w:trPr>
          <w:trHeight w:val="198"/>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6"/>
              </w:rPr>
              <w:t>Fiscal 2017:</w:t>
            </w:r>
          </w:p>
        </w:tc>
        <w:tc>
          <w:tcPr>
            <w:tcW w:w="50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sales</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732,827</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691,751</w:t>
            </w:r>
          </w:p>
        </w:tc>
        <w:tc>
          <w:tcPr>
            <w:tcW w:w="12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948,046</w:t>
            </w:r>
          </w:p>
        </w:tc>
        <w:tc>
          <w:tcPr>
            <w:tcW w:w="10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1,027,880</w:t>
            </w:r>
          </w:p>
        </w:tc>
      </w:tr>
      <w:tr>
        <w:trPr>
          <w:trHeight w:val="30"/>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315,692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303,247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403,578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460,837</w:t>
            </w:r>
          </w:p>
        </w:tc>
      </w:tr>
      <w:tr>
        <w:trPr>
          <w:trHeight w:val="217"/>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Royalty income, net</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10,558</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11,210</w:t>
            </w:r>
          </w:p>
        </w:tc>
        <w:tc>
          <w:tcPr>
            <w:tcW w:w="12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10,350</w:t>
            </w:r>
          </w:p>
        </w:tc>
        <w:tc>
          <w:tcPr>
            <w:tcW w:w="10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11,063</w:t>
            </w:r>
          </w:p>
        </w:tc>
      </w:tr>
      <w:tr>
        <w:trPr>
          <w:trHeight w:val="30"/>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247,794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250,146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283,480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325,508</w:t>
            </w:r>
          </w:p>
        </w:tc>
      </w:tr>
      <w:tr>
        <w:trPr>
          <w:trHeight w:val="217"/>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78,456</w:t>
            </w:r>
          </w:p>
        </w:tc>
        <w:tc>
          <w:tcPr>
            <w:tcW w:w="12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64,311</w:t>
            </w:r>
          </w:p>
        </w:tc>
        <w:tc>
          <w:tcPr>
            <w:tcW w:w="12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130,448</w:t>
            </w:r>
          </w:p>
        </w:tc>
        <w:tc>
          <w:tcPr>
            <w:tcW w:w="10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146,392</w:t>
            </w:r>
          </w:p>
        </w:tc>
      </w:tr>
      <w:tr>
        <w:trPr>
          <w:trHeight w:val="30"/>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46,595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37,793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82,316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136,144</w:t>
            </w:r>
          </w:p>
        </w:tc>
      </w:tr>
      <w:tr>
        <w:trPr>
          <w:trHeight w:val="247"/>
        </w:trPr>
        <w:tc>
          <w:tcPr>
            <w:tcW w:w="20" w:type="dxa"/>
            <w:vAlign w:val="bottom"/>
          </w:tcPr>
          <w:p>
            <w:pPr>
              <w:spacing w:after="0"/>
              <w:rPr>
                <w:sz w:val="21"/>
                <w:szCs w:val="21"/>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net income per common share</w:t>
            </w:r>
            <w:r>
              <w:rPr>
                <w:rFonts w:ascii="Times New Roman" w:cs="Times New Roman" w:eastAsia="Times New Roman" w:hAnsi="Times New Roman"/>
                <w:sz w:val="19"/>
                <w:szCs w:val="19"/>
                <w:color w:val="auto"/>
                <w:vertAlign w:val="superscript"/>
              </w:rPr>
              <w:t>(1)</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0.96</w:t>
            </w:r>
          </w:p>
        </w:tc>
        <w:tc>
          <w:tcPr>
            <w:tcW w:w="120" w:type="dxa"/>
            <w:vAlign w:val="bottom"/>
          </w:tcPr>
          <w:p>
            <w:pPr>
              <w:spacing w:after="0"/>
              <w:rPr>
                <w:sz w:val="21"/>
                <w:szCs w:val="21"/>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0.78</w:t>
            </w:r>
          </w:p>
        </w:tc>
        <w:tc>
          <w:tcPr>
            <w:tcW w:w="120" w:type="dxa"/>
            <w:vAlign w:val="bottom"/>
          </w:tcPr>
          <w:p>
            <w:pPr>
              <w:spacing w:after="0"/>
              <w:rPr>
                <w:sz w:val="21"/>
                <w:szCs w:val="21"/>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1.73</w:t>
            </w:r>
          </w:p>
        </w:tc>
        <w:tc>
          <w:tcPr>
            <w:tcW w:w="100" w:type="dxa"/>
            <w:vAlign w:val="bottom"/>
          </w:tcPr>
          <w:p>
            <w:pPr>
              <w:spacing w:after="0"/>
              <w:rPr>
                <w:sz w:val="21"/>
                <w:szCs w:val="21"/>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2.88</w:t>
            </w:r>
          </w:p>
        </w:tc>
      </w:tr>
      <w:tr>
        <w:trPr>
          <w:trHeight w:val="247"/>
        </w:trPr>
        <w:tc>
          <w:tcPr>
            <w:tcW w:w="20" w:type="dxa"/>
            <w:vAlign w:val="bottom"/>
            <w:shd w:val="clear" w:color="auto" w:fill="CCEEFF"/>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net income per common share</w:t>
            </w:r>
            <w:r>
              <w:rPr>
                <w:rFonts w:ascii="Times New Roman" w:cs="Times New Roman" w:eastAsia="Times New Roman" w:hAnsi="Times New Roman"/>
                <w:sz w:val="19"/>
                <w:szCs w:val="19"/>
                <w:color w:val="auto"/>
                <w:vertAlign w:val="superscript"/>
              </w:rPr>
              <w:t>(1)</w:t>
            </w: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0.77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2.85</w:t>
            </w:r>
          </w:p>
        </w:tc>
      </w:tr>
    </w:tbl>
    <w:p>
      <w:pPr>
        <w:spacing w:after="0" w:line="27" w:lineRule="exact"/>
        <w:rPr>
          <w:sz w:val="20"/>
          <w:szCs w:val="20"/>
          <w:color w:val="auto"/>
        </w:rPr>
      </w:pPr>
    </w:p>
    <w:p>
      <w:pPr>
        <w:ind w:left="441" w:hanging="441"/>
        <w:spacing w:after="0"/>
        <w:tabs>
          <w:tab w:leader="none" w:pos="441"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May not be additive to the net income per common share amounts for the fiscal year due to the calculation provision of ASC 260, </w:t>
      </w:r>
      <w:r>
        <w:rPr>
          <w:rFonts w:ascii="Times New Roman" w:cs="Times New Roman" w:eastAsia="Times New Roman" w:hAnsi="Times New Roman"/>
          <w:sz w:val="13"/>
          <w:szCs w:val="13"/>
          <w:i w:val="1"/>
          <w:iCs w:val="1"/>
          <w:color w:val="auto"/>
        </w:rPr>
        <w:t>Earnings Per Share</w:t>
      </w:r>
      <w:r>
        <w:rPr>
          <w:rFonts w:ascii="Times New Roman" w:cs="Times New Roman" w:eastAsia="Times New Roman" w:hAnsi="Times New Roman"/>
          <w:sz w:val="13"/>
          <w:szCs w:val="13"/>
          <w:color w:val="auto"/>
        </w:rPr>
        <w:t>.</w:t>
      </w:r>
    </w:p>
    <w:p>
      <w:pPr>
        <w:spacing w:after="0" w:line="74" w:lineRule="exact"/>
        <w:rPr>
          <w:rFonts w:ascii="Times New Roman" w:cs="Times New Roman" w:eastAsia="Times New Roman" w:hAnsi="Times New Roman"/>
          <w:sz w:val="13"/>
          <w:szCs w:val="13"/>
          <w:color w:val="auto"/>
        </w:rPr>
      </w:pPr>
    </w:p>
    <w:p>
      <w:pPr>
        <w:ind w:left="441" w:right="80" w:hanging="441"/>
        <w:spacing w:after="0" w:line="273" w:lineRule="auto"/>
        <w:tabs>
          <w:tab w:leader="none" w:pos="441"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 for income taxes recognized during the fourth quarter of fiscal 2017 reflects a benefit of $40.0 million related to the accounting for the December 22, 2017 enactment of tax law changes known as the U.S. Tax Cuts and Jobs Act of 2017.</w:t>
      </w:r>
    </w:p>
    <w:p>
      <w:pPr>
        <w:spacing w:after="0" w:line="1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NOTE 21 – GUARANTOR CONDENSED CONSOLIDATING FINANCIAL STATEMENTS</w:t>
      </w:r>
    </w:p>
    <w:p>
      <w:pPr>
        <w:spacing w:after="0" w:line="92" w:lineRule="exact"/>
        <w:rPr>
          <w:sz w:val="20"/>
          <w:szCs w:val="20"/>
          <w:color w:val="auto"/>
        </w:rPr>
      </w:pPr>
    </w:p>
    <w:p>
      <w:pPr>
        <w:ind w:left="1" w:right="20"/>
        <w:spacing w:after="0" w:line="277" w:lineRule="auto"/>
        <w:rPr>
          <w:sz w:val="20"/>
          <w:szCs w:val="20"/>
          <w:color w:val="auto"/>
        </w:rPr>
      </w:pPr>
      <w:r>
        <w:rPr>
          <w:rFonts w:ascii="Times New Roman" w:cs="Times New Roman" w:eastAsia="Times New Roman" w:hAnsi="Times New Roman"/>
          <w:sz w:val="16"/>
          <w:szCs w:val="16"/>
          <w:color w:val="auto"/>
        </w:rPr>
        <w:t>The Company’s senior notes constitute debt obligations of its wholly-owned subsidiary, The William Carter Company ("TWCC" or the "Subsidiary Issuer"), are unsecured and are fully and unconditionally guaranteed by Carter’s, Inc. (the "Parent"), by each of the Parent's current domestic subsidiaries (other than TWCC), and, subject to certain exceptions, future restricted subsidiaries that guarantee the Company’s amended revolving credit facility or certain other debt of the Company or the subsidiary guarantors.</w:t>
      </w:r>
    </w:p>
    <w:p>
      <w:pPr>
        <w:spacing w:after="0" w:line="191" w:lineRule="exact"/>
        <w:rPr>
          <w:sz w:val="20"/>
          <w:szCs w:val="20"/>
          <w:color w:val="auto"/>
        </w:rPr>
      </w:pPr>
    </w:p>
    <w:p>
      <w:pPr>
        <w:ind w:left="1" w:right="80"/>
        <w:spacing w:after="0" w:line="271" w:lineRule="auto"/>
        <w:rPr>
          <w:sz w:val="20"/>
          <w:szCs w:val="20"/>
          <w:color w:val="auto"/>
        </w:rPr>
      </w:pPr>
      <w:r>
        <w:rPr>
          <w:rFonts w:ascii="Times New Roman" w:cs="Times New Roman" w:eastAsia="Times New Roman" w:hAnsi="Times New Roman"/>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95" w:lineRule="exact"/>
        <w:rPr>
          <w:sz w:val="20"/>
          <w:szCs w:val="20"/>
          <w:color w:val="auto"/>
        </w:rPr>
      </w:pPr>
    </w:p>
    <w:p>
      <w:pPr>
        <w:ind w:left="1" w:right="80"/>
        <w:spacing w:after="0" w:line="271" w:lineRule="auto"/>
        <w:rPr>
          <w:sz w:val="20"/>
          <w:szCs w:val="20"/>
          <w:color w:val="auto"/>
        </w:rPr>
      </w:pPr>
      <w:r>
        <w:rPr>
          <w:rFonts w:ascii="Times New Roman" w:cs="Times New Roman" w:eastAsia="Times New Roman" w:hAnsi="Times New Roman"/>
          <w:sz w:val="16"/>
          <w:szCs w:val="16"/>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1421"/>
          </w:cols>
          <w:pgMar w:left="239" w:top="543" w:right="239" w:bottom="1440" w:gutter="0" w:footer="0" w:header="0"/>
        </w:sectPr>
      </w:pPr>
    </w:p>
    <w:bookmarkStart w:id="90" w:name="page91"/>
    <w:bookmarkEnd w:id="90"/>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0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of December 29,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Subsidiary Issuer</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7"/>
                <w:szCs w:val="17"/>
                <w:color w:val="auto"/>
              </w:rPr>
            </w:pP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118,600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14,735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36,742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170,077</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203,546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38,753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15,960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258,259</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89,201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156,965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70,684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(316,850)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Finished goods inventories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329,989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199,091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63,811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574,226</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99"/>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23,987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40,396</w:t>
            </w:r>
          </w:p>
        </w:tc>
        <w:tc>
          <w:tcPr>
            <w:tcW w:w="0" w:type="dxa"/>
            <w:vAlign w:val="bottom"/>
          </w:tcPr>
          <w:p>
            <w:pPr>
              <w:spacing w:after="0"/>
              <w:rPr>
                <w:sz w:val="1"/>
                <w:szCs w:val="1"/>
                <w:color w:val="auto"/>
              </w:rPr>
            </w:pPr>
          </w:p>
        </w:tc>
      </w:tr>
      <w:tr>
        <w:trPr>
          <w:trHeight w:val="197"/>
        </w:trPr>
        <w:tc>
          <w:tcPr>
            <w:tcW w:w="2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749,819</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433,531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195,123</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(335,515)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1,042,958</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133,765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180,914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35,758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350,437</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136,570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45,368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45,163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227,101</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Tradenames, net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223,073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142,619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365,692</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relationships, net</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41,820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2,691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44,511</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24,399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2,439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28,159</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Intercompany long-term receivable</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541,629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long-term note 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in subsidiaries</w:t>
            </w:r>
          </w:p>
        </w:tc>
        <w:tc>
          <w:tcPr>
            <w:tcW w:w="28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869,433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1,173,415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303,368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(2,346,216)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869,433</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2,541,041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1,690,570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281,174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(3,323,360)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2,058,858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137,524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44,066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17,486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199,076</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Intercompany Liabilities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220,033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93,790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(316,850)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35,311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78,595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128,345</w:t>
            </w:r>
          </w:p>
        </w:tc>
        <w:tc>
          <w:tcPr>
            <w:tcW w:w="0" w:type="dxa"/>
            <w:vAlign w:val="bottom"/>
          </w:tcPr>
          <w:p>
            <w:pPr>
              <w:spacing w:after="0"/>
              <w:rPr>
                <w:sz w:val="1"/>
                <w:szCs w:val="1"/>
                <w:color w:val="auto"/>
              </w:rPr>
            </w:pPr>
          </w:p>
        </w:tc>
      </w:tr>
      <w:tr>
        <w:trPr>
          <w:trHeight w:val="197"/>
        </w:trPr>
        <w:tc>
          <w:tcPr>
            <w:tcW w:w="2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392,868</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216,451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34,952</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(316,850)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327,421</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 net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593,264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593,264</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46,640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40,327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87,347</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long-term liability</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541,629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(541,629)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Intercompany long-term note payable</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78,542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91,218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11,633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181,393</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8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869,433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888,098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1,242,574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234,209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(2,364,881)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869,433</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liabilities and stockholders'</w:t>
            </w:r>
          </w:p>
        </w:tc>
        <w:tc>
          <w:tcPr>
            <w:tcW w:w="28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869,433</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2,541,041</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1,690,570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281,174</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(3,323,360)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2,058,858</w:t>
            </w: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equity</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1420"/>
          </w:cols>
          <w:pgMar w:left="240" w:top="119" w:right="239" w:bottom="1440" w:gutter="0" w:footer="0" w:header="0"/>
        </w:sectPr>
      </w:pPr>
    </w:p>
    <w:bookmarkStart w:id="91" w:name="page92"/>
    <w:bookmarkEnd w:id="91"/>
    <w:p>
      <w:pPr>
        <w:ind w:left="40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of December 30,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00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30"/>
        </w:trPr>
        <w:tc>
          <w:tcPr>
            <w:tcW w:w="1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129,463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178,494</w:t>
            </w:r>
          </w:p>
        </w:tc>
        <w:tc>
          <w:tcPr>
            <w:tcW w:w="0" w:type="dxa"/>
            <w:vAlign w:val="bottom"/>
          </w:tcPr>
          <w:p>
            <w:pPr>
              <w:spacing w:after="0"/>
              <w:rPr>
                <w:sz w:val="1"/>
                <w:szCs w:val="1"/>
                <w:color w:val="auto"/>
              </w:rPr>
            </w:pPr>
          </w:p>
        </w:tc>
      </w:tr>
      <w:tr>
        <w:trPr>
          <w:trHeight w:val="217"/>
        </w:trPr>
        <w:tc>
          <w:tcPr>
            <w:tcW w:w="1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240,561</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receivable</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87,702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162,007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58,980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(308,689)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7"/>
        </w:trPr>
        <w:tc>
          <w:tcPr>
            <w:tcW w:w="1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Finished goods inventories</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296,065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206,556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548,722</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52,935</w:t>
            </w:r>
          </w:p>
        </w:tc>
        <w:tc>
          <w:tcPr>
            <w:tcW w:w="0" w:type="dxa"/>
            <w:vAlign w:val="bottom"/>
          </w:tcPr>
          <w:p>
            <w:pPr>
              <w:spacing w:after="0"/>
              <w:rPr>
                <w:sz w:val="1"/>
                <w:szCs w:val="1"/>
                <w:color w:val="auto"/>
              </w:rPr>
            </w:pPr>
          </w:p>
        </w:tc>
      </w:tr>
      <w:tr>
        <w:trPr>
          <w:trHeight w:val="197"/>
        </w:trPr>
        <w:tc>
          <w:tcPr>
            <w:tcW w:w="1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713,186</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440,233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196,450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(329,157)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1,020,712</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equipment, net</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147,858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377,924</w:t>
            </w:r>
          </w:p>
        </w:tc>
        <w:tc>
          <w:tcPr>
            <w:tcW w:w="0" w:type="dxa"/>
            <w:vAlign w:val="bottom"/>
          </w:tcPr>
          <w:p>
            <w:pPr>
              <w:spacing w:after="0"/>
              <w:rPr>
                <w:sz w:val="1"/>
                <w:szCs w:val="1"/>
                <w:color w:val="auto"/>
              </w:rPr>
            </w:pPr>
          </w:p>
        </w:tc>
      </w:tr>
      <w:tr>
        <w:trPr>
          <w:trHeight w:val="217"/>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136,570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230,424</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Tradenames, net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223,251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365,551</w:t>
            </w:r>
          </w:p>
        </w:tc>
        <w:tc>
          <w:tcPr>
            <w:tcW w:w="0" w:type="dxa"/>
            <w:vAlign w:val="bottom"/>
          </w:tcPr>
          <w:p>
            <w:pPr>
              <w:spacing w:after="0"/>
              <w:rPr>
                <w:sz w:val="1"/>
                <w:szCs w:val="1"/>
                <w:color w:val="auto"/>
              </w:rPr>
            </w:pPr>
          </w:p>
        </w:tc>
      </w:tr>
      <w:tr>
        <w:trPr>
          <w:trHeight w:val="217"/>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relationships, net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47,996</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28,435</w:t>
            </w:r>
          </w:p>
        </w:tc>
        <w:tc>
          <w:tcPr>
            <w:tcW w:w="0" w:type="dxa"/>
            <w:vAlign w:val="bottom"/>
          </w:tcPr>
          <w:p>
            <w:pPr>
              <w:spacing w:after="0"/>
              <w:rPr>
                <w:sz w:val="1"/>
                <w:szCs w:val="1"/>
                <w:color w:val="auto"/>
              </w:rPr>
            </w:pPr>
          </w:p>
        </w:tc>
      </w:tr>
      <w:tr>
        <w:trPr>
          <w:trHeight w:val="198"/>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Intercompany long-term</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receivable</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441,294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(441,294)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long-term note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receivable</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7"/>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in subsidiaries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857,416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1,053,224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(2,142,634)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1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857,416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2,397,973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1,538,088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290,650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(3,013,085)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2,071,042</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115,658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17,143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182,114</w:t>
            </w:r>
          </w:p>
        </w:tc>
        <w:tc>
          <w:tcPr>
            <w:tcW w:w="0" w:type="dxa"/>
            <w:vAlign w:val="bottom"/>
          </w:tcPr>
          <w:p>
            <w:pPr>
              <w:spacing w:after="0"/>
              <w:rPr>
                <w:sz w:val="1"/>
                <w:szCs w:val="1"/>
                <w:color w:val="auto"/>
              </w:rPr>
            </w:pPr>
          </w:p>
        </w:tc>
      </w:tr>
      <w:tr>
        <w:trPr>
          <w:trHeight w:val="217"/>
        </w:trPr>
        <w:tc>
          <w:tcPr>
            <w:tcW w:w="1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Intercompany payables</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215,573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(308,689)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122,989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149,134</w:t>
            </w:r>
          </w:p>
        </w:tc>
        <w:tc>
          <w:tcPr>
            <w:tcW w:w="0" w:type="dxa"/>
            <w:vAlign w:val="bottom"/>
          </w:tcPr>
          <w:p>
            <w:pPr>
              <w:spacing w:after="0"/>
              <w:rPr>
                <w:sz w:val="1"/>
                <w:szCs w:val="1"/>
                <w:color w:val="auto"/>
              </w:rPr>
            </w:pPr>
          </w:p>
        </w:tc>
      </w:tr>
      <w:tr>
        <w:trPr>
          <w:trHeight w:val="197"/>
        </w:trPr>
        <w:tc>
          <w:tcPr>
            <w:tcW w:w="1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343,036</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263,999</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32,902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(308,689)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331,248</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1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617,306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617,306</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37,647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84,944</w:t>
            </w:r>
          </w:p>
        </w:tc>
        <w:tc>
          <w:tcPr>
            <w:tcW w:w="0" w:type="dxa"/>
            <w:vAlign w:val="bottom"/>
          </w:tcPr>
          <w:p>
            <w:pPr>
              <w:spacing w:after="0"/>
              <w:rPr>
                <w:sz w:val="1"/>
                <w:szCs w:val="1"/>
                <w:color w:val="auto"/>
              </w:rPr>
            </w:pPr>
          </w:p>
        </w:tc>
      </w:tr>
      <w:tr>
        <w:trPr>
          <w:trHeight w:val="198"/>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Intercompany long-term</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liability</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441,294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(441,294)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long-term note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payable</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7"/>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180,128</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857,416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877,884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1,043,872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241,346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(2,163,102)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857,416</w:t>
            </w:r>
          </w:p>
        </w:tc>
        <w:tc>
          <w:tcPr>
            <w:tcW w:w="0" w:type="dxa"/>
            <w:vAlign w:val="bottom"/>
          </w:tcPr>
          <w:p>
            <w:pPr>
              <w:spacing w:after="0"/>
              <w:rPr>
                <w:sz w:val="1"/>
                <w:szCs w:val="1"/>
                <w:color w:val="auto"/>
              </w:rPr>
            </w:pPr>
          </w:p>
        </w:tc>
      </w:tr>
      <w:tr>
        <w:trPr>
          <w:trHeight w:val="178"/>
        </w:trPr>
        <w:tc>
          <w:tcPr>
            <w:tcW w:w="19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Total liabilities and</w:t>
            </w:r>
          </w:p>
        </w:tc>
        <w:tc>
          <w:tcPr>
            <w:tcW w:w="20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857,416</w:t>
            </w:r>
          </w:p>
        </w:tc>
        <w:tc>
          <w:tcPr>
            <w:tcW w:w="8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2,397,973</w:t>
            </w:r>
          </w:p>
        </w:tc>
        <w:tc>
          <w:tcPr>
            <w:tcW w:w="8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1,538,088</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290,650</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(3,013,085)</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2,071,042</w:t>
            </w:r>
          </w:p>
        </w:tc>
        <w:tc>
          <w:tcPr>
            <w:tcW w:w="0" w:type="dxa"/>
            <w:vAlign w:val="bottom"/>
          </w:tcPr>
          <w:p>
            <w:pPr>
              <w:spacing w:after="0"/>
              <w:rPr>
                <w:sz w:val="1"/>
                <w:szCs w:val="1"/>
                <w:color w:val="auto"/>
              </w:rPr>
            </w:pPr>
          </w:p>
        </w:tc>
      </w:tr>
      <w:tr>
        <w:trPr>
          <w:trHeight w:val="207"/>
        </w:trPr>
        <w:tc>
          <w:tcPr>
            <w:tcW w:w="19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stockholders' equity</w:t>
            </w:r>
          </w:p>
        </w:tc>
        <w:tc>
          <w:tcPr>
            <w:tcW w:w="2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9019"/>
          </w:cols>
          <w:pgMar w:left="1440" w:top="119" w:right="1440" w:bottom="1440" w:gutter="0" w:footer="0" w:header="0"/>
        </w:sectPr>
      </w:pPr>
    </w:p>
    <w:bookmarkStart w:id="92" w:name="page93"/>
    <w:bookmarkEnd w:id="92"/>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Condensed Consolidating Statements of Operations</w:t>
      </w:r>
    </w:p>
    <w:p>
      <w:pPr>
        <w:spacing w:after="0" w:line="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For the fiscal year ended December 29, 2018</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Non-</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Consolidating</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0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1,936,576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9"/>
              </w:rPr>
              <w:t>2,039,889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431,745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(945,941)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3,462,269</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1,458,934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99"/>
              </w:rPr>
              <w:t>1,217,110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213,462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1,964,786</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477,642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822,779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218,283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1,497,483</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Royalty income, net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18,652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38,930</w:t>
            </w:r>
          </w:p>
        </w:tc>
      </w:tr>
      <w:tr>
        <w:trPr>
          <w:trHeight w:val="30"/>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856,665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132,951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1,144,980</w:t>
            </w:r>
          </w:p>
        </w:tc>
      </w:tr>
      <w:tr>
        <w:trPr>
          <w:trHeight w:val="19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319,532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(15,234)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85,332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1,803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391,433</w:t>
            </w:r>
          </w:p>
        </w:tc>
      </w:tr>
      <w:tr>
        <w:trPr>
          <w:trHeight w:val="30"/>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5,310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34,569</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5,308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r>
      <w:tr>
        <w:trPr>
          <w:trHeight w:val="30"/>
        </w:trPr>
        <w:tc>
          <w:tcPr>
            <w:tcW w:w="59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loss in subsidiaries</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(282,068)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392,267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expense (income), net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1,416</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4"/>
              </w:rPr>
              <w:t>282,068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328,371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51,318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84,682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(390,464)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355,975</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73,907</w:t>
            </w:r>
          </w:p>
        </w:tc>
      </w:tr>
      <w:tr>
        <w:trPr>
          <w:trHeight w:val="30"/>
        </w:trPr>
        <w:tc>
          <w:tcPr>
            <w:tcW w:w="5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660" w:type="dxa"/>
            <w:vAlign w:val="bottom"/>
            <w:tcBorders>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9"/>
              </w:rPr>
              <w:t>$282,068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280,265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38,528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71,671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(390,464)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282,068</w:t>
            </w: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For the fiscal year ended December 30, 2017</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Consolidating</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0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1,922,930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1,955,703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372,314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(850,443)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3,400,504</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1,406,517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1,143,867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196,391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1,917,150</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516,413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811,836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175,923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1,483,354</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Royalty income, net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19,725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43,181</w:t>
            </w:r>
          </w:p>
        </w:tc>
      </w:tr>
      <w:tr>
        <w:trPr>
          <w:trHeight w:val="30"/>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837,252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1,106,928</w:t>
            </w:r>
          </w:p>
        </w:tc>
      </w:tr>
      <w:tr>
        <w:trPr>
          <w:trHeight w:val="19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370,100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49,866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5,332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419,607</w:t>
            </w:r>
          </w:p>
        </w:tc>
      </w:tr>
      <w:tr>
        <w:trPr>
          <w:trHeight w:val="30"/>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5,498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30,044</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w:t>
            </w:r>
          </w:p>
        </w:tc>
      </w:tr>
      <w:tr>
        <w:trPr>
          <w:trHeight w:val="30"/>
        </w:trPr>
        <w:tc>
          <w:tcPr>
            <w:tcW w:w="59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loss in subsidiaries</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(302,848)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367,222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(1,164)</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4"/>
              </w:rPr>
              <w:t>302,848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372,419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26,478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51,217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(361,890)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391,072</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1,052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88,224</w:t>
            </w:r>
          </w:p>
        </w:tc>
      </w:tr>
      <w:tr>
        <w:trPr>
          <w:trHeight w:val="30"/>
        </w:trPr>
        <w:tc>
          <w:tcPr>
            <w:tcW w:w="5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660" w:type="dxa"/>
            <w:vAlign w:val="bottom"/>
            <w:tcBorders>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9"/>
              </w:rPr>
              <w:t>$302,848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297,516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25,426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(361,890)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302,848</w:t>
            </w: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1520"/>
          </w:cols>
          <w:pgMar w:left="240" w:top="119" w:right="139" w:bottom="1440" w:gutter="0" w:footer="0" w:header="0"/>
        </w:sectPr>
      </w:pPr>
    </w:p>
    <w:bookmarkStart w:id="93" w:name="page94"/>
    <w:bookmarkEnd w:id="93"/>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0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Consolidating</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0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1,881,918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1,762,252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300,523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(746,150)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3,198,543</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1,358,209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1,033,403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155,560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1,820,024</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523,709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728,849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144,963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1,378,519</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Royalty income, net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42,815</w:t>
            </w:r>
          </w:p>
        </w:tc>
      </w:tr>
      <w:tr>
        <w:trPr>
          <w:trHeight w:val="30"/>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753,874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995,406</w:t>
            </w:r>
          </w:p>
        </w:tc>
      </w:tr>
      <w:tr>
        <w:trPr>
          <w:trHeight w:val="19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378,832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43,469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8,992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425,928</w:t>
            </w:r>
          </w:p>
        </w:tc>
      </w:tr>
      <w:tr>
        <w:trPr>
          <w:trHeight w:val="30"/>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5,435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27,044</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w:t>
            </w:r>
          </w:p>
        </w:tc>
      </w:tr>
      <w:tr>
        <w:trPr>
          <w:trHeight w:val="30"/>
        </w:trPr>
        <w:tc>
          <w:tcPr>
            <w:tcW w:w="59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loss in subsidiaries</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(257,709)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282,209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4,007</w:t>
            </w:r>
          </w:p>
        </w:tc>
      </w:tr>
      <w:tr>
        <w:trPr>
          <w:trHeight w:val="30"/>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4"/>
              </w:rPr>
              <w:t>257,709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353,687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18,026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39,235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(273,217)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395,440</w:t>
            </w:r>
          </w:p>
        </w:tc>
      </w:tr>
      <w:tr>
        <w:trPr>
          <w:trHeight w:val="217"/>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22,834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137,731</w:t>
            </w:r>
          </w:p>
        </w:tc>
      </w:tr>
      <w:tr>
        <w:trPr>
          <w:trHeight w:val="30"/>
        </w:trPr>
        <w:tc>
          <w:tcPr>
            <w:tcW w:w="5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660" w:type="dxa"/>
            <w:vAlign w:val="bottom"/>
            <w:tcBorders>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9"/>
              </w:rPr>
              <w:t>$257,709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248,717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(273,217)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257,709</w:t>
            </w: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1420"/>
          </w:cols>
          <w:pgMar w:left="240" w:top="119" w:right="239" w:bottom="1440" w:gutter="0" w:footer="0" w:header="0"/>
        </w:sectPr>
      </w:pPr>
    </w:p>
    <w:bookmarkStart w:id="94" w:name="page95"/>
    <w:bookmarkEnd w:id="94"/>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0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Comprehensive Income (Loss)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29,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306" w:lineRule="exact"/>
        <w:rPr>
          <w:sz w:val="20"/>
          <w:szCs w:val="20"/>
          <w:color w:val="auto"/>
        </w:rPr>
      </w:pPr>
    </w:p>
    <w:tbl>
      <w:tblPr>
        <w:tblLayout w:type="fixed"/>
        <w:tblInd w:w="150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Subsidiary</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Consolidating</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6"/>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Issuer</w:t>
            </w: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0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04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1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7"/>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282,068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280,265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38,528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71,671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(390,464)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282,068</w:t>
            </w:r>
          </w:p>
        </w:tc>
      </w:tr>
      <w:tr>
        <w:trPr>
          <w:trHeight w:val="198"/>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Post-retirement benefit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2"/>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plans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30"/>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2"/>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35,037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(11,679)</w:t>
            </w:r>
          </w:p>
        </w:tc>
      </w:tr>
      <w:tr>
        <w:trPr>
          <w:trHeight w:val="219"/>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270,322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268,519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26,567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59,992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(355,078)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270,322</w:t>
            </w:r>
          </w:p>
        </w:tc>
      </w:tr>
      <w:tr>
        <w:trPr>
          <w:trHeight w:val="20"/>
        </w:trPr>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30,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Subsidiary Issuer</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7"/>
                <w:szCs w:val="17"/>
                <w:color w:val="auto"/>
              </w:rPr>
            </w:pP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302,848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297,516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25,426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38,948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(361,890)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302,848</w:t>
            </w: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Post-retirement benefit plans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w:t>
            </w: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6,339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6,339</w:t>
            </w:r>
          </w:p>
        </w:tc>
      </w:tr>
      <w:tr>
        <w:trPr>
          <w:trHeight w:val="219"/>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308,495</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303,163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31,335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45,287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(379,785)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308,495</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Subsidiary Issuer</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7"/>
                <w:szCs w:val="17"/>
                <w:color w:val="auto"/>
              </w:rPr>
            </w:pP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257,709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248,717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29,308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(273,217)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257,709</w:t>
            </w:r>
          </w:p>
        </w:tc>
      </w:tr>
      <w:tr>
        <w:trPr>
          <w:trHeight w:val="21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Post-retirement benefit plans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1,962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1,962</w:t>
            </w:r>
          </w:p>
        </w:tc>
      </w:tr>
      <w:tr>
        <w:trPr>
          <w:trHeight w:val="219"/>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259,336</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250,344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31,270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(278,102)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259,336</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1420"/>
          </w:cols>
          <w:pgMar w:left="240" w:top="119" w:right="239" w:bottom="1440" w:gutter="0" w:footer="0" w:header="0"/>
        </w:sectPr>
      </w:pPr>
    </w:p>
    <w:bookmarkStart w:id="95" w:name="page96"/>
    <w:bookmarkEnd w:id="95"/>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29, 2018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Subsidiary Issuer</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7"/>
                <w:szCs w:val="17"/>
                <w:color w:val="auto"/>
              </w:rPr>
            </w:pP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provided by operating</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activities:</w:t>
            </w:r>
          </w:p>
        </w:tc>
        <w:tc>
          <w:tcPr>
            <w:tcW w:w="2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202,214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60,391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93,593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356,198</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(63,783)</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Acquisitions of businesses, net of cash</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acquired</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Intercompany investing activity</w:t>
            </w:r>
          </w:p>
        </w:tc>
        <w:tc>
          <w:tcPr>
            <w:tcW w:w="28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272,978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1,558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(276,745)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Disposals and recoveries from property,</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plant, and equipment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380</w:t>
            </w:r>
          </w:p>
        </w:tc>
        <w:tc>
          <w:tcPr>
            <w:tcW w:w="0" w:type="dxa"/>
            <w:vAlign w:val="bottom"/>
          </w:tcPr>
          <w:p>
            <w:pPr>
              <w:spacing w:after="0"/>
              <w:rPr>
                <w:sz w:val="1"/>
                <w:szCs w:val="1"/>
                <w:color w:val="auto"/>
              </w:rPr>
            </w:pPr>
          </w:p>
        </w:tc>
      </w:tr>
      <w:tr>
        <w:trPr>
          <w:trHeight w:val="178"/>
        </w:trPr>
        <w:tc>
          <w:tcPr>
            <w:tcW w:w="26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Net cash provided by (used in)</w:t>
            </w: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investing activities</w:t>
            </w:r>
          </w:p>
        </w:tc>
        <w:tc>
          <w:tcPr>
            <w:tcW w:w="2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272,978</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(18,404)</w:t>
            </w:r>
          </w:p>
        </w:tc>
        <w:tc>
          <w:tcPr>
            <w:tcW w:w="12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(36,263)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(276,745)</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(63,307)</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2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financing activity</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(168,705)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276,745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Borrowings under secured revolving</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credit facility</w:t>
            </w:r>
          </w:p>
        </w:tc>
        <w:tc>
          <w:tcPr>
            <w:tcW w:w="2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290,000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290,000</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on secured revolving credit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facility</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(315,000)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(315,000)</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 paid</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(83,717)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78,522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(78,522)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(83,717)</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(193,028)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(193,028)</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Withholdings from vesting of restricted</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(6,830)</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exercises of stock options</w:t>
            </w:r>
          </w:p>
        </w:tc>
        <w:tc>
          <w:tcPr>
            <w:tcW w:w="28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10,597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10,597</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Net cash (used in) provided by</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(272,978)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(194,673)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276,745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(298,946)</w:t>
            </w:r>
          </w:p>
        </w:tc>
        <w:tc>
          <w:tcPr>
            <w:tcW w:w="0" w:type="dxa"/>
            <w:vAlign w:val="bottom"/>
          </w:tcPr>
          <w:p>
            <w:pPr>
              <w:spacing w:after="0"/>
              <w:rPr>
                <w:sz w:val="1"/>
                <w:szCs w:val="1"/>
                <w:color w:val="auto"/>
              </w:rPr>
            </w:pPr>
          </w:p>
        </w:tc>
      </w:tr>
      <w:tr>
        <w:trPr>
          <w:trHeight w:val="19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(2,362)</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(2,362)</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4,705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(8,417)</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w:t>
            </w:r>
          </w:p>
        </w:tc>
        <w:tc>
          <w:tcPr>
            <w:tcW w:w="2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129,463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10,030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39,001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178,494</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fiscal</w:t>
            </w:r>
          </w:p>
        </w:tc>
        <w:tc>
          <w:tcPr>
            <w:tcW w:w="28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118,600</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14,735</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36,742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170,077</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year</w:t>
            </w:r>
          </w:p>
        </w:tc>
        <w:tc>
          <w:tcPr>
            <w:tcW w:w="280" w:type="dxa"/>
            <w:vAlign w:val="bottom"/>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1420"/>
          </w:cols>
          <w:pgMar w:left="240" w:top="119" w:right="239" w:bottom="1440" w:gutter="0" w:footer="0" w:header="0"/>
        </w:sectPr>
      </w:pPr>
    </w:p>
    <w:bookmarkStart w:id="96" w:name="page97"/>
    <w:bookmarkEnd w:id="96"/>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3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For the fiscal year ended December 30, 2017</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Subsidiary Issuer</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7"/>
                <w:szCs w:val="17"/>
                <w:color w:val="auto"/>
              </w:rPr>
            </w:pP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provided by operating</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activities:</w:t>
            </w:r>
          </w:p>
        </w:tc>
        <w:tc>
          <w:tcPr>
            <w:tcW w:w="2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167,000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118,814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43,807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329,621</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(69,473)</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Acquisitions of businesses, net of cash</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acquired</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(143,270)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746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(15,933)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(158,457)</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Intercompany investing activity</w:t>
            </w:r>
          </w:p>
        </w:tc>
        <w:tc>
          <w:tcPr>
            <w:tcW w:w="28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256,991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27,397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(259,676)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Disposals and recoveries from property,</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plant, and equipment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78"/>
        </w:trPr>
        <w:tc>
          <w:tcPr>
            <w:tcW w:w="26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Net cash provided by (used in)</w:t>
            </w: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investing activities</w:t>
            </w:r>
          </w:p>
        </w:tc>
        <w:tc>
          <w:tcPr>
            <w:tcW w:w="2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256,991</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(190,566)</w:t>
            </w:r>
          </w:p>
        </w:tc>
        <w:tc>
          <w:tcPr>
            <w:tcW w:w="12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2,580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(259,676)</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(227,915)</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2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financing activity</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(128,908)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259,676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Borrowings under secured revolving</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credit facility</w:t>
            </w:r>
          </w:p>
        </w:tc>
        <w:tc>
          <w:tcPr>
            <w:tcW w:w="2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200,000</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on secured revolving credit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facility</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(163,965)</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 paid</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(70,914)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(70,914)</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(188,762)</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Withholdings from vesting of restricted</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(5,753)</w:t>
            </w:r>
          </w:p>
        </w:tc>
        <w:tc>
          <w:tcPr>
            <w:tcW w:w="0" w:type="dxa"/>
            <w:vAlign w:val="bottom"/>
          </w:tcPr>
          <w:p>
            <w:pPr>
              <w:spacing w:after="0"/>
              <w:rPr>
                <w:sz w:val="1"/>
                <w:szCs w:val="1"/>
                <w:color w:val="auto"/>
              </w:rPr>
            </w:pPr>
          </w:p>
        </w:tc>
      </w:tr>
      <w:tr>
        <w:trPr>
          <w:trHeight w:val="217"/>
        </w:trPr>
        <w:tc>
          <w:tcPr>
            <w:tcW w:w="2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exercises of stock options</w:t>
            </w:r>
          </w:p>
        </w:tc>
        <w:tc>
          <w:tcPr>
            <w:tcW w:w="28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8,438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8,438</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Net cash (used in) provided by</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(256,991)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259,676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(223,075)</w:t>
            </w:r>
          </w:p>
        </w:tc>
        <w:tc>
          <w:tcPr>
            <w:tcW w:w="0" w:type="dxa"/>
            <w:vAlign w:val="bottom"/>
          </w:tcPr>
          <w:p>
            <w:pPr>
              <w:spacing w:after="0"/>
              <w:rPr>
                <w:sz w:val="1"/>
                <w:szCs w:val="1"/>
                <w:color w:val="auto"/>
              </w:rPr>
            </w:pPr>
          </w:p>
        </w:tc>
      </w:tr>
      <w:tr>
        <w:trPr>
          <w:trHeight w:val="197"/>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505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505</w:t>
            </w:r>
          </w:p>
        </w:tc>
        <w:tc>
          <w:tcPr>
            <w:tcW w:w="0" w:type="dxa"/>
            <w:vAlign w:val="bottom"/>
          </w:tcPr>
          <w:p>
            <w:pPr>
              <w:spacing w:after="0"/>
              <w:rPr>
                <w:sz w:val="1"/>
                <w:szCs w:val="1"/>
                <w:color w:val="auto"/>
              </w:rPr>
            </w:pPr>
          </w:p>
        </w:tc>
      </w:tr>
      <w:tr>
        <w:trPr>
          <w:trHeight w:val="30"/>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(99,593)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(19,484)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(120,864)</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w:t>
            </w:r>
          </w:p>
        </w:tc>
        <w:tc>
          <w:tcPr>
            <w:tcW w:w="28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229,056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11,817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58,485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299,358</w:t>
            </w:r>
          </w:p>
        </w:tc>
        <w:tc>
          <w:tcPr>
            <w:tcW w:w="0" w:type="dxa"/>
            <w:vAlign w:val="bottom"/>
          </w:tcPr>
          <w:p>
            <w:pPr>
              <w:spacing w:after="0"/>
              <w:rPr>
                <w:sz w:val="1"/>
                <w:szCs w:val="1"/>
                <w:color w:val="auto"/>
              </w:rPr>
            </w:pPr>
          </w:p>
        </w:tc>
      </w:tr>
      <w:tr>
        <w:trPr>
          <w:trHeight w:val="30"/>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fiscal</w:t>
            </w:r>
          </w:p>
        </w:tc>
        <w:tc>
          <w:tcPr>
            <w:tcW w:w="28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129,463</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10,030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39,001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178,494</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year</w:t>
            </w:r>
          </w:p>
        </w:tc>
        <w:tc>
          <w:tcPr>
            <w:tcW w:w="280" w:type="dxa"/>
            <w:vAlign w:val="bottom"/>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1420"/>
          </w:cols>
          <w:pgMar w:left="240" w:top="119" w:right="239" w:bottom="1440" w:gutter="0" w:footer="0" w:header="0"/>
        </w:sectPr>
      </w:pPr>
    </w:p>
    <w:bookmarkStart w:id="97" w:name="page98"/>
    <w:bookmarkEnd w:id="97"/>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5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2016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Consolidating</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Parent</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Subsidiary Issuer</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7"/>
                <w:szCs w:val="17"/>
                <w:color w:val="auto"/>
              </w:rPr>
            </w:pP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30"/>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provided by operating activities:</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206,841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127,018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35,370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369,229</w:t>
            </w:r>
          </w:p>
        </w:tc>
      </w:tr>
      <w:tr>
        <w:trPr>
          <w:trHeight w:val="141"/>
        </w:trPr>
        <w:tc>
          <w:tcPr>
            <w:tcW w:w="3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2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7"/>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(88,556)</w:t>
            </w:r>
          </w:p>
        </w:tc>
      </w:tr>
      <w:tr>
        <w:trPr>
          <w:trHeight w:val="30"/>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7"/>
        </w:trPr>
        <w:tc>
          <w:tcPr>
            <w:tcW w:w="3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Intercompany investing activity</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368,307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480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(366,800)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Disposals and recoveries from property, plant, and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2"/>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equipment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216</w:t>
            </w:r>
          </w:p>
        </w:tc>
      </w:tr>
      <w:tr>
        <w:trPr>
          <w:trHeight w:val="30"/>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8"/>
        </w:trPr>
        <w:tc>
          <w:tcPr>
            <w:tcW w:w="3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Net cash provided by (used in) investing</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2"/>
        </w:trPr>
        <w:tc>
          <w:tcPr>
            <w:tcW w:w="3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activities</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368,307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(366,800)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(88,340)</w:t>
            </w:r>
          </w:p>
        </w:tc>
      </w:tr>
      <w:tr>
        <w:trPr>
          <w:trHeight w:val="141"/>
        </w:trPr>
        <w:tc>
          <w:tcPr>
            <w:tcW w:w="3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2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7"/>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Intercompany financing activity</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(283,907)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366,800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7"/>
        </w:trPr>
        <w:tc>
          <w:tcPr>
            <w:tcW w:w="3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 paid</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(66,355)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(66,355)</w:t>
            </w:r>
          </w:p>
        </w:tc>
      </w:tr>
      <w:tr>
        <w:trPr>
          <w:trHeight w:val="217"/>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(300,445)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(300,445)</w:t>
            </w:r>
          </w:p>
        </w:tc>
      </w:tr>
      <w:tr>
        <w:trPr>
          <w:trHeight w:val="30"/>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7"/>
        </w:trPr>
        <w:tc>
          <w:tcPr>
            <w:tcW w:w="3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99"/>
              </w:rPr>
              <w:t>Income tax benefit from stock-based 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2,782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2,018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4,800</w:t>
            </w:r>
          </w:p>
        </w:tc>
      </w:tr>
      <w:tr>
        <w:trPr>
          <w:trHeight w:val="217"/>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(8,673)</w:t>
            </w:r>
          </w:p>
        </w:tc>
      </w:tr>
      <w:tr>
        <w:trPr>
          <w:trHeight w:val="30"/>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3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exercises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7,166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7,166</w:t>
            </w:r>
          </w:p>
        </w:tc>
      </w:tr>
      <w:tr>
        <w:trPr>
          <w:trHeight w:val="178"/>
        </w:trPr>
        <w:tc>
          <w:tcPr>
            <w:tcW w:w="3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Net cash (used in) provided by financing</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92"/>
        </w:trPr>
        <w:tc>
          <w:tcPr>
            <w:tcW w:w="3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activities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(368,307)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(281,125)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366,800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(363,507)</w:t>
            </w:r>
          </w:p>
        </w:tc>
      </w:tr>
      <w:tr>
        <w:trPr>
          <w:trHeight w:val="30"/>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767</w:t>
            </w:r>
          </w:p>
        </w:tc>
      </w:tr>
      <w:tr>
        <w:trPr>
          <w:trHeight w:val="217"/>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17,699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(81,851)</w:t>
            </w:r>
          </w:p>
        </w:tc>
      </w:tr>
      <w:tr>
        <w:trPr>
          <w:trHeight w:val="30"/>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fiscal year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325,771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14,652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381,209</w:t>
            </w:r>
          </w:p>
        </w:tc>
      </w:tr>
      <w:tr>
        <w:trPr>
          <w:trHeight w:val="197"/>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fiscal year</w:t>
            </w:r>
          </w:p>
        </w:tc>
        <w:tc>
          <w:tcPr>
            <w:tcW w:w="2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229,056</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11,817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58,485</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299,358</w:t>
            </w:r>
          </w:p>
        </w:tc>
      </w:tr>
      <w:tr>
        <w:trPr>
          <w:trHeight w:val="30"/>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1420"/>
          </w:cols>
          <w:pgMar w:left="240" w:top="119" w:right="239" w:bottom="1440" w:gutter="0" w:footer="0" w:header="0"/>
        </w:sectPr>
      </w:pPr>
    </w:p>
    <w:bookmarkStart w:id="98" w:name="page99"/>
    <w:bookmarkEnd w:id="98"/>
    <w:p>
      <w:pPr>
        <w:ind w:left="5240"/>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right="2000"/>
        <w:spacing w:after="0" w:line="399" w:lineRule="auto"/>
        <w:rPr>
          <w:sz w:val="20"/>
          <w:szCs w:val="20"/>
          <w:color w:val="auto"/>
        </w:rPr>
      </w:pPr>
      <w:r>
        <w:rPr>
          <w:rFonts w:ascii="Times New Roman" w:cs="Times New Roman" w:eastAsia="Times New Roman" w:hAnsi="Times New Roman"/>
          <w:sz w:val="16"/>
          <w:szCs w:val="16"/>
          <w:b w:val="1"/>
          <w:bCs w:val="1"/>
          <w:color w:val="auto"/>
        </w:rPr>
        <w:t xml:space="preserve">ITEM 9. CHANGES IN AND DISAGREEMENTS WITH ACCOUNTANTS ON ACCOUNTING AND FINANCIAL DISCLOSURE </w:t>
      </w:r>
      <w:r>
        <w:rPr>
          <w:rFonts w:ascii="Times New Roman" w:cs="Times New Roman" w:eastAsia="Times New Roman" w:hAnsi="Times New Roman"/>
          <w:sz w:val="16"/>
          <w:szCs w:val="16"/>
          <w:color w:val="auto"/>
        </w:rPr>
        <w:t>Not applicable.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9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December 29, 2018.</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9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34" w:lineRule="exact"/>
        <w:rPr>
          <w:sz w:val="20"/>
          <w:szCs w:val="20"/>
          <w:color w:val="auto"/>
        </w:rPr>
      </w:pPr>
    </w:p>
    <w:p>
      <w:pPr>
        <w:ind w:left="600" w:hanging="305"/>
        <w:spacing w:after="0"/>
        <w:tabs>
          <w:tab w:leader="none" w:pos="6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assets of the Company;</w:t>
      </w:r>
    </w:p>
    <w:p>
      <w:pPr>
        <w:spacing w:after="0" w:line="87" w:lineRule="exact"/>
        <w:rPr>
          <w:rFonts w:ascii="Times New Roman" w:cs="Times New Roman" w:eastAsia="Times New Roman" w:hAnsi="Times New Roman"/>
          <w:sz w:val="16"/>
          <w:szCs w:val="16"/>
          <w:color w:val="auto"/>
        </w:rPr>
      </w:pPr>
    </w:p>
    <w:p>
      <w:pPr>
        <w:ind w:left="600" w:right="140" w:hanging="305"/>
        <w:spacing w:after="0" w:line="277" w:lineRule="auto"/>
        <w:tabs>
          <w:tab w:leader="none" w:pos="6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30" w:lineRule="exact"/>
        <w:rPr>
          <w:rFonts w:ascii="Times New Roman" w:cs="Times New Roman" w:eastAsia="Times New Roman" w:hAnsi="Times New Roman"/>
          <w:sz w:val="16"/>
          <w:szCs w:val="16"/>
          <w:color w:val="auto"/>
        </w:rPr>
      </w:pPr>
    </w:p>
    <w:p>
      <w:pPr>
        <w:ind w:left="600" w:right="240" w:hanging="305"/>
        <w:spacing w:after="0" w:line="298" w:lineRule="auto"/>
        <w:tabs>
          <w:tab w:leader="none" w:pos="6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 xml:space="preserve">Management, including our Chief Executive Officer and Chief Financial Officer, assessed the effectiveness of the Company's internal control over financial reporting as of December 29, 2018. In making this assessment, management used the criteria set forth by the Committee of Sponsoring Organizations of the Treadway Commission ("COSO")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Based on this assessment, management has concluded that the Company's internal control over financial reporting was effective as of December 29, 2018.</w:t>
      </w:r>
    </w:p>
    <w:p>
      <w:pPr>
        <w:spacing w:after="0" w:line="1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The effectiveness of Carter's, Inc. and its subsidiaries' internal control over financial reporting as of December 29, 2018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92"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There were no changes in the Company’s internal control over financial reporting during the fourth quarter of fiscal 2018 that have materially affected, or are reasonably likely to materially affect, the Company’s internal control over financial reporting.</w:t>
      </w: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1340"/>
          </w:cols>
          <w:pgMar w:left="240" w:top="119" w:right="319" w:bottom="1440" w:gutter="0" w:footer="0" w:header="0"/>
        </w:sectPr>
      </w:pPr>
    </w:p>
    <w:bookmarkStart w:id="99" w:name="page100"/>
    <w:bookmarkEnd w:id="99"/>
    <w:p>
      <w:pPr>
        <w:ind w:left="1"/>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Not applicable.</w:t>
      </w:r>
    </w:p>
    <w:p>
      <w:pPr>
        <w:spacing w:after="0" w:line="170" w:lineRule="exact"/>
        <w:rPr>
          <w:sz w:val="20"/>
          <w:szCs w:val="20"/>
          <w:color w:val="auto"/>
        </w:rPr>
      </w:pPr>
    </w:p>
    <w:p>
      <w:pPr>
        <w:ind w:left="5381"/>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10. DIRECTORS AND EXECUTIVE OFFICERS OF THE REGISTRANT</w:t>
      </w:r>
    </w:p>
    <w:p>
      <w:pPr>
        <w:spacing w:after="0" w:line="92" w:lineRule="exact"/>
        <w:rPr>
          <w:sz w:val="20"/>
          <w:szCs w:val="20"/>
          <w:color w:val="auto"/>
        </w:rPr>
      </w:pPr>
    </w:p>
    <w:p>
      <w:pPr>
        <w:ind w:left="1" w:right="40"/>
        <w:spacing w:after="0" w:line="277" w:lineRule="auto"/>
        <w:rPr>
          <w:sz w:val="20"/>
          <w:szCs w:val="20"/>
          <w:color w:val="auto"/>
        </w:rPr>
      </w:pPr>
      <w:r>
        <w:rPr>
          <w:rFonts w:ascii="Times New Roman" w:cs="Times New Roman" w:eastAsia="Times New Roman" w:hAnsi="Times New Roman"/>
          <w:sz w:val="16"/>
          <w:szCs w:val="16"/>
          <w:color w:val="auto"/>
        </w:rPr>
        <w:t>The information called for by Item 10 is incorporated herein by reference to the definitive proxy statement relating to the Annual Meeting of Stockholders of Carter's, Inc. scheduled to be held on May 16, 2019. We intend to file such definitive proxy statement with the SEC pursuant to Regulation 14A within 120 days after the end of the fiscal year covered by this Annual Report on Form 10-K.</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information called for by Item 11 is incorporated herein by reference to the definitive proxy statement referenced above in Item 10.</w:t>
      </w:r>
    </w:p>
    <w:p>
      <w:pPr>
        <w:spacing w:after="0" w:line="170" w:lineRule="exact"/>
        <w:rPr>
          <w:sz w:val="20"/>
          <w:szCs w:val="20"/>
          <w:color w:val="auto"/>
        </w:rPr>
      </w:pPr>
    </w:p>
    <w:p>
      <w:pPr>
        <w:ind w:left="1" w:right="800"/>
        <w:spacing w:after="0" w:line="357" w:lineRule="auto"/>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 Equity Compensation Plan Information</w:t>
      </w:r>
    </w:p>
    <w:p>
      <w:pPr>
        <w:ind w:left="1"/>
        <w:spacing w:after="0"/>
        <w:rPr>
          <w:sz w:val="20"/>
          <w:szCs w:val="20"/>
          <w:color w:val="auto"/>
        </w:rPr>
      </w:pPr>
      <w:r>
        <w:rPr>
          <w:rFonts w:ascii="Times New Roman" w:cs="Times New Roman" w:eastAsia="Times New Roman" w:hAnsi="Times New Roman"/>
          <w:sz w:val="16"/>
          <w:szCs w:val="16"/>
          <w:color w:val="auto"/>
        </w:rPr>
        <w:t>The following table provides information about our equity compensation plan as of our most recent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80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29"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Number of securities</w:t>
            </w: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remaining available for future</w:t>
            </w: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Number of securities to be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issuance under equity</w:t>
            </w: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issued upon exercise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Weighted-average exercise</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compensation plans (excluding</w:t>
            </w: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outstanding options,</w:t>
            </w:r>
          </w:p>
        </w:tc>
        <w:tc>
          <w:tcPr>
            <w:tcW w:w="120" w:type="dxa"/>
            <w:vAlign w:val="bottom"/>
          </w:tcPr>
          <w:p>
            <w:pPr>
              <w:spacing w:after="0"/>
              <w:rPr>
                <w:sz w:val="16"/>
                <w:szCs w:val="16"/>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price of outstanding options,</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securities reflected in first</w:t>
            </w:r>
          </w:p>
        </w:tc>
      </w:tr>
      <w:tr>
        <w:trPr>
          <w:trHeight w:val="164"/>
        </w:trPr>
        <w:tc>
          <w:tcPr>
            <w:tcW w:w="20" w:type="dxa"/>
            <w:vAlign w:val="bottom"/>
          </w:tcPr>
          <w:p>
            <w:pPr>
              <w:spacing w:after="0"/>
              <w:rPr>
                <w:sz w:val="14"/>
                <w:szCs w:val="14"/>
                <w:color w:val="auto"/>
              </w:rPr>
            </w:pPr>
          </w:p>
        </w:tc>
        <w:tc>
          <w:tcPr>
            <w:tcW w:w="524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Plan Category</w:t>
            </w:r>
          </w:p>
        </w:tc>
        <w:tc>
          <w:tcPr>
            <w:tcW w:w="19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9"/>
              </w:rPr>
              <w:t>warrants, and rights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26"/>
              <w:spacing w:after="0" w:line="164" w:lineRule="exact"/>
              <w:rPr>
                <w:sz w:val="20"/>
                <w:szCs w:val="20"/>
                <w:color w:val="auto"/>
              </w:rPr>
            </w:pPr>
            <w:r>
              <w:rPr>
                <w:rFonts w:ascii="Times New Roman" w:cs="Times New Roman" w:eastAsia="Times New Roman" w:hAnsi="Times New Roman"/>
                <w:sz w:val="15"/>
                <w:szCs w:val="15"/>
                <w:b w:val="1"/>
                <w:bCs w:val="1"/>
                <w:color w:val="auto"/>
                <w:w w:val="99"/>
              </w:rPr>
              <w:t>warrants, and rights</w:t>
            </w:r>
          </w:p>
        </w:tc>
        <w:tc>
          <w:tcPr>
            <w:tcW w:w="120" w:type="dxa"/>
            <w:vAlign w:val="bottom"/>
          </w:tcPr>
          <w:p>
            <w:pPr>
              <w:spacing w:after="0"/>
              <w:rPr>
                <w:sz w:val="14"/>
                <w:szCs w:val="14"/>
                <w:color w:val="auto"/>
              </w:rPr>
            </w:pPr>
          </w:p>
        </w:tc>
        <w:tc>
          <w:tcPr>
            <w:tcW w:w="204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8"/>
              </w:rPr>
              <w:t>column)</w:t>
            </w:r>
          </w:p>
        </w:tc>
      </w:tr>
      <w:tr>
        <w:trPr>
          <w:trHeight w:val="42"/>
        </w:trPr>
        <w:tc>
          <w:tcPr>
            <w:tcW w:w="20" w:type="dxa"/>
            <w:vAlign w:val="bottom"/>
            <w:tcBorders>
              <w:bottom w:val="single" w:sz="8" w:color="CCEEFF"/>
            </w:tcBorders>
          </w:tcPr>
          <w:p>
            <w:pPr>
              <w:spacing w:after="0"/>
              <w:rPr>
                <w:sz w:val="3"/>
                <w:szCs w:val="3"/>
                <w:color w:val="auto"/>
              </w:rPr>
            </w:pPr>
          </w:p>
        </w:tc>
        <w:tc>
          <w:tcPr>
            <w:tcW w:w="920" w:type="dxa"/>
            <w:vAlign w:val="bottom"/>
            <w:tcBorders>
              <w:top w:val="single" w:sz="8" w:color="auto"/>
              <w:bottom w:val="single" w:sz="8" w:color="CCEEFF"/>
            </w:tcBorders>
          </w:tcPr>
          <w:p>
            <w:pPr>
              <w:spacing w:after="0"/>
              <w:rPr>
                <w:sz w:val="3"/>
                <w:szCs w:val="3"/>
                <w:color w:val="auto"/>
              </w:rPr>
            </w:pPr>
          </w:p>
        </w:tc>
        <w:tc>
          <w:tcPr>
            <w:tcW w:w="432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27"/>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compensation plans approved by security holders</w:t>
            </w:r>
            <w:r>
              <w:rPr>
                <w:rFonts w:ascii="Times New Roman" w:cs="Times New Roman" w:eastAsia="Times New Roman" w:hAnsi="Times New Roman"/>
                <w:sz w:val="19"/>
                <w:szCs w:val="19"/>
                <w:color w:val="auto"/>
                <w:vertAlign w:val="superscript"/>
              </w:rPr>
              <w:t>(*)</w:t>
            </w:r>
          </w:p>
        </w:tc>
        <w:tc>
          <w:tcPr>
            <w:tcW w:w="19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1,447,141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74.55</w:t>
            </w:r>
          </w:p>
        </w:tc>
        <w:tc>
          <w:tcPr>
            <w:tcW w:w="2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3,702,701</w:t>
            </w:r>
          </w:p>
        </w:tc>
      </w:tr>
      <w:tr>
        <w:trPr>
          <w:trHeight w:val="217"/>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 compensation plans not approved by security holders</w:t>
            </w:r>
          </w:p>
        </w:tc>
        <w:tc>
          <w:tcPr>
            <w:tcW w:w="1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20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30"/>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9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1,447,141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74.55</w:t>
            </w:r>
          </w:p>
        </w:tc>
        <w:tc>
          <w:tcPr>
            <w:tcW w:w="2160" w:type="dxa"/>
            <w:vAlign w:val="bottom"/>
            <w:tcBorders>
              <w:bottom w:val="single" w:sz="8" w:color="auto"/>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3,702,701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441" w:hanging="441"/>
        <w:spacing w:after="0"/>
        <w:tabs>
          <w:tab w:leader="none" w:pos="441"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stock options that are outstanding or that are available for future issuance pursuant to the Carter's, Inc. Amended and Restated Equity Incentive Plan.</w:t>
      </w:r>
    </w:p>
    <w:p>
      <w:pPr>
        <w:spacing w:after="0" w:line="1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Additional information called for by Item 12 is incorporated herein by reference to the definitive proxy statement referenced above in Item 10.</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information called for by Item 13 is incorporated herein by reference to the definitive proxy statement referenced above in Item 10.</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information called for by Item 14 is incorporated herein by reference to the definitive proxy statement referenced above in Item 10.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1421"/>
          </w:cols>
          <w:pgMar w:left="239" w:top="34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9"/>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7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8"/>
        </w:trPr>
        <w:tc>
          <w:tcPr>
            <w:tcW w:w="107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4"/>
          </w:tcPr>
          <w:p>
            <w:pPr>
              <w:jc w:val="center"/>
              <w:ind w:left="58"/>
              <w:spacing w:after="0"/>
              <w:rPr>
                <w:sz w:val="20"/>
                <w:szCs w:val="20"/>
                <w:color w:val="auto"/>
              </w:rPr>
            </w:pPr>
            <w:r>
              <w:rPr>
                <w:rFonts w:ascii="Times New Roman" w:cs="Times New Roman" w:eastAsia="Times New Roman" w:hAnsi="Times New Roman"/>
                <w:sz w:val="16"/>
                <w:szCs w:val="16"/>
                <w:color w:val="auto"/>
              </w:rPr>
              <w:t>Page</w:t>
            </w:r>
          </w:p>
        </w:tc>
      </w:tr>
      <w:tr>
        <w:trPr>
          <w:trHeight w:val="227"/>
        </w:trPr>
        <w:tc>
          <w:tcPr>
            <w:tcW w:w="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w:t>
            </w:r>
          </w:p>
        </w:tc>
        <w:tc>
          <w:tcPr>
            <w:tcW w:w="64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1.</w:t>
            </w:r>
          </w:p>
        </w:tc>
        <w:tc>
          <w:tcPr>
            <w:tcW w:w="3080" w:type="dxa"/>
            <w:vAlign w:val="bottom"/>
            <w:gridSpan w:val="3"/>
          </w:tcPr>
          <w:p>
            <w:pPr>
              <w:spacing w:after="0"/>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Financial Statements filed as part of this report</w:t>
              </w:r>
            </w:hyperlink>
          </w:p>
        </w:tc>
        <w:tc>
          <w:tcPr>
            <w:tcW w:w="6540" w:type="dxa"/>
            <w:vAlign w:val="bottom"/>
            <w:gridSpan w:val="6"/>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gridSpan w:val="3"/>
          </w:tcPr>
          <w:p>
            <w:pPr>
              <w:jc w:val="center"/>
              <w:spacing w:after="0"/>
              <w:rPr>
                <w:rFonts w:ascii="Times New Roman" w:cs="Times New Roman" w:eastAsia="Times New Roman" w:hAnsi="Times New Roman"/>
                <w:sz w:val="16"/>
                <w:szCs w:val="16"/>
                <w:color w:val="0000FF"/>
                <w:w w:val="99"/>
              </w:rPr>
            </w:pPr>
            <w:hyperlink w:anchor="page48">
              <w:r>
                <w:rPr>
                  <w:rFonts w:ascii="Times New Roman" w:cs="Times New Roman" w:eastAsia="Times New Roman" w:hAnsi="Times New Roman"/>
                  <w:sz w:val="16"/>
                  <w:szCs w:val="16"/>
                  <w:color w:val="0000FF"/>
                  <w:w w:val="99"/>
                </w:rPr>
                <w:t>45</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gridSpan w:val="4"/>
          </w:tcPr>
          <w:p>
            <w:pPr>
              <w:spacing w:after="0"/>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Report of Independent Registered Public Accounting Firm</w:t>
              </w:r>
            </w:hyperlink>
          </w:p>
        </w:tc>
        <w:tc>
          <w:tcPr>
            <w:tcW w:w="5760" w:type="dxa"/>
            <w:vAlign w:val="bottom"/>
            <w:gridSpan w:val="5"/>
          </w:tcPr>
          <w:p>
            <w:pPr>
              <w:spacing w:after="0"/>
              <w:rPr>
                <w:sz w:val="19"/>
                <w:szCs w:val="19"/>
                <w:color w:val="auto"/>
              </w:rPr>
            </w:pPr>
          </w:p>
        </w:tc>
        <w:tc>
          <w:tcPr>
            <w:tcW w:w="460" w:type="dxa"/>
            <w:vAlign w:val="bottom"/>
            <w:gridSpan w:val="4"/>
          </w:tcPr>
          <w:p>
            <w:pPr>
              <w:jc w:val="center"/>
              <w:ind w:left="58"/>
              <w:spacing w:after="0"/>
              <w:rPr>
                <w:rFonts w:ascii="Times New Roman" w:cs="Times New Roman" w:eastAsia="Times New Roman" w:hAnsi="Times New Roman"/>
                <w:sz w:val="16"/>
                <w:szCs w:val="16"/>
                <w:color w:val="0000FF"/>
                <w:w w:val="99"/>
              </w:rPr>
            </w:pPr>
            <w:hyperlink w:anchor="page49">
              <w:r>
                <w:rPr>
                  <w:rFonts w:ascii="Times New Roman" w:cs="Times New Roman" w:eastAsia="Times New Roman" w:hAnsi="Times New Roman"/>
                  <w:sz w:val="16"/>
                  <w:szCs w:val="16"/>
                  <w:color w:val="0000FF"/>
                  <w:w w:val="99"/>
                </w:rPr>
                <w:t>46</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Balance Sheets at December 29, 2018 and December 30, 2017</w:t>
            </w:r>
          </w:p>
        </w:tc>
        <w:tc>
          <w:tcPr>
            <w:tcW w:w="4600" w:type="dxa"/>
            <w:vAlign w:val="bottom"/>
            <w:gridSpan w:val="4"/>
          </w:tcPr>
          <w:p>
            <w:pPr>
              <w:spacing w:after="0"/>
              <w:rPr>
                <w:sz w:val="19"/>
                <w:szCs w:val="19"/>
                <w:color w:val="auto"/>
              </w:rPr>
            </w:pPr>
          </w:p>
        </w:tc>
        <w:tc>
          <w:tcPr>
            <w:tcW w:w="460" w:type="dxa"/>
            <w:vAlign w:val="bottom"/>
            <w:gridSpan w:val="4"/>
          </w:tcPr>
          <w:p>
            <w:pPr>
              <w:jc w:val="center"/>
              <w:ind w:left="58"/>
              <w:spacing w:after="0"/>
              <w:rPr>
                <w:rFonts w:ascii="Times New Roman" w:cs="Times New Roman" w:eastAsia="Times New Roman" w:hAnsi="Times New Roman"/>
                <w:sz w:val="16"/>
                <w:szCs w:val="16"/>
                <w:color w:val="0000FF"/>
                <w:w w:val="99"/>
              </w:rPr>
            </w:pPr>
            <w:hyperlink w:anchor="page51">
              <w:r>
                <w:rPr>
                  <w:rFonts w:ascii="Times New Roman" w:cs="Times New Roman" w:eastAsia="Times New Roman" w:hAnsi="Times New Roman"/>
                  <w:sz w:val="16"/>
                  <w:szCs w:val="16"/>
                  <w:color w:val="0000FF"/>
                  <w:w w:val="99"/>
                </w:rPr>
                <w:t>48</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the fiscal years ended December 29, 2018, December 30, 2017, and December 31, 2016</w:t>
            </w:r>
          </w:p>
        </w:tc>
        <w:tc>
          <w:tcPr>
            <w:tcW w:w="980" w:type="dxa"/>
            <w:vAlign w:val="bottom"/>
            <w:gridSpan w:val="3"/>
          </w:tcPr>
          <w:p>
            <w:pPr>
              <w:spacing w:after="0"/>
              <w:rPr>
                <w:sz w:val="19"/>
                <w:szCs w:val="19"/>
                <w:color w:val="auto"/>
              </w:rPr>
            </w:pPr>
          </w:p>
        </w:tc>
        <w:tc>
          <w:tcPr>
            <w:tcW w:w="460" w:type="dxa"/>
            <w:vAlign w:val="bottom"/>
            <w:gridSpan w:val="4"/>
          </w:tcPr>
          <w:p>
            <w:pPr>
              <w:jc w:val="center"/>
              <w:ind w:left="58"/>
              <w:spacing w:after="0"/>
              <w:rPr>
                <w:rFonts w:ascii="Times New Roman" w:cs="Times New Roman" w:eastAsia="Times New Roman" w:hAnsi="Times New Roman"/>
                <w:sz w:val="16"/>
                <w:szCs w:val="16"/>
                <w:color w:val="0000FF"/>
                <w:w w:val="99"/>
              </w:rPr>
            </w:pPr>
            <w:hyperlink w:anchor="page52">
              <w:r>
                <w:rPr>
                  <w:rFonts w:ascii="Times New Roman" w:cs="Times New Roman" w:eastAsia="Times New Roman" w:hAnsi="Times New Roman"/>
                  <w:sz w:val="16"/>
                  <w:szCs w:val="16"/>
                  <w:color w:val="0000FF"/>
                  <w:w w:val="99"/>
                </w:rPr>
                <w:t>49</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7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fiscal years ended December 29, 2018, December 30, 2017, and December 31, 2016</w:t>
            </w:r>
          </w:p>
        </w:tc>
        <w:tc>
          <w:tcPr>
            <w:tcW w:w="140" w:type="dxa"/>
            <w:vAlign w:val="bottom"/>
          </w:tcPr>
          <w:p>
            <w:pPr>
              <w:spacing w:after="0"/>
              <w:rPr>
                <w:sz w:val="19"/>
                <w:szCs w:val="19"/>
                <w:color w:val="auto"/>
              </w:rPr>
            </w:pPr>
          </w:p>
        </w:tc>
        <w:tc>
          <w:tcPr>
            <w:tcW w:w="460" w:type="dxa"/>
            <w:vAlign w:val="bottom"/>
            <w:gridSpan w:val="4"/>
          </w:tcPr>
          <w:p>
            <w:pPr>
              <w:jc w:val="center"/>
              <w:ind w:left="58"/>
              <w:spacing w:after="0"/>
              <w:rPr>
                <w:rFonts w:ascii="Times New Roman" w:cs="Times New Roman" w:eastAsia="Times New Roman" w:hAnsi="Times New Roman"/>
                <w:sz w:val="16"/>
                <w:szCs w:val="16"/>
                <w:color w:val="0000FF"/>
                <w:w w:val="99"/>
              </w:rPr>
            </w:pPr>
            <w:hyperlink w:anchor="page53">
              <w:r>
                <w:rPr>
                  <w:rFonts w:ascii="Times New Roman" w:cs="Times New Roman" w:eastAsia="Times New Roman" w:hAnsi="Times New Roman"/>
                  <w:sz w:val="16"/>
                  <w:szCs w:val="16"/>
                  <w:color w:val="0000FF"/>
                  <w:w w:val="99"/>
                </w:rPr>
                <w:t>50</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fiscal years ended December 29, 2018, December 30, 2017, and December 31, 2016</w:t>
            </w:r>
          </w:p>
        </w:tc>
        <w:tc>
          <w:tcPr>
            <w:tcW w:w="140" w:type="dxa"/>
            <w:vAlign w:val="bottom"/>
          </w:tcPr>
          <w:p>
            <w:pPr>
              <w:spacing w:after="0"/>
              <w:rPr>
                <w:sz w:val="19"/>
                <w:szCs w:val="19"/>
                <w:color w:val="auto"/>
              </w:rPr>
            </w:pPr>
          </w:p>
        </w:tc>
        <w:tc>
          <w:tcPr>
            <w:tcW w:w="460" w:type="dxa"/>
            <w:vAlign w:val="bottom"/>
            <w:gridSpan w:val="4"/>
          </w:tcPr>
          <w:p>
            <w:pPr>
              <w:jc w:val="center"/>
              <w:ind w:left="58"/>
              <w:spacing w:after="0"/>
              <w:rPr>
                <w:rFonts w:ascii="Times New Roman" w:cs="Times New Roman" w:eastAsia="Times New Roman" w:hAnsi="Times New Roman"/>
                <w:sz w:val="16"/>
                <w:szCs w:val="16"/>
                <w:color w:val="0000FF"/>
                <w:w w:val="99"/>
              </w:rPr>
            </w:pPr>
            <w:hyperlink w:anchor="page54">
              <w:r>
                <w:rPr>
                  <w:rFonts w:ascii="Times New Roman" w:cs="Times New Roman" w:eastAsia="Times New Roman" w:hAnsi="Times New Roman"/>
                  <w:sz w:val="16"/>
                  <w:szCs w:val="16"/>
                  <w:color w:val="0000FF"/>
                  <w:w w:val="99"/>
                </w:rPr>
                <w:t>51</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for the fiscal years ended December 29, 2018, December 30, 2017, and December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8"/>
        </w:trPr>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80" w:type="dxa"/>
            <w:vAlign w:val="bottom"/>
            <w:tcBorders>
              <w:top w:val="single" w:sz="8" w:color="0000FF"/>
            </w:tcBorders>
            <w:gridSpan w:val="2"/>
          </w:tcPr>
          <w:p>
            <w:pPr>
              <w:spacing w:after="0" w:line="178" w:lineRule="exact"/>
              <w:rPr>
                <w:sz w:val="20"/>
                <w:szCs w:val="20"/>
                <w:color w:val="auto"/>
              </w:rPr>
            </w:pPr>
            <w:r>
              <w:rPr>
                <w:rFonts w:ascii="Times New Roman" w:cs="Times New Roman" w:eastAsia="Times New Roman" w:hAnsi="Times New Roman"/>
                <w:sz w:val="16"/>
                <w:szCs w:val="16"/>
                <w:color w:val="0000FF"/>
              </w:rPr>
              <w:t>31, 2016</w:t>
            </w:r>
          </w:p>
        </w:tc>
        <w:tc>
          <w:tcPr>
            <w:tcW w:w="2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36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4"/>
          </w:tcPr>
          <w:p>
            <w:pPr>
              <w:jc w:val="center"/>
              <w:ind w:left="58"/>
              <w:spacing w:after="0" w:line="178" w:lineRule="exact"/>
              <w:rPr>
                <w:rFonts w:ascii="Times New Roman" w:cs="Times New Roman" w:eastAsia="Times New Roman" w:hAnsi="Times New Roman"/>
                <w:sz w:val="16"/>
                <w:szCs w:val="16"/>
                <w:color w:val="0000FF"/>
                <w:w w:val="99"/>
              </w:rPr>
            </w:pPr>
            <w:hyperlink w:anchor="page55">
              <w:r>
                <w:rPr>
                  <w:rFonts w:ascii="Times New Roman" w:cs="Times New Roman" w:eastAsia="Times New Roman" w:hAnsi="Times New Roman"/>
                  <w:sz w:val="16"/>
                  <w:szCs w:val="16"/>
                  <w:color w:val="0000FF"/>
                  <w:w w:val="99"/>
                </w:rPr>
                <w:t>52</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7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80" w:type="dxa"/>
            <w:vAlign w:val="bottom"/>
            <w:gridSpan w:val="2"/>
          </w:tcPr>
          <w:p>
            <w:pPr>
              <w:spacing w:after="0"/>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Notes to Consolidated Financial Statements</w:t>
              </w:r>
            </w:hyperlink>
          </w:p>
        </w:tc>
        <w:tc>
          <w:tcPr>
            <w:tcW w:w="6740" w:type="dxa"/>
            <w:vAlign w:val="bottom"/>
            <w:gridSpan w:val="7"/>
          </w:tcPr>
          <w:p>
            <w:pPr>
              <w:spacing w:after="0"/>
              <w:rPr>
                <w:sz w:val="19"/>
                <w:szCs w:val="19"/>
                <w:color w:val="auto"/>
              </w:rPr>
            </w:pPr>
          </w:p>
        </w:tc>
        <w:tc>
          <w:tcPr>
            <w:tcW w:w="460" w:type="dxa"/>
            <w:vAlign w:val="bottom"/>
            <w:gridSpan w:val="4"/>
          </w:tcPr>
          <w:p>
            <w:pPr>
              <w:jc w:val="center"/>
              <w:ind w:left="58"/>
              <w:spacing w:after="0"/>
              <w:rPr>
                <w:rFonts w:ascii="Times New Roman" w:cs="Times New Roman" w:eastAsia="Times New Roman" w:hAnsi="Times New Roman"/>
                <w:sz w:val="16"/>
                <w:szCs w:val="16"/>
                <w:color w:val="0000FF"/>
                <w:w w:val="99"/>
              </w:rPr>
            </w:pPr>
            <w:hyperlink w:anchor="page56">
              <w:r>
                <w:rPr>
                  <w:rFonts w:ascii="Times New Roman" w:cs="Times New Roman" w:eastAsia="Times New Roman" w:hAnsi="Times New Roman"/>
                  <w:sz w:val="16"/>
                  <w:szCs w:val="16"/>
                  <w:color w:val="0000FF"/>
                  <w:w w:val="99"/>
                </w:rPr>
                <w:t>53</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8" w:lineRule="exact"/>
        <w:rPr>
          <w:sz w:val="20"/>
          <w:szCs w:val="20"/>
          <w:color w:val="auto"/>
        </w:rPr>
      </w:pPr>
    </w:p>
    <w:p>
      <w:pPr>
        <w:ind w:left="1120" w:hanging="466"/>
        <w:spacing w:after="0"/>
        <w:tabs>
          <w:tab w:leader="none" w:pos="11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 None</w:t>
      </w:r>
    </w:p>
    <w:p>
      <w:pPr>
        <w:spacing w:after="0" w:line="335" w:lineRule="exact"/>
        <w:rPr>
          <w:rFonts w:ascii="Times New Roman" w:cs="Times New Roman" w:eastAsia="Times New Roman" w:hAnsi="Times New Roman"/>
          <w:sz w:val="16"/>
          <w:szCs w:val="16"/>
          <w:color w:val="auto"/>
        </w:rPr>
      </w:pPr>
    </w:p>
    <w:p>
      <w:pPr>
        <w:ind w:left="1120" w:hanging="1035"/>
        <w:spacing w:after="0"/>
        <w:tabs>
          <w:tab w:leader="none" w:pos="11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1200"/>
          </w:cols>
          <w:pgMar w:left="240" w:top="341" w:right="4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560" w:type="dxa"/>
            <w:vAlign w:val="bottom"/>
          </w:tcPr>
          <w:p>
            <w:pPr>
              <w:spacing w:after="0"/>
              <w:rPr>
                <w:sz w:val="16"/>
                <w:szCs w:val="16"/>
                <w:color w:val="auto"/>
              </w:rPr>
            </w:pPr>
          </w:p>
        </w:tc>
        <w:tc>
          <w:tcPr>
            <w:tcW w:w="964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r>
      <w:tr>
        <w:trPr>
          <w:trHeight w:val="20"/>
        </w:trPr>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3.1</w:t>
            </w:r>
          </w:p>
        </w:tc>
        <w:tc>
          <w:tcPr>
            <w:tcW w:w="560" w:type="dxa"/>
            <w:vAlign w:val="bottom"/>
          </w:tcPr>
          <w:p>
            <w:pPr>
              <w:spacing w:after="0"/>
              <w:rPr>
                <w:sz w:val="19"/>
                <w:szCs w:val="19"/>
                <w:color w:val="auto"/>
              </w:rPr>
            </w:pPr>
          </w:p>
        </w:tc>
        <w:tc>
          <w:tcPr>
            <w:tcW w:w="93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Certificate of Incorporation of Carter's, Inc., as amended on May 22, 2017 (incorporated by reference to Exhibit 3.1 of Carter's, Inc.'s Current</w:t>
              </w:r>
            </w:hyperlink>
          </w:p>
        </w:tc>
        <w:tc>
          <w:tcPr>
            <w:tcW w:w="320" w:type="dxa"/>
            <w:vAlign w:val="bottom"/>
            <w:gridSpan w:val="12"/>
          </w:tcPr>
          <w:p>
            <w:pPr>
              <w:spacing w:after="0"/>
              <w:rPr>
                <w:sz w:val="19"/>
                <w:szCs w:val="19"/>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60" w:type="dxa"/>
            <w:vAlign w:val="bottom"/>
            <w:tcBorders>
              <w:bottom w:val="single" w:sz="8" w:color="0000FF"/>
            </w:tcBorders>
            <w:gridSpan w:val="6"/>
          </w:tcPr>
          <w:p>
            <w:pPr>
              <w:spacing w:after="0" w:line="178" w:lineRule="exact"/>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Report on Form 8-K filed on May 23, 2017).</w:t>
              </w:r>
            </w:hyperlink>
          </w:p>
        </w:tc>
        <w:tc>
          <w:tcPr>
            <w:tcW w:w="6680" w:type="dxa"/>
            <w:vAlign w:val="bottom"/>
            <w:gridSpan w:val="22"/>
          </w:tcPr>
          <w:p>
            <w:pPr>
              <w:spacing w:after="0"/>
              <w:rPr>
                <w:sz w:val="15"/>
                <w:szCs w:val="15"/>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3.2</w:t>
            </w:r>
          </w:p>
        </w:tc>
        <w:tc>
          <w:tcPr>
            <w:tcW w:w="560" w:type="dxa"/>
            <w:vAlign w:val="bottom"/>
          </w:tcPr>
          <w:p>
            <w:pPr>
              <w:spacing w:after="0"/>
              <w:rPr>
                <w:sz w:val="19"/>
                <w:szCs w:val="19"/>
                <w:color w:val="auto"/>
              </w:rPr>
            </w:pPr>
          </w:p>
        </w:tc>
        <w:tc>
          <w:tcPr>
            <w:tcW w:w="964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Amended and Restated By-laws of Carter's, Inc., as amended on May 22, 2017 (incorporated by reference to Exhibit 3.2 of Carter's, Inc.'s Current</w:t>
              </w:r>
            </w:hyperlink>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60" w:type="dxa"/>
            <w:vAlign w:val="bottom"/>
            <w:tcBorders>
              <w:bottom w:val="single" w:sz="8" w:color="0000FF"/>
            </w:tcBorders>
            <w:gridSpan w:val="6"/>
          </w:tcPr>
          <w:p>
            <w:pPr>
              <w:spacing w:after="0" w:line="178" w:lineRule="exact"/>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Report on Form 8-K filed on May 23, 2017).</w:t>
              </w:r>
            </w:hyperlink>
          </w:p>
        </w:tc>
        <w:tc>
          <w:tcPr>
            <w:tcW w:w="6680" w:type="dxa"/>
            <w:vAlign w:val="bottom"/>
            <w:gridSpan w:val="22"/>
          </w:tcPr>
          <w:p>
            <w:pPr>
              <w:spacing w:after="0"/>
              <w:rPr>
                <w:sz w:val="15"/>
                <w:szCs w:val="15"/>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4.1</w:t>
            </w:r>
          </w:p>
        </w:tc>
        <w:tc>
          <w:tcPr>
            <w:tcW w:w="560" w:type="dxa"/>
            <w:vAlign w:val="bottom"/>
          </w:tcPr>
          <w:p>
            <w:pPr>
              <w:spacing w:after="0"/>
              <w:rPr>
                <w:sz w:val="19"/>
                <w:szCs w:val="19"/>
                <w:color w:val="auto"/>
              </w:rPr>
            </w:pPr>
          </w:p>
        </w:tc>
        <w:tc>
          <w:tcPr>
            <w:tcW w:w="962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Specimen Certificate of Common Stock (incorporated by reference to Exhibit 4.1 of Carter's, Inc.'s Registration Statement on Form S-1 (No. 333-</w:t>
              </w:r>
            </w:hyperlink>
          </w:p>
        </w:tc>
        <w:tc>
          <w:tcPr>
            <w:tcW w:w="20" w:type="dxa"/>
            <w:vAlign w:val="bottom"/>
          </w:tcPr>
          <w:p>
            <w:pPr>
              <w:spacing w:after="0"/>
              <w:rPr>
                <w:sz w:val="19"/>
                <w:szCs w:val="19"/>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gridSpan w:val="28"/>
          </w:tcPr>
          <w:p>
            <w:pPr>
              <w:spacing w:after="0" w:line="178" w:lineRule="exact"/>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98679) filed on October 10, 2003).</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4.2</w:t>
            </w:r>
          </w:p>
        </w:tc>
        <w:tc>
          <w:tcPr>
            <w:tcW w:w="560" w:type="dxa"/>
            <w:vAlign w:val="bottom"/>
          </w:tcPr>
          <w:p>
            <w:pPr>
              <w:spacing w:after="0"/>
              <w:rPr>
                <w:sz w:val="19"/>
                <w:szCs w:val="19"/>
                <w:color w:val="auto"/>
              </w:rPr>
            </w:pPr>
          </w:p>
        </w:tc>
        <w:tc>
          <w:tcPr>
            <w:tcW w:w="93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Indenture, dated August 12, 2013, by and among The William Carter Company, certain guarantors party thereto from time to time, and Wells</w:t>
              </w:r>
            </w:hyperlink>
          </w:p>
        </w:tc>
        <w:tc>
          <w:tcPr>
            <w:tcW w:w="340" w:type="dxa"/>
            <w:vAlign w:val="bottom"/>
            <w:gridSpan w:val="13"/>
          </w:tcPr>
          <w:p>
            <w:pPr>
              <w:spacing w:after="0"/>
              <w:rPr>
                <w:sz w:val="19"/>
                <w:szCs w:val="19"/>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gridSpan w:val="28"/>
          </w:tcPr>
          <w:p>
            <w:pPr>
              <w:spacing w:after="0" w:line="178"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Fargo Bank, National Association, as trustee (incorporated by reference to Exhibit 4.1 of Carter’s, Inc.'s Current Report on Form 8-K filed on</w:t>
              </w:r>
            </w:hyperlink>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Borders>
              <w:top w:val="single" w:sz="8" w:color="0000FF"/>
              <w:bottom w:val="single" w:sz="8" w:color="0000FF"/>
            </w:tcBorders>
            <w:gridSpan w:val="2"/>
          </w:tcPr>
          <w:p>
            <w:pPr>
              <w:spacing w:after="0" w:line="178"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August 12, 2013).</w:t>
              </w:r>
            </w:hyperlink>
          </w:p>
        </w:tc>
        <w:tc>
          <w:tcPr>
            <w:tcW w:w="8120" w:type="dxa"/>
            <w:vAlign w:val="bottom"/>
            <w:tcBorders>
              <w:top w:val="single" w:sz="8" w:color="0000FF"/>
            </w:tcBorders>
            <w:gridSpan w:val="14"/>
          </w:tcPr>
          <w:p>
            <w:pPr>
              <w:spacing w:after="0"/>
              <w:rPr>
                <w:sz w:val="15"/>
                <w:szCs w:val="15"/>
                <w:color w:val="auto"/>
              </w:rPr>
            </w:pPr>
          </w:p>
        </w:tc>
        <w:tc>
          <w:tcPr>
            <w:tcW w:w="320" w:type="dxa"/>
            <w:vAlign w:val="bottom"/>
            <w:gridSpan w:val="12"/>
          </w:tcPr>
          <w:p>
            <w:pPr>
              <w:spacing w:after="0"/>
              <w:rPr>
                <w:sz w:val="15"/>
                <w:szCs w:val="15"/>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4.2.1</w:t>
            </w:r>
          </w:p>
        </w:tc>
        <w:tc>
          <w:tcPr>
            <w:tcW w:w="560" w:type="dxa"/>
            <w:vAlign w:val="bottom"/>
          </w:tcPr>
          <w:p>
            <w:pPr>
              <w:spacing w:after="0"/>
              <w:rPr>
                <w:sz w:val="19"/>
                <w:szCs w:val="19"/>
                <w:color w:val="auto"/>
              </w:rPr>
            </w:pPr>
          </w:p>
        </w:tc>
        <w:tc>
          <w:tcPr>
            <w:tcW w:w="936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First Supplemental Indenture, dated June 25, 2014, by and among The William Carter Company, certain guarantors party thereto from time to</w:t>
              </w:r>
            </w:hyperlink>
          </w:p>
        </w:tc>
        <w:tc>
          <w:tcPr>
            <w:tcW w:w="280" w:type="dxa"/>
            <w:vAlign w:val="bottom"/>
            <w:gridSpan w:val="10"/>
          </w:tcPr>
          <w:p>
            <w:pPr>
              <w:spacing w:after="0"/>
              <w:rPr>
                <w:sz w:val="19"/>
                <w:szCs w:val="19"/>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0" w:type="dxa"/>
            <w:vAlign w:val="bottom"/>
            <w:tcBorders>
              <w:bottom w:val="single" w:sz="8" w:color="0000FF"/>
            </w:tcBorders>
            <w:gridSpan w:val="19"/>
          </w:tcPr>
          <w:p>
            <w:pPr>
              <w:spacing w:after="0" w:line="178"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time, and Wells Fargo Bank, National Association, as Trustee (incorporated by reference to Exhibit 4.2 of Carter’s, Inc.'s Amendment No. 1 to</w:t>
              </w:r>
            </w:hyperlink>
          </w:p>
        </w:tc>
        <w:tc>
          <w:tcPr>
            <w:tcW w:w="240" w:type="dxa"/>
            <w:vAlign w:val="bottom"/>
            <w:gridSpan w:val="9"/>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20" w:type="dxa"/>
            <w:vAlign w:val="bottom"/>
            <w:tcBorders>
              <w:bottom w:val="single" w:sz="8" w:color="0000FF"/>
            </w:tcBorders>
            <w:gridSpan w:val="7"/>
          </w:tcPr>
          <w:p>
            <w:pPr>
              <w:spacing w:after="0" w:line="178"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Registration Statement on Form S-4 (No. 333-194896) filed on June 27, 2014).</w:t>
              </w:r>
            </w:hyperlink>
          </w:p>
        </w:tc>
        <w:tc>
          <w:tcPr>
            <w:tcW w:w="4420" w:type="dxa"/>
            <w:vAlign w:val="bottom"/>
            <w:gridSpan w:val="21"/>
          </w:tcPr>
          <w:p>
            <w:pPr>
              <w:spacing w:after="0"/>
              <w:rPr>
                <w:sz w:val="15"/>
                <w:szCs w:val="15"/>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4.2.2</w:t>
            </w:r>
          </w:p>
        </w:tc>
        <w:tc>
          <w:tcPr>
            <w:tcW w:w="560" w:type="dxa"/>
            <w:vAlign w:val="bottom"/>
          </w:tcPr>
          <w:p>
            <w:pPr>
              <w:spacing w:after="0"/>
              <w:rPr>
                <w:sz w:val="19"/>
                <w:szCs w:val="19"/>
                <w:color w:val="auto"/>
              </w:rPr>
            </w:pPr>
          </w:p>
        </w:tc>
        <w:tc>
          <w:tcPr>
            <w:tcW w:w="940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Second Supplemental Indenture, dated May 11, 2017, by and among Skip Hop Holdings, Inc., Skip Hop, Inc., and Wells Fargo Bank, National</w:t>
              </w:r>
            </w:hyperlink>
          </w:p>
        </w:tc>
        <w:tc>
          <w:tcPr>
            <w:tcW w:w="240" w:type="dxa"/>
            <w:vAlign w:val="bottom"/>
            <w:gridSpan w:val="9"/>
          </w:tcPr>
          <w:p>
            <w:pPr>
              <w:spacing w:after="0"/>
              <w:rPr>
                <w:sz w:val="19"/>
                <w:szCs w:val="19"/>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gridSpan w:val="28"/>
          </w:tcPr>
          <w:p>
            <w:pPr>
              <w:spacing w:after="0" w:line="178"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Association, as Trustee.</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spacing w:after="0"/>
              <w:rPr>
                <w:sz w:val="19"/>
                <w:szCs w:val="19"/>
                <w:color w:val="auto"/>
              </w:rPr>
            </w:pPr>
          </w:p>
        </w:tc>
        <w:tc>
          <w:tcPr>
            <w:tcW w:w="944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Fourth Amended and Restated Credit Agreement, dated as of August 25, 2017, by and among The William Carter Company, as U.S. Borrower,</w:t>
              </w:r>
            </w:hyperlink>
          </w:p>
        </w:tc>
        <w:tc>
          <w:tcPr>
            <w:tcW w:w="200" w:type="dxa"/>
            <w:vAlign w:val="bottom"/>
            <w:gridSpan w:val="8"/>
          </w:tcPr>
          <w:p>
            <w:pPr>
              <w:spacing w:after="0"/>
              <w:rPr>
                <w:sz w:val="19"/>
                <w:szCs w:val="19"/>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tcBorders>
              <w:bottom w:val="single" w:sz="8" w:color="0000FF"/>
            </w:tcBorders>
            <w:gridSpan w:val="28"/>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The Genuine Canadian Corp., as Canadian Borrower, Carter’s Holdings B.V., as Dutch Borrower, JPMorgan Chase Bank, N.A., as Administrative</w:t>
              </w:r>
            </w:hyperlink>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20" w:type="dxa"/>
            <w:vAlign w:val="bottom"/>
            <w:tcBorders>
              <w:bottom w:val="single" w:sz="8" w:color="0000FF"/>
            </w:tcBorders>
            <w:gridSpan w:val="12"/>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Agent, U.S. Dollar Facility Swing Line Lender, U.S. Dollar Facility L/C Issuer and Collateral Agent, JPMorgan Chase Bank, N.A., Toronto</w:t>
              </w:r>
            </w:hyperlink>
          </w:p>
        </w:tc>
        <w:tc>
          <w:tcPr>
            <w:tcW w:w="420" w:type="dxa"/>
            <w:vAlign w:val="bottom"/>
            <w:gridSpan w:val="16"/>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gridSpan w:val="28"/>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Branch, as Canadian Agent, a Multicurrency Facility Swing Line Lender and a Multicurrency Facility L/C Issuer, J.P. Morgan Europe Limited, as</w:t>
              </w:r>
            </w:hyperlink>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580" w:type="dxa"/>
            <w:vAlign w:val="bottom"/>
            <w:tcBorders>
              <w:top w:val="single" w:sz="8" w:color="0000FF"/>
              <w:bottom w:val="single" w:sz="8" w:color="0000FF"/>
            </w:tcBorders>
            <w:gridSpan w:val="25"/>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European Agent, JPMorgan Chase Bank, N.A., London Branch, as a Multicurrency Facility Swing Line Lender and a Multicurrency Facility L/C</w:t>
              </w:r>
            </w:hyperlink>
          </w:p>
        </w:tc>
        <w:tc>
          <w:tcPr>
            <w:tcW w:w="2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500" w:type="dxa"/>
            <w:vAlign w:val="bottom"/>
            <w:tcBorders>
              <w:bottom w:val="single" w:sz="8" w:color="0000FF"/>
            </w:tcBorders>
            <w:gridSpan w:val="23"/>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Issuer, Bank of America, N.A. and Bank of Montreal, as Co-Syndication Agents, JPMorgan Chase Bank, N.A., Merrill Lynch, Pierce, Fenner &amp;</w:t>
              </w:r>
            </w:hyperlink>
          </w:p>
        </w:tc>
        <w:tc>
          <w:tcPr>
            <w:tcW w:w="140" w:type="dxa"/>
            <w:vAlign w:val="bottom"/>
            <w:gridSpan w:val="5"/>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0" w:type="dxa"/>
            <w:vAlign w:val="bottom"/>
            <w:tcBorders>
              <w:bottom w:val="single" w:sz="8" w:color="0000FF"/>
            </w:tcBorders>
            <w:gridSpan w:val="11"/>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Smith Incorporated and BMO Capital Markets Corp., as Joint Lead Arrangers and Bookrunners, Branch Banking &amp; Trust Company, HSBC</w:t>
              </w:r>
            </w:hyperlink>
          </w:p>
        </w:tc>
        <w:tc>
          <w:tcPr>
            <w:tcW w:w="440" w:type="dxa"/>
            <w:vAlign w:val="bottom"/>
            <w:gridSpan w:val="17"/>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60" w:type="dxa"/>
            <w:vAlign w:val="bottom"/>
            <w:tcBorders>
              <w:bottom w:val="single" w:sz="8" w:color="0000FF"/>
            </w:tcBorders>
            <w:gridSpan w:val="21"/>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Securities (USA) Inc., Royal Bank of Canada, SunTrust Bank, U.S. Bank National Association and Wells Fargo Bank, National Association, as</w:t>
              </w:r>
            </w:hyperlink>
          </w:p>
        </w:tc>
        <w:tc>
          <w:tcPr>
            <w:tcW w:w="180" w:type="dxa"/>
            <w:vAlign w:val="bottom"/>
            <w:gridSpan w:val="7"/>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560" w:type="dxa"/>
            <w:vAlign w:val="bottom"/>
            <w:tcBorders>
              <w:bottom w:val="single" w:sz="8" w:color="0000FF"/>
            </w:tcBorders>
            <w:gridSpan w:val="24"/>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Co-Documentation Agents and certain other lenders party thereto (incorporated by reference to Exhibit 10.1 of Carter’s, Inc.’s Current Report on</w:t>
              </w:r>
            </w:hyperlink>
          </w:p>
        </w:tc>
        <w:tc>
          <w:tcPr>
            <w:tcW w:w="80" w:type="dxa"/>
            <w:vAlign w:val="bottom"/>
            <w:gridSpan w:val="4"/>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40" w:type="dxa"/>
            <w:vAlign w:val="bottom"/>
            <w:tcBorders>
              <w:bottom w:val="single" w:sz="8" w:color="0000FF"/>
            </w:tcBorders>
            <w:gridSpan w:val="5"/>
          </w:tcPr>
          <w:p>
            <w:pPr>
              <w:spacing w:after="0" w:line="178"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Form 8-K filed on August 31, 2017).</w:t>
              </w:r>
            </w:hyperlink>
          </w:p>
        </w:tc>
        <w:tc>
          <w:tcPr>
            <w:tcW w:w="7200" w:type="dxa"/>
            <w:vAlign w:val="bottom"/>
            <w:gridSpan w:val="23"/>
          </w:tcPr>
          <w:p>
            <w:pPr>
              <w:spacing w:after="0"/>
              <w:rPr>
                <w:sz w:val="15"/>
                <w:szCs w:val="15"/>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10.1.1</w:t>
            </w:r>
          </w:p>
        </w:tc>
        <w:tc>
          <w:tcPr>
            <w:tcW w:w="560" w:type="dxa"/>
            <w:vAlign w:val="bottom"/>
          </w:tcPr>
          <w:p>
            <w:pPr>
              <w:spacing w:after="0"/>
              <w:rPr>
                <w:sz w:val="19"/>
                <w:szCs w:val="19"/>
                <w:color w:val="auto"/>
              </w:rPr>
            </w:pPr>
          </w:p>
        </w:tc>
        <w:tc>
          <w:tcPr>
            <w:tcW w:w="9640" w:type="dxa"/>
            <w:vAlign w:val="bottom"/>
            <w:gridSpan w:val="28"/>
          </w:tcPr>
          <w:p>
            <w:pPr>
              <w:spacing w:after="0"/>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Amendment No. 1, dated as of September 21, 2018, to the Fourth Amended and Restated Credit Agreement dated as of August 25, 2017, by and</w:t>
              </w:r>
            </w:hyperlink>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22"/>
          </w:tcPr>
          <w:p>
            <w:pPr>
              <w:spacing w:after="0" w:line="178"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among The William Carter Company, as U.S. Borrower, The Genuine Canadian Corp., as Canadian Borrower, Carter’s Holdings B.V., as Dutch</w:t>
              </w:r>
            </w:hyperlink>
          </w:p>
        </w:tc>
        <w:tc>
          <w:tcPr>
            <w:tcW w:w="80" w:type="dxa"/>
            <w:vAlign w:val="bottom"/>
            <w:tcBorders>
              <w:top w:val="single" w:sz="8" w:color="0000FF"/>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340" w:type="dxa"/>
            <w:vAlign w:val="bottom"/>
            <w:tcBorders>
              <w:bottom w:val="single" w:sz="8" w:color="0000FF"/>
            </w:tcBorders>
            <w:gridSpan w:val="17"/>
          </w:tcPr>
          <w:p>
            <w:pPr>
              <w:spacing w:after="0" w:line="178"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Borrower, JPMorgan Chase Bank, N.A., as Administrative Agent, Collateral Agent, U.S. Dollar Facility Swing Line Lender and U.S. Dollar</w:t>
              </w:r>
            </w:hyperlink>
          </w:p>
        </w:tc>
        <w:tc>
          <w:tcPr>
            <w:tcW w:w="300" w:type="dxa"/>
            <w:vAlign w:val="bottom"/>
            <w:gridSpan w:val="11"/>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60" w:type="dxa"/>
            <w:vAlign w:val="bottom"/>
            <w:tcBorders>
              <w:bottom w:val="single" w:sz="8" w:color="0000FF"/>
            </w:tcBorders>
            <w:gridSpan w:val="10"/>
          </w:tcPr>
          <w:p>
            <w:pPr>
              <w:spacing w:after="0" w:line="178"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Facility L/C Issuer, JPMorgan Chase Bank, N.A., Toronto Branch, as Canadian Agent, a Multicurrency Facility Swing Line Lender and a</w:t>
              </w:r>
            </w:hyperlink>
          </w:p>
        </w:tc>
        <w:tc>
          <w:tcPr>
            <w:tcW w:w="580" w:type="dxa"/>
            <w:vAlign w:val="bottom"/>
            <w:gridSpan w:val="18"/>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gridSpan w:val="28"/>
          </w:tcPr>
          <w:p>
            <w:pPr>
              <w:spacing w:after="0" w:line="178"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Multicurrency Facility L/C Issuer, J.P. Morgan Europe Limited, as European Agent, JPMorgan Chase Bank, N.A., London Branch, as a</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60" w:type="dxa"/>
            <w:vAlign w:val="bottom"/>
            <w:gridSpan w:val="8"/>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gridSpan w:val="28"/>
          </w:tcPr>
          <w:p>
            <w:pPr>
              <w:spacing w:after="0" w:line="178"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Multicurrency Facility Swing Line Lender and a Multicurrency Facility L/C Issuer, each lender from time to time party thereto and the other</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60" w:type="dxa"/>
            <w:vAlign w:val="bottom"/>
            <w:gridSpan w:val="8"/>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gridSpan w:val="28"/>
          </w:tcPr>
          <w:p>
            <w:pPr>
              <w:spacing w:after="0" w:line="178"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parties party thereto (incorporated by reference to Exhibit 10.1 of Carter’s, Inc.’s Current Report on Form 8-K filed on September 26, 2018).</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60" w:type="dxa"/>
            <w:vAlign w:val="bottom"/>
            <w:gridSpan w:val="8"/>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27"/>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10.2 *</w:t>
            </w:r>
          </w:p>
        </w:tc>
        <w:tc>
          <w:tcPr>
            <w:tcW w:w="560" w:type="dxa"/>
            <w:vAlign w:val="bottom"/>
          </w:tcPr>
          <w:p>
            <w:pPr>
              <w:spacing w:after="0"/>
              <w:rPr>
                <w:sz w:val="19"/>
                <w:szCs w:val="19"/>
                <w:color w:val="auto"/>
              </w:rPr>
            </w:pPr>
          </w:p>
        </w:tc>
        <w:tc>
          <w:tcPr>
            <w:tcW w:w="928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Form of Severance Agreement entered into from time to time between The William Carter Company and executive officers (incorporated by</w:t>
              </w:r>
            </w:hyperlink>
          </w:p>
        </w:tc>
        <w:tc>
          <w:tcPr>
            <w:tcW w:w="360" w:type="dxa"/>
            <w:vAlign w:val="bottom"/>
            <w:gridSpan w:val="14"/>
          </w:tcPr>
          <w:p>
            <w:pPr>
              <w:spacing w:after="0"/>
              <w:rPr>
                <w:sz w:val="19"/>
                <w:szCs w:val="19"/>
                <w:color w:val="auto"/>
              </w:rPr>
            </w:pPr>
          </w:p>
        </w:tc>
      </w:tr>
      <w:tr>
        <w:trPr>
          <w:trHeight w:val="178"/>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gridSpan w:val="28"/>
          </w:tcPr>
          <w:p>
            <w:pPr>
              <w:spacing w:after="0" w:line="178"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reference to Exhibit 10.2 of Carter’s Inc.’s Quarterly Report on Form 10-Q filed on October 29, 2015).</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60" w:type="dxa"/>
            <w:vAlign w:val="bottom"/>
            <w:gridSpan w:val="8"/>
            <w:shd w:val="clear" w:color="auto" w:fill="0000FF"/>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25"/>
        </w:trPr>
        <w:tc>
          <w:tcPr>
            <w:tcW w:w="11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10.3 *</w:t>
            </w:r>
          </w:p>
        </w:tc>
        <w:tc>
          <w:tcPr>
            <w:tcW w:w="560" w:type="dxa"/>
            <w:vAlign w:val="bottom"/>
          </w:tcPr>
          <w:p>
            <w:pPr>
              <w:spacing w:after="0"/>
              <w:rPr>
                <w:sz w:val="24"/>
                <w:szCs w:val="24"/>
                <w:color w:val="auto"/>
              </w:rPr>
            </w:pPr>
          </w:p>
        </w:tc>
        <w:tc>
          <w:tcPr>
            <w:tcW w:w="9640" w:type="dxa"/>
            <w:vAlign w:val="bottom"/>
            <w:gridSpan w:val="28"/>
          </w:tcPr>
          <w:p>
            <w:pPr>
              <w:spacing w:after="0"/>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Amended and Restated Equity Incentive Plan (incorporated by reference to Appendix B of Carter's, Inc.'s Schedule 14A filed on April 4, 2018).</w:t>
              </w:r>
            </w:hyperlink>
          </w:p>
        </w:tc>
      </w:tr>
      <w:tr>
        <w:trPr>
          <w:trHeight w:val="660"/>
        </w:trPr>
        <w:tc>
          <w:tcPr>
            <w:tcW w:w="11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5200" w:type="dxa"/>
            <w:vAlign w:val="bottom"/>
            <w:tcBorders>
              <w:top w:val="single" w:sz="8" w:color="0000FF"/>
            </w:tcBorders>
            <w:gridSpan w:val="6"/>
          </w:tcPr>
          <w:p>
            <w:pPr>
              <w:jc w:val="right"/>
              <w:ind w:right="1160"/>
              <w:spacing w:after="0"/>
              <w:rPr>
                <w:sz w:val="20"/>
                <w:szCs w:val="20"/>
                <w:color w:val="auto"/>
              </w:rPr>
            </w:pPr>
            <w:r>
              <w:rPr>
                <w:rFonts w:ascii="Times New Roman" w:cs="Times New Roman" w:eastAsia="Times New Roman" w:hAnsi="Times New Roman"/>
                <w:sz w:val="16"/>
                <w:szCs w:val="16"/>
                <w:color w:val="auto"/>
              </w:rPr>
              <w:t>99</w:t>
            </w:r>
          </w:p>
        </w:tc>
        <w:tc>
          <w:tcPr>
            <w:tcW w:w="1540" w:type="dxa"/>
            <w:vAlign w:val="bottom"/>
            <w:tcBorders>
              <w:top w:val="single" w:sz="8" w:color="0000FF"/>
            </w:tcBorders>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60" w:top="487" w:right="279" w:bottom="1440" w:gutter="0" w:footer="0" w:header="0"/>
        </w:sectPr>
      </w:pPr>
    </w:p>
    <w:bookmarkStart w:id="102" w:name="page103"/>
    <w:bookmarkEnd w:id="102"/>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1160" w:type="dxa"/>
            <w:vAlign w:val="bottom"/>
          </w:tcPr>
          <w:p>
            <w:pPr>
              <w:jc w:val="center"/>
              <w:ind w:right="658"/>
              <w:spacing w:after="0"/>
              <w:rPr>
                <w:sz w:val="20"/>
                <w:szCs w:val="20"/>
                <w:color w:val="auto"/>
              </w:rPr>
            </w:pPr>
            <w:r>
              <w:rPr>
                <w:rFonts w:ascii="Times New Roman" w:cs="Times New Roman" w:eastAsia="Times New Roman" w:hAnsi="Times New Roman"/>
                <w:sz w:val="16"/>
                <w:szCs w:val="16"/>
                <w:color w:val="auto"/>
              </w:rPr>
              <w:t>10.4 *</w:t>
            </w:r>
          </w:p>
        </w:tc>
        <w:tc>
          <w:tcPr>
            <w:tcW w:w="950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Amended and Restated Annual Incentive Compensation Plan (incorporated by reference to Appendix C of Carter's, Inc.'s Schedule 14A filed on</w:t>
              </w:r>
            </w:hyperlink>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1140" w:type="dxa"/>
            <w:vAlign w:val="bottom"/>
            <w:tcBorders>
              <w:bottom w:val="single" w:sz="8" w:color="0000FF"/>
            </w:tcBorders>
          </w:tcPr>
          <w:p>
            <w:pPr>
              <w:spacing w:after="0" w:line="178"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March 31, 2016).</w:t>
              </w:r>
            </w:hyperlink>
          </w:p>
        </w:tc>
        <w:tc>
          <w:tcPr>
            <w:tcW w:w="8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160" w:type="dxa"/>
            <w:vAlign w:val="bottom"/>
          </w:tcPr>
          <w:p>
            <w:pPr>
              <w:jc w:val="center"/>
              <w:ind w:right="658"/>
              <w:spacing w:after="0"/>
              <w:rPr>
                <w:sz w:val="20"/>
                <w:szCs w:val="20"/>
                <w:color w:val="auto"/>
              </w:rPr>
            </w:pPr>
            <w:r>
              <w:rPr>
                <w:rFonts w:ascii="Times New Roman" w:cs="Times New Roman" w:eastAsia="Times New Roman" w:hAnsi="Times New Roman"/>
                <w:sz w:val="16"/>
                <w:szCs w:val="16"/>
                <w:color w:val="auto"/>
              </w:rPr>
              <w:t>10.5 *</w:t>
            </w:r>
          </w:p>
        </w:tc>
        <w:tc>
          <w:tcPr>
            <w:tcW w:w="9500" w:type="dxa"/>
            <w:vAlign w:val="bottom"/>
            <w:gridSpan w:val="12"/>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The William Carter Company Severance Plan, dated as of March 1, 2009 (incorporated by reference to Exhibit 10.19 of Carter's, Inc.'s Annual</w:t>
              </w:r>
            </w:hyperlink>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9380" w:type="dxa"/>
            <w:vAlign w:val="bottom"/>
            <w:tcBorders>
              <w:top w:val="single" w:sz="8" w:color="0000FF"/>
            </w:tcBorders>
            <w:gridSpan w:val="10"/>
          </w:tcPr>
          <w:p>
            <w:pPr>
              <w:spacing w:after="0" w:line="178"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Report on Form 10-K filed on March 2, 2011).</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tcPr>
          <w:p>
            <w:pPr>
              <w:jc w:val="center"/>
              <w:ind w:right="658"/>
              <w:spacing w:after="0"/>
              <w:rPr>
                <w:sz w:val="20"/>
                <w:szCs w:val="20"/>
                <w:color w:val="auto"/>
              </w:rPr>
            </w:pPr>
            <w:r>
              <w:rPr>
                <w:rFonts w:ascii="Times New Roman" w:cs="Times New Roman" w:eastAsia="Times New Roman" w:hAnsi="Times New Roman"/>
                <w:sz w:val="16"/>
                <w:szCs w:val="16"/>
                <w:color w:val="auto"/>
              </w:rPr>
              <w:t>10.6 *</w:t>
            </w:r>
          </w:p>
        </w:tc>
        <w:tc>
          <w:tcPr>
            <w:tcW w:w="914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The William Carter Company Deferred Compensation Plan, dated as of November 10, 2010 (incorporated by reference to Exhibit 10.20 of</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9500" w:type="dxa"/>
            <w:vAlign w:val="bottom"/>
            <w:gridSpan w:val="12"/>
          </w:tcPr>
          <w:p>
            <w:pPr>
              <w:spacing w:after="0" w:line="178"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Carter's, Inc.'s Annual Report on Form 10-K filed on March 2, 2011).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gridSpan w:val="3"/>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tcPr>
          <w:p>
            <w:pPr>
              <w:jc w:val="center"/>
              <w:ind w:right="658"/>
              <w:spacing w:after="0"/>
              <w:rPr>
                <w:sz w:val="20"/>
                <w:szCs w:val="20"/>
                <w:color w:val="auto"/>
              </w:rPr>
            </w:pPr>
            <w:r>
              <w:rPr>
                <w:rFonts w:ascii="Times New Roman" w:cs="Times New Roman" w:eastAsia="Times New Roman" w:hAnsi="Times New Roman"/>
                <w:sz w:val="16"/>
                <w:szCs w:val="16"/>
                <w:color w:val="auto"/>
              </w:rPr>
              <w:t>10.7</w:t>
            </w:r>
          </w:p>
        </w:tc>
        <w:tc>
          <w:tcPr>
            <w:tcW w:w="94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Lease Agreement dated March 29, 2012, between The William Carter Company and Duke Secured Financing 2009-1 ALZ, LLC (incorporated</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9500" w:type="dxa"/>
            <w:vAlign w:val="bottom"/>
            <w:gridSpan w:val="12"/>
          </w:tcPr>
          <w:p>
            <w:pPr>
              <w:spacing w:after="0" w:line="178"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by reference to Exhibit 10.21 of Carter's, Inc.'s Quarterly Report on Form 10-Q filed on April 27, 2012).</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ind w:right="658"/>
              <w:spacing w:after="0"/>
              <w:rPr>
                <w:sz w:val="20"/>
                <w:szCs w:val="20"/>
                <w:color w:val="auto"/>
              </w:rPr>
            </w:pPr>
            <w:r>
              <w:rPr>
                <w:rFonts w:ascii="Times New Roman" w:cs="Times New Roman" w:eastAsia="Times New Roman" w:hAnsi="Times New Roman"/>
                <w:sz w:val="16"/>
                <w:szCs w:val="16"/>
                <w:color w:val="auto"/>
              </w:rPr>
              <w:t>10.8</w:t>
            </w:r>
          </w:p>
        </w:tc>
        <w:tc>
          <w:tcPr>
            <w:tcW w:w="67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1160" w:type="dxa"/>
            <w:vAlign w:val="bottom"/>
            <w:vMerge w:val="continue"/>
          </w:tcPr>
          <w:p>
            <w:pPr>
              <w:spacing w:after="0"/>
              <w:rPr>
                <w:sz w:val="24"/>
                <w:szCs w:val="24"/>
                <w:color w:val="auto"/>
              </w:rPr>
            </w:pPr>
          </w:p>
        </w:tc>
        <w:tc>
          <w:tcPr>
            <w:tcW w:w="9500" w:type="dxa"/>
            <w:vAlign w:val="bottom"/>
            <w:gridSpan w:val="12"/>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Lease Agreement dated December 14, 2012, between The William Carter Company and Phipps Tower Associates, LLC (incorporated by</w:t>
              </w:r>
            </w:hyperlink>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740" w:type="dxa"/>
            <w:vAlign w:val="bottom"/>
            <w:tcBorders>
              <w:top w:val="single" w:sz="8" w:color="0000FF"/>
              <w:bottom w:val="single" w:sz="8" w:color="0000FF"/>
            </w:tcBorders>
            <w:gridSpan w:val="4"/>
          </w:tcPr>
          <w:p>
            <w:pPr>
              <w:spacing w:after="0" w:line="178"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reference to Exhibit 10.1 of Carter’s, Inc.’s Current Report on Form 8-K filed on December 14, 2012).</w:t>
              </w:r>
            </w:hyperlink>
          </w:p>
        </w:tc>
        <w:tc>
          <w:tcPr>
            <w:tcW w:w="2280" w:type="dxa"/>
            <w:vAlign w:val="bottom"/>
            <w:tcBorders>
              <w:top w:val="single" w:sz="8" w:color="0000FF"/>
            </w:tcBorders>
            <w:gridSpan w:val="3"/>
          </w:tcPr>
          <w:p>
            <w:pPr>
              <w:spacing w:after="0"/>
              <w:rPr>
                <w:sz w:val="15"/>
                <w:szCs w:val="15"/>
                <w:color w:val="auto"/>
              </w:rPr>
            </w:pPr>
          </w:p>
        </w:tc>
        <w:tc>
          <w:tcPr>
            <w:tcW w:w="4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1160" w:type="dxa"/>
            <w:vAlign w:val="bottom"/>
          </w:tcPr>
          <w:p>
            <w:pPr>
              <w:jc w:val="center"/>
              <w:ind w:right="658"/>
              <w:spacing w:after="0"/>
              <w:rPr>
                <w:sz w:val="20"/>
                <w:szCs w:val="20"/>
                <w:color w:val="auto"/>
              </w:rPr>
            </w:pPr>
            <w:r>
              <w:rPr>
                <w:rFonts w:ascii="Times New Roman" w:cs="Times New Roman" w:eastAsia="Times New Roman" w:hAnsi="Times New Roman"/>
                <w:sz w:val="16"/>
                <w:szCs w:val="16"/>
                <w:color w:val="auto"/>
              </w:rPr>
              <w:t>10.8.1</w:t>
            </w:r>
          </w:p>
        </w:tc>
        <w:tc>
          <w:tcPr>
            <w:tcW w:w="9500" w:type="dxa"/>
            <w:vAlign w:val="bottom"/>
            <w:gridSpan w:val="12"/>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Second Amendment to the Lease Agreement dated June 17, 2013, between The William Carter Company and Phipps Tower Associates, LLC</w:t>
              </w:r>
            </w:hyperlink>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8020" w:type="dxa"/>
            <w:vAlign w:val="bottom"/>
            <w:tcBorders>
              <w:top w:val="single" w:sz="8" w:color="0000FF"/>
              <w:bottom w:val="single" w:sz="8" w:color="0000FF"/>
            </w:tcBorders>
            <w:gridSpan w:val="6"/>
          </w:tcPr>
          <w:p>
            <w:pPr>
              <w:spacing w:after="0" w:line="178"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(incorporated by reference to Exhibit 10.19 of Carter’s, Inc.’s Quarterly Report on Form 10-Q filed on October 24, 2013).</w:t>
              </w:r>
            </w:hyperlink>
          </w:p>
        </w:tc>
        <w:tc>
          <w:tcPr>
            <w:tcW w:w="1280" w:type="dxa"/>
            <w:vAlign w:val="bottom"/>
            <w:tcBorders>
              <w:top w:val="single" w:sz="8" w:color="0000FF"/>
            </w:tcBorders>
            <w:gridSpan w:val="3"/>
          </w:tcPr>
          <w:p>
            <w:pPr>
              <w:spacing w:after="0"/>
              <w:rPr>
                <w:sz w:val="15"/>
                <w:szCs w:val="15"/>
                <w:color w:val="auto"/>
              </w:rPr>
            </w:pPr>
          </w:p>
        </w:tc>
        <w:tc>
          <w:tcPr>
            <w:tcW w:w="2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860" w:hanging="1029"/>
        <w:spacing w:after="0"/>
        <w:tabs>
          <w:tab w:leader="none" w:pos="1860" w:val="left"/>
        </w:tabs>
        <w:numPr>
          <w:ilvl w:val="0"/>
          <w:numId w:val="56"/>
        </w:numPr>
        <w:rPr>
          <w:rFonts w:ascii="Times New Roman" w:cs="Times New Roman" w:eastAsia="Times New Roman" w:hAnsi="Times New Roman"/>
          <w:sz w:val="16"/>
          <w:szCs w:val="16"/>
          <w:u w:val="single" w:color="auto"/>
          <w:color w:val="0000FF"/>
        </w:rPr>
      </w:pPr>
      <w:hyperlink w:anchor="page106">
        <w:r>
          <w:rPr>
            <w:rFonts w:ascii="Times New Roman" w:cs="Times New Roman" w:eastAsia="Times New Roman" w:hAnsi="Times New Roman"/>
            <w:sz w:val="16"/>
            <w:szCs w:val="16"/>
            <w:u w:val="single" w:color="auto"/>
            <w:color w:val="0000FF"/>
          </w:rPr>
          <w:t>Subsidiaries of Carter's, Inc.</w:t>
        </w:r>
      </w:hyperlink>
    </w:p>
    <w:p>
      <w:pPr>
        <w:spacing w:after="0" w:line="63" w:lineRule="exact"/>
        <w:rPr>
          <w:sz w:val="20"/>
          <w:szCs w:val="20"/>
          <w:color w:val="auto"/>
        </w:rPr>
      </w:pPr>
    </w:p>
    <w:p>
      <w:pPr>
        <w:ind w:left="1860" w:hanging="1029"/>
        <w:spacing w:after="0"/>
        <w:tabs>
          <w:tab w:leader="none" w:pos="1860" w:val="left"/>
        </w:tabs>
        <w:numPr>
          <w:ilvl w:val="0"/>
          <w:numId w:val="57"/>
        </w:numPr>
        <w:rPr>
          <w:rFonts w:ascii="Times New Roman" w:cs="Times New Roman" w:eastAsia="Times New Roman" w:hAnsi="Times New Roman"/>
          <w:sz w:val="16"/>
          <w:szCs w:val="16"/>
          <w:u w:val="single" w:color="auto"/>
          <w:color w:val="0000FF"/>
        </w:rPr>
      </w:pPr>
      <w:hyperlink w:anchor="page107">
        <w:r>
          <w:rPr>
            <w:rFonts w:ascii="Times New Roman" w:cs="Times New Roman" w:eastAsia="Times New Roman" w:hAnsi="Times New Roman"/>
            <w:sz w:val="16"/>
            <w:szCs w:val="16"/>
            <w:u w:val="single" w:color="auto"/>
            <w:color w:val="0000FF"/>
          </w:rPr>
          <w:t>Consent of Independent Registered Public Accounting Firm.</w:t>
        </w:r>
      </w:hyperlink>
    </w:p>
    <w:p>
      <w:pPr>
        <w:spacing w:after="0" w:line="56"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110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99"/>
              </w:rPr>
              <w:t>31.1</w:t>
            </w:r>
          </w:p>
        </w:tc>
        <w:tc>
          <w:tcPr>
            <w:tcW w:w="422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w:anchor="page108">
              <w:r>
                <w:rPr>
                  <w:rFonts w:ascii="Times New Roman" w:cs="Times New Roman" w:eastAsia="Times New Roman" w:hAnsi="Times New Roman"/>
                  <w:sz w:val="16"/>
                  <w:szCs w:val="16"/>
                  <w:color w:val="0000FF"/>
                </w:rPr>
                <w:t>Rule 13a-15(e)/15d-15(e) and 13a-15(f)/15d-15(f) Certification.</w:t>
              </w:r>
            </w:hyperlink>
          </w:p>
        </w:tc>
      </w:tr>
      <w:tr>
        <w:trPr>
          <w:trHeight w:val="227"/>
        </w:trPr>
        <w:tc>
          <w:tcPr>
            <w:tcW w:w="110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99"/>
              </w:rPr>
              <w:t>31.2</w:t>
            </w:r>
          </w:p>
        </w:tc>
        <w:tc>
          <w:tcPr>
            <w:tcW w:w="422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w:anchor="page109">
              <w:r>
                <w:rPr>
                  <w:rFonts w:ascii="Times New Roman" w:cs="Times New Roman" w:eastAsia="Times New Roman" w:hAnsi="Times New Roman"/>
                  <w:sz w:val="16"/>
                  <w:szCs w:val="16"/>
                  <w:color w:val="0000FF"/>
                </w:rPr>
                <w:t>Rule 13a-15(e)/15d-15(e) and 13a-15(f)/15d-15(f) Certification.</w:t>
              </w:r>
            </w:hyperlink>
          </w:p>
        </w:tc>
      </w:tr>
    </w:tbl>
    <w:p>
      <w:pPr>
        <w:spacing w:after="0" w:line="58" w:lineRule="exact"/>
        <w:rPr>
          <w:sz w:val="20"/>
          <w:szCs w:val="20"/>
          <w:color w:val="auto"/>
        </w:rPr>
      </w:pPr>
    </w:p>
    <w:p>
      <w:pPr>
        <w:ind w:left="1860" w:hanging="1029"/>
        <w:spacing w:after="0"/>
        <w:tabs>
          <w:tab w:leader="none" w:pos="1860" w:val="left"/>
        </w:tabs>
        <w:numPr>
          <w:ilvl w:val="0"/>
          <w:numId w:val="58"/>
        </w:numPr>
        <w:rPr>
          <w:rFonts w:ascii="Times New Roman" w:cs="Times New Roman" w:eastAsia="Times New Roman" w:hAnsi="Times New Roman"/>
          <w:sz w:val="16"/>
          <w:szCs w:val="16"/>
          <w:u w:val="single" w:color="auto"/>
          <w:color w:val="0000FF"/>
        </w:rPr>
      </w:pPr>
      <w:hyperlink w:anchor="page110">
        <w:r>
          <w:rPr>
            <w:rFonts w:ascii="Times New Roman" w:cs="Times New Roman" w:eastAsia="Times New Roman" w:hAnsi="Times New Roman"/>
            <w:sz w:val="16"/>
            <w:szCs w:val="16"/>
            <w:u w:val="single" w:color="auto"/>
            <w:color w:val="0000FF"/>
          </w:rPr>
          <w:t>Section 1350 Certification.</w:t>
        </w:r>
      </w:hyperlink>
    </w:p>
    <w:p>
      <w:pPr>
        <w:spacing w:after="0" w:line="63" w:lineRule="exact"/>
        <w:rPr>
          <w:sz w:val="20"/>
          <w:szCs w:val="20"/>
          <w:color w:val="auto"/>
        </w:rPr>
      </w:pPr>
    </w:p>
    <w:p>
      <w:pPr>
        <w:ind w:left="1860" w:hanging="1070"/>
        <w:spacing w:after="0"/>
        <w:tabs>
          <w:tab w:leader="none" w:pos="186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Interactive Data File</w:t>
      </w:r>
    </w:p>
    <w:p>
      <w:pPr>
        <w:spacing w:after="0" w:line="23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or compensatory plan.</w:t>
      </w: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1360"/>
          </w:cols>
          <w:pgMar w:left="240" w:top="487"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Omitted at registrant's option.</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their behalf by the undersigned, thereunto duly authorized.</w:t>
      </w: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CARTER'S, INC.</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34925</wp:posOffset>
            </wp:positionV>
            <wp:extent cx="36880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3688080" cy="7620"/>
                    </a:xfrm>
                    <a:prstGeom prst="rect">
                      <a:avLst/>
                    </a:prstGeom>
                    <a:noFill/>
                  </pic:spPr>
                </pic:pic>
              </a:graphicData>
            </a:graphic>
          </wp:anchor>
        </w:drawing>
      </w:r>
    </w:p>
    <w:p>
      <w:pPr>
        <w:spacing w:after="0" w:line="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Michael D. Casey</w:t>
      </w:r>
    </w:p>
    <w:p>
      <w:pPr>
        <w:spacing w:after="0" w:line="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25, 2019</w:t>
      </w:r>
    </w:p>
    <w:p>
      <w:pPr>
        <w:spacing w:after="0" w:line="211"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80" w:type="dxa"/>
            <w:vAlign w:val="bottom"/>
          </w:tcPr>
          <w:p>
            <w:pPr>
              <w:spacing w:after="0"/>
              <w:rPr>
                <w:sz w:val="16"/>
                <w:szCs w:val="16"/>
                <w:color w:val="auto"/>
              </w:rPr>
            </w:pPr>
          </w:p>
        </w:tc>
        <w:tc>
          <w:tcPr>
            <w:tcW w:w="4200" w:type="dxa"/>
            <w:vAlign w:val="bottom"/>
            <w:gridSpan w:val="3"/>
          </w:tcPr>
          <w:p>
            <w:pPr>
              <w:ind w:left="23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6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
        </w:trPr>
        <w:tc>
          <w:tcPr>
            <w:tcW w:w="1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60"/>
        </w:trPr>
        <w:tc>
          <w:tcPr>
            <w:tcW w:w="37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 MICHAEL D. CASEY</w:t>
            </w:r>
          </w:p>
        </w:tc>
        <w:tc>
          <w:tcPr>
            <w:tcW w:w="4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2740" w:type="dxa"/>
            <w:vAlign w:val="bottom"/>
            <w:gridSpan w:val="3"/>
          </w:tcPr>
          <w:p>
            <w:pPr>
              <w:ind w:left="1520"/>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5"/>
        </w:trPr>
        <w:tc>
          <w:tcPr>
            <w:tcW w:w="37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Michael D. Casey</w:t>
            </w:r>
          </w:p>
        </w:tc>
        <w:tc>
          <w:tcPr>
            <w:tcW w:w="4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RICHARD F. WESTENBERGER</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2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378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Richard F. Westenberger</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23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AMY WOODS BRINKLEY</w:t>
            </w: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8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37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Amy Woods Brinkley</w:t>
            </w:r>
          </w:p>
        </w:tc>
        <w:tc>
          <w:tcPr>
            <w:tcW w:w="314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GIUSEPPINA BUONFANTINO</w:t>
            </w: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8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37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Giuseppina Buonfantino</w:t>
            </w:r>
          </w:p>
        </w:tc>
        <w:tc>
          <w:tcPr>
            <w:tcW w:w="314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A. BRUCE CLEVERLY</w:t>
            </w: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8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37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 Bruce Cleverly</w:t>
            </w:r>
          </w:p>
        </w:tc>
        <w:tc>
          <w:tcPr>
            <w:tcW w:w="314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JEVIN S. EAGLE</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5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37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Jevin S. Eagle</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445"/>
        </w:trPr>
        <w:tc>
          <w:tcPr>
            <w:tcW w:w="3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jc w:val="right"/>
              <w:ind w:right="5138"/>
              <w:spacing w:after="0"/>
              <w:rPr>
                <w:sz w:val="20"/>
                <w:szCs w:val="20"/>
                <w:color w:val="auto"/>
              </w:rPr>
            </w:pPr>
            <w:r>
              <w:rPr>
                <w:rFonts w:ascii="Times New Roman" w:cs="Times New Roman" w:eastAsia="Times New Roman" w:hAnsi="Times New Roman"/>
                <w:sz w:val="16"/>
                <w:szCs w:val="16"/>
                <w:color w:val="auto"/>
              </w:rPr>
              <w:t>101</w:t>
            </w:r>
          </w:p>
        </w:tc>
      </w:tr>
    </w:tbl>
    <w:p>
      <w:pPr>
        <w:sectPr>
          <w:pgSz w:w="11900" w:h="16838" w:orient="portrait"/>
          <w:cols w:equalWidth="0" w:num="1">
            <w:col w:w="11100"/>
          </w:cols>
          <w:pgMar w:left="240" w:top="341" w:right="55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MARK P. HIPP</w:t>
            </w: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8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37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 P. Hipp</w:t>
            </w:r>
          </w:p>
        </w:tc>
        <w:tc>
          <w:tcPr>
            <w:tcW w:w="314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WILLIAM J. MONTGORIS</w:t>
            </w: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8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37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William J. Montgoris</w:t>
            </w:r>
          </w:p>
        </w:tc>
        <w:tc>
          <w:tcPr>
            <w:tcW w:w="314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DAVID PULVER</w:t>
            </w: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8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February 25, 2019</w:t>
            </w:r>
          </w:p>
        </w:tc>
      </w:tr>
      <w:tr>
        <w:trPr>
          <w:trHeight w:val="24"/>
        </w:trPr>
        <w:tc>
          <w:tcPr>
            <w:tcW w:w="37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1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David Pulver</w:t>
            </w:r>
          </w:p>
        </w:tc>
        <w:tc>
          <w:tcPr>
            <w:tcW w:w="314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720"/>
          </w:cols>
          <w:pgMar w:left="580" w:top="1198" w:right="5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6"/>
          <w:szCs w:val="16"/>
          <w:color w:val="auto"/>
        </w:rPr>
        <w:t>Exhibit 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Subsidiaries of Carter's, Inc.</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William Carter Company is incorporated in Massachusetts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OshKosh B'Gosh, Inc. is incorporated in Delaware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Retail, Inc. is incorporated in Delaware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OshKosh International, LLC is incorporated in Delaware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International Holdings C.V. is formed in the Netherlands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TWCC Product Development and Sales, Inc. is incorporated in Delaware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Giftcard Company, Inc. is incorporated in Florida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Canadian Holdings, B.V. is formed in the Netherlands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Holdings B.V. is formed in the Netherlands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Genuine Canadian Corp. is incorporated in Ontario, Canada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Global Sourcing Limited is formed in Hong Kong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International Trading Company Limited is formed on Hong Kong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Shanghai Trading Co., Ltd is formed in China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Shanghai Business Information Consulting Co., Ltd is formed in China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Skip Hop Holdings, Inc. is incorporated in Delaware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Skip Hop, Inc. is incorporated in New York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Skip Hop UK Limited is formed in England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Skip Hop (Shenzhen) Trading Company Limited is formed in China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Carter's Mexico LLC is incorporated in Delaware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Industrias Bunny Baby, S.A. de C.V. is formed in Mexico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Operacion Efficaz,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358" w:right="239" w:bottom="1440" w:gutter="0" w:footer="0" w:header="0"/>
        </w:sectPr>
      </w:pPr>
    </w:p>
    <w:bookmarkStart w:id="106" w:name="page107"/>
    <w:bookmarkEnd w:id="106"/>
    <w:p>
      <w:pPr>
        <w:ind w:left="5940"/>
        <w:spacing w:after="0"/>
        <w:rPr>
          <w:sz w:val="20"/>
          <w:szCs w:val="20"/>
          <w:color w:val="auto"/>
        </w:rPr>
      </w:pPr>
      <w:r>
        <w:rPr>
          <w:rFonts w:ascii="Times New Roman" w:cs="Times New Roman" w:eastAsia="Times New Roman" w:hAnsi="Times New Roman"/>
          <w:sz w:val="16"/>
          <w:szCs w:val="16"/>
          <w:color w:val="auto"/>
        </w:rPr>
        <w:t>Exhibit 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 on Form S-8 (Nos. 333-177724, 333-168446, 333-125306, and 333-225144) of Carter's, Inc. of our report dated February 25, 2019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Georgia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25, 2019</w:t>
      </w:r>
    </w:p>
    <w:p>
      <w:pPr>
        <w:sectPr>
          <w:pgSz w:w="11900" w:h="16838" w:orient="portrait"/>
          <w:cols w:equalWidth="0" w:num="1">
            <w:col w:w="11420"/>
          </w:cols>
          <w:pgMar w:left="240" w:top="543"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D. Casey, certify that:</w:t>
      </w:r>
    </w:p>
    <w:p>
      <w:pPr>
        <w:spacing w:after="0" w:line="236" w:lineRule="exact"/>
        <w:rPr>
          <w:sz w:val="20"/>
          <w:szCs w:val="20"/>
          <w:color w:val="auto"/>
        </w:rPr>
      </w:pPr>
    </w:p>
    <w:p>
      <w:pPr>
        <w:ind w:left="600" w:hanging="305"/>
        <w:spacing w:after="0"/>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Carter’s, Inc.;</w:t>
      </w:r>
    </w:p>
    <w:p>
      <w:pPr>
        <w:spacing w:after="0" w:line="236" w:lineRule="exact"/>
        <w:rPr>
          <w:rFonts w:ascii="Times New Roman" w:cs="Times New Roman" w:eastAsia="Times New Roman" w:hAnsi="Times New Roman"/>
          <w:sz w:val="16"/>
          <w:szCs w:val="16"/>
          <w:color w:val="auto"/>
        </w:rPr>
      </w:pPr>
    </w:p>
    <w:p>
      <w:pPr>
        <w:ind w:left="600" w:right="80" w:hanging="305"/>
        <w:spacing w:after="0" w:line="298" w:lineRule="auto"/>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16"/>
          <w:szCs w:val="16"/>
          <w:color w:val="auto"/>
        </w:rPr>
      </w:pPr>
    </w:p>
    <w:p>
      <w:pPr>
        <w:ind w:left="600" w:right="600" w:hanging="305"/>
        <w:spacing w:after="0" w:line="298" w:lineRule="auto"/>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30"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6"/>
          <w:szCs w:val="16"/>
          <w:color w:val="auto"/>
        </w:rPr>
      </w:pPr>
    </w:p>
    <w:p>
      <w:pPr>
        <w:ind w:left="1180" w:right="80" w:firstLine="5"/>
        <w:spacing w:after="0" w:line="277" w:lineRule="auto"/>
        <w:tabs>
          <w:tab w:leader="none" w:pos="1404"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6"/>
          <w:szCs w:val="16"/>
          <w:color w:val="auto"/>
        </w:rPr>
      </w:pPr>
    </w:p>
    <w:p>
      <w:pPr>
        <w:jc w:val="both"/>
        <w:ind w:left="1180" w:firstLine="5"/>
        <w:spacing w:after="0" w:line="277" w:lineRule="auto"/>
        <w:tabs>
          <w:tab w:leader="none" w:pos="141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6"/>
          <w:szCs w:val="16"/>
          <w:color w:val="auto"/>
        </w:rPr>
      </w:pPr>
    </w:p>
    <w:p>
      <w:pPr>
        <w:ind w:left="1180" w:right="60" w:firstLine="5"/>
        <w:spacing w:after="0" w:line="298" w:lineRule="auto"/>
        <w:tabs>
          <w:tab w:leader="none" w:pos="1404"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16"/>
          <w:szCs w:val="16"/>
          <w:color w:val="auto"/>
        </w:rPr>
      </w:pPr>
    </w:p>
    <w:p>
      <w:pPr>
        <w:ind w:left="1180" w:right="260" w:firstLine="5"/>
        <w:spacing w:after="0" w:line="277" w:lineRule="auto"/>
        <w:tabs>
          <w:tab w:leader="none" w:pos="141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6"/>
          <w:szCs w:val="16"/>
          <w:color w:val="auto"/>
        </w:rPr>
      </w:pPr>
    </w:p>
    <w:p>
      <w:pPr>
        <w:ind w:left="600" w:right="400" w:hanging="305"/>
        <w:spacing w:after="0" w:line="298" w:lineRule="auto"/>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6"/>
          <w:szCs w:val="16"/>
          <w:color w:val="auto"/>
        </w:rPr>
      </w:pPr>
    </w:p>
    <w:p>
      <w:pPr>
        <w:ind w:left="1180" w:firstLine="5"/>
        <w:spacing w:after="0" w:line="298" w:lineRule="auto"/>
        <w:tabs>
          <w:tab w:leader="none" w:pos="1404"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6"/>
          <w:szCs w:val="16"/>
          <w:color w:val="auto"/>
        </w:rPr>
      </w:pPr>
    </w:p>
    <w:p>
      <w:pPr>
        <w:ind w:left="1180" w:right="220" w:firstLine="5"/>
        <w:spacing w:after="0" w:line="298" w:lineRule="auto"/>
        <w:tabs>
          <w:tab w:leader="none" w:pos="141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380"/>
        <w:spacing w:after="0"/>
        <w:tabs>
          <w:tab w:leader="none" w:pos="6860" w:val="left"/>
        </w:tabs>
        <w:rPr>
          <w:sz w:val="20"/>
          <w:szCs w:val="20"/>
          <w:color w:val="auto"/>
        </w:rPr>
      </w:pPr>
      <w:r>
        <w:rPr>
          <w:rFonts w:ascii="Times New Roman" w:cs="Times New Roman" w:eastAsia="Times New Roman" w:hAnsi="Times New Roman"/>
          <w:sz w:val="16"/>
          <w:szCs w:val="16"/>
          <w:color w:val="auto"/>
        </w:rPr>
        <w:t>February 25, 2019</w:t>
      </w:r>
      <w:r>
        <w:rPr>
          <w:sz w:val="20"/>
          <w:szCs w:val="20"/>
          <w:color w:val="auto"/>
        </w:rPr>
        <w:tab/>
      </w: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34925</wp:posOffset>
            </wp:positionV>
            <wp:extent cx="16789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1678940" cy="15875"/>
                    </a:xfrm>
                    <a:prstGeom prst="rect">
                      <a:avLst/>
                    </a:prstGeom>
                    <a:noFill/>
                  </pic:spPr>
                </pic:pic>
              </a:graphicData>
            </a:graphic>
          </wp:anchor>
        </w:drawing>
      </w:r>
    </w:p>
    <w:p>
      <w:pPr>
        <w:spacing w:after="0" w:line="68"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6"/>
          <w:szCs w:val="16"/>
          <w:color w:val="auto"/>
        </w:rPr>
        <w:t>Michael D. Casey</w:t>
      </w:r>
    </w:p>
    <w:p>
      <w:pPr>
        <w:spacing w:after="0" w:line="61"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ectPr>
          <w:pgSz w:w="11900" w:h="16838" w:orient="portrait"/>
          <w:cols w:equalWidth="0" w:num="1">
            <w:col w:w="11420"/>
          </w:cols>
          <w:pgMar w:left="240" w:top="321"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6"/>
          <w:szCs w:val="16"/>
          <w:color w:val="auto"/>
        </w:rPr>
        <w:t>Exhibit 31.2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Richard F. Westenberger, certify that:</w:t>
      </w:r>
    </w:p>
    <w:p>
      <w:pPr>
        <w:spacing w:after="0" w:line="236" w:lineRule="exact"/>
        <w:rPr>
          <w:sz w:val="20"/>
          <w:szCs w:val="20"/>
          <w:color w:val="auto"/>
        </w:rPr>
      </w:pPr>
    </w:p>
    <w:p>
      <w:pPr>
        <w:ind w:left="600" w:hanging="305"/>
        <w:spacing w:after="0"/>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Carter’s, Inc.;</w:t>
      </w:r>
    </w:p>
    <w:p>
      <w:pPr>
        <w:spacing w:after="0" w:line="236" w:lineRule="exact"/>
        <w:rPr>
          <w:rFonts w:ascii="Times New Roman" w:cs="Times New Roman" w:eastAsia="Times New Roman" w:hAnsi="Times New Roman"/>
          <w:sz w:val="16"/>
          <w:szCs w:val="16"/>
          <w:color w:val="auto"/>
        </w:rPr>
      </w:pPr>
    </w:p>
    <w:p>
      <w:pPr>
        <w:ind w:left="600" w:right="80" w:hanging="305"/>
        <w:spacing w:after="0" w:line="298" w:lineRule="auto"/>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16"/>
          <w:szCs w:val="16"/>
          <w:color w:val="auto"/>
        </w:rPr>
      </w:pPr>
    </w:p>
    <w:p>
      <w:pPr>
        <w:ind w:left="600" w:right="600" w:hanging="305"/>
        <w:spacing w:after="0" w:line="298" w:lineRule="auto"/>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6"/>
          <w:szCs w:val="16"/>
          <w:color w:val="auto"/>
        </w:rPr>
      </w:pPr>
    </w:p>
    <w:p>
      <w:pPr>
        <w:ind w:left="600" w:hanging="305"/>
        <w:spacing w:after="0"/>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30"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6"/>
          <w:szCs w:val="16"/>
          <w:color w:val="auto"/>
        </w:rPr>
      </w:pPr>
    </w:p>
    <w:p>
      <w:pPr>
        <w:ind w:left="1180" w:right="80" w:firstLine="5"/>
        <w:spacing w:after="0" w:line="277" w:lineRule="auto"/>
        <w:tabs>
          <w:tab w:leader="none" w:pos="1404"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6"/>
          <w:szCs w:val="16"/>
          <w:color w:val="auto"/>
        </w:rPr>
      </w:pPr>
    </w:p>
    <w:p>
      <w:pPr>
        <w:jc w:val="both"/>
        <w:ind w:left="1180" w:firstLine="5"/>
        <w:spacing w:after="0" w:line="277" w:lineRule="auto"/>
        <w:tabs>
          <w:tab w:leader="none" w:pos="1413"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6"/>
          <w:szCs w:val="16"/>
          <w:color w:val="auto"/>
        </w:rPr>
      </w:pPr>
    </w:p>
    <w:p>
      <w:pPr>
        <w:ind w:left="1180" w:right="60" w:firstLine="5"/>
        <w:spacing w:after="0" w:line="298" w:lineRule="auto"/>
        <w:tabs>
          <w:tab w:leader="none" w:pos="1404"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16"/>
          <w:szCs w:val="16"/>
          <w:color w:val="auto"/>
        </w:rPr>
      </w:pPr>
    </w:p>
    <w:p>
      <w:pPr>
        <w:ind w:left="1180" w:right="260" w:firstLine="5"/>
        <w:spacing w:after="0" w:line="277" w:lineRule="auto"/>
        <w:tabs>
          <w:tab w:leader="none" w:pos="1413"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6"/>
          <w:szCs w:val="16"/>
          <w:color w:val="auto"/>
        </w:rPr>
      </w:pPr>
    </w:p>
    <w:p>
      <w:pPr>
        <w:ind w:left="600" w:right="400" w:hanging="305"/>
        <w:spacing w:after="0" w:line="298" w:lineRule="auto"/>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6"/>
          <w:szCs w:val="16"/>
          <w:color w:val="auto"/>
        </w:rPr>
      </w:pPr>
    </w:p>
    <w:p>
      <w:pPr>
        <w:ind w:left="1180" w:firstLine="5"/>
        <w:spacing w:after="0" w:line="298" w:lineRule="auto"/>
        <w:tabs>
          <w:tab w:leader="none" w:pos="1404"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6"/>
          <w:szCs w:val="16"/>
          <w:color w:val="auto"/>
        </w:rPr>
      </w:pPr>
    </w:p>
    <w:p>
      <w:pPr>
        <w:ind w:left="1180" w:right="220" w:firstLine="5"/>
        <w:spacing w:after="0" w:line="298" w:lineRule="auto"/>
        <w:tabs>
          <w:tab w:leader="none" w:pos="1413"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280"/>
        <w:spacing w:after="0"/>
        <w:tabs>
          <w:tab w:leader="none" w:pos="6360" w:val="left"/>
        </w:tabs>
        <w:rPr>
          <w:sz w:val="20"/>
          <w:szCs w:val="20"/>
          <w:color w:val="auto"/>
        </w:rPr>
      </w:pPr>
      <w:r>
        <w:rPr>
          <w:rFonts w:ascii="Times New Roman" w:cs="Times New Roman" w:eastAsia="Times New Roman" w:hAnsi="Times New Roman"/>
          <w:sz w:val="16"/>
          <w:szCs w:val="16"/>
          <w:color w:val="auto"/>
        </w:rPr>
        <w:t>February 25, 2019</w:t>
      </w:r>
      <w:r>
        <w:rPr>
          <w:sz w:val="20"/>
          <w:szCs w:val="20"/>
          <w:color w:val="auto"/>
        </w:rPr>
        <w:tab/>
      </w:r>
      <w:r>
        <w:rPr>
          <w:rFonts w:ascii="Times New Roman" w:cs="Times New Roman" w:eastAsia="Times New Roman" w:hAnsi="Times New Roman"/>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34925</wp:posOffset>
            </wp:positionV>
            <wp:extent cx="19850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1985010" cy="15875"/>
                    </a:xfrm>
                    <a:prstGeom prst="rect">
                      <a:avLst/>
                    </a:prstGeom>
                    <a:noFill/>
                  </pic:spPr>
                </pic:pic>
              </a:graphicData>
            </a:graphic>
          </wp:anchor>
        </w:drawing>
      </w:r>
    </w:p>
    <w:p>
      <w:pPr>
        <w:spacing w:after="0" w:line="8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6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i w:val="1"/>
          <w:iCs w:val="1"/>
          <w:color w:val="auto"/>
        </w:rPr>
        <w:t>Chief Financial Officer</w:t>
      </w:r>
    </w:p>
    <w:p>
      <w:pPr>
        <w:sectPr>
          <w:pgSz w:w="11900" w:h="16838" w:orient="portrait"/>
          <w:cols w:equalWidth="0" w:num="1">
            <w:col w:w="11420"/>
          </w:cols>
          <w:pgMar w:left="240" w:top="234"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5" w:lineRule="exact"/>
        <w:rPr>
          <w:sz w:val="20"/>
          <w:szCs w:val="20"/>
          <w:color w:val="auto"/>
        </w:rPr>
      </w:pPr>
    </w:p>
    <w:p>
      <w:pPr>
        <w:ind w:right="40" w:firstLine="297"/>
        <w:spacing w:after="0" w:line="277" w:lineRule="auto"/>
        <w:rPr>
          <w:sz w:val="20"/>
          <w:szCs w:val="20"/>
          <w:color w:val="auto"/>
        </w:rPr>
      </w:pPr>
      <w:r>
        <w:rPr>
          <w:rFonts w:ascii="Times New Roman" w:cs="Times New Roman" w:eastAsia="Times New Roman" w:hAnsi="Times New Roman"/>
          <w:sz w:val="16"/>
          <w:szCs w:val="16"/>
          <w:color w:val="auto"/>
        </w:rPr>
        <w:t>Each of the undersigned in the capacity indicated hereby certifies that, to his knowledge, this Annual Report on Form 10-K for the fiscal year ended December 29, 2018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60"/>
        <w:spacing w:after="0"/>
        <w:tabs>
          <w:tab w:leader="none" w:pos="6680" w:val="left"/>
        </w:tabs>
        <w:rPr>
          <w:sz w:val="20"/>
          <w:szCs w:val="20"/>
          <w:color w:val="auto"/>
        </w:rPr>
      </w:pPr>
      <w:r>
        <w:rPr>
          <w:rFonts w:ascii="Times New Roman" w:cs="Times New Roman" w:eastAsia="Times New Roman" w:hAnsi="Times New Roman"/>
          <w:sz w:val="16"/>
          <w:szCs w:val="16"/>
          <w:color w:val="auto"/>
        </w:rPr>
        <w:t>February 25, 2019</w:t>
      </w:r>
      <w:r>
        <w:rPr>
          <w:sz w:val="20"/>
          <w:szCs w:val="20"/>
          <w:color w:val="auto"/>
        </w:rPr>
        <w:tab/>
      </w: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34925</wp:posOffset>
            </wp:positionV>
            <wp:extent cx="28486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2848610" cy="15875"/>
                    </a:xfrm>
                    <a:prstGeom prst="rect">
                      <a:avLst/>
                    </a:prstGeom>
                    <a:noFill/>
                  </pic:spPr>
                </pic:pic>
              </a:graphicData>
            </a:graphic>
          </wp:anchor>
        </w:drawing>
      </w:r>
    </w:p>
    <w:p>
      <w:pPr>
        <w:spacing w:after="0" w:line="80"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6"/>
          <w:szCs w:val="16"/>
          <w:color w:val="auto"/>
        </w:rPr>
        <w:t>Michael D. Casey</w:t>
      </w:r>
    </w:p>
    <w:p>
      <w:pPr>
        <w:spacing w:after="0" w:line="6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60"/>
        <w:spacing w:after="0"/>
        <w:tabs>
          <w:tab w:leader="none" w:pos="6300" w:val="left"/>
        </w:tabs>
        <w:rPr>
          <w:sz w:val="20"/>
          <w:szCs w:val="20"/>
          <w:color w:val="auto"/>
        </w:rPr>
      </w:pPr>
      <w:r>
        <w:rPr>
          <w:rFonts w:ascii="Times New Roman" w:cs="Times New Roman" w:eastAsia="Times New Roman" w:hAnsi="Times New Roman"/>
          <w:sz w:val="16"/>
          <w:szCs w:val="16"/>
          <w:color w:val="auto"/>
        </w:rPr>
        <w:t>February 25, 2019</w:t>
      </w:r>
      <w:r>
        <w:rPr>
          <w:sz w:val="20"/>
          <w:szCs w:val="20"/>
          <w:color w:val="auto"/>
        </w:rPr>
        <w:tab/>
      </w:r>
      <w:r>
        <w:rPr>
          <w:rFonts w:ascii="Times New Roman" w:cs="Times New Roman" w:eastAsia="Times New Roman" w:hAnsi="Times New Roman"/>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34925</wp:posOffset>
            </wp:positionV>
            <wp:extent cx="28486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2848610" cy="15875"/>
                    </a:xfrm>
                    <a:prstGeom prst="rect">
                      <a:avLst/>
                    </a:prstGeom>
                    <a:noFill/>
                  </pic:spPr>
                </pic:pic>
              </a:graphicData>
            </a:graphic>
          </wp:anchor>
        </w:drawing>
      </w:r>
    </w:p>
    <w:p>
      <w:pPr>
        <w:spacing w:after="0" w:line="8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6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00" w:firstLine="297"/>
        <w:spacing w:after="0" w:line="298" w:lineRule="auto"/>
        <w:rPr>
          <w:sz w:val="20"/>
          <w:szCs w:val="20"/>
          <w:color w:val="auto"/>
        </w:rPr>
      </w:pPr>
      <w:r>
        <w:rPr>
          <w:rFonts w:ascii="Times New Roman" w:cs="Times New Roman" w:eastAsia="Times New Roman" w:hAnsi="Times New Roman"/>
          <w:sz w:val="16"/>
          <w:szCs w:val="16"/>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420"/>
      </w:cols>
      <w:pgMar w:left="240" w:top="2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lvl w:ilvl="1">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lvl w:ilvl="1">
      <w:lvlJc w:val="left"/>
      <w:lvlText w:val="•"/>
      <w:numFmt w:val="bullet"/>
      <w:start w:val="1"/>
    </w:lvl>
  </w:abstractNum>
  <w:abstractNum w:abstractNumId="16">
    <w:nsid w:val="5E884ADC"/>
    <w:multiLevelType w:val="hybridMultilevel"/>
    <w:lvl w:ilvl="0">
      <w:lvlJc w:val="left"/>
      <w:lvlText w:val="•"/>
      <w:numFmt w:val="bullet"/>
      <w:start w:val="1"/>
    </w:lvl>
    <w:lvl w:ilvl="1">
      <w:lvlJc w:val="left"/>
      <w:lvlText w:val="•"/>
      <w:numFmt w:val="bullet"/>
      <w:start w:val="1"/>
    </w:lvl>
  </w:abstractNum>
  <w:abstractNum w:abstractNumId="17">
    <w:nsid w:val="51EAD36B"/>
    <w:multiLevelType w:val="hybridMultilevel"/>
    <w:lvl w:ilvl="0">
      <w:lvlJc w:val="left"/>
      <w:lvlText w:val="•"/>
      <w:numFmt w:val="bullet"/>
      <w:start w:val="1"/>
    </w:lvl>
    <w:lvl w:ilvl="1">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lvl w:ilvl="1">
      <w:lvlJc w:val="left"/>
      <w:lvlText w:val="•"/>
      <w:numFmt w:val="bullet"/>
      <w:start w:val="1"/>
    </w:lvl>
  </w:abstractNum>
  <w:abstractNum w:abstractNumId="25">
    <w:nsid w:val="1D4ED43B"/>
    <w:multiLevelType w:val="hybridMultilevel"/>
    <w:lvl w:ilvl="0">
      <w:lvlJc w:val="left"/>
      <w:lvlText w:val="•"/>
      <w:numFmt w:val="bullet"/>
      <w:start w:val="1"/>
    </w:lvl>
    <w:lvl w:ilvl="1">
      <w:lvlJc w:val="left"/>
      <w:lvlText w:val="•"/>
      <w:numFmt w:val="bullet"/>
      <w:start w:val="1"/>
    </w:lvl>
  </w:abstractNum>
  <w:abstractNum w:abstractNumId="26">
    <w:nsid w:val="725A06FB"/>
    <w:multiLevelType w:val="hybridMultilevel"/>
    <w:lvl w:ilvl="0">
      <w:lvlJc w:val="left"/>
      <w:lvlText w:val="•"/>
      <w:numFmt w:val="bullet"/>
      <w:start w:val="1"/>
    </w:lvl>
    <w:lvl w:ilvl="1">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lowerRoman"/>
      <w:start w:val="1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2"/>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upperLetter"/>
      <w:start w:val="1"/>
    </w:lvl>
    <w:lvl w:ilvl="1">
      <w:lvlJc w:val="left"/>
      <w:lvlText w:val="%2."/>
      <w:numFmt w:val="decimal"/>
      <w:start w:val="2"/>
    </w:lvl>
  </w:abstractNum>
  <w:abstractNum w:abstractNumId="54">
    <w:nsid w:val="235BA861"/>
    <w:multiLevelType w:val="hybridMultilevel"/>
    <w:lvl w:ilvl="0">
      <w:lvlJc w:val="left"/>
      <w:lvlText w:val="(%1)"/>
      <w:numFmt w:val="upperLetter"/>
      <w:start w:val="2"/>
    </w:lvl>
    <w:lvl w:ilvl="1">
      <w:lvlJc w:val="left"/>
      <w:lvlText w:val="%2"/>
      <w:numFmt w:val="decimal"/>
      <w:start w:val="1"/>
    </w:lvl>
  </w:abstractNum>
  <w:abstractNum w:abstractNumId="55">
    <w:nsid w:val="47398C89"/>
    <w:multiLevelType w:val="hybridMultilevel"/>
    <w:lvl w:ilvl="0">
      <w:lvlJc w:val="left"/>
      <w:lvlText w:val="%1"/>
      <w:numFmt w:val="decimal"/>
      <w:start w:val="21"/>
    </w:lvl>
  </w:abstractNum>
  <w:abstractNum w:abstractNumId="56">
    <w:nsid w:val="354FE9F9"/>
    <w:multiLevelType w:val="hybridMultilevel"/>
    <w:lvl w:ilvl="0">
      <w:lvlJc w:val="left"/>
      <w:lvlText w:val="%1"/>
      <w:numFmt w:val="decimal"/>
      <w:start w:val="23"/>
    </w:lvl>
  </w:abstractNum>
  <w:abstractNum w:abstractNumId="57">
    <w:nsid w:val="15B5AF5C"/>
    <w:multiLevelType w:val="hybridMultilevel"/>
    <w:lvl w:ilvl="0">
      <w:lvlJc w:val="left"/>
      <w:lvlText w:val="%1"/>
      <w:numFmt w:val="decimal"/>
      <w:start w:val="32"/>
    </w:lvl>
  </w:abstractNum>
  <w:abstractNum w:abstractNumId="58">
    <w:nsid w:val="741226BB"/>
    <w:multiLevelType w:val="hybridMultilevel"/>
    <w:lvl w:ilvl="0">
      <w:lvlJc w:val="left"/>
      <w:lvlText w:val="*"/>
      <w:numFmt w:val="bullet"/>
      <w:start w:val="1"/>
    </w:lvl>
    <w:lvl w:ilvl="1">
      <w:lvlJc w:val="left"/>
      <w:lvlText w:val="%2"/>
      <w:numFmt w:val="decimal"/>
      <w:start w:val="10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37" Type="http://schemas.openxmlformats.org/officeDocument/2006/relationships/hyperlink" Target="http://www.sec.gov/Archives/edgar/data/1060822/000119312517179483/d400342dex31.htm" TargetMode="External"/><Relationship Id="rId38" Type="http://schemas.openxmlformats.org/officeDocument/2006/relationships/hyperlink" Target="http://www.sec.gov/Archives/edgar/data/1060822/000119312517179483/d400342dex32.htm" TargetMode="External"/><Relationship Id="rId39" Type="http://schemas.openxmlformats.org/officeDocument/2006/relationships/hyperlink" Target="http://www.sec.gov/Archives/edgar/data/1060822/000104746903033160/a2120070zex-4_1.txt" TargetMode="External"/><Relationship Id="rId40" Type="http://schemas.openxmlformats.org/officeDocument/2006/relationships/hyperlink" Target="http://www.sec.gov/Archives/edgar/data/1060822/000119312513331022/d582999dex41.htm" TargetMode="External"/><Relationship Id="rId41" Type="http://schemas.openxmlformats.org/officeDocument/2006/relationships/hyperlink" Target="http://www.sec.gov/Archives/edgar/data/795363/000119312514253010/d693002dex42.htm" TargetMode="External"/><Relationship Id="rId42" Type="http://schemas.openxmlformats.org/officeDocument/2006/relationships/hyperlink" Target="http://www.sec.gov/Archives/edgar/data/1060822/000106082218000006/cri-20171230exh44.htm" TargetMode="External"/><Relationship Id="rId43" Type="http://schemas.openxmlformats.org/officeDocument/2006/relationships/hyperlink" Target="http://www.sec.gov/Archives/edgar/data/1060822/000119312517273645/d428481dex101.htm" TargetMode="External"/><Relationship Id="rId44" Type="http://schemas.openxmlformats.org/officeDocument/2006/relationships/hyperlink" Target="http://www.sec.gov/Archives/edgar/data/1060822/000119312518283958/d629122dex101.htm" TargetMode="External"/><Relationship Id="rId45" Type="http://schemas.openxmlformats.org/officeDocument/2006/relationships/hyperlink" Target="http://www.sec.gov/Archives/edgar/data/1060822/000106082215000029/cri-20151003exh102.htm" TargetMode="External"/><Relationship Id="rId46" Type="http://schemas.openxmlformats.org/officeDocument/2006/relationships/hyperlink" Target="http://www.sec.gov/Archives/edgar/data/1060822/000119312516526057/d149556ddef14a.htm#toc149556_22" TargetMode="External"/><Relationship Id="rId47" Type="http://schemas.openxmlformats.org/officeDocument/2006/relationships/hyperlink" Target="http://www.sec.gov/Archives/edgar/data/1060822/000119312516526057/d149556ddef14a.htm#toc149556_23" TargetMode="External"/><Relationship Id="rId48" Type="http://schemas.openxmlformats.org/officeDocument/2006/relationships/hyperlink" Target="http://www.sec.gov/Archives/edgar/data/1060822/000106082211000006/ex10_19.htm" TargetMode="External"/><Relationship Id="rId49" Type="http://schemas.openxmlformats.org/officeDocument/2006/relationships/hyperlink" Target="http://www.sec.gov/Archives/edgar/data/1060822/000106082211000006/ex10_20.htm" TargetMode="External"/><Relationship Id="rId50" Type="http://schemas.openxmlformats.org/officeDocument/2006/relationships/hyperlink" Target="http://www.sec.gov/Archives/edgar/data/1060822/000106082212000017/cri-2012331exh1021.htm" TargetMode="External"/><Relationship Id="rId51" Type="http://schemas.openxmlformats.org/officeDocument/2006/relationships/hyperlink" Target="http://www.sec.gov/Archives/edgar/data/1060822/000106082212000036/exhibit101.htm" TargetMode="External"/><Relationship Id="rId52" Type="http://schemas.openxmlformats.org/officeDocument/2006/relationships/hyperlink" Target="http://www.sec.gov/Archives/edgar/data/1060822/000106082213000034/a1019phippstowerlease-s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2019-12-28T16:10:30Z</dcterms:created>
  <dcterms:modified xsi:type="dcterms:W3CDTF">2019-12-28T16:10:30Z</dcterms:modified>
</cp:coreProperties>
</file>