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340"/>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ind w:left="3600"/>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20"/>
        <w:spacing w:after="0"/>
        <w:rPr>
          <w:sz w:val="20"/>
          <w:szCs w:val="20"/>
          <w:color w:val="auto"/>
        </w:rPr>
      </w:pPr>
      <w:r>
        <w:rPr>
          <w:rFonts w:ascii="Arial" w:cs="Arial" w:eastAsia="Arial" w:hAnsi="Arial"/>
          <w:sz w:val="15"/>
          <w:szCs w:val="15"/>
          <w:b w:val="1"/>
          <w:bCs w:val="1"/>
          <w:color w:val="auto"/>
        </w:rPr>
        <w:t>Washington, D.C. 20549</w:t>
      </w: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10-K</w:t>
      </w:r>
    </w:p>
    <w:p>
      <w:pPr>
        <w:spacing w:after="0" w:line="145" w:lineRule="exact"/>
        <w:rPr>
          <w:sz w:val="24"/>
          <w:szCs w:val="24"/>
          <w:color w:val="auto"/>
        </w:rPr>
      </w:pPr>
    </w:p>
    <w:p>
      <w:pPr>
        <w:ind w:left="380" w:right="560" w:hanging="358"/>
        <w:spacing w:after="0" w:line="290" w:lineRule="auto"/>
        <w:tabs>
          <w:tab w:leader="none" w:pos="405"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30, 2017 OR</w:t>
      </w:r>
    </w:p>
    <w:p>
      <w:pPr>
        <w:spacing w:after="0" w:line="106" w:lineRule="exact"/>
        <w:rPr>
          <w:sz w:val="24"/>
          <w:szCs w:val="24"/>
          <w:color w:val="auto"/>
        </w:rPr>
      </w:pPr>
    </w:p>
    <w:p>
      <w:pPr>
        <w:ind w:left="380" w:hanging="358"/>
        <w:spacing w:after="0"/>
        <w:tabs>
          <w:tab w:leader="none" w:pos="3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w:t>
      </w:r>
    </w:p>
    <w:p>
      <w:pPr>
        <w:spacing w:after="0" w:line="29" w:lineRule="exact"/>
        <w:rPr>
          <w:rFonts w:ascii="MS PGothic" w:cs="MS PGothic" w:eastAsia="MS PGothic" w:hAnsi="MS PGothic"/>
          <w:sz w:val="16"/>
          <w:szCs w:val="16"/>
          <w:color w:val="auto"/>
        </w:rPr>
      </w:pPr>
    </w:p>
    <w:p>
      <w:pPr>
        <w:ind w:left="3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SECURITIES EXCHANGE ACT OF 1934 FOR THE TRANSITION PERIOD FROM _____</w:t>
      </w:r>
    </w:p>
    <w:p>
      <w:pPr>
        <w:spacing w:after="0" w:line="9" w:lineRule="exact"/>
        <w:rPr>
          <w:rFonts w:ascii="MS PGothic" w:cs="MS PGothic" w:eastAsia="MS PGothic" w:hAnsi="MS PGothic"/>
          <w:sz w:val="16"/>
          <w:szCs w:val="16"/>
          <w:color w:val="auto"/>
        </w:rPr>
      </w:pPr>
    </w:p>
    <w:p>
      <w:pPr>
        <w:ind w:left="3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TO ______</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Commission file number:</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001-31829</w:t>
      </w:r>
    </w:p>
    <w:p>
      <w:pPr>
        <w:spacing w:after="0" w:line="114" w:lineRule="exact"/>
        <w:rPr>
          <w:sz w:val="24"/>
          <w:szCs w:val="24"/>
          <w:color w:val="auto"/>
        </w:rPr>
      </w:pPr>
    </w:p>
    <w:p>
      <w:pPr>
        <w:jc w:val="center"/>
        <w:ind w:right="20"/>
        <w:spacing w:after="0"/>
        <w:rPr>
          <w:sz w:val="20"/>
          <w:szCs w:val="20"/>
          <w:color w:val="auto"/>
        </w:rPr>
      </w:pPr>
      <w:r>
        <w:rPr>
          <w:rFonts w:ascii="Arial" w:cs="Arial" w:eastAsia="Arial" w:hAnsi="Arial"/>
          <w:sz w:val="26"/>
          <w:szCs w:val="26"/>
          <w:b w:val="1"/>
          <w:bCs w:val="1"/>
          <w:color w:val="auto"/>
        </w:rPr>
        <w:t>CARTER’S, INC.</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40"/>
          </w:cols>
          <w:pgMar w:left="240" w:top="224" w:right="219" w:bottom="1440" w:gutter="0" w:footer="0" w:header="0"/>
        </w:sectPr>
      </w:pPr>
    </w:p>
    <w:p>
      <w:pPr>
        <w:spacing w:after="0" w:line="140" w:lineRule="exact"/>
        <w:rPr>
          <w:sz w:val="24"/>
          <w:szCs w:val="24"/>
          <w:color w:val="auto"/>
        </w:rPr>
      </w:pPr>
    </w:p>
    <w:p>
      <w:pPr>
        <w:jc w:val="center"/>
        <w:ind w:left="8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3340"/>
        <w:spacing w:after="0"/>
        <w:rPr>
          <w:sz w:val="20"/>
          <w:szCs w:val="20"/>
          <w:color w:val="auto"/>
        </w:rPr>
      </w:pPr>
      <w:r>
        <w:rPr>
          <w:rFonts w:ascii="Arial" w:cs="Arial" w:eastAsia="Arial" w:hAnsi="Arial"/>
          <w:sz w:val="14"/>
          <w:szCs w:val="14"/>
          <w:b w:val="1"/>
          <w:bCs w:val="1"/>
          <w:color w:val="auto"/>
        </w:rPr>
        <w:t>13-3912933</w:t>
      </w:r>
    </w:p>
    <w:p>
      <w:pPr>
        <w:spacing w:after="0" w:line="87" w:lineRule="exact"/>
        <w:rPr>
          <w:sz w:val="24"/>
          <w:szCs w:val="24"/>
          <w:color w:val="auto"/>
        </w:rPr>
      </w:pPr>
    </w:p>
    <w:p>
      <w:pPr>
        <w:sectPr>
          <w:pgSz w:w="11900" w:h="16838" w:orient="portrait"/>
          <w:cols w:equalWidth="0" w:num="2">
            <w:col w:w="6600" w:space="720"/>
            <w:col w:w="4120"/>
          </w:cols>
          <w:pgMar w:left="240" w:top="224" w:right="219" w:bottom="1440" w:gutter="0" w:footer="0" w:header="0"/>
          <w:type w:val="continuous"/>
        </w:sectPr>
      </w:pPr>
    </w:p>
    <w:p>
      <w:pPr>
        <w:ind w:left="2780"/>
        <w:spacing w:after="0"/>
        <w:rPr>
          <w:sz w:val="20"/>
          <w:szCs w:val="20"/>
          <w:color w:val="auto"/>
        </w:rPr>
      </w:pPr>
      <w:r>
        <w:rPr>
          <w:rFonts w:ascii="Arial" w:cs="Arial" w:eastAsia="Arial" w:hAnsi="Arial"/>
          <w:sz w:val="15"/>
          <w:szCs w:val="15"/>
          <w:color w:val="auto"/>
        </w:rPr>
        <w:t>(state or other jurisdiction of</w:t>
      </w:r>
    </w:p>
    <w:p>
      <w:pPr>
        <w:spacing w:after="0" w:line="72" w:lineRule="exact"/>
        <w:rPr>
          <w:sz w:val="24"/>
          <w:szCs w:val="24"/>
          <w:color w:val="auto"/>
        </w:rPr>
      </w:pPr>
    </w:p>
    <w:p>
      <w:pPr>
        <w:ind w:left="2720"/>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444" w:lineRule="exact"/>
        <w:rPr>
          <w:sz w:val="24"/>
          <w:szCs w:val="24"/>
          <w:color w:val="auto"/>
        </w:rPr>
      </w:pPr>
    </w:p>
    <w:p>
      <w:pPr>
        <w:sectPr>
          <w:pgSz w:w="11900" w:h="16838" w:orient="portrait"/>
          <w:cols w:equalWidth="0" w:num="2">
            <w:col w:w="5800" w:space="720"/>
            <w:col w:w="4920"/>
          </w:cols>
          <w:pgMar w:left="240" w:top="224" w:right="219" w:bottom="1440" w:gutter="0" w:footer="0" w:header="0"/>
          <w:type w:val="continuous"/>
        </w:sectPr>
      </w:pP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Phipps Tower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3438 Peachtree Road NE, Suite 1800</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Atlanta, Georgia 30326</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(678) 791-1000</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3"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_______________________________________________</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630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89"/>
              </w:rPr>
              <w:t>Title of each class</w:t>
            </w:r>
          </w:p>
        </w:tc>
        <w:tc>
          <w:tcPr>
            <w:tcW w:w="514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5"/>
        </w:trPr>
        <w:tc>
          <w:tcPr>
            <w:tcW w:w="57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11"/>
        </w:trPr>
        <w:tc>
          <w:tcPr>
            <w:tcW w:w="6300" w:type="dxa"/>
            <w:vAlign w:val="bottom"/>
            <w:gridSpan w:val="2"/>
          </w:tcPr>
          <w:p>
            <w:pPr>
              <w:jc w:val="center"/>
              <w:ind w:right="580"/>
              <w:spacing w:after="0"/>
              <w:rPr>
                <w:sz w:val="20"/>
                <w:szCs w:val="20"/>
                <w:color w:val="auto"/>
              </w:rPr>
            </w:pPr>
            <w:r>
              <w:rPr>
                <w:rFonts w:ascii="Arial" w:cs="Arial" w:eastAsia="Arial" w:hAnsi="Arial"/>
                <w:sz w:val="16"/>
                <w:szCs w:val="16"/>
                <w:color w:val="auto"/>
                <w:w w:val="90"/>
              </w:rPr>
              <w:t>Carter's, Inc.'s common stock par value $0.01 per share</w:t>
            </w:r>
          </w:p>
        </w:tc>
        <w:tc>
          <w:tcPr>
            <w:tcW w:w="514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2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None</w:t>
      </w:r>
    </w:p>
    <w:p>
      <w:pPr>
        <w:spacing w:after="0" w:line="12" w:lineRule="exact"/>
        <w:rPr>
          <w:sz w:val="24"/>
          <w:szCs w:val="24"/>
          <w:color w:val="auto"/>
        </w:rPr>
      </w:pPr>
    </w:p>
    <w:p>
      <w:pPr>
        <w:ind w:left="3600"/>
        <w:spacing w:after="0"/>
        <w:rPr>
          <w:sz w:val="20"/>
          <w:szCs w:val="20"/>
          <w:color w:val="auto"/>
        </w:rPr>
      </w:pPr>
      <w:r>
        <w:rPr>
          <w:rFonts w:ascii="Arial" w:cs="Arial" w:eastAsia="Arial" w:hAnsi="Arial"/>
          <w:sz w:val="16"/>
          <w:szCs w:val="16"/>
          <w:color w:val="auto"/>
        </w:rPr>
        <w:t>____________________________________________________</w:t>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 )</w:t>
      </w: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 ( ) No (X)</w:t>
      </w:r>
    </w:p>
    <w:p>
      <w:pPr>
        <w:spacing w:after="0" w:line="207" w:lineRule="exact"/>
        <w:rPr>
          <w:sz w:val="24"/>
          <w:szCs w:val="24"/>
          <w:color w:val="auto"/>
        </w:rPr>
      </w:pPr>
    </w:p>
    <w:p>
      <w:pPr>
        <w:jc w:val="both"/>
        <w:ind w:right="20"/>
        <w:spacing w:after="0" w:line="27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62" w:lineRule="exact"/>
        <w:rPr>
          <w:sz w:val="24"/>
          <w:szCs w:val="24"/>
          <w:color w:val="auto"/>
        </w:rPr>
      </w:pPr>
    </w:p>
    <w:p>
      <w:pPr>
        <w:jc w:val="both"/>
        <w:spacing w:after="0" w:line="270"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62" w:lineRule="exact"/>
        <w:rPr>
          <w:sz w:val="24"/>
          <w:szCs w:val="24"/>
          <w:color w:val="auto"/>
        </w:rPr>
      </w:pPr>
    </w:p>
    <w:p>
      <w:pPr>
        <w:jc w:val="both"/>
        <w:ind w:right="20"/>
        <w:spacing w:after="0" w:line="32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ectPr>
          <w:pgSz w:w="11900" w:h="16838" w:orient="portrait"/>
          <w:cols w:equalWidth="0" w:num="1">
            <w:col w:w="11440"/>
          </w:cols>
          <w:pgMar w:left="240" w:top="224" w:right="219" w:bottom="1440" w:gutter="0" w:footer="0" w:header="0"/>
          <w:type w:val="continuous"/>
        </w:sectPr>
      </w:pPr>
    </w:p>
    <w:bookmarkStart w:id="1" w:name="page2"/>
    <w:bookmarkEnd w:id="1"/>
    <w:p>
      <w:pPr>
        <w:jc w:val="both"/>
        <w:spacing w:after="0" w:line="32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Large Accelerated Filer (X) Accelerated Filer ( )</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Non-Accelerated Filer ( ) (Do not check if a smaller reporting company) Smaller Reporting Company ( )</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Emerging Growth Company ( )</w:t>
      </w:r>
    </w:p>
    <w:p>
      <w:pPr>
        <w:spacing w:after="0" w:line="196"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Yes ( ) No (X)</w:t>
      </w:r>
    </w:p>
    <w:p>
      <w:pPr>
        <w:spacing w:after="0" w:line="19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approximate aggregate market value of the voting stock held by non-affiliates of the Registrant as of July 1, 2017 (the last business day of our most recently completed second quarter) was $4,120,795,278.</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There were 47,091,313 shares of Carter's, Inc. common stock with a par value of $0.01 per share outstanding as of the close of business on February 23, 2018</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Portions of the definitive proxy statement to be filed with the Securities and Exchange Commission pursuant to Regulation 14A relating to the Annual Meeting of shareholders of Carter's, Inc., scheduled to be held on May 17, 2018, will be incorporated by reference in Part III of this Form 10-K. Carter's, Inc. intends to file such proxy statement with the Securities and Exchange Commission not later than 120 days after its fiscal year ended December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160020</wp:posOffset>
            </wp:positionV>
            <wp:extent cx="728472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4720" cy="4064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CARTER’S,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ANNUAL REPORT ON FORM 10-K</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FISCAL YEAR ENDED DECEMBER 30, 2017</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380" w:type="dxa"/>
            <w:vAlign w:val="bottom"/>
            <w:tcBorders>
              <w:bottom w:val="single" w:sz="8" w:color="auto"/>
            </w:tcBorders>
            <w:gridSpan w:val="5"/>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Page</w:t>
            </w:r>
          </w:p>
        </w:tc>
      </w:tr>
      <w:tr>
        <w:trPr>
          <w:trHeight w:val="176"/>
        </w:trPr>
        <w:tc>
          <w:tcPr>
            <w:tcW w:w="20" w:type="dxa"/>
            <w:vAlign w:val="bottom"/>
          </w:tcPr>
          <w:p>
            <w:pPr>
              <w:spacing w:after="0"/>
              <w:rPr>
                <w:sz w:val="15"/>
                <w:szCs w:val="15"/>
                <w:color w:val="auto"/>
              </w:rPr>
            </w:pPr>
          </w:p>
        </w:tc>
        <w:tc>
          <w:tcPr>
            <w:tcW w:w="2180" w:type="dxa"/>
            <w:vAlign w:val="bottom"/>
            <w:gridSpan w:val="10"/>
          </w:tcPr>
          <w:p>
            <w:pPr>
              <w:spacing w:after="0" w:line="176" w:lineRule="exact"/>
              <w:rPr>
                <w:rFonts w:ascii="Arial" w:cs="Arial" w:eastAsia="Arial" w:hAnsi="Arial"/>
                <w:sz w:val="16"/>
                <w:szCs w:val="16"/>
                <w:b w:val="1"/>
                <w:bCs w:val="1"/>
                <w:color w:val="0000FF"/>
              </w:rPr>
            </w:pPr>
            <w:hyperlink w:anchor="page24">
              <w:r>
                <w:rPr>
                  <w:rFonts w:ascii="Arial" w:cs="Arial" w:eastAsia="Arial" w:hAnsi="Arial"/>
                  <w:sz w:val="16"/>
                  <w:szCs w:val="16"/>
                  <w:b w:val="1"/>
                  <w:bCs w:val="1"/>
                  <w:color w:val="0000FF"/>
                </w:rPr>
                <w:t>Part I</w:t>
              </w:r>
            </w:hyperlink>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gridSpan w:val="5"/>
          </w:tcPr>
          <w:p>
            <w:pPr>
              <w:jc w:val="right"/>
              <w:ind w:right="40"/>
              <w:spacing w:after="0" w:line="176" w:lineRule="exact"/>
              <w:rPr>
                <w:rFonts w:ascii="Arial" w:cs="Arial" w:eastAsia="Arial" w:hAnsi="Arial"/>
                <w:sz w:val="16"/>
                <w:szCs w:val="16"/>
                <w:color w:val="0000FF"/>
              </w:rPr>
            </w:pPr>
            <w:hyperlink w:anchor="page4">
              <w:r>
                <w:rPr>
                  <w:rFonts w:ascii="Arial" w:cs="Arial" w:eastAsia="Arial" w:hAnsi="Arial"/>
                  <w:sz w:val="16"/>
                  <w:szCs w:val="16"/>
                  <w:color w:val="0000FF"/>
                </w:rPr>
                <w:t>1</w:t>
              </w:r>
            </w:hyperlink>
          </w:p>
        </w:tc>
      </w:tr>
      <w:tr>
        <w:trPr>
          <w:trHeight w:val="41"/>
        </w:trPr>
        <w:tc>
          <w:tcPr>
            <w:tcW w:w="20" w:type="dxa"/>
            <w:vAlign w:val="bottom"/>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Item 1</w:t>
              </w:r>
            </w:hyperlink>
          </w:p>
        </w:tc>
        <w:tc>
          <w:tcPr>
            <w:tcW w:w="7860" w:type="dxa"/>
            <w:vAlign w:val="bottom"/>
            <w:gridSpan w:val="21"/>
            <w:shd w:val="clear" w:color="auto" w:fill="CCEEFF"/>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Business</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4">
              <w:r>
                <w:rPr>
                  <w:rFonts w:ascii="Arial" w:cs="Arial" w:eastAsia="Arial" w:hAnsi="Arial"/>
                  <w:sz w:val="16"/>
                  <w:szCs w:val="16"/>
                  <w:color w:val="0000FF"/>
                </w:rPr>
                <w:t>1</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6"/>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Item 1A</w:t>
              </w:r>
            </w:hyperlink>
          </w:p>
        </w:tc>
        <w:tc>
          <w:tcPr>
            <w:tcW w:w="7860" w:type="dxa"/>
            <w:vAlign w:val="bottom"/>
            <w:gridSpan w:val="21"/>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Risk Factors</w:t>
              </w:r>
            </w:hyperlink>
          </w:p>
        </w:tc>
        <w:tc>
          <w:tcPr>
            <w:tcW w:w="1380" w:type="dxa"/>
            <w:vAlign w:val="bottom"/>
            <w:gridSpan w:val="5"/>
          </w:tcPr>
          <w:p>
            <w:pPr>
              <w:jc w:val="right"/>
              <w:ind w:right="40"/>
              <w:spacing w:after="0"/>
              <w:rPr>
                <w:rFonts w:ascii="Arial" w:cs="Arial" w:eastAsia="Arial" w:hAnsi="Arial"/>
                <w:sz w:val="16"/>
                <w:szCs w:val="16"/>
                <w:color w:val="0000FF"/>
              </w:rPr>
            </w:pPr>
            <w:hyperlink w:anchor="page12">
              <w:r>
                <w:rPr>
                  <w:rFonts w:ascii="Arial" w:cs="Arial" w:eastAsia="Arial" w:hAnsi="Arial"/>
                  <w:sz w:val="16"/>
                  <w:szCs w:val="16"/>
                  <w:color w:val="0000FF"/>
                </w:rPr>
                <w:t>9</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gridSpan w:val="5"/>
            <w:shd w:val="clear" w:color="auto" w:fill="CCEEFF"/>
          </w:tcPr>
          <w:p>
            <w:pPr>
              <w:spacing w:after="0"/>
              <w:rPr>
                <w:rFonts w:ascii="Arial" w:cs="Arial" w:eastAsia="Arial" w:hAnsi="Arial"/>
                <w:sz w:val="16"/>
                <w:szCs w:val="16"/>
                <w:color w:val="0000EE"/>
                <w:w w:val="94"/>
              </w:rPr>
            </w:pPr>
            <w:hyperlink w:anchor="page22">
              <w:r>
                <w:rPr>
                  <w:rFonts w:ascii="Arial" w:cs="Arial" w:eastAsia="Arial" w:hAnsi="Arial"/>
                  <w:sz w:val="16"/>
                  <w:szCs w:val="16"/>
                  <w:color w:val="0000EE"/>
                  <w:w w:val="94"/>
                </w:rPr>
                <w:t>Item 1B</w:t>
              </w:r>
            </w:hyperlink>
          </w:p>
        </w:tc>
        <w:tc>
          <w:tcPr>
            <w:tcW w:w="600" w:type="dxa"/>
            <w:vAlign w:val="bottom"/>
            <w:shd w:val="clear" w:color="auto" w:fill="CCEEFF"/>
          </w:tcPr>
          <w:p>
            <w:pPr>
              <w:spacing w:after="0"/>
              <w:rPr>
                <w:sz w:val="15"/>
                <w:szCs w:val="15"/>
                <w:color w:val="auto"/>
              </w:rPr>
            </w:pPr>
          </w:p>
        </w:tc>
        <w:tc>
          <w:tcPr>
            <w:tcW w:w="1860" w:type="dxa"/>
            <w:vAlign w:val="bottom"/>
            <w:gridSpan w:val="10"/>
            <w:shd w:val="clear" w:color="auto" w:fill="CCEEFF"/>
          </w:tcPr>
          <w:p>
            <w:pPr>
              <w:spacing w:after="0"/>
              <w:rPr>
                <w:rFonts w:ascii="Arial" w:cs="Arial" w:eastAsia="Arial" w:hAnsi="Arial"/>
                <w:sz w:val="16"/>
                <w:szCs w:val="16"/>
                <w:color w:val="0000FF"/>
                <w:w w:val="91"/>
              </w:rPr>
            </w:pPr>
            <w:hyperlink w:anchor="page22">
              <w:r>
                <w:rPr>
                  <w:rFonts w:ascii="Arial" w:cs="Arial" w:eastAsia="Arial" w:hAnsi="Arial"/>
                  <w:sz w:val="16"/>
                  <w:szCs w:val="16"/>
                  <w:color w:val="0000FF"/>
                  <w:w w:val="91"/>
                </w:rPr>
                <w:t>Unresolved Staff Comments</w:t>
              </w:r>
            </w:hyperlink>
          </w:p>
        </w:tc>
        <w:tc>
          <w:tcPr>
            <w:tcW w:w="6000" w:type="dxa"/>
            <w:vAlign w:val="bottom"/>
            <w:gridSpan w:val="11"/>
            <w:shd w:val="clear" w:color="auto" w:fill="CCEEFF"/>
          </w:tcPr>
          <w:p>
            <w:pPr>
              <w:spacing w:after="0"/>
              <w:rPr>
                <w:sz w:val="15"/>
                <w:szCs w:val="15"/>
                <w:color w:val="auto"/>
              </w:rPr>
            </w:pPr>
          </w:p>
        </w:tc>
        <w:tc>
          <w:tcPr>
            <w:tcW w:w="1180" w:type="dxa"/>
            <w:vAlign w:val="bottom"/>
            <w:gridSpan w:val="2"/>
            <w:shd w:val="clear" w:color="auto" w:fill="CCEEFF"/>
          </w:tcPr>
          <w:p>
            <w:pPr>
              <w:spacing w:after="0"/>
              <w:rPr>
                <w:sz w:val="15"/>
                <w:szCs w:val="15"/>
                <w:color w:val="auto"/>
              </w:rPr>
            </w:pPr>
          </w:p>
        </w:tc>
        <w:tc>
          <w:tcPr>
            <w:tcW w:w="200" w:type="dxa"/>
            <w:vAlign w:val="bottom"/>
            <w:gridSpan w:val="3"/>
            <w:shd w:val="clear" w:color="auto" w:fill="CCEEFF"/>
          </w:tcPr>
          <w:p>
            <w:pPr>
              <w:jc w:val="right"/>
              <w:ind w:right="40"/>
              <w:spacing w:after="0"/>
              <w:rPr>
                <w:rFonts w:ascii="Arial" w:cs="Arial" w:eastAsia="Arial" w:hAnsi="Arial"/>
                <w:sz w:val="16"/>
                <w:szCs w:val="16"/>
                <w:color w:val="0000FF"/>
                <w:w w:val="78"/>
              </w:rPr>
            </w:pPr>
            <w:hyperlink w:anchor="page22">
              <w:r>
                <w:rPr>
                  <w:rFonts w:ascii="Arial" w:cs="Arial" w:eastAsia="Arial" w:hAnsi="Arial"/>
                  <w:sz w:val="16"/>
                  <w:szCs w:val="16"/>
                  <w:color w:val="0000FF"/>
                  <w:w w:val="78"/>
                </w:rPr>
                <w:t>19</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gridSpan w:val="5"/>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Item 2</w:t>
              </w:r>
            </w:hyperlink>
          </w:p>
        </w:tc>
        <w:tc>
          <w:tcPr>
            <w:tcW w:w="600" w:type="dxa"/>
            <w:vAlign w:val="bottom"/>
          </w:tcPr>
          <w:p>
            <w:pPr>
              <w:spacing w:after="0"/>
              <w:rPr>
                <w:sz w:val="15"/>
                <w:szCs w:val="15"/>
                <w:color w:val="auto"/>
              </w:rPr>
            </w:pPr>
          </w:p>
        </w:tc>
        <w:tc>
          <w:tcPr>
            <w:tcW w:w="1860" w:type="dxa"/>
            <w:vAlign w:val="bottom"/>
            <w:gridSpan w:val="10"/>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Properties</w:t>
              </w:r>
            </w:hyperlink>
          </w:p>
        </w:tc>
        <w:tc>
          <w:tcPr>
            <w:tcW w:w="6000" w:type="dxa"/>
            <w:vAlign w:val="bottom"/>
            <w:gridSpan w:val="11"/>
          </w:tcPr>
          <w:p>
            <w:pPr>
              <w:spacing w:after="0"/>
              <w:rPr>
                <w:sz w:val="15"/>
                <w:szCs w:val="15"/>
                <w:color w:val="auto"/>
              </w:rPr>
            </w:pPr>
          </w:p>
        </w:tc>
        <w:tc>
          <w:tcPr>
            <w:tcW w:w="1180" w:type="dxa"/>
            <w:vAlign w:val="bottom"/>
            <w:gridSpan w:val="2"/>
          </w:tcPr>
          <w:p>
            <w:pPr>
              <w:spacing w:after="0"/>
              <w:rPr>
                <w:sz w:val="15"/>
                <w:szCs w:val="15"/>
                <w:color w:val="auto"/>
              </w:rPr>
            </w:pPr>
          </w:p>
        </w:tc>
        <w:tc>
          <w:tcPr>
            <w:tcW w:w="200" w:type="dxa"/>
            <w:vAlign w:val="bottom"/>
            <w:gridSpan w:val="3"/>
          </w:tcPr>
          <w:p>
            <w:pPr>
              <w:jc w:val="right"/>
              <w:ind w:right="40"/>
              <w:spacing w:after="0"/>
              <w:rPr>
                <w:rFonts w:ascii="Arial" w:cs="Arial" w:eastAsia="Arial" w:hAnsi="Arial"/>
                <w:sz w:val="16"/>
                <w:szCs w:val="16"/>
                <w:color w:val="0000FF"/>
                <w:w w:val="78"/>
              </w:rPr>
            </w:pPr>
            <w:hyperlink w:anchor="page23">
              <w:r>
                <w:rPr>
                  <w:rFonts w:ascii="Arial" w:cs="Arial" w:eastAsia="Arial" w:hAnsi="Arial"/>
                  <w:sz w:val="16"/>
                  <w:szCs w:val="16"/>
                  <w:color w:val="0000FF"/>
                  <w:w w:val="78"/>
                </w:rPr>
                <w:t>20</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Item 3</w:t>
              </w:r>
            </w:hyperlink>
          </w:p>
        </w:tc>
        <w:tc>
          <w:tcPr>
            <w:tcW w:w="7860" w:type="dxa"/>
            <w:vAlign w:val="bottom"/>
            <w:gridSpan w:val="21"/>
            <w:shd w:val="clear" w:color="auto" w:fill="CCEEFF"/>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Legal Proceedings</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23">
              <w:r>
                <w:rPr>
                  <w:rFonts w:ascii="Arial" w:cs="Arial" w:eastAsia="Arial" w:hAnsi="Arial"/>
                  <w:sz w:val="16"/>
                  <w:szCs w:val="16"/>
                  <w:color w:val="0000FF"/>
                </w:rPr>
                <w:t>20</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6"/>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Item 4</w:t>
              </w:r>
            </w:hyperlink>
          </w:p>
        </w:tc>
        <w:tc>
          <w:tcPr>
            <w:tcW w:w="7860" w:type="dxa"/>
            <w:vAlign w:val="bottom"/>
            <w:gridSpan w:val="21"/>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Mine Safety Disclosures</w:t>
              </w:r>
            </w:hyperlink>
          </w:p>
        </w:tc>
        <w:tc>
          <w:tcPr>
            <w:tcW w:w="1380" w:type="dxa"/>
            <w:vAlign w:val="bottom"/>
            <w:gridSpan w:val="5"/>
          </w:tcPr>
          <w:p>
            <w:pPr>
              <w:jc w:val="right"/>
              <w:ind w:right="40"/>
              <w:spacing w:after="0"/>
              <w:rPr>
                <w:rFonts w:ascii="Arial" w:cs="Arial" w:eastAsia="Arial" w:hAnsi="Arial"/>
                <w:sz w:val="16"/>
                <w:szCs w:val="16"/>
                <w:color w:val="0000FF"/>
              </w:rPr>
            </w:pPr>
            <w:hyperlink w:anchor="page23">
              <w:r>
                <w:rPr>
                  <w:rFonts w:ascii="Arial" w:cs="Arial" w:eastAsia="Arial" w:hAnsi="Arial"/>
                  <w:sz w:val="16"/>
                  <w:szCs w:val="16"/>
                  <w:color w:val="0000FF"/>
                </w:rPr>
                <w:t>20</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spacing w:after="0"/>
              <w:rPr>
                <w:rFonts w:ascii="Arial" w:cs="Arial" w:eastAsia="Arial" w:hAnsi="Arial"/>
                <w:sz w:val="16"/>
                <w:szCs w:val="16"/>
                <w:b w:val="1"/>
                <w:bCs w:val="1"/>
                <w:color w:val="0000FF"/>
              </w:rPr>
            </w:pPr>
            <w:hyperlink w:anchor="page24">
              <w:r>
                <w:rPr>
                  <w:rFonts w:ascii="Arial" w:cs="Arial" w:eastAsia="Arial" w:hAnsi="Arial"/>
                  <w:sz w:val="16"/>
                  <w:szCs w:val="16"/>
                  <w:b w:val="1"/>
                  <w:bCs w:val="1"/>
                  <w:color w:val="0000FF"/>
                </w:rPr>
                <w:t>Part II</w:t>
              </w:r>
            </w:hyperlink>
          </w:p>
        </w:tc>
        <w:tc>
          <w:tcPr>
            <w:tcW w:w="1700" w:type="dxa"/>
            <w:vAlign w:val="bottom"/>
            <w:gridSpan w:val="8"/>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spacing w:after="0"/>
              <w:rPr>
                <w:sz w:val="15"/>
                <w:szCs w:val="15"/>
                <w:color w:val="auto"/>
              </w:rPr>
            </w:pPr>
          </w:p>
        </w:tc>
        <w:tc>
          <w:tcPr>
            <w:tcW w:w="200" w:type="dxa"/>
            <w:vAlign w:val="bottom"/>
            <w:gridSpan w:val="3"/>
            <w:shd w:val="clear" w:color="auto" w:fill="CCEEFF"/>
          </w:tcPr>
          <w:p>
            <w:pPr>
              <w:jc w:val="right"/>
              <w:ind w:right="40"/>
              <w:spacing w:after="0"/>
              <w:rPr>
                <w:rFonts w:ascii="Arial" w:cs="Arial" w:eastAsia="Arial" w:hAnsi="Arial"/>
                <w:sz w:val="16"/>
                <w:szCs w:val="16"/>
                <w:color w:val="0000FF"/>
                <w:w w:val="78"/>
              </w:rPr>
            </w:pPr>
            <w:hyperlink w:anchor="page24">
              <w:r>
                <w:rPr>
                  <w:rFonts w:ascii="Arial" w:cs="Arial" w:eastAsia="Arial" w:hAnsi="Arial"/>
                  <w:sz w:val="16"/>
                  <w:szCs w:val="16"/>
                  <w:color w:val="0000FF"/>
                  <w:w w:val="78"/>
                </w:rPr>
                <w:t>21</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6"/>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Item 5</w:t>
              </w:r>
            </w:hyperlink>
          </w:p>
        </w:tc>
        <w:tc>
          <w:tcPr>
            <w:tcW w:w="7860" w:type="dxa"/>
            <w:vAlign w:val="bottom"/>
            <w:gridSpan w:val="21"/>
          </w:tcPr>
          <w:p>
            <w:pPr>
              <w:spacing w:after="0"/>
              <w:rPr>
                <w:rFonts w:ascii="Arial" w:cs="Arial" w:eastAsia="Arial" w:hAnsi="Arial"/>
                <w:sz w:val="16"/>
                <w:szCs w:val="16"/>
                <w:color w:val="0000FF"/>
                <w:w w:val="98"/>
              </w:rPr>
            </w:pPr>
            <w:hyperlink w:anchor="page24">
              <w:r>
                <w:rPr>
                  <w:rFonts w:ascii="Arial" w:cs="Arial" w:eastAsia="Arial" w:hAnsi="Arial"/>
                  <w:sz w:val="16"/>
                  <w:szCs w:val="16"/>
                  <w:color w:val="0000FF"/>
                  <w:w w:val="98"/>
                </w:rPr>
                <w:t>Market for Registrant's Common Equity, Related Stockholder Matters, and Issuer Purchases of Equity Securities</w:t>
              </w:r>
            </w:hyperlink>
          </w:p>
        </w:tc>
        <w:tc>
          <w:tcPr>
            <w:tcW w:w="1180" w:type="dxa"/>
            <w:vAlign w:val="bottom"/>
            <w:gridSpan w:val="2"/>
          </w:tcPr>
          <w:p>
            <w:pPr>
              <w:spacing w:after="0"/>
              <w:rPr>
                <w:sz w:val="15"/>
                <w:szCs w:val="15"/>
                <w:color w:val="auto"/>
              </w:rPr>
            </w:pPr>
          </w:p>
        </w:tc>
        <w:tc>
          <w:tcPr>
            <w:tcW w:w="200" w:type="dxa"/>
            <w:vAlign w:val="bottom"/>
            <w:gridSpan w:val="3"/>
          </w:tcPr>
          <w:p>
            <w:pPr>
              <w:jc w:val="right"/>
              <w:ind w:right="40"/>
              <w:spacing w:after="0"/>
              <w:rPr>
                <w:rFonts w:ascii="Arial" w:cs="Arial" w:eastAsia="Arial" w:hAnsi="Arial"/>
                <w:sz w:val="16"/>
                <w:szCs w:val="16"/>
                <w:color w:val="0000FF"/>
                <w:w w:val="78"/>
              </w:rPr>
            </w:pPr>
            <w:hyperlink w:anchor="page24">
              <w:r>
                <w:rPr>
                  <w:rFonts w:ascii="Arial" w:cs="Arial" w:eastAsia="Arial" w:hAnsi="Arial"/>
                  <w:sz w:val="16"/>
                  <w:szCs w:val="16"/>
                  <w:color w:val="0000FF"/>
                  <w:w w:val="78"/>
                </w:rPr>
                <w:t>21</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72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19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26">
              <w:r>
                <w:rPr>
                  <w:rFonts w:ascii="Arial" w:cs="Arial" w:eastAsia="Arial" w:hAnsi="Arial"/>
                  <w:sz w:val="16"/>
                  <w:szCs w:val="16"/>
                  <w:color w:val="0000EE"/>
                </w:rPr>
                <w:t>Item 6</w:t>
              </w:r>
            </w:hyperlink>
          </w:p>
        </w:tc>
        <w:tc>
          <w:tcPr>
            <w:tcW w:w="7860" w:type="dxa"/>
            <w:vAlign w:val="bottom"/>
            <w:gridSpan w:val="21"/>
            <w:shd w:val="clear" w:color="auto" w:fill="CCEEFF"/>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Selected Financial Data</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26">
              <w:r>
                <w:rPr>
                  <w:rFonts w:ascii="Arial" w:cs="Arial" w:eastAsia="Arial" w:hAnsi="Arial"/>
                  <w:sz w:val="16"/>
                  <w:szCs w:val="16"/>
                  <w:color w:val="0000FF"/>
                </w:rPr>
                <w:t>23</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6"/>
          </w:tcPr>
          <w:p>
            <w:pPr>
              <w:spacing w:after="0"/>
              <w:rPr>
                <w:rFonts w:ascii="Arial" w:cs="Arial" w:eastAsia="Arial" w:hAnsi="Arial"/>
                <w:sz w:val="16"/>
                <w:szCs w:val="16"/>
                <w:color w:val="0000EE"/>
              </w:rPr>
            </w:pPr>
            <w:hyperlink w:anchor="page28">
              <w:r>
                <w:rPr>
                  <w:rFonts w:ascii="Arial" w:cs="Arial" w:eastAsia="Arial" w:hAnsi="Arial"/>
                  <w:sz w:val="16"/>
                  <w:szCs w:val="16"/>
                  <w:color w:val="0000EE"/>
                </w:rPr>
                <w:t>Item 7</w:t>
              </w:r>
            </w:hyperlink>
          </w:p>
        </w:tc>
        <w:tc>
          <w:tcPr>
            <w:tcW w:w="7860" w:type="dxa"/>
            <w:vAlign w:val="bottom"/>
            <w:gridSpan w:val="21"/>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Management's Discussion and Analysis of Financial Condition and Results of Operations</w:t>
              </w:r>
            </w:hyperlink>
          </w:p>
        </w:tc>
        <w:tc>
          <w:tcPr>
            <w:tcW w:w="1380" w:type="dxa"/>
            <w:vAlign w:val="bottom"/>
            <w:gridSpan w:val="5"/>
          </w:tcPr>
          <w:p>
            <w:pPr>
              <w:jc w:val="right"/>
              <w:ind w:right="40"/>
              <w:spacing w:after="0"/>
              <w:rPr>
                <w:rFonts w:ascii="Arial" w:cs="Arial" w:eastAsia="Arial" w:hAnsi="Arial"/>
                <w:sz w:val="16"/>
                <w:szCs w:val="16"/>
                <w:color w:val="0000FF"/>
              </w:rPr>
            </w:pPr>
            <w:hyperlink w:anchor="page28">
              <w:r>
                <w:rPr>
                  <w:rFonts w:ascii="Arial" w:cs="Arial" w:eastAsia="Arial" w:hAnsi="Arial"/>
                  <w:sz w:val="16"/>
                  <w:szCs w:val="16"/>
                  <w:color w:val="0000FF"/>
                </w:rPr>
                <w:t>25</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72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19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Item 7A</w:t>
              </w:r>
            </w:hyperlink>
          </w:p>
        </w:tc>
        <w:tc>
          <w:tcPr>
            <w:tcW w:w="7860" w:type="dxa"/>
            <w:vAlign w:val="bottom"/>
            <w:gridSpan w:val="21"/>
            <w:shd w:val="clear" w:color="auto" w:fill="CCEEFF"/>
          </w:tcPr>
          <w:p>
            <w:pPr>
              <w:spacing w:after="0"/>
              <w:rPr>
                <w:rFonts w:ascii="Arial" w:cs="Arial" w:eastAsia="Arial" w:hAnsi="Arial"/>
                <w:sz w:val="16"/>
                <w:szCs w:val="16"/>
                <w:color w:val="0000FF"/>
              </w:rPr>
            </w:pPr>
            <w:hyperlink w:anchor="page52">
              <w:r>
                <w:rPr>
                  <w:rFonts w:ascii="Arial" w:cs="Arial" w:eastAsia="Arial" w:hAnsi="Arial"/>
                  <w:sz w:val="16"/>
                  <w:szCs w:val="16"/>
                  <w:color w:val="0000FF"/>
                </w:rPr>
                <w:t>Quantitative and Qualitative Disclosures about Market Risk</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52">
              <w:r>
                <w:rPr>
                  <w:rFonts w:ascii="Arial" w:cs="Arial" w:eastAsia="Arial" w:hAnsi="Arial"/>
                  <w:sz w:val="16"/>
                  <w:szCs w:val="16"/>
                  <w:color w:val="0000FF"/>
                </w:rPr>
                <w:t>49</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gridSpan w:val="5"/>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Item 8</w:t>
              </w:r>
            </w:hyperlink>
          </w:p>
        </w:tc>
        <w:tc>
          <w:tcPr>
            <w:tcW w:w="600" w:type="dxa"/>
            <w:vAlign w:val="bottom"/>
          </w:tcPr>
          <w:p>
            <w:pPr>
              <w:spacing w:after="0"/>
              <w:rPr>
                <w:sz w:val="15"/>
                <w:szCs w:val="15"/>
                <w:color w:val="auto"/>
              </w:rPr>
            </w:pPr>
          </w:p>
        </w:tc>
        <w:tc>
          <w:tcPr>
            <w:tcW w:w="3900" w:type="dxa"/>
            <w:vAlign w:val="bottom"/>
            <w:gridSpan w:val="16"/>
          </w:tcPr>
          <w:p>
            <w:pPr>
              <w:spacing w:after="0"/>
              <w:rPr>
                <w:rFonts w:ascii="Arial" w:cs="Arial" w:eastAsia="Arial" w:hAnsi="Arial"/>
                <w:sz w:val="16"/>
                <w:szCs w:val="16"/>
                <w:color w:val="0000FF"/>
              </w:rPr>
            </w:pPr>
            <w:hyperlink w:anchor="page53">
              <w:r>
                <w:rPr>
                  <w:rFonts w:ascii="Arial" w:cs="Arial" w:eastAsia="Arial" w:hAnsi="Arial"/>
                  <w:sz w:val="16"/>
                  <w:szCs w:val="16"/>
                  <w:color w:val="0000FF"/>
                </w:rPr>
                <w:t>Financial Statements and Supplementary Data</w:t>
              </w:r>
            </w:hyperlink>
          </w:p>
        </w:tc>
        <w:tc>
          <w:tcPr>
            <w:tcW w:w="3960" w:type="dxa"/>
            <w:vAlign w:val="bottom"/>
            <w:gridSpan w:val="5"/>
          </w:tcPr>
          <w:p>
            <w:pPr>
              <w:spacing w:after="0"/>
              <w:rPr>
                <w:sz w:val="15"/>
                <w:szCs w:val="15"/>
                <w:color w:val="auto"/>
              </w:rPr>
            </w:pPr>
          </w:p>
        </w:tc>
        <w:tc>
          <w:tcPr>
            <w:tcW w:w="1180" w:type="dxa"/>
            <w:vAlign w:val="bottom"/>
            <w:gridSpan w:val="2"/>
          </w:tcPr>
          <w:p>
            <w:pPr>
              <w:spacing w:after="0"/>
              <w:rPr>
                <w:sz w:val="15"/>
                <w:szCs w:val="15"/>
                <w:color w:val="auto"/>
              </w:rPr>
            </w:pPr>
          </w:p>
        </w:tc>
        <w:tc>
          <w:tcPr>
            <w:tcW w:w="200" w:type="dxa"/>
            <w:vAlign w:val="bottom"/>
            <w:gridSpan w:val="3"/>
          </w:tcPr>
          <w:p>
            <w:pPr>
              <w:jc w:val="right"/>
              <w:ind w:right="40"/>
              <w:spacing w:after="0"/>
              <w:rPr>
                <w:rFonts w:ascii="Arial" w:cs="Arial" w:eastAsia="Arial" w:hAnsi="Arial"/>
                <w:sz w:val="16"/>
                <w:szCs w:val="16"/>
                <w:color w:val="0000FF"/>
                <w:w w:val="78"/>
              </w:rPr>
            </w:pPr>
            <w:hyperlink w:anchor="page53">
              <w:r>
                <w:rPr>
                  <w:rFonts w:ascii="Arial" w:cs="Arial" w:eastAsia="Arial" w:hAnsi="Arial"/>
                  <w:sz w:val="16"/>
                  <w:szCs w:val="16"/>
                  <w:color w:val="0000FF"/>
                  <w:w w:val="78"/>
                </w:rPr>
                <w:t>50</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72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107">
              <w:r>
                <w:rPr>
                  <w:rFonts w:ascii="Arial" w:cs="Arial" w:eastAsia="Arial" w:hAnsi="Arial"/>
                  <w:sz w:val="16"/>
                  <w:szCs w:val="16"/>
                  <w:color w:val="0000EE"/>
                </w:rPr>
                <w:t>Item 9</w:t>
              </w:r>
            </w:hyperlink>
          </w:p>
        </w:tc>
        <w:tc>
          <w:tcPr>
            <w:tcW w:w="7860" w:type="dxa"/>
            <w:vAlign w:val="bottom"/>
            <w:gridSpan w:val="21"/>
            <w:shd w:val="clear" w:color="auto" w:fill="CCEEFF"/>
          </w:tcPr>
          <w:p>
            <w:pPr>
              <w:spacing w:after="0"/>
              <w:rPr>
                <w:rFonts w:ascii="Arial" w:cs="Arial" w:eastAsia="Arial" w:hAnsi="Arial"/>
                <w:sz w:val="16"/>
                <w:szCs w:val="16"/>
                <w:color w:val="0000FF"/>
              </w:rPr>
            </w:pPr>
            <w:hyperlink w:anchor="page107">
              <w:r>
                <w:rPr>
                  <w:rFonts w:ascii="Arial" w:cs="Arial" w:eastAsia="Arial" w:hAnsi="Arial"/>
                  <w:sz w:val="16"/>
                  <w:szCs w:val="16"/>
                  <w:color w:val="0000FF"/>
                </w:rPr>
                <w:t>Changes in and Disagreements with Accountants on Accounting and Financial Disclosure</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107">
              <w:r>
                <w:rPr>
                  <w:rFonts w:ascii="Arial" w:cs="Arial" w:eastAsia="Arial" w:hAnsi="Arial"/>
                  <w:sz w:val="16"/>
                  <w:szCs w:val="16"/>
                  <w:color w:val="0000FF"/>
                </w:rPr>
                <w:t>104</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19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6"/>
          </w:tcPr>
          <w:p>
            <w:pPr>
              <w:spacing w:after="0"/>
              <w:rPr>
                <w:rFonts w:ascii="Arial" w:cs="Arial" w:eastAsia="Arial" w:hAnsi="Arial"/>
                <w:sz w:val="16"/>
                <w:szCs w:val="16"/>
                <w:color w:val="0000EE"/>
              </w:rPr>
            </w:pPr>
            <w:hyperlink w:anchor="page107">
              <w:r>
                <w:rPr>
                  <w:rFonts w:ascii="Arial" w:cs="Arial" w:eastAsia="Arial" w:hAnsi="Arial"/>
                  <w:sz w:val="16"/>
                  <w:szCs w:val="16"/>
                  <w:color w:val="0000EE"/>
                </w:rPr>
                <w:t>Item 9A</w:t>
              </w:r>
            </w:hyperlink>
          </w:p>
        </w:tc>
        <w:tc>
          <w:tcPr>
            <w:tcW w:w="7860" w:type="dxa"/>
            <w:vAlign w:val="bottom"/>
            <w:gridSpan w:val="21"/>
          </w:tcPr>
          <w:p>
            <w:pPr>
              <w:spacing w:after="0"/>
              <w:rPr>
                <w:rFonts w:ascii="Arial" w:cs="Arial" w:eastAsia="Arial" w:hAnsi="Arial"/>
                <w:sz w:val="16"/>
                <w:szCs w:val="16"/>
                <w:color w:val="0000FF"/>
              </w:rPr>
            </w:pPr>
            <w:hyperlink w:anchor="page107">
              <w:r>
                <w:rPr>
                  <w:rFonts w:ascii="Arial" w:cs="Arial" w:eastAsia="Arial" w:hAnsi="Arial"/>
                  <w:sz w:val="16"/>
                  <w:szCs w:val="16"/>
                  <w:color w:val="0000FF"/>
                </w:rPr>
                <w:t>Controls and Procedures</w:t>
              </w:r>
            </w:hyperlink>
          </w:p>
        </w:tc>
        <w:tc>
          <w:tcPr>
            <w:tcW w:w="1380" w:type="dxa"/>
            <w:vAlign w:val="bottom"/>
            <w:gridSpan w:val="5"/>
          </w:tcPr>
          <w:p>
            <w:pPr>
              <w:jc w:val="right"/>
              <w:ind w:right="40"/>
              <w:spacing w:after="0"/>
              <w:rPr>
                <w:rFonts w:ascii="Arial" w:cs="Arial" w:eastAsia="Arial" w:hAnsi="Arial"/>
                <w:sz w:val="16"/>
                <w:szCs w:val="16"/>
                <w:color w:val="0000FF"/>
              </w:rPr>
            </w:pPr>
            <w:hyperlink w:anchor="page107">
              <w:r>
                <w:rPr>
                  <w:rFonts w:ascii="Arial" w:cs="Arial" w:eastAsia="Arial" w:hAnsi="Arial"/>
                  <w:sz w:val="16"/>
                  <w:szCs w:val="16"/>
                  <w:color w:val="0000FF"/>
                </w:rPr>
                <w:t>104</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40" w:type="dxa"/>
            <w:vAlign w:val="bottom"/>
            <w:gridSpan w:val="5"/>
            <w:shd w:val="clear" w:color="auto" w:fill="CCEEFF"/>
          </w:tcPr>
          <w:p>
            <w:pPr>
              <w:spacing w:after="0"/>
              <w:rPr>
                <w:rFonts w:ascii="Arial" w:cs="Arial" w:eastAsia="Arial" w:hAnsi="Arial"/>
                <w:sz w:val="16"/>
                <w:szCs w:val="16"/>
                <w:color w:val="0000EE"/>
                <w:w w:val="94"/>
              </w:rPr>
            </w:pPr>
            <w:hyperlink w:anchor="page108">
              <w:r>
                <w:rPr>
                  <w:rFonts w:ascii="Arial" w:cs="Arial" w:eastAsia="Arial" w:hAnsi="Arial"/>
                  <w:sz w:val="16"/>
                  <w:szCs w:val="16"/>
                  <w:color w:val="0000EE"/>
                  <w:w w:val="94"/>
                </w:rPr>
                <w:t>Item 9B</w:t>
              </w:r>
            </w:hyperlink>
          </w:p>
        </w:tc>
        <w:tc>
          <w:tcPr>
            <w:tcW w:w="600" w:type="dxa"/>
            <w:vAlign w:val="bottom"/>
            <w:shd w:val="clear" w:color="auto" w:fill="CCEEFF"/>
          </w:tcPr>
          <w:p>
            <w:pPr>
              <w:spacing w:after="0"/>
              <w:rPr>
                <w:sz w:val="15"/>
                <w:szCs w:val="15"/>
                <w:color w:val="auto"/>
              </w:rPr>
            </w:pPr>
          </w:p>
        </w:tc>
        <w:tc>
          <w:tcPr>
            <w:tcW w:w="7860" w:type="dxa"/>
            <w:vAlign w:val="bottom"/>
            <w:gridSpan w:val="21"/>
            <w:shd w:val="clear" w:color="auto" w:fill="CCEEFF"/>
          </w:tcPr>
          <w:p>
            <w:pPr>
              <w:spacing w:after="0"/>
              <w:rPr>
                <w:rFonts w:ascii="Arial" w:cs="Arial" w:eastAsia="Arial" w:hAnsi="Arial"/>
                <w:sz w:val="16"/>
                <w:szCs w:val="16"/>
                <w:color w:val="0000FF"/>
              </w:rPr>
            </w:pPr>
            <w:hyperlink w:anchor="page108">
              <w:r>
                <w:rPr>
                  <w:rFonts w:ascii="Arial" w:cs="Arial" w:eastAsia="Arial" w:hAnsi="Arial"/>
                  <w:sz w:val="16"/>
                  <w:szCs w:val="16"/>
                  <w:color w:val="0000FF"/>
                </w:rPr>
                <w:t>Other Information</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108">
              <w:r>
                <w:rPr>
                  <w:rFonts w:ascii="Arial" w:cs="Arial" w:eastAsia="Arial" w:hAnsi="Arial"/>
                  <w:sz w:val="16"/>
                  <w:szCs w:val="16"/>
                  <w:color w:val="0000FF"/>
                </w:rPr>
                <w:t>105</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40" w:type="dxa"/>
            <w:vAlign w:val="bottom"/>
            <w:gridSpan w:val="4"/>
          </w:tcPr>
          <w:p>
            <w:pPr>
              <w:spacing w:after="0"/>
              <w:rPr>
                <w:rFonts w:ascii="Arial" w:cs="Arial" w:eastAsia="Arial" w:hAnsi="Arial"/>
                <w:sz w:val="16"/>
                <w:szCs w:val="16"/>
                <w:b w:val="1"/>
                <w:bCs w:val="1"/>
                <w:color w:val="0000FF"/>
              </w:rPr>
            </w:pPr>
            <w:hyperlink w:anchor="page108">
              <w:r>
                <w:rPr>
                  <w:rFonts w:ascii="Arial" w:cs="Arial" w:eastAsia="Arial" w:hAnsi="Arial"/>
                  <w:sz w:val="16"/>
                  <w:szCs w:val="16"/>
                  <w:b w:val="1"/>
                  <w:bCs w:val="1"/>
                  <w:color w:val="0000FF"/>
                </w:rPr>
                <w:t>Part III</w:t>
              </w:r>
            </w:hyperlink>
          </w:p>
        </w:tc>
        <w:tc>
          <w:tcPr>
            <w:tcW w:w="540" w:type="dxa"/>
            <w:vAlign w:val="bottom"/>
            <w:gridSpan w:val="5"/>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gridSpan w:val="4"/>
          </w:tcPr>
          <w:p>
            <w:pPr>
              <w:jc w:val="right"/>
              <w:ind w:right="40"/>
              <w:spacing w:after="0"/>
              <w:rPr>
                <w:rFonts w:ascii="Arial" w:cs="Arial" w:eastAsia="Arial" w:hAnsi="Arial"/>
                <w:sz w:val="16"/>
                <w:szCs w:val="16"/>
                <w:color w:val="0000FF"/>
                <w:w w:val="82"/>
              </w:rPr>
            </w:pPr>
            <w:hyperlink w:anchor="page108">
              <w:r>
                <w:rPr>
                  <w:rFonts w:ascii="Arial" w:cs="Arial" w:eastAsia="Arial" w:hAnsi="Arial"/>
                  <w:sz w:val="16"/>
                  <w:szCs w:val="16"/>
                  <w:color w:val="0000FF"/>
                  <w:w w:val="82"/>
                </w:rPr>
                <w:t>105</w:t>
              </w:r>
            </w:hyperlink>
          </w:p>
        </w:tc>
      </w:tr>
      <w:tr>
        <w:trPr>
          <w:trHeight w:val="41"/>
        </w:trPr>
        <w:tc>
          <w:tcPr>
            <w:tcW w:w="20" w:type="dxa"/>
            <w:vAlign w:val="bottom"/>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108">
              <w:r>
                <w:rPr>
                  <w:rFonts w:ascii="Arial" w:cs="Arial" w:eastAsia="Arial" w:hAnsi="Arial"/>
                  <w:sz w:val="16"/>
                  <w:szCs w:val="16"/>
                  <w:color w:val="0000EE"/>
                </w:rPr>
                <w:t>Item 10</w:t>
              </w:r>
            </w:hyperlink>
          </w:p>
        </w:tc>
        <w:tc>
          <w:tcPr>
            <w:tcW w:w="7860" w:type="dxa"/>
            <w:vAlign w:val="bottom"/>
            <w:gridSpan w:val="21"/>
            <w:shd w:val="clear" w:color="auto" w:fill="CCEEFF"/>
          </w:tcPr>
          <w:p>
            <w:pPr>
              <w:spacing w:after="0"/>
              <w:rPr>
                <w:rFonts w:ascii="Arial" w:cs="Arial" w:eastAsia="Arial" w:hAnsi="Arial"/>
                <w:sz w:val="16"/>
                <w:szCs w:val="16"/>
                <w:color w:val="0000FF"/>
              </w:rPr>
            </w:pPr>
            <w:hyperlink w:anchor="page108">
              <w:r>
                <w:rPr>
                  <w:rFonts w:ascii="Arial" w:cs="Arial" w:eastAsia="Arial" w:hAnsi="Arial"/>
                  <w:sz w:val="16"/>
                  <w:szCs w:val="16"/>
                  <w:color w:val="0000FF"/>
                </w:rPr>
                <w:t>Directors and Executive Officers of the Registrant</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108">
              <w:r>
                <w:rPr>
                  <w:rFonts w:ascii="Arial" w:cs="Arial" w:eastAsia="Arial" w:hAnsi="Arial"/>
                  <w:sz w:val="16"/>
                  <w:szCs w:val="16"/>
                  <w:color w:val="0000FF"/>
                </w:rPr>
                <w:t>105</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4"/>
          </w:tcPr>
          <w:p>
            <w:pPr>
              <w:spacing w:after="0"/>
              <w:rPr>
                <w:rFonts w:ascii="Arial" w:cs="Arial" w:eastAsia="Arial" w:hAnsi="Arial"/>
                <w:sz w:val="16"/>
                <w:szCs w:val="16"/>
                <w:color w:val="0000EE"/>
                <w:w w:val="89"/>
              </w:rPr>
            </w:pPr>
            <w:hyperlink w:anchor="page108">
              <w:r>
                <w:rPr>
                  <w:rFonts w:ascii="Arial" w:cs="Arial" w:eastAsia="Arial" w:hAnsi="Arial"/>
                  <w:sz w:val="16"/>
                  <w:szCs w:val="16"/>
                  <w:color w:val="0000EE"/>
                  <w:w w:val="89"/>
                </w:rPr>
                <w:t>Item 11</w:t>
              </w:r>
            </w:hyperlink>
          </w:p>
        </w:tc>
        <w:tc>
          <w:tcPr>
            <w:tcW w:w="640" w:type="dxa"/>
            <w:vAlign w:val="bottom"/>
            <w:gridSpan w:val="2"/>
          </w:tcPr>
          <w:p>
            <w:pPr>
              <w:spacing w:after="0"/>
              <w:rPr>
                <w:sz w:val="15"/>
                <w:szCs w:val="15"/>
                <w:color w:val="auto"/>
              </w:rPr>
            </w:pPr>
          </w:p>
        </w:tc>
        <w:tc>
          <w:tcPr>
            <w:tcW w:w="3280" w:type="dxa"/>
            <w:vAlign w:val="bottom"/>
            <w:gridSpan w:val="15"/>
          </w:tcPr>
          <w:p>
            <w:pPr>
              <w:spacing w:after="0"/>
              <w:rPr>
                <w:rFonts w:ascii="Arial" w:cs="Arial" w:eastAsia="Arial" w:hAnsi="Arial"/>
                <w:sz w:val="16"/>
                <w:szCs w:val="16"/>
                <w:color w:val="0000FF"/>
              </w:rPr>
            </w:pPr>
            <w:hyperlink w:anchor="page108">
              <w:r>
                <w:rPr>
                  <w:rFonts w:ascii="Arial" w:cs="Arial" w:eastAsia="Arial" w:hAnsi="Arial"/>
                  <w:sz w:val="16"/>
                  <w:szCs w:val="16"/>
                  <w:color w:val="0000FF"/>
                </w:rPr>
                <w:t>Executive Compensation</w:t>
              </w:r>
            </w:hyperlink>
          </w:p>
        </w:tc>
        <w:tc>
          <w:tcPr>
            <w:tcW w:w="4580" w:type="dxa"/>
            <w:vAlign w:val="bottom"/>
            <w:gridSpan w:val="6"/>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gridSpan w:val="4"/>
          </w:tcPr>
          <w:p>
            <w:pPr>
              <w:jc w:val="right"/>
              <w:ind w:right="40"/>
              <w:spacing w:after="0"/>
              <w:rPr>
                <w:rFonts w:ascii="Arial" w:cs="Arial" w:eastAsia="Arial" w:hAnsi="Arial"/>
                <w:sz w:val="16"/>
                <w:szCs w:val="16"/>
                <w:color w:val="0000FF"/>
                <w:w w:val="82"/>
              </w:rPr>
            </w:pPr>
            <w:hyperlink w:anchor="page108">
              <w:r>
                <w:rPr>
                  <w:rFonts w:ascii="Arial" w:cs="Arial" w:eastAsia="Arial" w:hAnsi="Arial"/>
                  <w:sz w:val="16"/>
                  <w:szCs w:val="16"/>
                  <w:color w:val="0000FF"/>
                  <w:w w:val="82"/>
                </w:rPr>
                <w:t>105</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108">
              <w:r>
                <w:rPr>
                  <w:rFonts w:ascii="Arial" w:cs="Arial" w:eastAsia="Arial" w:hAnsi="Arial"/>
                  <w:sz w:val="16"/>
                  <w:szCs w:val="16"/>
                  <w:color w:val="0000EE"/>
                </w:rPr>
                <w:t>Item 12</w:t>
              </w:r>
            </w:hyperlink>
          </w:p>
        </w:tc>
        <w:tc>
          <w:tcPr>
            <w:tcW w:w="7860" w:type="dxa"/>
            <w:vAlign w:val="bottom"/>
            <w:gridSpan w:val="21"/>
            <w:shd w:val="clear" w:color="auto" w:fill="CCEEFF"/>
          </w:tcPr>
          <w:p>
            <w:pPr>
              <w:spacing w:after="0"/>
              <w:rPr>
                <w:rFonts w:ascii="Arial" w:cs="Arial" w:eastAsia="Arial" w:hAnsi="Arial"/>
                <w:sz w:val="16"/>
                <w:szCs w:val="16"/>
                <w:color w:val="0000FF"/>
              </w:rPr>
            </w:pPr>
            <w:hyperlink w:anchor="page108">
              <w:r>
                <w:rPr>
                  <w:rFonts w:ascii="Arial" w:cs="Arial" w:eastAsia="Arial" w:hAnsi="Arial"/>
                  <w:sz w:val="16"/>
                  <w:szCs w:val="16"/>
                  <w:color w:val="0000FF"/>
                </w:rPr>
                <w:t>Security Ownership of Certain Beneficial Owners and Management and Related Stockholder Matters</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108">
              <w:r>
                <w:rPr>
                  <w:rFonts w:ascii="Arial" w:cs="Arial" w:eastAsia="Arial" w:hAnsi="Arial"/>
                  <w:sz w:val="16"/>
                  <w:szCs w:val="16"/>
                  <w:color w:val="0000FF"/>
                </w:rPr>
                <w:t>105</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19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0000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6"/>
          </w:tcPr>
          <w:p>
            <w:pPr>
              <w:spacing w:after="0"/>
              <w:rPr>
                <w:rFonts w:ascii="Arial" w:cs="Arial" w:eastAsia="Arial" w:hAnsi="Arial"/>
                <w:sz w:val="16"/>
                <w:szCs w:val="16"/>
                <w:color w:val="0000EE"/>
              </w:rPr>
            </w:pPr>
            <w:hyperlink w:anchor="page108">
              <w:r>
                <w:rPr>
                  <w:rFonts w:ascii="Arial" w:cs="Arial" w:eastAsia="Arial" w:hAnsi="Arial"/>
                  <w:sz w:val="16"/>
                  <w:szCs w:val="16"/>
                  <w:color w:val="0000EE"/>
                </w:rPr>
                <w:t>Item 13</w:t>
              </w:r>
            </w:hyperlink>
          </w:p>
        </w:tc>
        <w:tc>
          <w:tcPr>
            <w:tcW w:w="7860" w:type="dxa"/>
            <w:vAlign w:val="bottom"/>
            <w:gridSpan w:val="21"/>
          </w:tcPr>
          <w:p>
            <w:pPr>
              <w:spacing w:after="0"/>
              <w:rPr>
                <w:rFonts w:ascii="Arial" w:cs="Arial" w:eastAsia="Arial" w:hAnsi="Arial"/>
                <w:sz w:val="16"/>
                <w:szCs w:val="16"/>
                <w:color w:val="0000FF"/>
              </w:rPr>
            </w:pPr>
            <w:hyperlink w:anchor="page108">
              <w:r>
                <w:rPr>
                  <w:rFonts w:ascii="Arial" w:cs="Arial" w:eastAsia="Arial" w:hAnsi="Arial"/>
                  <w:sz w:val="16"/>
                  <w:szCs w:val="16"/>
                  <w:color w:val="0000FF"/>
                </w:rPr>
                <w:t>Certain Relationships and Related Transactions</w:t>
              </w:r>
            </w:hyperlink>
          </w:p>
        </w:tc>
        <w:tc>
          <w:tcPr>
            <w:tcW w:w="1380" w:type="dxa"/>
            <w:vAlign w:val="bottom"/>
            <w:gridSpan w:val="5"/>
          </w:tcPr>
          <w:p>
            <w:pPr>
              <w:jc w:val="right"/>
              <w:ind w:right="40"/>
              <w:spacing w:after="0"/>
              <w:rPr>
                <w:rFonts w:ascii="Arial" w:cs="Arial" w:eastAsia="Arial" w:hAnsi="Arial"/>
                <w:sz w:val="16"/>
                <w:szCs w:val="16"/>
                <w:color w:val="0000FF"/>
              </w:rPr>
            </w:pPr>
            <w:hyperlink w:anchor="page108">
              <w:r>
                <w:rPr>
                  <w:rFonts w:ascii="Arial" w:cs="Arial" w:eastAsia="Arial" w:hAnsi="Arial"/>
                  <w:sz w:val="16"/>
                  <w:szCs w:val="16"/>
                  <w:color w:val="0000FF"/>
                </w:rPr>
                <w:t>105</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72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108">
              <w:r>
                <w:rPr>
                  <w:rFonts w:ascii="Arial" w:cs="Arial" w:eastAsia="Arial" w:hAnsi="Arial"/>
                  <w:sz w:val="16"/>
                  <w:szCs w:val="16"/>
                  <w:color w:val="0000EE"/>
                </w:rPr>
                <w:t>Item 14</w:t>
              </w:r>
            </w:hyperlink>
          </w:p>
        </w:tc>
        <w:tc>
          <w:tcPr>
            <w:tcW w:w="7860" w:type="dxa"/>
            <w:vAlign w:val="bottom"/>
            <w:gridSpan w:val="21"/>
            <w:shd w:val="clear" w:color="auto" w:fill="CCEEFF"/>
          </w:tcPr>
          <w:p>
            <w:pPr>
              <w:spacing w:after="0"/>
              <w:rPr>
                <w:rFonts w:ascii="Arial" w:cs="Arial" w:eastAsia="Arial" w:hAnsi="Arial"/>
                <w:sz w:val="16"/>
                <w:szCs w:val="16"/>
                <w:color w:val="0000FF"/>
              </w:rPr>
            </w:pPr>
            <w:hyperlink w:anchor="page108">
              <w:r>
                <w:rPr>
                  <w:rFonts w:ascii="Arial" w:cs="Arial" w:eastAsia="Arial" w:hAnsi="Arial"/>
                  <w:sz w:val="16"/>
                  <w:szCs w:val="16"/>
                  <w:color w:val="0000FF"/>
                </w:rPr>
                <w:t>Principal Accountant Fees and Services</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108">
              <w:r>
                <w:rPr>
                  <w:rFonts w:ascii="Arial" w:cs="Arial" w:eastAsia="Arial" w:hAnsi="Arial"/>
                  <w:sz w:val="16"/>
                  <w:szCs w:val="16"/>
                  <w:color w:val="0000FF"/>
                </w:rPr>
                <w:t>105</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1040" w:type="dxa"/>
            <w:vAlign w:val="bottom"/>
            <w:gridSpan w:val="4"/>
          </w:tcPr>
          <w:p>
            <w:pPr>
              <w:spacing w:after="0"/>
              <w:rPr>
                <w:rFonts w:ascii="Arial" w:cs="Arial" w:eastAsia="Arial" w:hAnsi="Arial"/>
                <w:sz w:val="16"/>
                <w:szCs w:val="16"/>
                <w:b w:val="1"/>
                <w:bCs w:val="1"/>
                <w:color w:val="0000FF"/>
              </w:rPr>
            </w:pPr>
            <w:hyperlink w:anchor="page109">
              <w:r>
                <w:rPr>
                  <w:rFonts w:ascii="Arial" w:cs="Arial" w:eastAsia="Arial" w:hAnsi="Arial"/>
                  <w:sz w:val="16"/>
                  <w:szCs w:val="16"/>
                  <w:b w:val="1"/>
                  <w:bCs w:val="1"/>
                  <w:color w:val="0000FF"/>
                </w:rPr>
                <w:t>Part IV</w:t>
              </w:r>
            </w:hyperlink>
          </w:p>
        </w:tc>
        <w:tc>
          <w:tcPr>
            <w:tcW w:w="500" w:type="dxa"/>
            <w:vAlign w:val="bottom"/>
            <w:gridSpan w:val="4"/>
          </w:tcPr>
          <w:p>
            <w:pPr>
              <w:spacing w:after="0"/>
              <w:rPr>
                <w:sz w:val="15"/>
                <w:szCs w:val="15"/>
                <w:color w:val="auto"/>
              </w:rPr>
            </w:pPr>
          </w:p>
        </w:tc>
        <w:tc>
          <w:tcPr>
            <w:tcW w:w="64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gridSpan w:val="4"/>
          </w:tcPr>
          <w:p>
            <w:pPr>
              <w:jc w:val="right"/>
              <w:ind w:right="40"/>
              <w:spacing w:after="0"/>
              <w:rPr>
                <w:rFonts w:ascii="Arial" w:cs="Arial" w:eastAsia="Arial" w:hAnsi="Arial"/>
                <w:sz w:val="16"/>
                <w:szCs w:val="16"/>
                <w:color w:val="0000FF"/>
                <w:w w:val="82"/>
              </w:rPr>
            </w:pPr>
            <w:hyperlink w:anchor="page109">
              <w:r>
                <w:rPr>
                  <w:rFonts w:ascii="Arial" w:cs="Arial" w:eastAsia="Arial" w:hAnsi="Arial"/>
                  <w:sz w:val="16"/>
                  <w:szCs w:val="16"/>
                  <w:color w:val="0000FF"/>
                  <w:w w:val="82"/>
                </w:rPr>
                <w:t>106</w:t>
              </w:r>
            </w:hyperlink>
          </w:p>
        </w:tc>
      </w:tr>
      <w:tr>
        <w:trPr>
          <w:trHeight w:val="41"/>
        </w:trPr>
        <w:tc>
          <w:tcPr>
            <w:tcW w:w="20" w:type="dxa"/>
            <w:vAlign w:val="bottom"/>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40" w:type="dxa"/>
            <w:vAlign w:val="bottom"/>
            <w:gridSpan w:val="6"/>
            <w:shd w:val="clear" w:color="auto" w:fill="CCEEFF"/>
          </w:tcPr>
          <w:p>
            <w:pPr>
              <w:spacing w:after="0"/>
              <w:rPr>
                <w:rFonts w:ascii="Arial" w:cs="Arial" w:eastAsia="Arial" w:hAnsi="Arial"/>
                <w:sz w:val="16"/>
                <w:szCs w:val="16"/>
                <w:color w:val="0000EE"/>
              </w:rPr>
            </w:pPr>
            <w:hyperlink w:anchor="page109">
              <w:r>
                <w:rPr>
                  <w:rFonts w:ascii="Arial" w:cs="Arial" w:eastAsia="Arial" w:hAnsi="Arial"/>
                  <w:sz w:val="16"/>
                  <w:szCs w:val="16"/>
                  <w:color w:val="0000EE"/>
                </w:rPr>
                <w:t>Item 15</w:t>
              </w:r>
            </w:hyperlink>
          </w:p>
        </w:tc>
        <w:tc>
          <w:tcPr>
            <w:tcW w:w="7860" w:type="dxa"/>
            <w:vAlign w:val="bottom"/>
            <w:gridSpan w:val="21"/>
            <w:shd w:val="clear" w:color="auto" w:fill="CCEEFF"/>
          </w:tcPr>
          <w:p>
            <w:pPr>
              <w:spacing w:after="0"/>
              <w:rPr>
                <w:rFonts w:ascii="Arial" w:cs="Arial" w:eastAsia="Arial" w:hAnsi="Arial"/>
                <w:sz w:val="16"/>
                <w:szCs w:val="16"/>
                <w:color w:val="0000FF"/>
              </w:rPr>
            </w:pPr>
            <w:hyperlink w:anchor="page109">
              <w:r>
                <w:rPr>
                  <w:rFonts w:ascii="Arial" w:cs="Arial" w:eastAsia="Arial" w:hAnsi="Arial"/>
                  <w:sz w:val="16"/>
                  <w:szCs w:val="16"/>
                  <w:color w:val="0000FF"/>
                </w:rPr>
                <w:t>Exhibits and Financial Statement Schedules</w:t>
              </w:r>
            </w:hyperlink>
          </w:p>
        </w:tc>
        <w:tc>
          <w:tcPr>
            <w:tcW w:w="1380" w:type="dxa"/>
            <w:vAlign w:val="bottom"/>
            <w:gridSpan w:val="5"/>
            <w:shd w:val="clear" w:color="auto" w:fill="CCEEFF"/>
          </w:tcPr>
          <w:p>
            <w:pPr>
              <w:jc w:val="right"/>
              <w:ind w:right="40"/>
              <w:spacing w:after="0"/>
              <w:rPr>
                <w:rFonts w:ascii="Arial" w:cs="Arial" w:eastAsia="Arial" w:hAnsi="Arial"/>
                <w:sz w:val="16"/>
                <w:szCs w:val="16"/>
                <w:color w:val="0000FF"/>
              </w:rPr>
            </w:pPr>
            <w:hyperlink w:anchor="page109">
              <w:r>
                <w:rPr>
                  <w:rFonts w:ascii="Arial" w:cs="Arial" w:eastAsia="Arial" w:hAnsi="Arial"/>
                  <w:sz w:val="16"/>
                  <w:szCs w:val="16"/>
                  <w:color w:val="0000FF"/>
                </w:rPr>
                <w:t>106</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7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gridSpan w:val="6"/>
          </w:tcPr>
          <w:p>
            <w:pPr>
              <w:spacing w:after="0"/>
              <w:rPr>
                <w:rFonts w:ascii="Arial" w:cs="Arial" w:eastAsia="Arial" w:hAnsi="Arial"/>
                <w:sz w:val="16"/>
                <w:szCs w:val="16"/>
                <w:color w:val="0000EE"/>
              </w:rPr>
            </w:pPr>
            <w:hyperlink w:anchor="page112">
              <w:r>
                <w:rPr>
                  <w:rFonts w:ascii="Arial" w:cs="Arial" w:eastAsia="Arial" w:hAnsi="Arial"/>
                  <w:sz w:val="16"/>
                  <w:szCs w:val="16"/>
                  <w:color w:val="0000EE"/>
                </w:rPr>
                <w:t>Item 16</w:t>
              </w:r>
            </w:hyperlink>
          </w:p>
        </w:tc>
        <w:tc>
          <w:tcPr>
            <w:tcW w:w="7860" w:type="dxa"/>
            <w:vAlign w:val="bottom"/>
            <w:gridSpan w:val="21"/>
          </w:tcPr>
          <w:p>
            <w:pPr>
              <w:spacing w:after="0"/>
              <w:rPr>
                <w:sz w:val="20"/>
                <w:szCs w:val="20"/>
                <w:color w:val="auto"/>
              </w:rPr>
            </w:pPr>
            <w:r>
              <w:rPr>
                <w:rFonts w:ascii="Arial" w:cs="Arial" w:eastAsia="Arial" w:hAnsi="Arial"/>
                <w:sz w:val="16"/>
                <w:szCs w:val="16"/>
                <w:color w:val="0000FF"/>
              </w:rPr>
              <w:t>Form 10-K Summary</w:t>
            </w:r>
          </w:p>
        </w:tc>
        <w:tc>
          <w:tcPr>
            <w:tcW w:w="1380" w:type="dxa"/>
            <w:vAlign w:val="bottom"/>
            <w:gridSpan w:val="5"/>
          </w:tcPr>
          <w:p>
            <w:pPr>
              <w:jc w:val="right"/>
              <w:ind w:right="40"/>
              <w:spacing w:after="0"/>
              <w:rPr>
                <w:rFonts w:ascii="Arial" w:cs="Arial" w:eastAsia="Arial" w:hAnsi="Arial"/>
                <w:sz w:val="16"/>
                <w:szCs w:val="16"/>
                <w:color w:val="0000EE"/>
              </w:rPr>
            </w:pPr>
            <w:hyperlink w:anchor="page112">
              <w:r>
                <w:rPr>
                  <w:rFonts w:ascii="Arial" w:cs="Arial" w:eastAsia="Arial" w:hAnsi="Arial"/>
                  <w:sz w:val="16"/>
                  <w:szCs w:val="16"/>
                  <w:color w:val="0000EE"/>
                </w:rPr>
                <w:t>109</w:t>
              </w:r>
            </w:hyperlink>
          </w:p>
        </w:tc>
      </w:tr>
      <w:tr>
        <w:trPr>
          <w:trHeight w:val="41"/>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20" w:type="dxa"/>
            <w:vAlign w:val="bottom"/>
            <w:shd w:val="clear" w:color="auto" w:fill="CCEEFF"/>
          </w:tcPr>
          <w:p>
            <w:pPr>
              <w:spacing w:after="0"/>
              <w:rPr>
                <w:sz w:val="15"/>
                <w:szCs w:val="15"/>
                <w:color w:val="auto"/>
              </w:rPr>
            </w:pPr>
          </w:p>
        </w:tc>
        <w:tc>
          <w:tcPr>
            <w:tcW w:w="1060" w:type="dxa"/>
            <w:vAlign w:val="bottom"/>
            <w:gridSpan w:val="5"/>
            <w:shd w:val="clear" w:color="auto" w:fill="CCEEFF"/>
          </w:tcPr>
          <w:p>
            <w:pPr>
              <w:spacing w:after="0"/>
              <w:rPr>
                <w:rFonts w:ascii="Arial" w:cs="Arial" w:eastAsia="Arial" w:hAnsi="Arial"/>
                <w:sz w:val="16"/>
                <w:szCs w:val="16"/>
                <w:b w:val="1"/>
                <w:bCs w:val="1"/>
                <w:color w:val="0000FF"/>
                <w:w w:val="99"/>
              </w:rPr>
            </w:pPr>
            <w:hyperlink w:anchor="page112">
              <w:r>
                <w:rPr>
                  <w:rFonts w:ascii="Arial" w:cs="Arial" w:eastAsia="Arial" w:hAnsi="Arial"/>
                  <w:sz w:val="16"/>
                  <w:szCs w:val="16"/>
                  <w:b w:val="1"/>
                  <w:bCs w:val="1"/>
                  <w:color w:val="0000FF"/>
                  <w:w w:val="99"/>
                </w:rPr>
                <w:t>SIGNATURES</w:t>
              </w:r>
            </w:hyperlink>
          </w:p>
        </w:tc>
        <w:tc>
          <w:tcPr>
            <w:tcW w:w="1120" w:type="dxa"/>
            <w:vAlign w:val="bottom"/>
            <w:gridSpan w:val="5"/>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gridSpan w:val="4"/>
            <w:shd w:val="clear" w:color="auto" w:fill="CCEEFF"/>
          </w:tcPr>
          <w:p>
            <w:pPr>
              <w:jc w:val="right"/>
              <w:ind w:right="40"/>
              <w:spacing w:after="0"/>
              <w:rPr>
                <w:rFonts w:ascii="Arial" w:cs="Arial" w:eastAsia="Arial" w:hAnsi="Arial"/>
                <w:sz w:val="16"/>
                <w:szCs w:val="16"/>
                <w:color w:val="0000FF"/>
                <w:w w:val="82"/>
              </w:rPr>
            </w:pPr>
            <w:hyperlink w:anchor="page112">
              <w:r>
                <w:rPr>
                  <w:rFonts w:ascii="Arial" w:cs="Arial" w:eastAsia="Arial" w:hAnsi="Arial"/>
                  <w:sz w:val="16"/>
                  <w:szCs w:val="16"/>
                  <w:color w:val="0000FF"/>
                  <w:w w:val="82"/>
                </w:rPr>
                <w:t>109</w:t>
              </w:r>
            </w:hyperlink>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r>
      <w:tr>
        <w:trPr>
          <w:trHeight w:val="183"/>
        </w:trPr>
        <w:tc>
          <w:tcPr>
            <w:tcW w:w="20" w:type="dxa"/>
            <w:vAlign w:val="bottom"/>
          </w:tcPr>
          <w:p>
            <w:pPr>
              <w:spacing w:after="0"/>
              <w:rPr>
                <w:sz w:val="15"/>
                <w:szCs w:val="15"/>
                <w:color w:val="auto"/>
              </w:rPr>
            </w:pPr>
          </w:p>
        </w:tc>
        <w:tc>
          <w:tcPr>
            <w:tcW w:w="2180" w:type="dxa"/>
            <w:vAlign w:val="bottom"/>
            <w:gridSpan w:val="10"/>
          </w:tcPr>
          <w:p>
            <w:pPr>
              <w:spacing w:after="0"/>
              <w:rPr>
                <w:sz w:val="20"/>
                <w:szCs w:val="20"/>
                <w:color w:val="auto"/>
              </w:rPr>
            </w:pPr>
            <w:r>
              <w:rPr>
                <w:rFonts w:ascii="Arial" w:cs="Arial" w:eastAsia="Arial" w:hAnsi="Arial"/>
                <w:sz w:val="16"/>
                <w:szCs w:val="16"/>
                <w:b w:val="1"/>
                <w:bCs w:val="1"/>
                <w:color w:val="0000FF"/>
              </w:rPr>
              <w:t>CERTIFICATIONS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440"/>
          </w:cols>
          <w:pgMar w:left="240" w:top="339" w:right="219" w:bottom="1440" w:gutter="0" w:footer="0" w:header="0"/>
        </w:sectPr>
      </w:pPr>
    </w:p>
    <w:bookmarkStart w:id="3" w:name="page4"/>
    <w:bookmarkEnd w:id="3"/>
    <w:p>
      <w:pPr>
        <w:ind w:right="180"/>
        <w:spacing w:after="0" w:line="277" w:lineRule="auto"/>
        <w:rPr>
          <w:sz w:val="20"/>
          <w:szCs w:val="20"/>
          <w:color w:val="auto"/>
        </w:rPr>
      </w:pPr>
      <w:r>
        <w:rPr>
          <w:rFonts w:ascii="Arial" w:cs="Arial" w:eastAsia="Arial" w:hAnsi="Arial"/>
          <w:sz w:val="15"/>
          <w:szCs w:val="15"/>
          <w:color w:val="auto"/>
        </w:rPr>
        <w:t>This Annual Report on Form 10-K contains certain forward-looking statements regarding future circumstances. Forward-looking statements provide current expectations of future events based on certain assumptions and include any statement that does not directly relate to any historical or current fact. Forward-looking statements can also be identified by words such as "anticipates," "believes," "estimates," "expects," "intends," "plans," "predicts," and similar terms. These forward-looking statements are based upon current expectations and assumptions of the Company and are subject to various risks and uncertainties that could cause actual results to differ materially from those contemplated in such forward-looking statements including, but not limited to, those discussed in the subsection entitled "Risk Factors" under Part I, Item 1A of this Annual Report on Form 10-K. Actual results, events, and performance may differ significantly from the results discussed in the forward-looking statements. Readers of this Annual Report on Form 10-K are cautioned not to place undue reliance on these forward-looking statements, which speak only as of the date hereof. Except for any ongoing obligations to disclose material information as required by federal securities laws, the Company does not have any intention or obligation to update forward-looking statements after the filing of this Annual Report on Form 10-K. The inclusion of any statement in this Annual Report on Form 10-K does not constitute an admission by the Company or any other person that the events or circumstances described in such statement are material.</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211" w:lineRule="exact"/>
        <w:rPr>
          <w:sz w:val="20"/>
          <w:szCs w:val="20"/>
          <w:color w:val="auto"/>
        </w:rPr>
      </w:pPr>
    </w:p>
    <w:p>
      <w:pPr>
        <w:ind w:right="260"/>
        <w:spacing w:after="0" w:line="261" w:lineRule="auto"/>
        <w:rPr>
          <w:sz w:val="20"/>
          <w:szCs w:val="20"/>
          <w:color w:val="auto"/>
        </w:rPr>
      </w:pPr>
      <w:r>
        <w:rPr>
          <w:rFonts w:ascii="Arial" w:cs="Arial" w:eastAsia="Arial" w:hAnsi="Arial"/>
          <w:sz w:val="15"/>
          <w:szCs w:val="15"/>
          <w:color w:val="auto"/>
        </w:rPr>
        <w:t xml:space="preserve">Our market share data is based on information provided by the NPD Group, Inc ("NPD"). Unless otherwise indicated, references to market share in this Annual Report on Form 10-K are expressed as a percentage of total retail sales of the stated market. The baby and young children’s apparel market includes apparel products for ages zero to seven. NPD data is based upon Consumer Panel Track </w:t>
      </w:r>
      <w:r>
        <w:rPr>
          <w:rFonts w:ascii="Arial" w:cs="Arial" w:eastAsia="Arial" w:hAnsi="Arial"/>
          <w:sz w:val="20"/>
          <w:szCs w:val="20"/>
          <w:color w:val="auto"/>
          <w:vertAlign w:val="superscript"/>
        </w:rPr>
        <w:t>SM</w:t>
      </w:r>
      <w:r>
        <w:rPr>
          <w:rFonts w:ascii="Arial" w:cs="Arial" w:eastAsia="Arial" w:hAnsi="Arial"/>
          <w:sz w:val="15"/>
          <w:szCs w:val="15"/>
          <w:color w:val="auto"/>
        </w:rPr>
        <w:t xml:space="preserve"> (consumer-reported sales) calibrated with selected retailers' point of sale data. Certain NPD data cited in prior Annual Reports on Form 10-K were based on an alternate methodology no longer employed by NPD and are not comparable to current year presentation.</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 xml:space="preserve">The NPD market share data presented is based on NPD's definition of the baby and playclothes categories, which are different from the Company's definitions of these categories. The data presented is based upon The NPD Group/Consumer Tracking Service for Children's Apparel in the United States ("U.S.") and </w:t>
      </w:r>
      <w:r>
        <w:rPr>
          <w:rFonts w:ascii="Arial" w:cs="Arial" w:eastAsia="Arial" w:hAnsi="Arial"/>
          <w:sz w:val="16"/>
          <w:szCs w:val="16"/>
          <w:color w:val="1F497D"/>
        </w:rPr>
        <w:t>r</w:t>
      </w:r>
      <w:r>
        <w:rPr>
          <w:rFonts w:ascii="Arial" w:cs="Arial" w:eastAsia="Arial" w:hAnsi="Arial"/>
          <w:sz w:val="16"/>
          <w:szCs w:val="16"/>
          <w:color w:val="auto"/>
        </w:rPr>
        <w:t>epresents the twelve month period through the end of December 2017.</w:t>
      </w:r>
    </w:p>
    <w:p>
      <w:pPr>
        <w:spacing w:after="0" w:line="162" w:lineRule="exact"/>
        <w:rPr>
          <w:sz w:val="20"/>
          <w:szCs w:val="20"/>
          <w:color w:val="auto"/>
        </w:rPr>
      </w:pPr>
    </w:p>
    <w:p>
      <w:pPr>
        <w:ind w:right="560"/>
        <w:spacing w:after="0" w:line="285" w:lineRule="auto"/>
        <w:rPr>
          <w:sz w:val="20"/>
          <w:szCs w:val="20"/>
          <w:color w:val="auto"/>
        </w:rPr>
      </w:pPr>
      <w:r>
        <w:rPr>
          <w:rFonts w:ascii="Arial" w:cs="Arial" w:eastAsia="Arial" w:hAnsi="Arial"/>
          <w:sz w:val="16"/>
          <w:szCs w:val="16"/>
          <w:color w:val="auto"/>
        </w:rPr>
        <w:t>Unless the context indicates otherwise, in this filing on Form 10-K, "Carter's," the "Company," "we," "us," "its," and "our" refers to Carter's, Inc. and its wholly owned subsidiaries.</w:t>
      </w:r>
    </w:p>
    <w:p>
      <w:pPr>
        <w:spacing w:after="0" w:line="150" w:lineRule="exact"/>
        <w:rPr>
          <w:sz w:val="20"/>
          <w:szCs w:val="20"/>
          <w:color w:val="auto"/>
        </w:rPr>
      </w:pPr>
    </w:p>
    <w:p>
      <w:pPr>
        <w:jc w:val="both"/>
        <w:ind w:right="400"/>
        <w:spacing w:after="0" w:line="296" w:lineRule="auto"/>
        <w:rPr>
          <w:sz w:val="20"/>
          <w:szCs w:val="20"/>
          <w:color w:val="auto"/>
        </w:rPr>
      </w:pPr>
      <w:r>
        <w:rPr>
          <w:rFonts w:ascii="Arial" w:cs="Arial" w:eastAsia="Arial" w:hAnsi="Arial"/>
          <w:sz w:val="15"/>
          <w:szCs w:val="15"/>
          <w:color w:val="auto"/>
        </w:rPr>
        <w:t xml:space="preserve">Our trademarks and copyrights that are referred to in this Annual Report, including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w:t>
      </w:r>
      <w:r>
        <w:rPr>
          <w:rFonts w:ascii="Arial" w:cs="Arial" w:eastAsia="Arial" w:hAnsi="Arial"/>
          <w:sz w:val="15"/>
          <w:szCs w:val="15"/>
          <w:i w:val="1"/>
          <w:iCs w:val="1"/>
          <w:color w:val="auto"/>
        </w:rPr>
        <w:t>OshKosh</w:t>
      </w:r>
      <w:r>
        <w:rPr>
          <w:rFonts w:ascii="Arial" w:cs="Arial" w:eastAsia="Arial" w:hAnsi="Arial"/>
          <w:sz w:val="15"/>
          <w:szCs w:val="15"/>
          <w:color w:val="auto"/>
        </w:rPr>
        <w:t xml:space="preserve">, </w:t>
      </w:r>
      <w:r>
        <w:rPr>
          <w:rFonts w:ascii="Arial" w:cs="Arial" w:eastAsia="Arial" w:hAnsi="Arial"/>
          <w:sz w:val="15"/>
          <w:szCs w:val="15"/>
          <w:i w:val="1"/>
          <w:iCs w:val="1"/>
          <w:color w:val="auto"/>
        </w:rPr>
        <w:t>OshKosh B’gosh</w:t>
      </w:r>
      <w:r>
        <w:rPr>
          <w:rFonts w:ascii="Arial" w:cs="Arial" w:eastAsia="Arial" w:hAnsi="Arial"/>
          <w:sz w:val="15"/>
          <w:szCs w:val="15"/>
          <w:color w:val="auto"/>
        </w:rPr>
        <w:t xml:space="preserve">, </w:t>
      </w:r>
      <w:r>
        <w:rPr>
          <w:rFonts w:ascii="Arial" w:cs="Arial" w:eastAsia="Arial" w:hAnsi="Arial"/>
          <w:sz w:val="15"/>
          <w:szCs w:val="15"/>
          <w:i w:val="1"/>
          <w:iCs w:val="1"/>
          <w:color w:val="auto"/>
        </w:rPr>
        <w:t>Baby B'gosh</w:t>
      </w:r>
      <w:r>
        <w:rPr>
          <w:rFonts w:ascii="Arial" w:cs="Arial" w:eastAsia="Arial" w:hAnsi="Arial"/>
          <w:sz w:val="15"/>
          <w:szCs w:val="15"/>
          <w:color w:val="auto"/>
        </w:rPr>
        <w:t xml:space="preserve">, </w:t>
      </w:r>
      <w:r>
        <w:rPr>
          <w:rFonts w:ascii="Arial" w:cs="Arial" w:eastAsia="Arial" w:hAnsi="Arial"/>
          <w:sz w:val="15"/>
          <w:szCs w:val="15"/>
          <w:i w:val="1"/>
          <w:iCs w:val="1"/>
          <w:color w:val="auto"/>
        </w:rPr>
        <w:t>Skip Hop</w:t>
      </w:r>
      <w:r>
        <w:rPr>
          <w:rFonts w:ascii="Arial" w:cs="Arial" w:eastAsia="Arial" w:hAnsi="Arial"/>
          <w:sz w:val="15"/>
          <w:szCs w:val="15"/>
          <w:color w:val="auto"/>
        </w:rPr>
        <w:t xml:space="preserve">, </w:t>
      </w:r>
      <w:r>
        <w:rPr>
          <w:rFonts w:ascii="Arial" w:cs="Arial" w:eastAsia="Arial" w:hAnsi="Arial"/>
          <w:sz w:val="15"/>
          <w:szCs w:val="15"/>
          <w:i w:val="1"/>
          <w:iCs w:val="1"/>
          <w:color w:val="auto"/>
        </w:rPr>
        <w:t>Genuine Kids</w:t>
      </w:r>
      <w:r>
        <w:rPr>
          <w:rFonts w:ascii="Arial" w:cs="Arial" w:eastAsia="Arial" w:hAnsi="Arial"/>
          <w:sz w:val="15"/>
          <w:szCs w:val="15"/>
          <w:color w:val="auto"/>
        </w:rPr>
        <w:t xml:space="preserve">, </w:t>
      </w:r>
      <w:r>
        <w:rPr>
          <w:rFonts w:ascii="Arial" w:cs="Arial" w:eastAsia="Arial" w:hAnsi="Arial"/>
          <w:sz w:val="15"/>
          <w:szCs w:val="15"/>
          <w:i w:val="1"/>
          <w:iCs w:val="1"/>
          <w:color w:val="auto"/>
        </w:rPr>
        <w:t>Child of</w:t>
      </w:r>
      <w:r>
        <w:rPr>
          <w:rFonts w:ascii="Arial" w:cs="Arial" w:eastAsia="Arial" w:hAnsi="Arial"/>
          <w:sz w:val="15"/>
          <w:szCs w:val="15"/>
          <w:color w:val="auto"/>
        </w:rPr>
        <w:t xml:space="preserve"> </w:t>
      </w:r>
      <w:r>
        <w:rPr>
          <w:rFonts w:ascii="Arial" w:cs="Arial" w:eastAsia="Arial" w:hAnsi="Arial"/>
          <w:sz w:val="15"/>
          <w:szCs w:val="15"/>
          <w:i w:val="1"/>
          <w:iCs w:val="1"/>
          <w:color w:val="auto"/>
        </w:rPr>
        <w:t>Mine</w:t>
      </w:r>
      <w:r>
        <w:rPr>
          <w:rFonts w:ascii="Arial" w:cs="Arial" w:eastAsia="Arial" w:hAnsi="Arial"/>
          <w:sz w:val="15"/>
          <w:szCs w:val="15"/>
          <w:color w:val="auto"/>
        </w:rPr>
        <w:t>,</w:t>
      </w:r>
      <w:r>
        <w:rPr>
          <w:rFonts w:ascii="Arial" w:cs="Arial" w:eastAsia="Arial" w:hAnsi="Arial"/>
          <w:sz w:val="15"/>
          <w:szCs w:val="15"/>
          <w:i w:val="1"/>
          <w:iCs w:val="1"/>
          <w:color w:val="auto"/>
        </w:rPr>
        <w:t xml:space="preserve"> Just One You</w:t>
      </w:r>
      <w:r>
        <w:rPr>
          <w:rFonts w:ascii="Arial" w:cs="Arial" w:eastAsia="Arial" w:hAnsi="Arial"/>
          <w:sz w:val="15"/>
          <w:szCs w:val="15"/>
          <w:color w:val="auto"/>
        </w:rPr>
        <w:t>,</w:t>
      </w:r>
      <w:r>
        <w:rPr>
          <w:rFonts w:ascii="Arial" w:cs="Arial" w:eastAsia="Arial" w:hAnsi="Arial"/>
          <w:sz w:val="15"/>
          <w:szCs w:val="15"/>
          <w:i w:val="1"/>
          <w:iCs w:val="1"/>
          <w:color w:val="auto"/>
        </w:rPr>
        <w:t xml:space="preserve"> Simple Joys</w:t>
      </w:r>
      <w:r>
        <w:rPr>
          <w:rFonts w:ascii="Arial" w:cs="Arial" w:eastAsia="Arial" w:hAnsi="Arial"/>
          <w:sz w:val="15"/>
          <w:szCs w:val="15"/>
          <w:color w:val="auto"/>
        </w:rPr>
        <w:t>,</w:t>
      </w:r>
      <w:r>
        <w:rPr>
          <w:rFonts w:ascii="Arial" w:cs="Arial" w:eastAsia="Arial" w:hAnsi="Arial"/>
          <w:sz w:val="15"/>
          <w:szCs w:val="15"/>
          <w:i w:val="1"/>
          <w:iCs w:val="1"/>
          <w:color w:val="auto"/>
        </w:rPr>
        <w:t xml:space="preserve"> Precious Firsts</w:t>
      </w:r>
      <w:r>
        <w:rPr>
          <w:rFonts w:ascii="Arial" w:cs="Arial" w:eastAsia="Arial" w:hAnsi="Arial"/>
          <w:sz w:val="15"/>
          <w:szCs w:val="15"/>
          <w:color w:val="auto"/>
        </w:rPr>
        <w:t>,</w:t>
      </w:r>
      <w:r>
        <w:rPr>
          <w:rFonts w:ascii="Arial" w:cs="Arial" w:eastAsia="Arial" w:hAnsi="Arial"/>
          <w:sz w:val="15"/>
          <w:szCs w:val="15"/>
          <w:i w:val="1"/>
          <w:iCs w:val="1"/>
          <w:color w:val="auto"/>
        </w:rPr>
        <w:t xml:space="preserve"> Little Collections</w:t>
      </w:r>
      <w:r>
        <w:rPr>
          <w:rFonts w:ascii="Arial" w:cs="Arial" w:eastAsia="Arial" w:hAnsi="Arial"/>
          <w:sz w:val="15"/>
          <w:szCs w:val="15"/>
          <w:color w:val="auto"/>
        </w:rPr>
        <w:t>,</w:t>
      </w:r>
      <w:r>
        <w:rPr>
          <w:rFonts w:ascii="Arial" w:cs="Arial" w:eastAsia="Arial" w:hAnsi="Arial"/>
          <w:sz w:val="15"/>
          <w:szCs w:val="15"/>
          <w:i w:val="1"/>
          <w:iCs w:val="1"/>
          <w:color w:val="auto"/>
        </w:rPr>
        <w:t xml:space="preserve"> Little Planet</w:t>
      </w:r>
      <w:r>
        <w:rPr>
          <w:rFonts w:ascii="Arial" w:cs="Arial" w:eastAsia="Arial" w:hAnsi="Arial"/>
          <w:sz w:val="15"/>
          <w:szCs w:val="15"/>
          <w:color w:val="auto"/>
        </w:rPr>
        <w:t>,</w:t>
      </w:r>
      <w:r>
        <w:rPr>
          <w:rFonts w:ascii="Arial" w:cs="Arial" w:eastAsia="Arial" w:hAnsi="Arial"/>
          <w:sz w:val="15"/>
          <w:szCs w:val="15"/>
          <w:i w:val="1"/>
          <w:iCs w:val="1"/>
          <w:color w:val="auto"/>
        </w:rPr>
        <w:t xml:space="preserve"> little baby basics</w:t>
      </w:r>
      <w:r>
        <w:rPr>
          <w:rFonts w:ascii="Arial" w:cs="Arial" w:eastAsia="Arial" w:hAnsi="Arial"/>
          <w:sz w:val="15"/>
          <w:szCs w:val="15"/>
          <w:color w:val="auto"/>
        </w:rPr>
        <w:t>,</w:t>
      </w:r>
      <w:r>
        <w:rPr>
          <w:rFonts w:ascii="Arial" w:cs="Arial" w:eastAsia="Arial" w:hAnsi="Arial"/>
          <w:sz w:val="15"/>
          <w:szCs w:val="15"/>
          <w:i w:val="1"/>
          <w:iCs w:val="1"/>
          <w:color w:val="auto"/>
        </w:rPr>
        <w:t xml:space="preserve"> Carter’s KID</w:t>
      </w:r>
      <w:r>
        <w:rPr>
          <w:rFonts w:ascii="Arial" w:cs="Arial" w:eastAsia="Arial" w:hAnsi="Arial"/>
          <w:sz w:val="15"/>
          <w:szCs w:val="15"/>
          <w:color w:val="auto"/>
        </w:rPr>
        <w:t>,</w:t>
      </w:r>
      <w:r>
        <w:rPr>
          <w:rFonts w:ascii="Arial" w:cs="Arial" w:eastAsia="Arial" w:hAnsi="Arial"/>
          <w:sz w:val="15"/>
          <w:szCs w:val="15"/>
          <w:i w:val="1"/>
          <w:iCs w:val="1"/>
          <w:color w:val="auto"/>
        </w:rPr>
        <w:t xml:space="preserve"> Rewarding Moments</w:t>
      </w:r>
      <w:r>
        <w:rPr>
          <w:rFonts w:ascii="Arial" w:cs="Arial" w:eastAsia="Arial" w:hAnsi="Arial"/>
          <w:sz w:val="15"/>
          <w:szCs w:val="15"/>
          <w:color w:val="auto"/>
        </w:rPr>
        <w:t>, and</w:t>
      </w:r>
      <w:r>
        <w:rPr>
          <w:rFonts w:ascii="Arial" w:cs="Arial" w:eastAsia="Arial" w:hAnsi="Arial"/>
          <w:sz w:val="15"/>
          <w:szCs w:val="15"/>
          <w:i w:val="1"/>
          <w:iCs w:val="1"/>
          <w:color w:val="auto"/>
        </w:rPr>
        <w:t xml:space="preserve"> Count on Carter’s</w:t>
      </w:r>
      <w:r>
        <w:rPr>
          <w:rFonts w:ascii="Arial" w:cs="Arial" w:eastAsia="Arial" w:hAnsi="Arial"/>
          <w:sz w:val="15"/>
          <w:szCs w:val="15"/>
          <w:color w:val="auto"/>
        </w:rPr>
        <w:t>, many of</w:t>
      </w:r>
      <w:r>
        <w:rPr>
          <w:rFonts w:ascii="Arial" w:cs="Arial" w:eastAsia="Arial" w:hAnsi="Arial"/>
          <w:sz w:val="15"/>
          <w:szCs w:val="15"/>
          <w:i w:val="1"/>
          <w:iCs w:val="1"/>
          <w:color w:val="auto"/>
        </w:rPr>
        <w:t xml:space="preserve"> </w:t>
      </w:r>
      <w:r>
        <w:rPr>
          <w:rFonts w:ascii="Arial" w:cs="Arial" w:eastAsia="Arial" w:hAnsi="Arial"/>
          <w:sz w:val="15"/>
          <w:szCs w:val="15"/>
          <w:color w:val="auto"/>
        </w:rPr>
        <w:t>which are registered in the United States and in over 100 other countries and territories, are each the property of one or more subsidiaries of Carter’s, Inc.</w:t>
      </w:r>
    </w:p>
    <w:p>
      <w:pPr>
        <w:spacing w:after="0" w:line="144" w:lineRule="exact"/>
        <w:rPr>
          <w:sz w:val="20"/>
          <w:szCs w:val="20"/>
          <w:color w:val="auto"/>
        </w:rPr>
      </w:pPr>
    </w:p>
    <w:p>
      <w:pPr>
        <w:ind w:right="160"/>
        <w:spacing w:after="0" w:line="320" w:lineRule="auto"/>
        <w:rPr>
          <w:sz w:val="20"/>
          <w:szCs w:val="20"/>
          <w:color w:val="auto"/>
        </w:rPr>
      </w:pPr>
      <w:r>
        <w:rPr>
          <w:rFonts w:ascii="Arial" w:cs="Arial" w:eastAsia="Arial" w:hAnsi="Arial"/>
          <w:sz w:val="15"/>
          <w:szCs w:val="15"/>
          <w:color w:val="auto"/>
        </w:rPr>
        <w:t>Our fiscal year ends on the Saturday, in December or January nearest the last day of December, resulting in an additional week of results every five or six years. Fiscal 2017, which ended on December 30, 2017, fiscal 2016, which ended on December 31, 2016, and fiscal 2015, which ended on January 2, 2016, all contained 52 weeks.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1"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 xml:space="preserve">We are the largest branded marketer in North America of apparel exclusively for babies and young children. We own two of the most highly recognized and most trusted brand names in the children's apparel industry,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and </w:t>
      </w:r>
      <w:r>
        <w:rPr>
          <w:rFonts w:ascii="Arial" w:cs="Arial" w:eastAsia="Arial" w:hAnsi="Arial"/>
          <w:sz w:val="15"/>
          <w:szCs w:val="15"/>
          <w:i w:val="1"/>
          <w:iCs w:val="1"/>
          <w:color w:val="auto"/>
        </w:rPr>
        <w:t>OshKosh B'gosh</w:t>
      </w:r>
      <w:r>
        <w:rPr>
          <w:rFonts w:ascii="Arial" w:cs="Arial" w:eastAsia="Arial" w:hAnsi="Arial"/>
          <w:sz w:val="15"/>
          <w:szCs w:val="15"/>
          <w:color w:val="auto"/>
        </w:rPr>
        <w:t xml:space="preserve"> (or "</w:t>
      </w:r>
      <w:r>
        <w:rPr>
          <w:rFonts w:ascii="Arial" w:cs="Arial" w:eastAsia="Arial" w:hAnsi="Arial"/>
          <w:sz w:val="15"/>
          <w:szCs w:val="15"/>
          <w:i w:val="1"/>
          <w:iCs w:val="1"/>
          <w:color w:val="auto"/>
        </w:rPr>
        <w:t>OshKosh</w:t>
      </w:r>
      <w:r>
        <w:rPr>
          <w:rFonts w:ascii="Arial" w:cs="Arial" w:eastAsia="Arial" w:hAnsi="Arial"/>
          <w:sz w:val="15"/>
          <w:szCs w:val="15"/>
          <w:color w:val="auto"/>
        </w:rPr>
        <w:t xml:space="preserve">"), and a leading baby and young child lifestyle brand, </w:t>
      </w:r>
      <w:r>
        <w:rPr>
          <w:rFonts w:ascii="Arial" w:cs="Arial" w:eastAsia="Arial" w:hAnsi="Arial"/>
          <w:sz w:val="15"/>
          <w:szCs w:val="15"/>
          <w:i w:val="1"/>
          <w:iCs w:val="1"/>
          <w:color w:val="auto"/>
        </w:rPr>
        <w:t>Skip Hop</w:t>
      </w:r>
      <w:r>
        <w:rPr>
          <w:rFonts w:ascii="Arial" w:cs="Arial" w:eastAsia="Arial" w:hAnsi="Arial"/>
          <w:sz w:val="15"/>
          <w:szCs w:val="15"/>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Established in 1865,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recognized and trusted by consumers for high-quality apparel for children in sizes newborn to eight and accessories.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543" w:right="239" w:bottom="1440" w:gutter="0" w:footer="0" w:header="0"/>
        </w:sectPr>
      </w:pPr>
    </w:p>
    <w:bookmarkStart w:id="4" w:name="page5"/>
    <w:bookmarkEnd w:id="4"/>
    <w:p>
      <w:pPr>
        <w:ind w:right="40"/>
        <w:spacing w:after="0" w:line="285" w:lineRule="auto"/>
        <w:rPr>
          <w:sz w:val="20"/>
          <w:szCs w:val="20"/>
          <w:color w:val="auto"/>
        </w:rPr>
      </w:pPr>
      <w:r>
        <w:rPr>
          <w:rFonts w:ascii="Arial" w:cs="Arial" w:eastAsia="Arial" w:hAnsi="Arial"/>
          <w:sz w:val="16"/>
          <w:szCs w:val="16"/>
          <w:color w:val="auto"/>
        </w:rPr>
        <w:t xml:space="preserve">Established in 1895,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is a well-known brand, trusted by consumers for apparel for children in sizes newborn to 14, with a focus on playclothes for toddlers and young children, and accessories.</w:t>
      </w:r>
    </w:p>
    <w:p>
      <w:pPr>
        <w:spacing w:after="0" w:line="150"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 xml:space="preserve">We acquired the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 in February 2017. Established in 2003, the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 takes durable childhood necessities, and re-thinks, re-energizes, and re-imagines them to produce higher value, superior quality, and top-performance goods for parents, babies, and toddlers.</w:t>
      </w:r>
    </w:p>
    <w:p>
      <w:pPr>
        <w:spacing w:after="0" w:line="150" w:lineRule="exact"/>
        <w:rPr>
          <w:sz w:val="20"/>
          <w:szCs w:val="20"/>
          <w:color w:val="auto"/>
        </w:rPr>
      </w:pPr>
    </w:p>
    <w:p>
      <w:pPr>
        <w:jc w:val="both"/>
        <w:ind w:right="240"/>
        <w:spacing w:after="0" w:line="270" w:lineRule="auto"/>
        <w:rPr>
          <w:sz w:val="20"/>
          <w:szCs w:val="20"/>
          <w:color w:val="auto"/>
        </w:rPr>
      </w:pPr>
      <w:r>
        <w:rPr>
          <w:rFonts w:ascii="Arial" w:cs="Arial" w:eastAsia="Arial" w:hAnsi="Arial"/>
          <w:sz w:val="16"/>
          <w:szCs w:val="16"/>
          <w:color w:val="auto"/>
        </w:rPr>
        <w:t xml:space="preserve">We believe our brands provide a complementary product offering and aesthetic, and are each uniquely positioned in the marketplace. In the approximately $20 billion baby and young children's apparel market ages zero to seven in the U.S.,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has the #1 position with approximately 15% of market share and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has approximately 3% market share.</w:t>
      </w:r>
    </w:p>
    <w:p>
      <w:pPr>
        <w:spacing w:after="0" w:line="162"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We market high-quality products at an attractive value proposition for consumers, and offer multiple product categories, including baby, sleepwear, playclothes, hardline goods and related accessories. Our multi-channel global business model -- which includes retail store, e-commerce, and wholesale sales channels - enables us to reach a broad range of consumers around the world. As of December 30, 2017, our channels included approximately 830 stores in the United States, 179 stores in Canada, 41 stores in Mexico, over 17,000 wholesale locations in the United States (including department stores, national chain stores, specialty stores and discount retailers), our eCommerce sites in the United States, Canada, and China, as well as our other international wholesale, licensing, and online channels.</w:t>
      </w:r>
    </w:p>
    <w:p>
      <w:pPr>
        <w:spacing w:after="0" w:line="15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have extensive experience in the young children’s apparel and accessories market and focus on delivering products that satisfy our consumers’ needs. Our long-term growth strategy is focused on:</w:t>
      </w:r>
    </w:p>
    <w:p>
      <w:pPr>
        <w:spacing w:after="0" w:line="113" w:lineRule="exact"/>
        <w:rPr>
          <w:sz w:val="20"/>
          <w:szCs w:val="20"/>
          <w:color w:val="auto"/>
        </w:rPr>
      </w:pPr>
    </w:p>
    <w:p>
      <w:pPr>
        <w:ind w:left="580" w:hanging="289"/>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providing the best value and experience in young children's apparel and accessories;</w:t>
      </w:r>
    </w:p>
    <w:p>
      <w:pPr>
        <w:spacing w:after="0" w:line="23" w:lineRule="exact"/>
        <w:rPr>
          <w:rFonts w:ascii="Arial" w:cs="Arial" w:eastAsia="Arial" w:hAnsi="Arial"/>
          <w:sz w:val="16"/>
          <w:szCs w:val="16"/>
          <w:color w:val="auto"/>
        </w:rPr>
      </w:pPr>
    </w:p>
    <w:p>
      <w:pPr>
        <w:ind w:left="580" w:hanging="289"/>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extending the reach of our brands by improving the convenience of shopping for our products in the United States and our omni-channel experience;</w:t>
      </w:r>
    </w:p>
    <w:p>
      <w:pPr>
        <w:spacing w:after="0" w:line="11" w:lineRule="exact"/>
        <w:rPr>
          <w:rFonts w:ascii="Arial" w:cs="Arial" w:eastAsia="Arial" w:hAnsi="Arial"/>
          <w:sz w:val="16"/>
          <w:szCs w:val="16"/>
          <w:color w:val="auto"/>
        </w:rPr>
      </w:pPr>
    </w:p>
    <w:p>
      <w:pPr>
        <w:ind w:left="580" w:hanging="289"/>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expanding our international operations; and</w:t>
      </w:r>
    </w:p>
    <w:p>
      <w:pPr>
        <w:spacing w:after="0" w:line="11" w:lineRule="exact"/>
        <w:rPr>
          <w:rFonts w:ascii="Arial" w:cs="Arial" w:eastAsia="Arial" w:hAnsi="Arial"/>
          <w:sz w:val="16"/>
          <w:szCs w:val="16"/>
          <w:color w:val="auto"/>
        </w:rPr>
      </w:pPr>
    </w:p>
    <w:p>
      <w:pPr>
        <w:ind w:left="580" w:hanging="289"/>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improving profitability by strengthening distribution and direct-sourcing capabilities, as well as inventory management disciplines.</w:t>
      </w:r>
    </w:p>
    <w:p>
      <w:pPr>
        <w:spacing w:after="0" w:line="196"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At the beginning of fiscal 2017, we combined our Carter’s Retail and OshKosh Retail operating segments into a single U.S. Retail operating segment, and our Carter’s Wholesale and OshKosh Wholesale operating segments into a single U.S. Wholesale operating segment. This change was made to reflect the sales-channel approach executive management now uses to evaluate business performance and manage operations in the United States. Our International segment was not affected by these changes. Our reportable segments are now U.S. Retail, U.S. Wholesale, and International. Prior periods have been conformed to reflect our current segment structure.</w:t>
      </w:r>
    </w:p>
    <w:p>
      <w:pPr>
        <w:spacing w:after="0" w:line="150"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Our U.S. Retail segment consists of revenue primarily from sales of products in the United States through our retail and online stores. Similarly, our U.S. Wholesale segment consists of revenue primarily from sales in the United States of products to our wholesale partners. Finally, our International segment consists of revenue primarily from sales of products outside the United States, primarily through our retail stores in Canada and Mexico, our eCommerce sites in Canada and China, and sales to our international wholesale customers.</w:t>
      </w:r>
    </w:p>
    <w:p>
      <w:pPr>
        <w:spacing w:after="0" w:line="166" w:lineRule="exact"/>
        <w:rPr>
          <w:sz w:val="20"/>
          <w:szCs w:val="20"/>
          <w:color w:val="auto"/>
        </w:rPr>
      </w:pPr>
    </w:p>
    <w:p>
      <w:pPr>
        <w:ind w:right="580"/>
        <w:spacing w:after="0" w:line="285" w:lineRule="auto"/>
        <w:rPr>
          <w:sz w:val="20"/>
          <w:szCs w:val="20"/>
          <w:color w:val="auto"/>
        </w:rPr>
      </w:pPr>
      <w:r>
        <w:rPr>
          <w:rFonts w:ascii="Arial" w:cs="Arial" w:eastAsia="Arial" w:hAnsi="Arial"/>
          <w:sz w:val="16"/>
          <w:szCs w:val="16"/>
          <w:color w:val="auto"/>
        </w:rPr>
        <w:t xml:space="preserve">Additional financial and geographical information about our segments is contained in Item 8 “Financial Statements and Supplementary Data” under Note 13, </w:t>
      </w:r>
      <w:r>
        <w:rPr>
          <w:rFonts w:ascii="Arial" w:cs="Arial" w:eastAsia="Arial" w:hAnsi="Arial"/>
          <w:sz w:val="16"/>
          <w:szCs w:val="16"/>
          <w:i w:val="1"/>
          <w:iCs w:val="1"/>
          <w:color w:val="auto"/>
        </w:rPr>
        <w:t>Segment</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t>
      </w:r>
      <w:r>
        <w:rPr>
          <w:rFonts w:ascii="Arial" w:cs="Arial" w:eastAsia="Arial" w:hAnsi="Arial"/>
          <w:sz w:val="16"/>
          <w:szCs w:val="16"/>
          <w:color w:val="auto"/>
        </w:rPr>
        <w:t>, to the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Brands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Carter's</w:t>
      </w:r>
    </w:p>
    <w:p>
      <w:pPr>
        <w:spacing w:after="0" w:line="171" w:lineRule="exact"/>
        <w:rPr>
          <w:sz w:val="20"/>
          <w:szCs w:val="20"/>
          <w:color w:val="auto"/>
        </w:rPr>
      </w:pPr>
    </w:p>
    <w:p>
      <w:pPr>
        <w:ind w:right="60"/>
        <w:spacing w:after="0" w:line="296" w:lineRule="auto"/>
        <w:rPr>
          <w:sz w:val="20"/>
          <w:szCs w:val="20"/>
          <w:color w:val="auto"/>
        </w:rPr>
      </w:pPr>
      <w:r>
        <w:rPr>
          <w:rFonts w:ascii="Arial" w:cs="Arial" w:eastAsia="Arial" w:hAnsi="Arial"/>
          <w:sz w:val="15"/>
          <w:szCs w:val="15"/>
          <w:color w:val="auto"/>
        </w:rPr>
        <w:t xml:space="preserve">Under our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brand, we design, source, and market products primarily for sizes newborn to eight. Our focus is on essential, high-volume apparel products for babies and young children. Such products include bodysuits, multi-piece knit sets, pajamas, bibs, blankets, outerwear, shoes, swimwear, playwear, and fashion accessories. We believe that a majority of our products are consumer essentials and are therefore less affected by changes in fashion trends and economic cycles.</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is the leading brand in the baby category in the United States. In fiscal 2017, our multi-channel business model enabled our</w:t>
      </w:r>
      <w:r>
        <w:rPr>
          <w:rFonts w:ascii="Arial" w:cs="Arial" w:eastAsia="Arial" w:hAnsi="Arial"/>
          <w:sz w:val="16"/>
          <w:szCs w:val="16"/>
          <w:i w:val="1"/>
          <w:iCs w:val="1"/>
          <w:color w:val="auto"/>
        </w:rPr>
        <w:t xml:space="preserve"> Carter’s </w:t>
      </w:r>
      <w:r>
        <w:rPr>
          <w:rFonts w:ascii="Arial" w:cs="Arial" w:eastAsia="Arial" w:hAnsi="Arial"/>
          <w:sz w:val="16"/>
          <w:szCs w:val="16"/>
          <w:color w:val="auto"/>
        </w:rPr>
        <w:t>brand to maintain its leading</w:t>
      </w:r>
      <w:r>
        <w:rPr>
          <w:rFonts w:ascii="Arial" w:cs="Arial" w:eastAsia="Arial" w:hAnsi="Arial"/>
          <w:sz w:val="16"/>
          <w:szCs w:val="16"/>
          <w:i w:val="1"/>
          <w:iCs w:val="1"/>
          <w:color w:val="auto"/>
        </w:rPr>
        <w:t xml:space="preserve"> </w:t>
      </w:r>
      <w:r>
        <w:rPr>
          <w:rFonts w:ascii="Arial" w:cs="Arial" w:eastAsia="Arial" w:hAnsi="Arial"/>
          <w:sz w:val="16"/>
          <w:szCs w:val="16"/>
          <w:color w:val="auto"/>
        </w:rPr>
        <w:t>market share in the United States of approximately 27% for the baby market ages zero to two, which represented approximately four times the market share of the next largest brand.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347"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i w:val="1"/>
          <w:iCs w:val="1"/>
          <w:color w:val="auto"/>
        </w:rPr>
        <w:t>OshKosh</w:t>
      </w:r>
    </w:p>
    <w:p>
      <w:pPr>
        <w:spacing w:after="0" w:line="17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 xml:space="preserve">Under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we design, source, and market apparel with an emphasis on high-quality playclothes primarily for children in sizes newborn to 14.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branded products primarily include denim, overalls, t-shirts, fleece, and other playclothes.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is generally positioned towards an older segment and at slightly higher average prices relative to the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We believe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has significant brand name recognition, which consumers associate with high-quality, durable, and authentic playclothes for young children.</w:t>
      </w:r>
    </w:p>
    <w:p>
      <w:pPr>
        <w:spacing w:after="0" w:line="16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We believe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represents a significant opportunity for us to increase our market share in the playclothes category as the young children’s playclothes market in the United States is highly fragmented. For fiscal 2017, this market was more than four times the size of the baby and sleepwear markets combined. We strive to grow this business by strengthening our product offerings, improving product value, reducing product complexity, and leveraging our strong customer relationships and global supply chain expertise.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Skip Hop</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Under our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 we design, source, and market products that are sold primarily to families with young children, including diaper bags, kid’s backpacks, lunch bags, travel accessories, home gear, and hardline goods for playtime, mealtime, and bath time.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Brand and Product Development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employ cross-functional product teams to focus on the development of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brands and products.</w:t>
      </w:r>
    </w:p>
    <w:p>
      <w:pPr>
        <w:spacing w:after="0" w:line="20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teams are skilled and experienced in identifying and developing high-volume, high-value products. Each team includes members from merchandising, art, design, sourcing, product development, and planning. These teams follow a disciplined approach to fabric usage, color selection, and productivity. We also license these brand names to other companies to create a broad collection of lifestyle products, including bedding, hosiery, shoes, room décor, furniture, diaper bags, and toys. The licensing team directs the use of our designs, art, and selling strategies to most licensees.</w:t>
      </w:r>
    </w:p>
    <w:p>
      <w:pPr>
        <w:spacing w:after="0" w:line="251" w:lineRule="exact"/>
        <w:rPr>
          <w:sz w:val="20"/>
          <w:szCs w:val="20"/>
          <w:color w:val="auto"/>
        </w:rPr>
      </w:pPr>
    </w:p>
    <w:p>
      <w:pPr>
        <w:ind w:right="60"/>
        <w:spacing w:after="0" w:line="320" w:lineRule="auto"/>
        <w:rPr>
          <w:sz w:val="20"/>
          <w:szCs w:val="20"/>
          <w:color w:val="auto"/>
        </w:rPr>
      </w:pPr>
      <w:r>
        <w:rPr>
          <w:rFonts w:ascii="Arial" w:cs="Arial" w:eastAsia="Arial" w:hAnsi="Arial"/>
          <w:sz w:val="15"/>
          <w:szCs w:val="15"/>
          <w:color w:val="auto"/>
        </w:rPr>
        <w:t xml:space="preserve">Similarly, our </w:t>
      </w:r>
      <w:r>
        <w:rPr>
          <w:rFonts w:ascii="Arial" w:cs="Arial" w:eastAsia="Arial" w:hAnsi="Arial"/>
          <w:sz w:val="15"/>
          <w:szCs w:val="15"/>
          <w:i w:val="1"/>
          <w:iCs w:val="1"/>
          <w:color w:val="auto"/>
        </w:rPr>
        <w:t>Skip Hop</w:t>
      </w:r>
      <w:r>
        <w:rPr>
          <w:rFonts w:ascii="Arial" w:cs="Arial" w:eastAsia="Arial" w:hAnsi="Arial"/>
          <w:sz w:val="15"/>
          <w:szCs w:val="15"/>
          <w:color w:val="auto"/>
        </w:rPr>
        <w:t xml:space="preserve"> brand team is skilled and experienced in re-thinking, re-energizing, and re-imagining essential childhood goods. The </w:t>
      </w:r>
      <w:r>
        <w:rPr>
          <w:rFonts w:ascii="Arial" w:cs="Arial" w:eastAsia="Arial" w:hAnsi="Arial"/>
          <w:sz w:val="15"/>
          <w:szCs w:val="15"/>
          <w:i w:val="1"/>
          <w:iCs w:val="1"/>
          <w:color w:val="auto"/>
        </w:rPr>
        <w:t>Skip Hop</w:t>
      </w:r>
      <w:r>
        <w:rPr>
          <w:rFonts w:ascii="Arial" w:cs="Arial" w:eastAsia="Arial" w:hAnsi="Arial"/>
          <w:sz w:val="15"/>
          <w:szCs w:val="15"/>
          <w:color w:val="auto"/>
        </w:rPr>
        <w:t xml:space="preserve"> team includes in-house design and creative studios, which are made up of people who strive to improve the functionality, form, and design of must-have baby and young child products.</w:t>
      </w:r>
    </w:p>
    <w:p>
      <w:pPr>
        <w:spacing w:after="0" w:line="213"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auto"/>
        </w:rPr>
        <w:t>We believe this disciplined approach to product design, which includes consumer research, results in a compelling product offering to consumers, reduces our exposure to short-term trends, and supports efficient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Brand Positioning</w:t>
      </w:r>
    </w:p>
    <w:p>
      <w:pPr>
        <w:spacing w:after="0" w:line="207"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Our vision is to be the leader in baby and young children’s apparel and accessories, and to consistently provide high-quality products at a compelling value to consumers. We employ a disciplined merchandising strategy that identifies and focuses on essential products.</w:t>
      </w:r>
    </w:p>
    <w:p>
      <w:pPr>
        <w:spacing w:after="0" w:line="236"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 xml:space="preserve">With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and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brands, we believe that we have strengthened our brand image with the consumer by differentiating our products through fabric and material improvements, new artistic applications, and new packaging and presentation strategies. We also attempt to differentiate our products through in-store fixturing, branding and signage packages, and advertising. We have invested in display fixtures at major wholesale customers that present our products on their floors in a compelling manner intended to enhance brand and product presentation.</w:t>
      </w:r>
    </w:p>
    <w:p>
      <w:pPr>
        <w:spacing w:after="0" w:line="251"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 xml:space="preserve">With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we believe we have acquired a global lifestyle brand. </w:t>
      </w:r>
      <w:r>
        <w:rPr>
          <w:rFonts w:ascii="Arial" w:cs="Arial" w:eastAsia="Arial" w:hAnsi="Arial"/>
          <w:sz w:val="16"/>
          <w:szCs w:val="16"/>
          <w:i w:val="1"/>
          <w:iCs w:val="1"/>
          <w:color w:val="auto"/>
        </w:rPr>
        <w:t>Skip Hop</w:t>
      </w:r>
      <w:r>
        <w:rPr>
          <w:rFonts w:ascii="Arial" w:cs="Arial" w:eastAsia="Arial" w:hAnsi="Arial"/>
          <w:sz w:val="16"/>
          <w:szCs w:val="16"/>
          <w:color w:val="auto"/>
        </w:rPr>
        <w:t>’s core philosophy and positioning begins and ends with its brand promise --“</w:t>
      </w:r>
      <w:r>
        <w:rPr>
          <w:rFonts w:ascii="Arial" w:cs="Arial" w:eastAsia="Arial" w:hAnsi="Arial"/>
          <w:sz w:val="16"/>
          <w:szCs w:val="16"/>
          <w:i w:val="1"/>
          <w:iCs w:val="1"/>
          <w:color w:val="auto"/>
        </w:rPr>
        <w:t>Must-Haves *</w:t>
      </w:r>
      <w:r>
        <w:rPr>
          <w:rFonts w:ascii="Arial" w:cs="Arial" w:eastAsia="Arial" w:hAnsi="Arial"/>
          <w:sz w:val="16"/>
          <w:szCs w:val="16"/>
          <w:color w:val="auto"/>
        </w:rPr>
        <w:t xml:space="preserve"> </w:t>
      </w:r>
      <w:r>
        <w:rPr>
          <w:rFonts w:ascii="Arial" w:cs="Arial" w:eastAsia="Arial" w:hAnsi="Arial"/>
          <w:sz w:val="16"/>
          <w:szCs w:val="16"/>
          <w:i w:val="1"/>
          <w:iCs w:val="1"/>
          <w:color w:val="auto"/>
        </w:rPr>
        <w:t>Made Better.</w:t>
      </w:r>
      <w:r>
        <w:rPr>
          <w:rFonts w:ascii="Arial" w:cs="Arial" w:eastAsia="Arial" w:hAnsi="Arial"/>
          <w:sz w:val="16"/>
          <w:szCs w:val="16"/>
          <w:color w:val="auto"/>
        </w:rPr>
        <w:t>” This reflects the brand’s goal of creating innovative, smartly designed, and highly functional essentials for parents, babies, and toddlers. We believe the brand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positioned as a competitively priced source of iconic products that offer greater value through innovation and design. We have recently started to introduce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 products in our retail stores, and increase investment in in-store fixturing, branding, and signage packages, along with digital advertising, to further strengthen the position of the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347" w:right="239" w:bottom="1440" w:gutter="0" w:footer="0" w:header="0"/>
        </w:sectPr>
      </w:pPr>
    </w:p>
    <w:bookmarkStart w:id="6" w:name="page7"/>
    <w:bookmarkEnd w:id="6"/>
    <w:p>
      <w:pPr>
        <w:ind w:right="280"/>
        <w:spacing w:after="0" w:line="270" w:lineRule="auto"/>
        <w:rPr>
          <w:sz w:val="20"/>
          <w:szCs w:val="20"/>
          <w:color w:val="auto"/>
        </w:rPr>
      </w:pPr>
      <w:r>
        <w:rPr>
          <w:rFonts w:ascii="Arial" w:cs="Arial" w:eastAsia="Arial" w:hAnsi="Arial"/>
          <w:sz w:val="16"/>
          <w:szCs w:val="16"/>
          <w:color w:val="auto"/>
        </w:rPr>
        <w:t>We similarly strive to provide our wholesale customers with a consistent, high-level of service, including delivering and replenishing products on time to fulfill customer needs. Our retail stores and eCommerce sites focus on the customer experience through store and eCommerce site design, visual aesthetics, clear product presentation, and experienced customer service.</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Carter's </w:t>
      </w:r>
      <w:r>
        <w:rPr>
          <w:rFonts w:ascii="Arial" w:cs="Arial" w:eastAsia="Arial" w:hAnsi="Arial"/>
          <w:sz w:val="16"/>
          <w:szCs w:val="16"/>
          <w:b w:val="1"/>
          <w:bCs w:val="1"/>
          <w:color w:val="auto"/>
        </w:rPr>
        <w:t>brands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Baby</w:t>
      </w:r>
    </w:p>
    <w:p>
      <w:pPr>
        <w:spacing w:after="0" w:line="23"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brand baby products include bodysuits, pants, dresses, multi-piece knit sets, blankets, layette essentials, bibs, booties, sleep and play, one-piece rompers and jumpers,</w:t>
      </w:r>
      <w:r>
        <w:rPr>
          <w:rFonts w:ascii="Arial" w:cs="Arial" w:eastAsia="Arial" w:hAnsi="Arial"/>
          <w:sz w:val="16"/>
          <w:szCs w:val="16"/>
          <w:i w:val="1"/>
          <w:iCs w:val="1"/>
          <w:color w:val="auto"/>
        </w:rPr>
        <w:t xml:space="preserve"> </w:t>
      </w:r>
      <w:r>
        <w:rPr>
          <w:rFonts w:ascii="Arial" w:cs="Arial" w:eastAsia="Arial" w:hAnsi="Arial"/>
          <w:sz w:val="16"/>
          <w:szCs w:val="16"/>
          <w:color w:val="auto"/>
        </w:rPr>
        <w:t>which are also sold in multiple compelling configurations.</w:t>
      </w:r>
    </w:p>
    <w:p>
      <w:pPr>
        <w:spacing w:after="0" w:line="161"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 xml:space="preserve">We sell a complete range of baby products for newborns. These products are primarily made of cotton, including organic cotton as part of our </w:t>
      </w:r>
      <w:r>
        <w:rPr>
          <w:rFonts w:ascii="Arial" w:cs="Arial" w:eastAsia="Arial" w:hAnsi="Arial"/>
          <w:sz w:val="15"/>
          <w:szCs w:val="15"/>
          <w:i w:val="1"/>
          <w:iCs w:val="1"/>
          <w:color w:val="auto"/>
        </w:rPr>
        <w:t>Little Planet</w:t>
      </w:r>
      <w:r>
        <w:rPr>
          <w:rFonts w:ascii="Arial" w:cs="Arial" w:eastAsia="Arial" w:hAnsi="Arial"/>
          <w:sz w:val="15"/>
          <w:szCs w:val="15"/>
          <w:color w:val="auto"/>
        </w:rPr>
        <w:t xml:space="preserve"> collection, which we introduced in late 2017. We attribute our leading market position to our brand strength, unique colors, distinctive prints, commitment to quality, and ability to manage our dedicated floor space for our wholesale customers. Our marketing programs are targeted toward experienced mothers, first-time mothers, and gift-givers. Our </w:t>
      </w:r>
      <w:r>
        <w:rPr>
          <w:rFonts w:ascii="Arial" w:cs="Arial" w:eastAsia="Arial" w:hAnsi="Arial"/>
          <w:sz w:val="15"/>
          <w:szCs w:val="15"/>
          <w:i w:val="1"/>
          <w:iCs w:val="1"/>
          <w:color w:val="auto"/>
        </w:rPr>
        <w:t>little baby basics</w:t>
      </w:r>
      <w:r>
        <w:rPr>
          <w:rFonts w:ascii="Arial" w:cs="Arial" w:eastAsia="Arial" w:hAnsi="Arial"/>
          <w:sz w:val="15"/>
          <w:szCs w:val="15"/>
          <w:color w:val="auto"/>
        </w:rPr>
        <w:t xml:space="preserve"> product line, the largest component of our baby business, provides parents with essential products and accessories, including value-focused multi-piece sets. Our </w:t>
      </w:r>
      <w:r>
        <w:rPr>
          <w:rFonts w:ascii="Arial" w:cs="Arial" w:eastAsia="Arial" w:hAnsi="Arial"/>
          <w:sz w:val="15"/>
          <w:szCs w:val="15"/>
          <w:i w:val="1"/>
          <w:iCs w:val="1"/>
          <w:color w:val="auto"/>
        </w:rPr>
        <w:t>Little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Collections </w:t>
      </w:r>
      <w:r>
        <w:rPr>
          <w:rFonts w:ascii="Arial" w:cs="Arial" w:eastAsia="Arial" w:hAnsi="Arial"/>
          <w:sz w:val="15"/>
          <w:szCs w:val="15"/>
          <w:color w:val="auto"/>
        </w:rPr>
        <w:t>product line consists of coordinated baby items designed for first-time mothers and gift-givers.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Playclothes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brand playclothes include knit and woven apparel, primarily in cotton, for everyday use in sizes newborn to eight.</w:t>
      </w:r>
    </w:p>
    <w:p>
      <w:pPr>
        <w:spacing w:after="0" w:line="196"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 xml:space="preserve">We continue to focus on building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in the playclothes market by developing a base of essential, high-volume products that utilize unique, special, or must-have print designs and innovative artistic applications. Our aggregate fiscal 2017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playclothes market share in the United States was approximately 14% in the $14 billion young children's playclothes market, which represents nearly two times the market share of the next largest brand.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Sleepwear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brand sleepwear products include a full range of pajamas in cotton, fleece and poly-jersey, primarily in sizes 12 months to eight.</w:t>
      </w:r>
    </w:p>
    <w:p>
      <w:pPr>
        <w:spacing w:after="0" w:line="19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the leading brand of sleepwear for babies and young children within the department store, national chain, outlet, specialty store, and off-price sales channels in the United States. In fiscal 2017, in these channels,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sleepwear brand market share was approximately 30%, which represents approximately four times the market share of the next largest brand. As with our baby product line, we differentiate our sleepwear products by offering high-volume, high-quality, high-value products with distinctive designs and art.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Products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Our other product offerings include bedding, outerwear, swimwear, footwear, socks, diaper bags, gift sets, toys, jewelry, cribs, paper goods, and hair accessories.</w:t>
      </w:r>
    </w:p>
    <w:p>
      <w:pPr>
        <w:spacing w:after="0" w:line="196"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 xml:space="preserve">Additionally, we license our </w:t>
      </w:r>
      <w:r>
        <w:rPr>
          <w:rFonts w:ascii="Arial" w:cs="Arial" w:eastAsia="Arial" w:hAnsi="Arial"/>
          <w:sz w:val="14"/>
          <w:szCs w:val="14"/>
          <w:i w:val="1"/>
          <w:iCs w:val="1"/>
          <w:color w:val="auto"/>
        </w:rPr>
        <w:t>Carter's, Child of Mine, Just One You, Precious Firsts,</w:t>
      </w:r>
      <w:r>
        <w:rPr>
          <w:rFonts w:ascii="Arial" w:cs="Arial" w:eastAsia="Arial" w:hAnsi="Arial"/>
          <w:sz w:val="14"/>
          <w:szCs w:val="14"/>
          <w:color w:val="auto"/>
        </w:rPr>
        <w:t xml:space="preserve"> and </w:t>
      </w:r>
      <w:r>
        <w:rPr>
          <w:rFonts w:ascii="Arial" w:cs="Arial" w:eastAsia="Arial" w:hAnsi="Arial"/>
          <w:sz w:val="14"/>
          <w:szCs w:val="14"/>
          <w:i w:val="1"/>
          <w:iCs w:val="1"/>
          <w:color w:val="auto"/>
        </w:rPr>
        <w:t>Simple Joys</w:t>
      </w:r>
      <w:r>
        <w:rPr>
          <w:rFonts w:ascii="Arial" w:cs="Arial" w:eastAsia="Arial" w:hAnsi="Arial"/>
          <w:sz w:val="14"/>
          <w:szCs w:val="14"/>
          <w:color w:val="auto"/>
        </w:rPr>
        <w:t xml:space="preserve"> brands to partners to expand our product offerings. We had 11 licensees in the United States as of December 30, 2017. These licensing partners develop and sell products through our multiple sales channels, while leveraging our brand strength, customer relationships, and designs. Licensed products provide our customers and consumers with a range of lifestyle products that complement and expand upon our baby and young children's apparel offerings. Our license agreements require strict adherence to our quality and compliance standards and provide for a multi-step product approval process. We work in conjunction with our licensing partners in the development of their products to ensure that they fit within our brand vision of high-quality products at attractive values to the consumer. In addition, we work closely with our wholesale customers and our licensees to gain dedicated floor space for licensed product categories.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47"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i w:val="1"/>
          <w:iCs w:val="1"/>
          <w:color w:val="auto"/>
        </w:rPr>
        <w:t xml:space="preserve">OshKosh </w:t>
      </w:r>
      <w:r>
        <w:rPr>
          <w:rFonts w:ascii="Arial" w:cs="Arial" w:eastAsia="Arial" w:hAnsi="Arial"/>
          <w:sz w:val="16"/>
          <w:szCs w:val="16"/>
          <w:b w:val="1"/>
          <w:bCs w:val="1"/>
          <w:color w:val="auto"/>
        </w:rPr>
        <w:t>brands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Playclothes</w:t>
      </w:r>
    </w:p>
    <w:p>
      <w:pPr>
        <w:spacing w:after="0" w:line="23"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is best known for its playclothes products.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playclothes include denim apparel products with multiple wash treatments and coordinating garments, overalls, woven bottoms, knit tops, bodysuits, and playclothes products for everyday use in sizes newborn to 14. Our fiscal 2017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playclothes market share in the United States was approximately 3% of the $14 billion young children's playclothes market.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Products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remainder of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product offering includes baby, sleepwear, outerwear, footwear, hosiery, and accessories.</w:t>
      </w:r>
    </w:p>
    <w:p>
      <w:pPr>
        <w:spacing w:after="0" w:line="19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 xml:space="preserve">Additionally, we partner with a number of domestic licensees to extend the reach of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As of December 30, 2017, we had five licensees selling apparel and accessories. Our largest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licensing agreement is with Target Corporation (“Target”). All </w:t>
      </w:r>
      <w:r>
        <w:rPr>
          <w:rFonts w:ascii="Arial" w:cs="Arial" w:eastAsia="Arial" w:hAnsi="Arial"/>
          <w:sz w:val="16"/>
          <w:szCs w:val="16"/>
          <w:i w:val="1"/>
          <w:iCs w:val="1"/>
          <w:color w:val="auto"/>
        </w:rPr>
        <w:t>Genuine Kids from OshKosh</w:t>
      </w:r>
      <w:r>
        <w:rPr>
          <w:rFonts w:ascii="Arial" w:cs="Arial" w:eastAsia="Arial" w:hAnsi="Arial"/>
          <w:sz w:val="16"/>
          <w:szCs w:val="16"/>
          <w:color w:val="auto"/>
        </w:rPr>
        <w:t xml:space="preserve"> products sold by Target are sold pursuant to this licensing agreement. Our licensed products provide our customers and consumers with a range of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products including outerwear, underwear, swimwear, socks, shoes, and accessories.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Skip Hop </w:t>
      </w:r>
      <w:r>
        <w:rPr>
          <w:rFonts w:ascii="Arial" w:cs="Arial" w:eastAsia="Arial" w:hAnsi="Arial"/>
          <w:sz w:val="16"/>
          <w:szCs w:val="16"/>
          <w:b w:val="1"/>
          <w:bCs w:val="1"/>
          <w:color w:val="auto"/>
        </w:rPr>
        <w:t>brand</w:t>
      </w:r>
    </w:p>
    <w:p>
      <w:pPr>
        <w:spacing w:after="0" w:line="211"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 is best known for its diaper bags, which we believe combine innovative functionality with attractive design. The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 offering also includes products for playtime, travel, mealtime, kid’s bags, bathtime, and homegear.</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Sales Channels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We sell our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w:t>
      </w:r>
      <w:r>
        <w:rPr>
          <w:rFonts w:ascii="Arial" w:cs="Arial" w:eastAsia="Arial" w:hAnsi="Arial"/>
          <w:sz w:val="15"/>
          <w:szCs w:val="15"/>
          <w:i w:val="1"/>
          <w:iCs w:val="1"/>
          <w:color w:val="auto"/>
        </w:rPr>
        <w:t>OshKosh</w:t>
      </w:r>
      <w:r>
        <w:rPr>
          <w:rFonts w:ascii="Arial" w:cs="Arial" w:eastAsia="Arial" w:hAnsi="Arial"/>
          <w:sz w:val="15"/>
          <w:szCs w:val="15"/>
          <w:color w:val="auto"/>
        </w:rPr>
        <w:t xml:space="preserve">, and </w:t>
      </w:r>
      <w:r>
        <w:rPr>
          <w:rFonts w:ascii="Arial" w:cs="Arial" w:eastAsia="Arial" w:hAnsi="Arial"/>
          <w:sz w:val="15"/>
          <w:szCs w:val="15"/>
          <w:i w:val="1"/>
          <w:iCs w:val="1"/>
          <w:color w:val="auto"/>
        </w:rPr>
        <w:t>Skip Hop</w:t>
      </w:r>
      <w:r>
        <w:rPr>
          <w:rFonts w:ascii="Arial" w:cs="Arial" w:eastAsia="Arial" w:hAnsi="Arial"/>
          <w:sz w:val="15"/>
          <w:szCs w:val="15"/>
          <w:color w:val="auto"/>
        </w:rPr>
        <w:t xml:space="preserve"> branded products through multiple channels - retail stores, online, and wholesale - both in the United States and globally.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Retail</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Our U.S. retail sales channel includes sales of our products through our U.S. retail stores and eCommerce sites.</w:t>
      </w:r>
    </w:p>
    <w:p>
      <w:pPr>
        <w:spacing w:after="0" w:line="207" w:lineRule="exact"/>
        <w:rPr>
          <w:sz w:val="20"/>
          <w:szCs w:val="20"/>
          <w:color w:val="auto"/>
        </w:rPr>
      </w:pPr>
    </w:p>
    <w:p>
      <w:pPr>
        <w:jc w:val="both"/>
        <w:ind w:right="220"/>
        <w:spacing w:after="0" w:line="270" w:lineRule="auto"/>
        <w:rPr>
          <w:sz w:val="20"/>
          <w:szCs w:val="20"/>
          <w:color w:val="auto"/>
        </w:rPr>
      </w:pPr>
      <w:r>
        <w:rPr>
          <w:rFonts w:ascii="Arial" w:cs="Arial" w:eastAsia="Arial" w:hAnsi="Arial"/>
          <w:sz w:val="16"/>
          <w:szCs w:val="16"/>
          <w:color w:val="auto"/>
        </w:rPr>
        <w:t>Our U.S. retail stores are generally located in high-traffic strip shopping centers in or near major cities or outlet centers that are generally located within 20 to 30 minutes of densely-populated areas. We believe our brand strength and our assortment of products, often localized for climate differences, have made our retail stores a destination for consumers who shop for young children's apparel and accessories.</w:t>
      </w:r>
    </w:p>
    <w:p>
      <w:pPr>
        <w:spacing w:after="0" w:line="162"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 xml:space="preserve">We operate retail stores in three different formats: Carter’s stand-alone stores, OshKosh stand-alone stores, and stores in our dual-branded format. Our dual-branded format includes “side-by-side” locations and “co-branded” locations. The dual-branded format allows customers to shop for both the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and </w:t>
      </w:r>
      <w:r>
        <w:rPr>
          <w:rFonts w:ascii="Arial" w:cs="Arial" w:eastAsia="Arial" w:hAnsi="Arial"/>
          <w:sz w:val="15"/>
          <w:szCs w:val="15"/>
          <w:i w:val="1"/>
          <w:iCs w:val="1"/>
          <w:color w:val="auto"/>
        </w:rPr>
        <w:t>OshKosh</w:t>
      </w:r>
      <w:r>
        <w:rPr>
          <w:rFonts w:ascii="Arial" w:cs="Arial" w:eastAsia="Arial" w:hAnsi="Arial"/>
          <w:sz w:val="15"/>
          <w:szCs w:val="15"/>
          <w:color w:val="auto"/>
        </w:rPr>
        <w:t xml:space="preserve"> brands in a single location. “Side-by-side” locations, which are located only in the United States, consist of adjacent retail stores for our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and </w:t>
      </w:r>
      <w:r>
        <w:rPr>
          <w:rFonts w:ascii="Arial" w:cs="Arial" w:eastAsia="Arial" w:hAnsi="Arial"/>
          <w:sz w:val="15"/>
          <w:szCs w:val="15"/>
          <w:i w:val="1"/>
          <w:iCs w:val="1"/>
          <w:color w:val="auto"/>
        </w:rPr>
        <w:t>OshKosh</w:t>
      </w:r>
      <w:r>
        <w:rPr>
          <w:rFonts w:ascii="Arial" w:cs="Arial" w:eastAsia="Arial" w:hAnsi="Arial"/>
          <w:sz w:val="15"/>
          <w:szCs w:val="15"/>
          <w:color w:val="auto"/>
        </w:rPr>
        <w:t xml:space="preserve"> brands that are connected and counted as a single dual-branded format location. “Co-branded” locations consist of a single retail store that offers products from our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and </w:t>
      </w:r>
      <w:r>
        <w:rPr>
          <w:rFonts w:ascii="Arial" w:cs="Arial" w:eastAsia="Arial" w:hAnsi="Arial"/>
          <w:sz w:val="15"/>
          <w:szCs w:val="15"/>
          <w:i w:val="1"/>
          <w:iCs w:val="1"/>
          <w:color w:val="auto"/>
        </w:rPr>
        <w:t>Oshkosh</w:t>
      </w:r>
      <w:r>
        <w:rPr>
          <w:rFonts w:ascii="Arial" w:cs="Arial" w:eastAsia="Arial" w:hAnsi="Arial"/>
          <w:sz w:val="15"/>
          <w:szCs w:val="15"/>
          <w:color w:val="auto"/>
        </w:rPr>
        <w:t xml:space="preserve"> brands and are also counted as a single dual-branded format location. We also sell our </w:t>
      </w:r>
      <w:r>
        <w:rPr>
          <w:rFonts w:ascii="Arial" w:cs="Arial" w:eastAsia="Arial" w:hAnsi="Arial"/>
          <w:sz w:val="15"/>
          <w:szCs w:val="15"/>
          <w:i w:val="1"/>
          <w:iCs w:val="1"/>
          <w:color w:val="auto"/>
        </w:rPr>
        <w:t>Skip Hop</w:t>
      </w:r>
      <w:r>
        <w:rPr>
          <w:rFonts w:ascii="Arial" w:cs="Arial" w:eastAsia="Arial" w:hAnsi="Arial"/>
          <w:sz w:val="15"/>
          <w:szCs w:val="15"/>
          <w:color w:val="auto"/>
        </w:rPr>
        <w:t xml:space="preserve"> products at certain of our retail store locations.</w:t>
      </w:r>
    </w:p>
    <w:p>
      <w:pPr>
        <w:spacing w:after="0" w:line="117" w:lineRule="exact"/>
        <w:rPr>
          <w:sz w:val="20"/>
          <w:szCs w:val="20"/>
          <w:color w:val="auto"/>
        </w:rPr>
      </w:pPr>
    </w:p>
    <w:p>
      <w:pPr>
        <w:ind w:right="440"/>
        <w:spacing w:after="0" w:line="270" w:lineRule="auto"/>
        <w:rPr>
          <w:sz w:val="20"/>
          <w:szCs w:val="20"/>
          <w:color w:val="auto"/>
        </w:rPr>
      </w:pPr>
      <w:r>
        <w:rPr>
          <w:rFonts w:ascii="Arial" w:cs="Arial" w:eastAsia="Arial" w:hAnsi="Arial"/>
          <w:sz w:val="16"/>
          <w:szCs w:val="16"/>
          <w:color w:val="auto"/>
        </w:rPr>
        <w:t>As of December 30, 2017, we operated 466 Carter's stand-alone retail stores in the United States. These stores carry a complete assortment of baby and young children's apparel, accessories, and gift items. Our stores average approximately 4,400 square feet per location and are distinguished by an easy, consumer-friendly shopping environment.</w:t>
      </w:r>
    </w:p>
    <w:p>
      <w:pPr>
        <w:spacing w:after="0" w:line="162" w:lineRule="exact"/>
        <w:rPr>
          <w:sz w:val="20"/>
          <w:szCs w:val="20"/>
          <w:color w:val="auto"/>
        </w:rPr>
      </w:pPr>
    </w:p>
    <w:p>
      <w:pPr>
        <w:ind w:right="700"/>
        <w:spacing w:after="0" w:line="285" w:lineRule="auto"/>
        <w:rPr>
          <w:sz w:val="20"/>
          <w:szCs w:val="20"/>
          <w:color w:val="auto"/>
        </w:rPr>
      </w:pPr>
      <w:r>
        <w:rPr>
          <w:rFonts w:ascii="Arial" w:cs="Arial" w:eastAsia="Arial" w:hAnsi="Arial"/>
          <w:sz w:val="16"/>
          <w:szCs w:val="16"/>
          <w:color w:val="auto"/>
        </w:rPr>
        <w:t>As of December 30, 2017, we operated 131 OshKosh stand-alone retail stores in the United States. These stores carry a wide assortment of young children's apparel, accessories, and gift items, and average approximately 4,600 square feet per location.</w:t>
      </w:r>
    </w:p>
    <w:p>
      <w:pPr>
        <w:spacing w:after="0" w:line="150" w:lineRule="exact"/>
        <w:rPr>
          <w:sz w:val="20"/>
          <w:szCs w:val="20"/>
          <w:color w:val="auto"/>
        </w:rPr>
      </w:pPr>
    </w:p>
    <w:p>
      <w:pPr>
        <w:jc w:val="both"/>
        <w:ind w:right="460"/>
        <w:spacing w:after="0" w:line="270" w:lineRule="auto"/>
        <w:rPr>
          <w:sz w:val="20"/>
          <w:szCs w:val="20"/>
          <w:color w:val="auto"/>
        </w:rPr>
      </w:pPr>
      <w:r>
        <w:rPr>
          <w:rFonts w:ascii="Arial" w:cs="Arial" w:eastAsia="Arial" w:hAnsi="Arial"/>
          <w:sz w:val="16"/>
          <w:szCs w:val="16"/>
          <w:color w:val="auto"/>
        </w:rPr>
        <w:t>As of December 30, 2017, we operated 233 dual-branded format retail stores in the United States which consisted of 159 “side-by-side” locations and 74 “co-branded” locations. Our “co-branded” stores in the United States average approximately 5,000 square feet per location, are slightly larger than our single-brand retail stores in the United States, and offer a similar product assortment.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343" w:right="239" w:bottom="1440" w:gutter="0" w:footer="0" w:header="0"/>
        </w:sectPr>
      </w:pPr>
    </w:p>
    <w:bookmarkStart w:id="8" w:name="page9"/>
    <w:bookmarkEnd w:id="8"/>
    <w:p>
      <w:pPr>
        <w:spacing w:after="0"/>
        <w:rPr>
          <w:sz w:val="20"/>
          <w:szCs w:val="20"/>
          <w:color w:val="auto"/>
        </w:rPr>
      </w:pPr>
      <w:r>
        <w:rPr>
          <w:rFonts w:ascii="Arial" w:cs="Arial" w:eastAsia="Arial" w:hAnsi="Arial"/>
          <w:sz w:val="15"/>
          <w:szCs w:val="15"/>
          <w:color w:val="auto"/>
        </w:rPr>
        <w:t>We assess potential new retail store locations based on demographic factors, retail adjacencies, and population density, as part of a rigorous real estate selection process.</w:t>
      </w:r>
    </w:p>
    <w:p>
      <w:pPr>
        <w:spacing w:after="0" w:line="18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also sell our products through our online U.S. eCommerce sites at www.carters.com, www.oshkoshbgosh.com, www.oshkosh.com, and www.skiphop.com. Each online store offers a full assortment of products from each of our brands.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fiscal 2017, our U.S. Retail net sales were approximately $1.78 billion, representing 52.2% of our consolidated net sales.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Wholesale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U.S. wholesale channel includes sales of our products to our U.S. wholesale accounts.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Our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brand wholesale customers in the United States include major retailers, such as, in alphabetical order, Costco, JCPenney, Kohl’s, Macy’s, and Toys "R" Us.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Additionally, we sell our </w:t>
      </w:r>
      <w:r>
        <w:rPr>
          <w:rFonts w:ascii="Arial" w:cs="Arial" w:eastAsia="Arial" w:hAnsi="Arial"/>
          <w:sz w:val="16"/>
          <w:szCs w:val="16"/>
          <w:i w:val="1"/>
          <w:iCs w:val="1"/>
          <w:color w:val="auto"/>
        </w:rPr>
        <w:t>Child of Mine</w:t>
      </w:r>
      <w:r>
        <w:rPr>
          <w:rFonts w:ascii="Arial" w:cs="Arial" w:eastAsia="Arial" w:hAnsi="Arial"/>
          <w:sz w:val="16"/>
          <w:szCs w:val="16"/>
          <w:color w:val="auto"/>
        </w:rPr>
        <w:t xml:space="preserve"> brand at Walmart, our </w:t>
      </w:r>
      <w:r>
        <w:rPr>
          <w:rFonts w:ascii="Arial" w:cs="Arial" w:eastAsia="Arial" w:hAnsi="Arial"/>
          <w:sz w:val="16"/>
          <w:szCs w:val="16"/>
          <w:i w:val="1"/>
          <w:iCs w:val="1"/>
          <w:color w:val="auto"/>
        </w:rPr>
        <w:t>Just One You</w:t>
      </w:r>
      <w:r>
        <w:rPr>
          <w:rFonts w:ascii="Arial" w:cs="Arial" w:eastAsia="Arial" w:hAnsi="Arial"/>
          <w:sz w:val="16"/>
          <w:szCs w:val="16"/>
          <w:color w:val="auto"/>
        </w:rPr>
        <w:t xml:space="preserve"> brand at Target, and our </w:t>
      </w:r>
      <w:r>
        <w:rPr>
          <w:rFonts w:ascii="Arial" w:cs="Arial" w:eastAsia="Arial" w:hAnsi="Arial"/>
          <w:sz w:val="16"/>
          <w:szCs w:val="16"/>
          <w:i w:val="1"/>
          <w:iCs w:val="1"/>
          <w:color w:val="auto"/>
        </w:rPr>
        <w:t>Simple Joys</w:t>
      </w:r>
      <w:r>
        <w:rPr>
          <w:rFonts w:ascii="Arial" w:cs="Arial" w:eastAsia="Arial" w:hAnsi="Arial"/>
          <w:sz w:val="16"/>
          <w:szCs w:val="16"/>
          <w:color w:val="auto"/>
        </w:rPr>
        <w:t xml:space="preserve"> brand on Amazon.</w:t>
      </w:r>
    </w:p>
    <w:p>
      <w:pPr>
        <w:spacing w:after="0" w:line="15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wholesale customers in the United States include major retailers, such as, in alphabetical order, Costco, JCPenney, Kohl’s, and Toys "R" Us. We also have a licensing agreement with Target, through which Target sells products under our </w:t>
      </w:r>
      <w:r>
        <w:rPr>
          <w:rFonts w:ascii="Arial" w:cs="Arial" w:eastAsia="Arial" w:hAnsi="Arial"/>
          <w:sz w:val="16"/>
          <w:szCs w:val="16"/>
          <w:i w:val="1"/>
          <w:iCs w:val="1"/>
          <w:color w:val="auto"/>
        </w:rPr>
        <w:t>Genuine Kids</w:t>
      </w:r>
      <w:r>
        <w:rPr>
          <w:rFonts w:ascii="Arial" w:cs="Arial" w:eastAsia="Arial" w:hAnsi="Arial"/>
          <w:sz w:val="16"/>
          <w:szCs w:val="16"/>
          <w:color w:val="auto"/>
        </w:rPr>
        <w:t xml:space="preserve"> from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Our </w:t>
      </w:r>
      <w:r>
        <w:rPr>
          <w:rFonts w:ascii="Arial" w:cs="Arial" w:eastAsia="Arial" w:hAnsi="Arial"/>
          <w:sz w:val="15"/>
          <w:szCs w:val="15"/>
          <w:i w:val="1"/>
          <w:iCs w:val="1"/>
          <w:color w:val="auto"/>
        </w:rPr>
        <w:t>Skip Hop</w:t>
      </w:r>
      <w:r>
        <w:rPr>
          <w:rFonts w:ascii="Arial" w:cs="Arial" w:eastAsia="Arial" w:hAnsi="Arial"/>
          <w:sz w:val="15"/>
          <w:szCs w:val="15"/>
          <w:color w:val="auto"/>
        </w:rPr>
        <w:t xml:space="preserve"> brand wholesale customers in the United States include major retailers, such as, in alphabetical order, Amazon, Babies “R” Us, Nordstrom, and Target.</w:t>
      </w:r>
    </w:p>
    <w:p>
      <w:pPr>
        <w:spacing w:after="0" w:line="182"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We collaborate with our wholesale customers to drive growth through eCommerce, replenishment, product mix, and brand presentation. We also have frequent meetings with the senior management of key accounts to align on strategic growth plans.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In fiscal 2017, our U.S. Wholesale net sales were approximately $1.21 billion, representing 35.6% of our consolidated net sales.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International</w:t>
      </w:r>
    </w:p>
    <w:p>
      <w:pPr>
        <w:spacing w:after="0" w:line="207"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 xml:space="preserve">Our International segment includes sales through company - and franchisee-operated retail stores, online eCommerce sites, and international wholesale accounts, as well as royalty income from international licensees of the </w:t>
      </w:r>
      <w:r>
        <w:rPr>
          <w:rFonts w:ascii="Arial" w:cs="Arial" w:eastAsia="Arial" w:hAnsi="Arial"/>
          <w:sz w:val="15"/>
          <w:szCs w:val="15"/>
          <w:i w:val="1"/>
          <w:iCs w:val="1"/>
          <w:color w:val="auto"/>
        </w:rPr>
        <w:t>Carter’s</w:t>
      </w:r>
      <w:r>
        <w:rPr>
          <w:rFonts w:ascii="Arial" w:cs="Arial" w:eastAsia="Arial" w:hAnsi="Arial"/>
          <w:sz w:val="15"/>
          <w:szCs w:val="15"/>
          <w:color w:val="auto"/>
        </w:rPr>
        <w:t xml:space="preserve"> and </w:t>
      </w:r>
      <w:r>
        <w:rPr>
          <w:rFonts w:ascii="Arial" w:cs="Arial" w:eastAsia="Arial" w:hAnsi="Arial"/>
          <w:sz w:val="15"/>
          <w:szCs w:val="15"/>
          <w:i w:val="1"/>
          <w:iCs w:val="1"/>
          <w:color w:val="auto"/>
        </w:rPr>
        <w:t>OshKosh</w:t>
      </w:r>
      <w:r>
        <w:rPr>
          <w:rFonts w:ascii="Arial" w:cs="Arial" w:eastAsia="Arial" w:hAnsi="Arial"/>
          <w:sz w:val="15"/>
          <w:szCs w:val="15"/>
          <w:color w:val="auto"/>
        </w:rPr>
        <w:t xml:space="preserve"> brands. In August 2017, we acquired our Mexican licensee and its related business.</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of December 30, 2017, we operated 179 co-branded Carter’s and OshKosh retail stores in Canada and our online store at www.cartersoshkosh.ca. We also operated 41 retail stores in Mexico.</w:t>
      </w:r>
    </w:p>
    <w:p>
      <w:pPr>
        <w:spacing w:after="0" w:line="11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addition, we operate an eCommerce site in China, and we also reach consumers in approximately 60 countries through wholesale and licensing relationships and in over 100 countries through eCommerce sites.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In fiscal 2017, net sales in our International segment were approximately $415.5 million, representing 12.2% of our consolidated net sales.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Customer and Marketing Strategy</w:t>
      </w:r>
    </w:p>
    <w:p>
      <w:pPr>
        <w:spacing w:after="0" w:line="211"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For all of our brands, our marketing is predominately focused on driving brand preference and engagement with millennial customers. As such, we continue to strengthen and evolve our digital programs to keep our brands in front of the consumer. Our multi-channel approach -- which includes retail stores, online stores, and a mobile application -- allows the customer to experience the brand as a seamless shopping experience in the channel of their choice. Our investments in marketing, our loyalty program, and new technologies are focused on acquiring new customers, developing stronger connections with our existing customers, and extending their relationship with our brands. Our goal is to have the most top-of-mind, preferred brands in the young children’s market and to connect with a diverse, digitally-savvy customer.</w:t>
      </w:r>
    </w:p>
    <w:p>
      <w:pPr>
        <w:spacing w:after="0" w:line="11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 xml:space="preserve">During fiscal 2015, we launched our </w:t>
      </w:r>
      <w:r>
        <w:rPr>
          <w:rFonts w:ascii="Arial" w:cs="Arial" w:eastAsia="Arial" w:hAnsi="Arial"/>
          <w:sz w:val="16"/>
          <w:szCs w:val="16"/>
          <w:i w:val="1"/>
          <w:iCs w:val="1"/>
          <w:color w:val="auto"/>
        </w:rPr>
        <w:t>Rewarding Moments</w:t>
      </w:r>
      <w:r>
        <w:rPr>
          <w:rFonts w:ascii="Arial" w:cs="Arial" w:eastAsia="Arial" w:hAnsi="Arial"/>
          <w:sz w:val="16"/>
          <w:szCs w:val="16"/>
          <w:color w:val="auto"/>
        </w:rPr>
        <w:t xml:space="preserve"> loyalty and rewards program in the United States to drive customer traffic, sales, and brand loyalty. This program is integrated across our retail stores and online businesses. During fiscal 2017, our retail sales were predominantly made to customers who are members of </w:t>
      </w:r>
      <w:r>
        <w:rPr>
          <w:rFonts w:ascii="Arial" w:cs="Arial" w:eastAsia="Arial" w:hAnsi="Arial"/>
          <w:sz w:val="16"/>
          <w:szCs w:val="16"/>
          <w:i w:val="1"/>
          <w:iCs w:val="1"/>
          <w:color w:val="auto"/>
        </w:rPr>
        <w:t>Rewarding Moments.</w:t>
      </w:r>
      <w:r>
        <w:rPr>
          <w:rFonts w:ascii="Arial" w:cs="Arial" w:eastAsia="Arial" w:hAnsi="Arial"/>
          <w:sz w:val="16"/>
          <w:szCs w:val="16"/>
          <w:color w:val="auto"/>
        </w:rPr>
        <w:t xml:space="preserve"> In addition, during fiscal 2017, we launched our mobile application in the United States, which allows our customers to shop and purchase products from all of our brands directly from their mobile device.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347"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Our Global Sourcing Network</w:t>
      </w:r>
    </w:p>
    <w:p>
      <w:pPr>
        <w:spacing w:after="0" w:line="113"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We source our garments and other products from a global network of suppliers, primarily from Asia and Central America. Prior to placing production, and on a recurring basis, we conduct assessments of political, social, economic, trade, labor and intellectual property protection conditions in the countries in which we source our products.</w:t>
      </w:r>
    </w:p>
    <w:p>
      <w:pPr>
        <w:spacing w:after="0" w:line="139"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We expect all of our suppliers shipping to the United States to adhere to the requirements of the U.S. Customs and Border Protection’s Customs-Trade Partnership Against Terrorism (“C-TPAT”) program, including standards relating to facility security, procedural security, personnel security, cargo security, and the overall protection of the supply chain. In the event a supplier does not comply with our C-TPAT requirements, or if we have determined that the supplier will be unable to correct a deficiency, we may move that supplier’s product through alternative supply chain channels or we may terminate our business relationship with the supplier.</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our sourcing arrangements are sufficient to meet our current operating requirements and provide capacity for growth.</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Global Distribution Network</w:t>
      </w:r>
    </w:p>
    <w:p>
      <w:pPr>
        <w:spacing w:after="0" w:line="113" w:lineRule="exact"/>
        <w:rPr>
          <w:sz w:val="20"/>
          <w:szCs w:val="20"/>
          <w:color w:val="auto"/>
        </w:rPr>
      </w:pPr>
    </w:p>
    <w:p>
      <w:pPr>
        <w:jc w:val="both"/>
        <w:ind w:right="40"/>
        <w:spacing w:after="0" w:line="296" w:lineRule="auto"/>
        <w:rPr>
          <w:sz w:val="20"/>
          <w:szCs w:val="20"/>
          <w:color w:val="auto"/>
        </w:rPr>
      </w:pPr>
      <w:r>
        <w:rPr>
          <w:rFonts w:ascii="Arial" w:cs="Arial" w:eastAsia="Arial" w:hAnsi="Arial"/>
          <w:sz w:val="15"/>
          <w:szCs w:val="15"/>
          <w:color w:val="auto"/>
        </w:rPr>
        <w:t>Domestically, we operate two distribution centers in Georgia: our approximately 1.1 million square-foot multi-channel facility in Braselton and a 505,000 square-foot facility in Stockbridge. We also outsource distribution activities to third-party logistics providers in California. Our distribution center activities include receiving finished goods from our vendors, inspecting those products, preparing them for retail and wholesale presentation, and shipping them to our customers and to our retail stores.</w:t>
      </w:r>
    </w:p>
    <w:p>
      <w:pPr>
        <w:spacing w:after="0" w:line="47"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color w:val="auto"/>
        </w:rPr>
        <w:t>Internationally, we operate directly or outsource our distribution activities to third-party logistics providers in Canada, China, United Kingdom, and Mexico to support our international wholesale customers, eCommerce operations, and Canadian and Mexican retail store network.</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Governmental Regulation and Environmental Matters</w:t>
      </w:r>
    </w:p>
    <w:p>
      <w:pPr>
        <w:spacing w:after="0" w:line="113" w:lineRule="exact"/>
        <w:rPr>
          <w:sz w:val="20"/>
          <w:szCs w:val="20"/>
          <w:color w:val="auto"/>
        </w:rPr>
      </w:pPr>
    </w:p>
    <w:p>
      <w:pPr>
        <w:ind w:right="60"/>
        <w:spacing w:after="0" w:line="320" w:lineRule="auto"/>
        <w:rPr>
          <w:sz w:val="20"/>
          <w:szCs w:val="20"/>
          <w:color w:val="auto"/>
        </w:rPr>
      </w:pPr>
      <w:r>
        <w:rPr>
          <w:rFonts w:ascii="Arial" w:cs="Arial" w:eastAsia="Arial" w:hAnsi="Arial"/>
          <w:sz w:val="15"/>
          <w:szCs w:val="15"/>
          <w:color w:val="auto"/>
        </w:rPr>
        <w:t>Our products are subject to regulation of and regulatory standards with respect to quality and safety set by various governmental authorities around the world, including in the United States, Canada, China, Mexico, and the European Union. Our operations also are subject to various international trade agreements and regulations.</w:t>
      </w:r>
    </w:p>
    <w:p>
      <w:pPr>
        <w:spacing w:after="0" w:line="29" w:lineRule="exact"/>
        <w:rPr>
          <w:sz w:val="20"/>
          <w:szCs w:val="20"/>
          <w:color w:val="auto"/>
        </w:rPr>
      </w:pPr>
    </w:p>
    <w:p>
      <w:pPr>
        <w:jc w:val="both"/>
        <w:ind w:right="220"/>
        <w:spacing w:after="0" w:line="270" w:lineRule="auto"/>
        <w:rPr>
          <w:sz w:val="20"/>
          <w:szCs w:val="20"/>
          <w:color w:val="auto"/>
        </w:rPr>
      </w:pPr>
      <w:r>
        <w:rPr>
          <w:rFonts w:ascii="Arial" w:cs="Arial" w:eastAsia="Arial" w:hAnsi="Arial"/>
          <w:sz w:val="16"/>
          <w:szCs w:val="16"/>
          <w:color w:val="auto"/>
        </w:rPr>
        <w:t>We are also subject to various federal, state, local and foreign laws and regulations that govern our activities, operations, and products that may have adverse environmental and health and safety effects, including laws and regulations relating to generating emissions, water discharge, waste, product and packaging content, and workplace safety. Noncompliance with these laws and regulations may result in substantial monetary penalties and criminal sanctions.</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Social Responsibility</w:t>
      </w:r>
    </w:p>
    <w:p>
      <w:pPr>
        <w:spacing w:after="0" w:line="113" w:lineRule="exact"/>
        <w:rPr>
          <w:sz w:val="20"/>
          <w:szCs w:val="20"/>
          <w:color w:val="auto"/>
        </w:rPr>
      </w:pPr>
    </w:p>
    <w:p>
      <w:pPr>
        <w:ind w:right="60"/>
        <w:spacing w:after="0" w:line="308" w:lineRule="auto"/>
        <w:rPr>
          <w:sz w:val="20"/>
          <w:szCs w:val="20"/>
          <w:color w:val="auto"/>
        </w:rPr>
      </w:pPr>
      <w:r>
        <w:rPr>
          <w:rFonts w:ascii="Arial" w:cs="Arial" w:eastAsia="Arial" w:hAnsi="Arial"/>
          <w:sz w:val="14"/>
          <w:szCs w:val="14"/>
          <w:color w:val="auto"/>
        </w:rPr>
        <w:t>We have adopted a factory on-boarding program that allows us to assess each factory’s compliance with our social responsibility standards before we place orders for product with that factory, and that allows us to assess, integrate, and enhance factories that were used by companies that we acquire. Additionally, we regularly assess the manufacturing facilities we use through periodic on-site facility inspections, including the use of independent monitors to supplement our internal staff. We use audit data and performance results to suggest improvements when necessary, and also integrate this information into our sourcing decisions. Our vendor code of conduct covers employment practices, such as wages and benefits, working hours, health and safety, working age, and discriminatory practices, as well as environmental, ethical, and other legal matters.</w:t>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3" w:lineRule="exact"/>
        <w:rPr>
          <w:sz w:val="20"/>
          <w:szCs w:val="20"/>
          <w:color w:val="auto"/>
        </w:rPr>
      </w:pPr>
    </w:p>
    <w:p>
      <w:pPr>
        <w:ind w:right="100"/>
        <w:spacing w:after="0" w:line="308" w:lineRule="auto"/>
        <w:rPr>
          <w:sz w:val="20"/>
          <w:szCs w:val="20"/>
          <w:color w:val="auto"/>
        </w:rPr>
      </w:pPr>
      <w:r>
        <w:rPr>
          <w:rFonts w:ascii="Arial" w:cs="Arial" w:eastAsia="Arial" w:hAnsi="Arial"/>
          <w:sz w:val="14"/>
          <w:szCs w:val="14"/>
          <w:color w:val="auto"/>
        </w:rPr>
        <w:t>The baby and young children’s apparel and accessories market is highly competitive. Competition is generally based upon product quality, brand name recognition, price, selection, service, and convenience. Both branded and private label manufacturers aggressively compete in the baby and young children’s apparel market. Our primary competitors in the wholesale channel include private label product offerings, and, in alphabetical order, Disney, Garanimals and Gerber. Our primary competitors in the retail channel include, in alphabetical order, Disney, Gap, Old Navy, and The Children’s Place. Most retailers, including our wholesale customers, have significant private label product offerings that compete with our products. Because of the highly-fragmented nature of the industry, we also compete with many small manufacturers and retailers. We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43" w:right="239" w:bottom="1440" w:gutter="0" w:footer="0" w:header="0"/>
        </w:sectPr>
      </w:pPr>
    </w:p>
    <w:bookmarkStart w:id="10" w:name="page11"/>
    <w:bookmarkEnd w:id="10"/>
    <w:p>
      <w:pPr>
        <w:ind w:right="220"/>
        <w:spacing w:after="0" w:line="285" w:lineRule="auto"/>
        <w:rPr>
          <w:sz w:val="20"/>
          <w:szCs w:val="20"/>
          <w:color w:val="auto"/>
        </w:rPr>
      </w:pPr>
      <w:r>
        <w:rPr>
          <w:rFonts w:ascii="Arial" w:cs="Arial" w:eastAsia="Arial" w:hAnsi="Arial"/>
          <w:sz w:val="16"/>
          <w:szCs w:val="16"/>
          <w:color w:val="auto"/>
        </w:rPr>
        <w:t>believe that the strength of our brand names, combined with our breadth of product offerings, distribution footprint, and operational expertise, position us well against these competitors.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11"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We experience seasonal fluctuations in our sales and profitability due to the timing of certain holidays and key retail shopping periods, which generally have resulted in lower sales and gross profit in the first half of our fiscal year versus the second half of the year. Accordingly, our results of operations during the first half of the year may not be indicative of the results we expect for the full fiscal year.</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Trademarks and Copyrights</w:t>
      </w:r>
    </w:p>
    <w:p>
      <w:pPr>
        <w:spacing w:after="0" w:line="211" w:lineRule="exact"/>
        <w:rPr>
          <w:sz w:val="20"/>
          <w:szCs w:val="20"/>
          <w:color w:val="auto"/>
        </w:rPr>
      </w:pPr>
    </w:p>
    <w:p>
      <w:pPr>
        <w:jc w:val="both"/>
        <w:ind w:right="400"/>
        <w:spacing w:after="0" w:line="326" w:lineRule="auto"/>
        <w:rPr>
          <w:sz w:val="20"/>
          <w:szCs w:val="20"/>
          <w:color w:val="auto"/>
        </w:rPr>
      </w:pPr>
      <w:r>
        <w:rPr>
          <w:rFonts w:ascii="Arial" w:cs="Arial" w:eastAsia="Arial" w:hAnsi="Arial"/>
          <w:sz w:val="14"/>
          <w:szCs w:val="14"/>
          <w:color w:val="auto"/>
        </w:rPr>
        <w:t xml:space="preserve">Our trademarks and copyrights that are referred to in this Annual Report, including </w:t>
      </w:r>
      <w:r>
        <w:rPr>
          <w:rFonts w:ascii="Arial" w:cs="Arial" w:eastAsia="Arial" w:hAnsi="Arial"/>
          <w:sz w:val="14"/>
          <w:szCs w:val="14"/>
          <w:i w:val="1"/>
          <w:iCs w:val="1"/>
          <w:color w:val="auto"/>
        </w:rPr>
        <w:t>Carter’s</w:t>
      </w:r>
      <w:r>
        <w:rPr>
          <w:rFonts w:ascii="Arial" w:cs="Arial" w:eastAsia="Arial" w:hAnsi="Arial"/>
          <w:sz w:val="14"/>
          <w:szCs w:val="14"/>
          <w:color w:val="auto"/>
        </w:rPr>
        <w:t xml:space="preserve">,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w:t>
      </w:r>
      <w:r>
        <w:rPr>
          <w:rFonts w:ascii="Arial" w:cs="Arial" w:eastAsia="Arial" w:hAnsi="Arial"/>
          <w:sz w:val="14"/>
          <w:szCs w:val="14"/>
          <w:i w:val="1"/>
          <w:iCs w:val="1"/>
          <w:color w:val="auto"/>
        </w:rPr>
        <w:t>OshKosh B’gosh</w:t>
      </w:r>
      <w:r>
        <w:rPr>
          <w:rFonts w:ascii="Arial" w:cs="Arial" w:eastAsia="Arial" w:hAnsi="Arial"/>
          <w:sz w:val="14"/>
          <w:szCs w:val="14"/>
          <w:color w:val="auto"/>
        </w:rPr>
        <w:t xml:space="preserve">, </w:t>
      </w:r>
      <w:r>
        <w:rPr>
          <w:rFonts w:ascii="Arial" w:cs="Arial" w:eastAsia="Arial" w:hAnsi="Arial"/>
          <w:sz w:val="14"/>
          <w:szCs w:val="14"/>
          <w:i w:val="1"/>
          <w:iCs w:val="1"/>
          <w:color w:val="auto"/>
        </w:rPr>
        <w:t>Baby B'gosh</w:t>
      </w:r>
      <w:r>
        <w:rPr>
          <w:rFonts w:ascii="Arial" w:cs="Arial" w:eastAsia="Arial" w:hAnsi="Arial"/>
          <w:sz w:val="14"/>
          <w:szCs w:val="14"/>
          <w:color w:val="auto"/>
        </w:rPr>
        <w:t xml:space="preserve">,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w:t>
      </w:r>
      <w:r>
        <w:rPr>
          <w:rFonts w:ascii="Arial" w:cs="Arial" w:eastAsia="Arial" w:hAnsi="Arial"/>
          <w:sz w:val="14"/>
          <w:szCs w:val="14"/>
          <w:i w:val="1"/>
          <w:iCs w:val="1"/>
          <w:color w:val="auto"/>
        </w:rPr>
        <w:t>Genuine Kids</w:t>
      </w:r>
      <w:r>
        <w:rPr>
          <w:rFonts w:ascii="Arial" w:cs="Arial" w:eastAsia="Arial" w:hAnsi="Arial"/>
          <w:sz w:val="14"/>
          <w:szCs w:val="14"/>
          <w:color w:val="auto"/>
        </w:rPr>
        <w:t xml:space="preserve">, </w:t>
      </w:r>
      <w:r>
        <w:rPr>
          <w:rFonts w:ascii="Arial" w:cs="Arial" w:eastAsia="Arial" w:hAnsi="Arial"/>
          <w:sz w:val="14"/>
          <w:szCs w:val="14"/>
          <w:i w:val="1"/>
          <w:iCs w:val="1"/>
          <w:color w:val="auto"/>
        </w:rPr>
        <w:t>Child of</w:t>
      </w:r>
      <w:r>
        <w:rPr>
          <w:rFonts w:ascii="Arial" w:cs="Arial" w:eastAsia="Arial" w:hAnsi="Arial"/>
          <w:sz w:val="14"/>
          <w:szCs w:val="14"/>
          <w:color w:val="auto"/>
        </w:rPr>
        <w:t xml:space="preserve"> </w:t>
      </w:r>
      <w:r>
        <w:rPr>
          <w:rFonts w:ascii="Arial" w:cs="Arial" w:eastAsia="Arial" w:hAnsi="Arial"/>
          <w:sz w:val="14"/>
          <w:szCs w:val="14"/>
          <w:i w:val="1"/>
          <w:iCs w:val="1"/>
          <w:color w:val="auto"/>
        </w:rPr>
        <w:t>Mine</w:t>
      </w:r>
      <w:r>
        <w:rPr>
          <w:rFonts w:ascii="Arial" w:cs="Arial" w:eastAsia="Arial" w:hAnsi="Arial"/>
          <w:sz w:val="14"/>
          <w:szCs w:val="14"/>
          <w:color w:val="auto"/>
        </w:rPr>
        <w:t>,</w:t>
      </w:r>
      <w:r>
        <w:rPr>
          <w:rFonts w:ascii="Arial" w:cs="Arial" w:eastAsia="Arial" w:hAnsi="Arial"/>
          <w:sz w:val="14"/>
          <w:szCs w:val="14"/>
          <w:i w:val="1"/>
          <w:iCs w:val="1"/>
          <w:color w:val="auto"/>
        </w:rPr>
        <w:t xml:space="preserve"> Just One You</w:t>
      </w:r>
      <w:r>
        <w:rPr>
          <w:rFonts w:ascii="Arial" w:cs="Arial" w:eastAsia="Arial" w:hAnsi="Arial"/>
          <w:sz w:val="14"/>
          <w:szCs w:val="14"/>
          <w:color w:val="auto"/>
        </w:rPr>
        <w:t>,</w:t>
      </w:r>
      <w:r>
        <w:rPr>
          <w:rFonts w:ascii="Arial" w:cs="Arial" w:eastAsia="Arial" w:hAnsi="Arial"/>
          <w:sz w:val="14"/>
          <w:szCs w:val="14"/>
          <w:i w:val="1"/>
          <w:iCs w:val="1"/>
          <w:color w:val="auto"/>
        </w:rPr>
        <w:t xml:space="preserve"> Simple Joys</w:t>
      </w:r>
      <w:r>
        <w:rPr>
          <w:rFonts w:ascii="Arial" w:cs="Arial" w:eastAsia="Arial" w:hAnsi="Arial"/>
          <w:sz w:val="14"/>
          <w:szCs w:val="14"/>
          <w:color w:val="auto"/>
        </w:rPr>
        <w:t>,</w:t>
      </w:r>
      <w:r>
        <w:rPr>
          <w:rFonts w:ascii="Arial" w:cs="Arial" w:eastAsia="Arial" w:hAnsi="Arial"/>
          <w:sz w:val="14"/>
          <w:szCs w:val="14"/>
          <w:i w:val="1"/>
          <w:iCs w:val="1"/>
          <w:color w:val="auto"/>
        </w:rPr>
        <w:t xml:space="preserve"> Precious Firsts</w:t>
      </w:r>
      <w:r>
        <w:rPr>
          <w:rFonts w:ascii="Arial" w:cs="Arial" w:eastAsia="Arial" w:hAnsi="Arial"/>
          <w:sz w:val="14"/>
          <w:szCs w:val="14"/>
          <w:color w:val="auto"/>
        </w:rPr>
        <w:t>,</w:t>
      </w:r>
      <w:r>
        <w:rPr>
          <w:rFonts w:ascii="Arial" w:cs="Arial" w:eastAsia="Arial" w:hAnsi="Arial"/>
          <w:sz w:val="14"/>
          <w:szCs w:val="14"/>
          <w:i w:val="1"/>
          <w:iCs w:val="1"/>
          <w:color w:val="auto"/>
        </w:rPr>
        <w:t xml:space="preserve"> Little Collections</w:t>
      </w:r>
      <w:r>
        <w:rPr>
          <w:rFonts w:ascii="Arial" w:cs="Arial" w:eastAsia="Arial" w:hAnsi="Arial"/>
          <w:sz w:val="14"/>
          <w:szCs w:val="14"/>
          <w:color w:val="auto"/>
        </w:rPr>
        <w:t>,</w:t>
      </w:r>
      <w:r>
        <w:rPr>
          <w:rFonts w:ascii="Arial" w:cs="Arial" w:eastAsia="Arial" w:hAnsi="Arial"/>
          <w:sz w:val="14"/>
          <w:szCs w:val="14"/>
          <w:i w:val="1"/>
          <w:iCs w:val="1"/>
          <w:color w:val="auto"/>
        </w:rPr>
        <w:t xml:space="preserve"> Little Planet</w:t>
      </w:r>
      <w:r>
        <w:rPr>
          <w:rFonts w:ascii="Arial" w:cs="Arial" w:eastAsia="Arial" w:hAnsi="Arial"/>
          <w:sz w:val="14"/>
          <w:szCs w:val="14"/>
          <w:color w:val="auto"/>
        </w:rPr>
        <w:t>,</w:t>
      </w:r>
      <w:r>
        <w:rPr>
          <w:rFonts w:ascii="Arial" w:cs="Arial" w:eastAsia="Arial" w:hAnsi="Arial"/>
          <w:sz w:val="14"/>
          <w:szCs w:val="14"/>
          <w:i w:val="1"/>
          <w:iCs w:val="1"/>
          <w:color w:val="auto"/>
        </w:rPr>
        <w:t xml:space="preserve"> little baby basics</w:t>
      </w:r>
      <w:r>
        <w:rPr>
          <w:rFonts w:ascii="Arial" w:cs="Arial" w:eastAsia="Arial" w:hAnsi="Arial"/>
          <w:sz w:val="14"/>
          <w:szCs w:val="14"/>
          <w:color w:val="auto"/>
        </w:rPr>
        <w:t>,</w:t>
      </w:r>
      <w:r>
        <w:rPr>
          <w:rFonts w:ascii="Arial" w:cs="Arial" w:eastAsia="Arial" w:hAnsi="Arial"/>
          <w:sz w:val="14"/>
          <w:szCs w:val="14"/>
          <w:i w:val="1"/>
          <w:iCs w:val="1"/>
          <w:color w:val="auto"/>
        </w:rPr>
        <w:t xml:space="preserve"> Carter’s KID</w:t>
      </w:r>
      <w:r>
        <w:rPr>
          <w:rFonts w:ascii="Arial" w:cs="Arial" w:eastAsia="Arial" w:hAnsi="Arial"/>
          <w:sz w:val="14"/>
          <w:szCs w:val="14"/>
          <w:color w:val="auto"/>
        </w:rPr>
        <w:t>,</w:t>
      </w:r>
      <w:r>
        <w:rPr>
          <w:rFonts w:ascii="Arial" w:cs="Arial" w:eastAsia="Arial" w:hAnsi="Arial"/>
          <w:sz w:val="14"/>
          <w:szCs w:val="14"/>
          <w:i w:val="1"/>
          <w:iCs w:val="1"/>
          <w:color w:val="auto"/>
        </w:rPr>
        <w:t xml:space="preserve"> Rewarding Moments</w:t>
      </w:r>
      <w:r>
        <w:rPr>
          <w:rFonts w:ascii="Arial" w:cs="Arial" w:eastAsia="Arial" w:hAnsi="Arial"/>
          <w:sz w:val="14"/>
          <w:szCs w:val="14"/>
          <w:color w:val="auto"/>
        </w:rPr>
        <w:t>, and</w:t>
      </w:r>
      <w:r>
        <w:rPr>
          <w:rFonts w:ascii="Arial" w:cs="Arial" w:eastAsia="Arial" w:hAnsi="Arial"/>
          <w:sz w:val="14"/>
          <w:szCs w:val="14"/>
          <w:i w:val="1"/>
          <w:iCs w:val="1"/>
          <w:color w:val="auto"/>
        </w:rPr>
        <w:t xml:space="preserve"> Count on Carter’s</w:t>
      </w:r>
      <w:r>
        <w:rPr>
          <w:rFonts w:ascii="Arial" w:cs="Arial" w:eastAsia="Arial" w:hAnsi="Arial"/>
          <w:sz w:val="14"/>
          <w:szCs w:val="14"/>
          <w:color w:val="auto"/>
        </w:rPr>
        <w:t>, many of</w:t>
      </w:r>
      <w:r>
        <w:rPr>
          <w:rFonts w:ascii="Arial" w:cs="Arial" w:eastAsia="Arial" w:hAnsi="Arial"/>
          <w:sz w:val="14"/>
          <w:szCs w:val="14"/>
          <w:i w:val="1"/>
          <w:iCs w:val="1"/>
          <w:color w:val="auto"/>
        </w:rPr>
        <w:t xml:space="preserve"> </w:t>
      </w:r>
      <w:r>
        <w:rPr>
          <w:rFonts w:ascii="Arial" w:cs="Arial" w:eastAsia="Arial" w:hAnsi="Arial"/>
          <w:sz w:val="14"/>
          <w:szCs w:val="14"/>
          <w:color w:val="auto"/>
        </w:rPr>
        <w:t>which are registered in the United States and in more than 100 other countries and territories, are each the property of one or more subsidiaries of Carter’s, Inc.</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Employees</w:t>
      </w:r>
    </w:p>
    <w:p>
      <w:pPr>
        <w:spacing w:after="0" w:line="211" w:lineRule="exact"/>
        <w:rPr>
          <w:sz w:val="20"/>
          <w:szCs w:val="20"/>
          <w:color w:val="auto"/>
        </w:rPr>
      </w:pPr>
    </w:p>
    <w:p>
      <w:pPr>
        <w:jc w:val="both"/>
        <w:ind w:right="420"/>
        <w:spacing w:after="0" w:line="285" w:lineRule="auto"/>
        <w:rPr>
          <w:sz w:val="20"/>
          <w:szCs w:val="20"/>
          <w:color w:val="auto"/>
        </w:rPr>
      </w:pPr>
      <w:r>
        <w:rPr>
          <w:rFonts w:ascii="Arial" w:cs="Arial" w:eastAsia="Arial" w:hAnsi="Arial"/>
          <w:sz w:val="16"/>
          <w:szCs w:val="16"/>
          <w:color w:val="auto"/>
        </w:rPr>
        <w:t>As of December 30, 2017, we had approximately 20,900 employees globally. As of December 30, 2017, approximately 300 employees were unionized employees, all of whom were in Mexico. We believe that our labor relations are good.</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1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 xml:space="preserve">Our primary internet address is www.carters.com. The information contained on our website is not included as part of, or incorporated by reference into, this Annual Report on Form 10-K or any other reports we file with or furnish to the Securities and Exchange Commission (“SEC”). On our website, we make available, free of charge, our Annual Reports on Form 10-K, Quarterly Reports on Form 10-Q, Current Reports on Form 8-K, proxy statements, director and officer reports on Forms 3, 4, and 5, and any amendments to these reports, as soon as reasonably practicable after we electronically file such material with, or furnish it to, the SEC. Our SEC reports can be accessed through the investor relations section of our website. We also make available on our website the </w:t>
      </w:r>
      <w:r>
        <w:rPr>
          <w:rFonts w:ascii="Arial" w:cs="Arial" w:eastAsia="Arial" w:hAnsi="Arial"/>
          <w:sz w:val="16"/>
          <w:szCs w:val="16"/>
          <w:i w:val="1"/>
          <w:iCs w:val="1"/>
          <w:color w:val="auto"/>
        </w:rPr>
        <w:t>Carter’s Code of Ethics</w:t>
      </w:r>
      <w:r>
        <w:rPr>
          <w:rFonts w:ascii="Arial" w:cs="Arial" w:eastAsia="Arial" w:hAnsi="Arial"/>
          <w:sz w:val="16"/>
          <w:szCs w:val="16"/>
          <w:color w:val="auto"/>
        </w:rPr>
        <w:t>, our corporate governance principles, and the charters for the Compensation, Audit, and Nominating and Corporate Governance Committees of the Board of Directors. Our SEC filings are also available for reading and copying at the SEC’s Public Reference Room at 100 F Street, NE, Washington, D.C. 20549. Information on the operation of the Public Reference Room may be obtained by calling the SEC at 1-800-SEC-0330. In addition, the SEC maintains an Internet site, www.sec.gov, containing reports, proxy and information statements, and other information regarding issuers that file electronically with the SEC.</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17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Carter’s, Inc. is a Delaware corporation, with its principal executive offices located at Phipps Tower, 3438 Peachtree Road NE, Suite 1800, Atlanta, Georgia 30326. Our telephone number is (678) 791-1000. Carter’s, Inc. and its predecessors have been doing business since 1865.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445"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ITEM 1A. RISK FACTORS</w:t>
      </w:r>
    </w:p>
    <w:p>
      <w:pPr>
        <w:spacing w:after="0" w:line="211" w:lineRule="exact"/>
        <w:rPr>
          <w:sz w:val="20"/>
          <w:szCs w:val="20"/>
          <w:color w:val="auto"/>
        </w:rPr>
      </w:pPr>
    </w:p>
    <w:p>
      <w:pPr>
        <w:spacing w:after="0" w:line="296" w:lineRule="auto"/>
        <w:rPr>
          <w:sz w:val="20"/>
          <w:szCs w:val="20"/>
          <w:color w:val="auto"/>
        </w:rPr>
      </w:pPr>
      <w:r>
        <w:rPr>
          <w:rFonts w:ascii="Arial" w:cs="Arial" w:eastAsia="Arial" w:hAnsi="Arial"/>
          <w:sz w:val="15"/>
          <w:szCs w:val="15"/>
          <w:i w:val="1"/>
          <w:iCs w:val="1"/>
          <w:color w:val="auto"/>
        </w:rPr>
        <w:t>You should carefully consider each of the following risk factors as well as the other information contained in this Annual Report on Form 10-K and our other filings with the SEC in evaluating our business. The risks and uncertainties described below are not the only ones we face. Additional risks and uncertainties not presently known to us or that we currently consider immaterial may also impact our business operations. If any of the following risks actually occur, our operating results may be affected.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loss of one or more of our major wholesale customers could result in a material loss of revenues.</w:t>
      </w:r>
    </w:p>
    <w:p>
      <w:pPr>
        <w:spacing w:after="0" w:line="207"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We derived approximately 25% of our consolidated net sales from our top seven wholesale customers for the fiscal year ended December 30, 2017. We do not enter into long-term sales contracts with our major wholesale customers, relying instead on product performance, long-standing relationships, and our position in the marketplace. As a result, we face the risk that one or more of these or other customers may significantly decrease their business with us or terminate their relationship with us as a result of competitive forces, consolidation, reorganization, financial difficulties (including bankruptcy or insolvency), or other reasons, which could result in significant levels of excess inventory, a material decrease in our sales, or material impact on our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difficulties for our major customers or licensees could have a significant impact on us.</w:t>
      </w:r>
    </w:p>
    <w:p>
      <w:pPr>
        <w:spacing w:after="0" w:line="207"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A large percentage of our gross accounts receivable are typically from our largest wholesale customers. For example, 71% of our gross accounts receivable at December 30, 2017 were from our ten largest wholesale customers, with two of these customers having individual receivable balances in excess of 10% of our total accounts receivable. Our reserves for doubtful accounts for estimated losses resulting from the inability of our customers to make payments may prove not to be sufficient if any one or more of our customers are unable to meet outstanding obligations to us, which could materially adversely affect our operating results. If the financial condition or credit position of one or more of our customers or licensees were to deteriorate, or such customer or licensee fails, or is unable to pay the amounts owed to us in a timely manner, this could have a significant adverse impact on our business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acceptance of our products in the marketplace is affected by consumer tastes and preferences, along with fashion trends.</w:t>
      </w:r>
    </w:p>
    <w:p>
      <w:pPr>
        <w:spacing w:after="0" w:line="207"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We believe that our continued success depends on our ability to provide a compelling value proposition for our consumers in all of our distribution channels. There can be no assurance that the demand for our products will not decline, or that we will be able to successfully and timely evaluate and adapt our products to changes in consumer tastes and preferences or fashion trends. If demand for our products declines, promotional pricing may be required to move seasonal merchandise, and our gross margins and results of operations could be adversely affected.</w:t>
      </w:r>
    </w:p>
    <w:p>
      <w:pPr>
        <w:spacing w:after="0" w:line="166" w:lineRule="exact"/>
        <w:rPr>
          <w:sz w:val="20"/>
          <w:szCs w:val="20"/>
          <w:color w:val="auto"/>
        </w:rPr>
      </w:pPr>
    </w:p>
    <w:p>
      <w:pPr>
        <w:ind w:right="720"/>
        <w:spacing w:after="0" w:line="285" w:lineRule="auto"/>
        <w:rPr>
          <w:sz w:val="20"/>
          <w:szCs w:val="20"/>
          <w:color w:val="auto"/>
        </w:rPr>
      </w:pPr>
      <w:r>
        <w:rPr>
          <w:rFonts w:ascii="Arial" w:cs="Arial" w:eastAsia="Arial" w:hAnsi="Arial"/>
          <w:sz w:val="16"/>
          <w:szCs w:val="16"/>
          <w:b w:val="1"/>
          <w:bCs w:val="1"/>
          <w:i w:val="1"/>
          <w:iCs w:val="1"/>
          <w:color w:val="auto"/>
        </w:rPr>
        <w:t>The value of our brands, and our sales, could be diminished if we are associated with negative publicity, including through actions by our vendors, independent manufacturers, and licensees, over whom we have limited control.</w:t>
      </w:r>
    </w:p>
    <w:p>
      <w:pPr>
        <w:spacing w:after="0" w:line="15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Although we maintain policies with our vendors, independent manufacturers, and licensees that promote ethical business practices, and our employees, agents, and third-party compliance auditors periodically visit and monitor the operations of these entities, we do not control our vendors, independent manufacturers, or licensees, or their practices. A violation of our vendor policies, licensee agreements, health and safety standards, labor laws, anti-bribery laws, or other policies or laws by these vendors, independent manufacturers, or licensees could damage the image and reputation of our brands and could subject us to liability. As a result, negative publicity regarding us or our brands or products, including licensed products, could adversely affect our reputation and sales. Further, while we take steps to ensure the reputations of our brands are maintained through license and vendor agreements, there can be no guarantee that our brand image will not be negatively affected through its association with products or actions of our licensees or vendors.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failure to protect our intellectual property rights could diminish the value of our brand, weaken our competitive position, and adversely affect our results.</w:t>
      </w:r>
    </w:p>
    <w:p>
      <w:pPr>
        <w:spacing w:after="0" w:line="219" w:lineRule="exact"/>
        <w:rPr>
          <w:sz w:val="20"/>
          <w:szCs w:val="20"/>
          <w:color w:val="auto"/>
        </w:rPr>
      </w:pPr>
    </w:p>
    <w:p>
      <w:pPr>
        <w:ind w:right="740"/>
        <w:spacing w:after="0" w:line="285" w:lineRule="auto"/>
        <w:rPr>
          <w:sz w:val="20"/>
          <w:szCs w:val="20"/>
          <w:color w:val="auto"/>
        </w:rPr>
      </w:pPr>
      <w:r>
        <w:rPr>
          <w:rFonts w:ascii="Arial" w:cs="Arial" w:eastAsia="Arial" w:hAnsi="Arial"/>
          <w:sz w:val="16"/>
          <w:szCs w:val="16"/>
          <w:color w:val="auto"/>
        </w:rPr>
        <w:t>We currently rely on a combination of trademark, unfair competition, and copyright laws, as well as licensing and vendor arrangements, to establish and protect our intellectual property rights. The steps taken by us or by our licensees and vendors to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39" w:right="239" w:bottom="1440" w:gutter="0" w:footer="0" w:header="0"/>
        </w:sectPr>
      </w:pPr>
    </w:p>
    <w:bookmarkStart w:id="12" w:name="page13"/>
    <w:bookmarkEnd w:id="12"/>
    <w:p>
      <w:pPr>
        <w:spacing w:after="0" w:line="260" w:lineRule="auto"/>
        <w:rPr>
          <w:sz w:val="20"/>
          <w:szCs w:val="20"/>
          <w:color w:val="auto"/>
        </w:rPr>
      </w:pPr>
      <w:r>
        <w:rPr>
          <w:rFonts w:ascii="Arial" w:cs="Arial" w:eastAsia="Arial" w:hAnsi="Arial"/>
          <w:sz w:val="16"/>
          <w:szCs w:val="16"/>
          <w:color w:val="auto"/>
        </w:rPr>
        <w:t>protect our proprietary rights may not be adequate to prevent either the counterfeit production of our products or the infringement of our trademarks or proprietary rights by others. In addition, intellectual property protection may be unavailable or limited in some foreign countries where laws or law enforcement practices may not protect our proprietary rights and where third parties may have rights to conflicting marks, and it may be more difficult for us to successfully challenge the use of our proprietary rights by other parties in those countries. If we fail to protect and maintain our intellectual property rights, the value of our brands could be diminished and our competitive position may suffer. Further, third parties may assert intellectual property claims against us, particularly as we expand our business geographically, and any such claim could be expensive and time consuming to defend, regardless of its merit. Successful infringement claims against us could result in significant monetary liability or prevent us from selling some of our products, which could have an adverse effect on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delays, product recalls, or loss of revenues if our products do not meet regulatory requirements.</w:t>
      </w:r>
    </w:p>
    <w:p>
      <w:pPr>
        <w:spacing w:after="0" w:line="207" w:lineRule="exact"/>
        <w:rPr>
          <w:sz w:val="20"/>
          <w:szCs w:val="20"/>
          <w:color w:val="auto"/>
        </w:rPr>
      </w:pPr>
    </w:p>
    <w:p>
      <w:pPr>
        <w:ind w:right="40"/>
        <w:spacing w:after="0" w:line="308" w:lineRule="auto"/>
        <w:rPr>
          <w:sz w:val="20"/>
          <w:szCs w:val="20"/>
          <w:color w:val="auto"/>
        </w:rPr>
      </w:pPr>
      <w:r>
        <w:rPr>
          <w:rFonts w:ascii="Arial" w:cs="Arial" w:eastAsia="Arial" w:hAnsi="Arial"/>
          <w:sz w:val="14"/>
          <w:szCs w:val="14"/>
          <w:color w:val="auto"/>
        </w:rPr>
        <w:t>Our products, including our apparel and accessories, are subject to regulations and standards set by various governmental authorities around the world, including in the United States, Canada, China, Mexico, and the European Union. These regulations and standards include rules relating to product quality and safety, and may change from time to time. Our inability, or that of our vendors, to comply on a timely basis with regulatory requirements could result in significant fines or penalties, which could adversely affect our reputation and sales. Issues with respect to the compliance of merchandise we sell with these regulations and standards, regardless of our culpability, or customer concerns about such issues, could result in damage to our reputation, lost sales, uninsured product liability claims or losses, merchandise recalls, and increased costs.</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control over our vendors and we may experience delays, product recalls, or loss of revenues if our products do not meet our quality standards.</w:t>
      </w:r>
    </w:p>
    <w:p>
      <w:pPr>
        <w:spacing w:after="0" w:line="304"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Because we do not control our vendors, our vendors may not continue to provide products that are consistent with our standards. We receive from time to time shipments of product that fail to conform to our quality control standards. A failure in our quality control program may result in diminished product quality, which in turn may result in increased order cancellations and returns, decreased consumer demand for our products, or product recalls, any of which may have a material adverse effect on our results of operations and financial condition. In addition, products that fail to meet our standards, or other unauthorized products, could end up in the marketplace without our knowledge. This could materially harm our brand and our reputation in the marketplace.</w:t>
      </w:r>
    </w:p>
    <w:p>
      <w:pPr>
        <w:spacing w:after="0" w:line="365" w:lineRule="exact"/>
        <w:rPr>
          <w:sz w:val="20"/>
          <w:szCs w:val="20"/>
          <w:color w:val="auto"/>
        </w:rPr>
      </w:pPr>
    </w:p>
    <w:p>
      <w:pPr>
        <w:ind w:right="800"/>
        <w:spacing w:after="0" w:line="360" w:lineRule="auto"/>
        <w:rPr>
          <w:sz w:val="20"/>
          <w:szCs w:val="20"/>
          <w:color w:val="auto"/>
        </w:rPr>
      </w:pPr>
      <w:r>
        <w:rPr>
          <w:rFonts w:ascii="Arial" w:cs="Arial" w:eastAsia="Arial" w:hAnsi="Arial"/>
          <w:sz w:val="14"/>
          <w:szCs w:val="14"/>
          <w:b w:val="1"/>
          <w:bCs w:val="1"/>
          <w:i w:val="1"/>
          <w:iCs w:val="1"/>
          <w:color w:val="auto"/>
        </w:rPr>
        <w:t>We are subject to various claims and pending or threatened lawsuits, including as a result of investigations or other proceedings related to previously disclosed investigations, and as a result, may incur substantial costs that adversely affect our business, financial condition, and results of operations.</w:t>
      </w:r>
    </w:p>
    <w:p>
      <w:pPr>
        <w:spacing w:after="0" w:line="104"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As previously reported, in 2009 the SEC and the U.S. Attorney’s Office began conducting investigations, with which the Company cooperated, related to customer margin support provided by the Company, including undisclosed margin support commitments and related matters. In December 2010, the Company and the SEC entered into a non-prosecution agreement pursuant to which the SEC agreed not to charge the Company with any violations of federal securities laws, commence any enforcement action against the Company, or require the Company to pay any financial penalties in connection with the SEC investigation of customer margin support provided by the Company, conditioned upon the Company’s continued cooperation with the SEC’s investigation and with any related proceedings. The Company has incurred, and may continue to incur, substantial expenses for legal services due to the SEC and U.S. Attorney’s Office investigations and any related proceedings. These matters may continue to divert management’s time and attention away from operations. The Company also expects to bear additional costs pursuant to its advancement and indemnification obligations to directors and officers under the terms of our organizational documents in connection with proceedings related to these matters. Our insurance may not provide coverage to offset all of the costs incurred in connection with these proceedings.</w:t>
      </w:r>
    </w:p>
    <w:p>
      <w:pPr>
        <w:spacing w:after="0" w:line="158"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In addition, we are subject to various other claims and pending or threatened lawsuits in the course of our business, including claims that our designs infringe on the intellectual property rights of third parties. We are also affected by trends in litigation, including class action litigation brought under various laws, including consumer protection, employment, and privacy and information security laws. In addition, litigation risks related to claims that technologies we use infringe intellectual property rights of third parties have been amplified by the increase in third parties whose primary business is to assert such claims. Reserves are established based on our best estimates of our potential liability. However, we cannot accurately predict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47" w:right="239" w:bottom="1440" w:gutter="0" w:footer="0" w:header="0"/>
        </w:sectPr>
      </w:pPr>
    </w:p>
    <w:bookmarkStart w:id="13" w:name="page14"/>
    <w:bookmarkEnd w:id="13"/>
    <w:p>
      <w:pPr>
        <w:ind w:right="60"/>
        <w:spacing w:after="0" w:line="265" w:lineRule="auto"/>
        <w:rPr>
          <w:sz w:val="20"/>
          <w:szCs w:val="20"/>
          <w:color w:val="auto"/>
        </w:rPr>
      </w:pPr>
      <w:r>
        <w:rPr>
          <w:rFonts w:ascii="Arial" w:cs="Arial" w:eastAsia="Arial" w:hAnsi="Arial"/>
          <w:sz w:val="16"/>
          <w:szCs w:val="16"/>
          <w:color w:val="auto"/>
        </w:rPr>
        <w:t>ultimate outcome of any such proceedings due to the inherent uncertainties of litigation. Regardless of the outcome or whether the claims are meritorious, legal and regulatory proceedings may require that management devote substantial time and expense to defend the Company. In the event we are required or determine to pay amounts in connection with any such lawsuits, such amounts could exceed any applicable insurance coverage or contractual rights available to us. As a result, such lawsuits could be significant and have a material adverse impact on our business, financial condition, and results of operations.</w:t>
      </w:r>
    </w:p>
    <w:p>
      <w:pPr>
        <w:spacing w:after="0" w:line="166" w:lineRule="exact"/>
        <w:rPr>
          <w:sz w:val="20"/>
          <w:szCs w:val="20"/>
          <w:color w:val="auto"/>
        </w:rPr>
      </w:pPr>
    </w:p>
    <w:p>
      <w:pPr>
        <w:ind w:right="240"/>
        <w:spacing w:after="0" w:line="320" w:lineRule="auto"/>
        <w:rPr>
          <w:sz w:val="20"/>
          <w:szCs w:val="20"/>
          <w:color w:val="auto"/>
        </w:rPr>
      </w:pPr>
      <w:r>
        <w:rPr>
          <w:rFonts w:ascii="Arial" w:cs="Arial" w:eastAsia="Arial" w:hAnsi="Arial"/>
          <w:sz w:val="15"/>
          <w:szCs w:val="15"/>
          <w:b w:val="1"/>
          <w:bCs w:val="1"/>
          <w:i w:val="1"/>
          <w:iCs w:val="1"/>
          <w:color w:val="auto"/>
        </w:rPr>
        <w:t>Our and our vendors’ systems containing personal information and payment card data of our retail store and eCommerce customers, employees and other third parties could be breached, which could subject us to adverse publicity, costly government enforcement actions or private litigation, and expenses.</w:t>
      </w:r>
    </w:p>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5"/>
          <w:szCs w:val="15"/>
          <w:color w:val="auto"/>
        </w:rPr>
        <w:t>We rely on the security of our networks, databases, systems, and processes and, in certain circumstances, those of third parties, to protect our proprietary information and information about our customers, employees, and vendors. Criminals are constantly devising schemes to circumvent information technology security safeguards and other retailers have recently suffered serious data security breaches. If unauthorized parties gain access to our networks or databases, or those of our vendors, they may be able to steal, publish, delete, or modify our private and sensitive internal and third-party information, including credit card information and personal identification information. In addition, employees may intentionally or inadvertently cause data or security breaches that result in unauthorized release of personal or confidential information. In such circumstances, we could be held liable to our customers, other parties, or employees as well as be subject to regulatory or other actions for breaching privacy law or failing to adequately protect such information. This could result in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financial condition, results of operations, and reputation. Further, if we are unable to comply with the security standards, established by banks and the payment card industry, we may be subject to fines, restrictions, and expulsion from card acceptance programs, which could adversely affect our retail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profitability may decline as a result of increasing pressure on margins, including deflationary pressures on our selling price and increases in production costs.</w:t>
      </w:r>
    </w:p>
    <w:p>
      <w:pPr>
        <w:spacing w:after="0" w:line="108"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The apparel industry is subject to pricing pressure caused by many factors, including intense competition, the promotional retail environment, and changes in consumer demand. The demand for baby and young children’s apparel and accessories in particular may also be subject to other external factors, such as birth rates, and the costs related to manufacturing, cotton, labor, fuel, importation, and transportation. If external pressures cause us to reduce our sales prices and we fail to sufficiently reduce our product costs or operating expenses, our profitability could decline. This could have a material adverse effect on our results of operations, liquidity,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sensitive to overall levels of consumer spending, particularly in the young children apparel market.</w:t>
      </w:r>
    </w:p>
    <w:p>
      <w:pPr>
        <w:spacing w:after="0" w:line="20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Consumer demand for young children apparel, specifically brand name apparel products, is affected by the overall level of consumer spending. Discretionary consumer spending is affected by a number of factors such as the uncertainty in the political climate, overall economy, employment levels, weather, gasoline and utility costs, business conditions, foreign currency exchange rates, availability of consumer credit, tax rates, the availability of tax credits, interest rates, levels of consumer indebtedness, and overall levels of consumer confidence. Reductions, or lower-than-expected growth, in the level of discretionary or overall consumer spending may have a material adverse effect on our sales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revenues, product costs, and other expenses are subject to foreign economic and currency risks due to our operations outside of the United States.</w:t>
      </w:r>
    </w:p>
    <w:p>
      <w:pPr>
        <w:spacing w:after="0" w:line="219" w:lineRule="exact"/>
        <w:rPr>
          <w:sz w:val="20"/>
          <w:szCs w:val="20"/>
          <w:color w:val="auto"/>
        </w:rPr>
      </w:pPr>
    </w:p>
    <w:p>
      <w:pPr>
        <w:ind w:right="40"/>
        <w:spacing w:after="0" w:line="305" w:lineRule="auto"/>
        <w:rPr>
          <w:sz w:val="20"/>
          <w:szCs w:val="20"/>
          <w:color w:val="auto"/>
        </w:rPr>
      </w:pPr>
      <w:r>
        <w:rPr>
          <w:rFonts w:ascii="Arial" w:cs="Arial" w:eastAsia="Arial" w:hAnsi="Arial"/>
          <w:sz w:val="14"/>
          <w:szCs w:val="14"/>
          <w:color w:val="auto"/>
        </w:rPr>
        <w:t>We have operations in Canada, Mexico, the European Union, and Asia and our vendors, independent manufacturers, and licensees are located around the world. The value of the U.S. dollar against other foreign currencies has seen significant volatility in recent years. While our business is primarily conducted in U.S. dollars, we source substantially all of our production from Asia, and we generate significant revenues in Canada. Cost increases caused by currency exchange rate fluctuations could make our products less competitive or have a material adverse effect on our profitability. Currency exchange rate fluctuations could also disrupt the business of our independent manufacturers that produce our products by making their purchases of raw materials or products more expensive and more difficult to finance. Additionally, fluctuations in exchange rates impact the amount of our reported sales and expenses, which could have a material adverse effect on our financial position, results of operations, and cash flows.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40"/>
          </w:cols>
          <w:pgMar w:left="240" w:top="347" w:right="219" w:bottom="1440" w:gutter="0" w:footer="0" w:header="0"/>
        </w:sectPr>
      </w:pPr>
    </w:p>
    <w:bookmarkStart w:id="14" w:name="page15"/>
    <w:bookmarkEnd w:id="14"/>
    <w:p>
      <w:pPr>
        <w:ind w:right="400"/>
        <w:spacing w:after="0" w:line="285" w:lineRule="auto"/>
        <w:rPr>
          <w:sz w:val="20"/>
          <w:szCs w:val="20"/>
          <w:color w:val="auto"/>
        </w:rPr>
      </w:pPr>
      <w:r>
        <w:rPr>
          <w:rFonts w:ascii="Arial" w:cs="Arial" w:eastAsia="Arial" w:hAnsi="Arial"/>
          <w:sz w:val="16"/>
          <w:szCs w:val="16"/>
          <w:b w:val="1"/>
          <w:bCs w:val="1"/>
          <w:i w:val="1"/>
          <w:iCs w:val="1"/>
          <w:color w:val="auto"/>
        </w:rPr>
        <w:t>We source substantially all of our products through foreign production arrangements. Our dependence on foreign supply sources are subject to risks associated with global sourcing and manufacturing which could result in disruptions to our operations.</w:t>
      </w:r>
    </w:p>
    <w:p>
      <w:pPr>
        <w:spacing w:after="0" w:line="150"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color w:val="auto"/>
        </w:rPr>
        <w:t>We source substantially all of our products through a network of vendors primarily in Asia, principally coordinated by our Hong Kong sourcing office. Our foreign supply chain could be negatively affected due to a number of factors, including:</w:t>
      </w:r>
    </w:p>
    <w:p>
      <w:pPr>
        <w:spacing w:after="0" w:line="150" w:lineRule="exact"/>
        <w:rPr>
          <w:sz w:val="20"/>
          <w:szCs w:val="20"/>
          <w:color w:val="auto"/>
        </w:rPr>
      </w:pPr>
    </w:p>
    <w:p>
      <w:pPr>
        <w:ind w:left="680" w:hanging="95"/>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financial instability, including bankruptcy or insolvency, of one or more of our major vendors;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imposition of new regulations relating to imports, duties, taxes, and other charges on imports;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political instability or other global events resulting in the disruption of trade in foreign countries from which we source our products;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interruptions in the supply of raw materials, including cotton, fabric, and trim items;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increases in the cost of labor in our sourcing locations;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occurrence of a natural disaster, unusual weather conditions, or a disease epidemic in foreign countries from which we source our products;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the U.S. customs procedures concerning the importation of apparel products;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unforeseen delays in customs clearance of any goods;</w:t>
      </w:r>
    </w:p>
    <w:p>
      <w:pPr>
        <w:spacing w:after="0" w:line="207" w:lineRule="exact"/>
        <w:rPr>
          <w:rFonts w:ascii="Arial" w:cs="Arial" w:eastAsia="Arial" w:hAnsi="Arial"/>
          <w:sz w:val="16"/>
          <w:szCs w:val="16"/>
          <w:color w:val="auto"/>
        </w:rPr>
      </w:pPr>
    </w:p>
    <w:p>
      <w:pPr>
        <w:ind w:left="580" w:right="240" w:firstLine="5"/>
        <w:spacing w:after="0" w:line="285" w:lineRule="auto"/>
        <w:tabs>
          <w:tab w:leader="none" w:pos="678" w:val="left"/>
        </w:tabs>
        <w:numPr>
          <w:ilvl w:val="0"/>
          <w:numId w:val="4"/>
        </w:numPr>
        <w:rPr>
          <w:rFonts w:ascii="Arial" w:cs="Arial" w:eastAsia="Arial" w:hAnsi="Arial"/>
          <w:sz w:val="16"/>
          <w:szCs w:val="16"/>
          <w:color w:val="auto"/>
        </w:rPr>
      </w:pPr>
      <w:r>
        <w:rPr>
          <w:rFonts w:ascii="Arial" w:cs="Arial" w:eastAsia="Arial" w:hAnsi="Arial"/>
          <w:sz w:val="16"/>
          <w:szCs w:val="16"/>
          <w:color w:val="auto"/>
        </w:rPr>
        <w:t>disruptions in the global transportation network, such as a port strike, work stoppages or other labor unrest, capacity withholding, world trade restrictions, acts of terrorism, or war;</w:t>
      </w:r>
    </w:p>
    <w:p>
      <w:pPr>
        <w:spacing w:after="0" w:line="149" w:lineRule="exact"/>
        <w:rPr>
          <w:rFonts w:ascii="Arial" w:cs="Arial" w:eastAsia="Arial" w:hAnsi="Arial"/>
          <w:sz w:val="16"/>
          <w:szCs w:val="16"/>
          <w:color w:val="auto"/>
        </w:rPr>
      </w:pPr>
    </w:p>
    <w:p>
      <w:pPr>
        <w:ind w:left="680" w:hanging="95"/>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application of adverse foreign intellectual property laws;</w:t>
      </w:r>
    </w:p>
    <w:p>
      <w:pPr>
        <w:spacing w:after="0" w:line="207" w:lineRule="exact"/>
        <w:rPr>
          <w:rFonts w:ascii="Arial" w:cs="Arial" w:eastAsia="Arial" w:hAnsi="Arial"/>
          <w:sz w:val="16"/>
          <w:szCs w:val="16"/>
          <w:color w:val="auto"/>
        </w:rPr>
      </w:pPr>
    </w:p>
    <w:p>
      <w:pPr>
        <w:ind w:left="1260" w:hanging="88"/>
        <w:spacing w:after="0"/>
        <w:tabs>
          <w:tab w:leader="none" w:pos="126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ability of our vendors to secure sufficient credit to finance the manufacturing process, including the acquisition of raw materials;</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4"/>
        </w:numPr>
        <w:rPr>
          <w:rFonts w:ascii="Arial" w:cs="Arial" w:eastAsia="Arial" w:hAnsi="Arial"/>
          <w:sz w:val="14"/>
          <w:szCs w:val="14"/>
          <w:color w:val="auto"/>
        </w:rPr>
      </w:pPr>
      <w:r>
        <w:rPr>
          <w:rFonts w:ascii="Arial" w:cs="Arial" w:eastAsia="Arial" w:hAnsi="Arial"/>
          <w:sz w:val="14"/>
          <w:szCs w:val="14"/>
          <w:color w:val="auto"/>
        </w:rPr>
        <w:t>potential social compliance concerns resulting from our use of international vendors, independent manufacturers, and licensees, over whom we have limited control;</w:t>
      </w:r>
    </w:p>
    <w:p>
      <w:pPr>
        <w:spacing w:after="0" w:line="230" w:lineRule="exact"/>
        <w:rPr>
          <w:rFonts w:ascii="Arial" w:cs="Arial" w:eastAsia="Arial" w:hAnsi="Arial"/>
          <w:sz w:val="14"/>
          <w:szCs w:val="14"/>
          <w:color w:val="auto"/>
        </w:rPr>
      </w:pPr>
    </w:p>
    <w:p>
      <w:pPr>
        <w:ind w:left="680" w:hanging="95"/>
        <w:spacing w:after="0"/>
        <w:tabs>
          <w:tab w:leader="none" w:pos="680" w:val="left"/>
        </w:tabs>
        <w:numPr>
          <w:ilvl w:val="0"/>
          <w:numId w:val="4"/>
        </w:numPr>
        <w:rPr>
          <w:rFonts w:ascii="Arial" w:cs="Arial" w:eastAsia="Arial" w:hAnsi="Arial"/>
          <w:sz w:val="15"/>
          <w:szCs w:val="15"/>
          <w:color w:val="auto"/>
        </w:rPr>
      </w:pPr>
      <w:r>
        <w:rPr>
          <w:rFonts w:ascii="Arial" w:cs="Arial" w:eastAsia="Arial" w:hAnsi="Arial"/>
          <w:sz w:val="15"/>
          <w:szCs w:val="15"/>
          <w:color w:val="auto"/>
        </w:rPr>
        <w:t>manufacturing delays or unexpected demand for products may require the use of faster, but more expensive, transportation methods, such as air-freight services;</w:t>
      </w:r>
    </w:p>
    <w:p>
      <w:pPr>
        <w:spacing w:after="0" w:line="218" w:lineRule="exact"/>
        <w:rPr>
          <w:rFonts w:ascii="Arial" w:cs="Arial" w:eastAsia="Arial" w:hAnsi="Arial"/>
          <w:sz w:val="15"/>
          <w:szCs w:val="15"/>
          <w:color w:val="auto"/>
        </w:rPr>
      </w:pPr>
    </w:p>
    <w:p>
      <w:pPr>
        <w:ind w:left="680" w:hanging="95"/>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use of “conflict minerals” sourced from the Democratic Republic of the Congo or its surrounding countries in our products; and</w:t>
      </w:r>
    </w:p>
    <w:p>
      <w:pPr>
        <w:spacing w:after="0" w:line="207" w:lineRule="exact"/>
        <w:rPr>
          <w:rFonts w:ascii="Arial" w:cs="Arial" w:eastAsia="Arial" w:hAnsi="Arial"/>
          <w:sz w:val="16"/>
          <w:szCs w:val="16"/>
          <w:color w:val="auto"/>
        </w:rPr>
      </w:pPr>
    </w:p>
    <w:p>
      <w:pPr>
        <w:ind w:left="680" w:hanging="95"/>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events beyond our control that could interrupt our supply chain and delay receipt of our products into the United States.</w:t>
      </w:r>
    </w:p>
    <w:p>
      <w:pPr>
        <w:spacing w:after="0" w:line="207"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The occurrence of one or more of these events could result in disruptions to our operations, which in turn could increase our cost of goods sold, decrease our gross profit, or impact our ability to get products to our customers.</w:t>
      </w:r>
    </w:p>
    <w:p>
      <w:pPr>
        <w:spacing w:after="0" w:line="150"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b w:val="1"/>
          <w:bCs w:val="1"/>
          <w:i w:val="1"/>
          <w:iCs w:val="1"/>
          <w:color w:val="auto"/>
        </w:rPr>
        <w:t>A small number of vendors supply a significant amount of our products, and losing one or more of these vendors could have a material adverse effect on our business, results of operations, and financial condition.</w:t>
      </w:r>
    </w:p>
    <w:p>
      <w:pPr>
        <w:spacing w:after="0" w:line="15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fiscal 2017, we purchased approximately 60% of our products from ten vendors, of which approximately half comes from three vendors. We expect that we will continue to source a significant portion of our products from these vendors. We do not have agreements with our major vendors that would provide us with assurances on a long-term basis as to adequate supply or pricing of our products. If any of our major vendors decide to discontinue or significantly decrease the volume of products they manufacture for us, raise prices on products we purchase from them, or become unable to perform their responsibilities (e.g., if</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47" w:right="239" w:bottom="1440" w:gutter="0" w:footer="0" w:header="0"/>
        </w:sectPr>
      </w:pPr>
    </w:p>
    <w:bookmarkStart w:id="15" w:name="page16"/>
    <w:bookmarkEnd w:id="15"/>
    <w:p>
      <w:pPr>
        <w:ind w:right="500"/>
        <w:spacing w:after="0" w:line="285" w:lineRule="auto"/>
        <w:rPr>
          <w:sz w:val="20"/>
          <w:szCs w:val="20"/>
          <w:color w:val="auto"/>
        </w:rPr>
      </w:pPr>
      <w:r>
        <w:rPr>
          <w:rFonts w:ascii="Arial" w:cs="Arial" w:eastAsia="Arial" w:hAnsi="Arial"/>
          <w:sz w:val="16"/>
          <w:szCs w:val="16"/>
          <w:color w:val="auto"/>
        </w:rPr>
        <w:t>our vendors experience financial difficulties, lack of capacity or significant labor disputes) our business, results of operations, and financial condition may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Labor or other disruptions along our supply chain may adversely affect our relationships with customers, reputation with consumers, and results of operations.</w:t>
      </w:r>
    </w:p>
    <w:p>
      <w:pPr>
        <w:spacing w:after="0" w:line="219"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Our business depends on our ability to source and distribute products in a timely manner. Labor disputes at independent factories where our goods are produced, the shipping ports we use, or our transportation carriers create significant risks for our business, particularly if these disputes result in work slowdowns, lockouts, strikes, or other disruptions during our peak manufacturing and importing times. For example, we source a significant portion of our products through a single port on the west coast of the United States. Work slowdowns and stoppages relating to labor agreement negotiations involving the operators of our west coast port and unions have in the past resulted in a significant backlog of cargo containers. The insolvency of major shipping companies have also had an impact on our supply chain. As a result, we have in the past experienced delays in the shipment of our products. In the event that these slow-downs, disruptions or strikes occur in the future in connection with labor agreement negotiations or otherwise, it may have a material adverse effect on our financial position, results of operations, or cash flows.</w:t>
      </w:r>
    </w:p>
    <w:p>
      <w:pPr>
        <w:spacing w:after="0" w:line="156" w:lineRule="exact"/>
        <w:rPr>
          <w:sz w:val="20"/>
          <w:szCs w:val="20"/>
          <w:color w:val="auto"/>
        </w:rPr>
      </w:pPr>
    </w:p>
    <w:p>
      <w:pPr>
        <w:ind w:right="580"/>
        <w:spacing w:after="0" w:line="285" w:lineRule="auto"/>
        <w:rPr>
          <w:sz w:val="20"/>
          <w:szCs w:val="20"/>
          <w:color w:val="auto"/>
        </w:rPr>
      </w:pPr>
      <w:r>
        <w:rPr>
          <w:rFonts w:ascii="Arial" w:cs="Arial" w:eastAsia="Arial" w:hAnsi="Arial"/>
          <w:sz w:val="16"/>
          <w:szCs w:val="16"/>
          <w:b w:val="1"/>
          <w:bCs w:val="1"/>
          <w:i w:val="1"/>
          <w:iCs w:val="1"/>
          <w:color w:val="auto"/>
        </w:rPr>
        <w:t>Our inability to effectively source inventory directly could negatively impact our ability to timely deliver our inventory supply and disrupt our business, which may adversely affect our operating results.</w:t>
      </w:r>
    </w:p>
    <w:p>
      <w:pPr>
        <w:spacing w:after="0" w:line="150"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We source a significant amount of inventory directly and plan to continue to further increase such amounts. If we experience significant increases in demand or need to replace an existing vendor, there can be no assurance that additional manufacturing capacity will be available when required on terms that are acceptable to us or that any vendor would allocate sufficient capacity to us in order to meet our requirements. In addition, for any new vendors, we may encounter delays in production and added costs as a result of the time it takes to train our vendors in producing our products and adhering to our quality control standards. Moreover, in the event of a significant disruption in the supply of the fabrics or raw materials used by our vendors in the manufacture of our products, our vendors might not be able to locate alternative suppliers of materials of comparable quality at an acceptable price. Any delays, interruption, or increased costs in the manufacture of our products could have a material adverse effect on our operating results.</w:t>
      </w:r>
    </w:p>
    <w:p>
      <w:pPr>
        <w:spacing w:after="0" w:line="142" w:lineRule="exact"/>
        <w:rPr>
          <w:sz w:val="20"/>
          <w:szCs w:val="20"/>
          <w:color w:val="auto"/>
        </w:rPr>
      </w:pPr>
    </w:p>
    <w:p>
      <w:pPr>
        <w:ind w:right="520"/>
        <w:spacing w:after="0" w:line="285" w:lineRule="auto"/>
        <w:rPr>
          <w:sz w:val="20"/>
          <w:szCs w:val="20"/>
          <w:color w:val="auto"/>
        </w:rPr>
      </w:pPr>
      <w:r>
        <w:rPr>
          <w:rFonts w:ascii="Arial" w:cs="Arial" w:eastAsia="Arial" w:hAnsi="Arial"/>
          <w:sz w:val="16"/>
          <w:szCs w:val="16"/>
          <w:b w:val="1"/>
          <w:bCs w:val="1"/>
          <w:i w:val="1"/>
          <w:iCs w:val="1"/>
          <w:color w:val="auto"/>
        </w:rPr>
        <w:t>Profitability and our reputation and relationships could be negatively affected if we do not adequately forecast the demand for our products and, as a result, create significant levels of excess inventory or insufficient levels of inventory.</w:t>
      </w:r>
    </w:p>
    <w:p>
      <w:pPr>
        <w:spacing w:after="0" w:line="150"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There can be no assurance that we will be able to successfully anticipate changing consumer preferences and product trends or economic conditions and, as a result, we may not successfully manage inventory levels to meet our future order requirements. If we fail to accurately forecast consumer demand, we may experience excess inventory levels or a shortage of product required to meet the demand. Inventory levels in excess of consumer demand may result in inventory write-downs and the sale of excess inventory at discounted prices, which could have an adverse effect on the image and reputation of our brands and negatively impact profitability. On the other hand, if we underestimate demand for our products, our manufacturing facilities or third-party manufacturers may not be able to produce products to meet consumer requirements, and this could result in delays in the shipment of products and lost revenues, as well as damage to our reputation and relationships. These risks could have a material adverse effect on our brand image, as well as our results of operations and financial condition.</w:t>
      </w:r>
    </w:p>
    <w:p>
      <w:pPr>
        <w:spacing w:after="0" w:line="156"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b w:val="1"/>
          <w:bCs w:val="1"/>
          <w:i w:val="1"/>
          <w:iCs w:val="1"/>
          <w:color w:val="auto"/>
        </w:rPr>
        <w:t>We operate in a highly competitive market and the size and resources of some of our competitors may allow them to compete more effectively than we can, resulting in a loss of market share and, as a result, a decrease in revenue and gross profit.</w:t>
      </w:r>
    </w:p>
    <w:p>
      <w:pPr>
        <w:spacing w:after="0" w:line="150"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baby and young children apparel market is very competitive, and includes both branded and private label manufacturers. Because of the fragmented nature of the industry, we also compete with many other manufacturers and retailers. Some of our competitors have greater financial resources and larger customer bases than we have. As a result, these competitors may be able to adapt to changes in customer requirements more quickly, take advantage of acquisition and other opportunities more readily, devote greater resources to the marketing and sale of their products, and adopt more aggressive pricing strategies than we can.</w:t>
      </w:r>
    </w:p>
    <w:p>
      <w:pPr>
        <w:spacing w:after="0" w:line="166"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b w:val="1"/>
          <w:bCs w:val="1"/>
          <w:i w:val="1"/>
          <w:iCs w:val="1"/>
          <w:color w:val="auto"/>
        </w:rPr>
        <w:t>We expect to make significant capital investments and have significant expenses related to our multi-channel sales strategy and failure to execute our strategy could have a material adverse effect on our business, results of operations, and how we meet consumer expectations.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47" w:right="239" w:bottom="1440" w:gutter="0" w:footer="0" w:header="0"/>
        </w:sectPr>
      </w:pPr>
    </w:p>
    <w:bookmarkStart w:id="16" w:name="page17"/>
    <w:bookmarkEnd w:id="16"/>
    <w:p>
      <w:pPr>
        <w:spacing w:after="0" w:line="288" w:lineRule="auto"/>
        <w:rPr>
          <w:sz w:val="20"/>
          <w:szCs w:val="20"/>
          <w:color w:val="auto"/>
        </w:rPr>
      </w:pPr>
      <w:r>
        <w:rPr>
          <w:rFonts w:ascii="Arial" w:cs="Arial" w:eastAsia="Arial" w:hAnsi="Arial"/>
          <w:sz w:val="15"/>
          <w:szCs w:val="15"/>
          <w:color w:val="auto"/>
        </w:rPr>
        <w:t>We distribute our products through multiple channels in the children’s apparel market, which, as of December 30, 2017, included approximately 830 stores in the United States, 179 stores in Canada, 41 stores in Mexico, 17,000 wholesale locations (including department stores, national chain stores, specialty stores and discount retailers), eCommerce sites in the United States, Canada, and China (including www.carters.com), as well as our other international wholesale, licensing, and online channels. Our multi-channel strategy allows our customers to shop across all sales channels globally, and allows us to meet changing customer experience expectations.</w:t>
      </w:r>
    </w:p>
    <w:p>
      <w:pPr>
        <w:spacing w:after="0" w:line="150"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This strategy has and will continue to require significant investment in cross-functional operations and management focus, along with investment in supporting technologies. Multi-channel retailing is rapidly evolving and we must anticipate and meet changing customer expectations and counteract new developments and technology investments by our competitors. Our multi-channel retailing strategy includes implementing new technology, software, and processes to be able to fulfill customer orders from any point within our system of stores and distribution centers, which is extremely complex and may not meet customer expectations for timely and accurate deliveries. If we are unable to attract and retain employees or contract with third-parties having the specialized skills needed to support our multi-channel efforts, implement improvements to our customer-facing technology in a timely manner, allow real-time and accurate visibility to product availability when customers are ready to purchase, quickly and efficiently fulfill our customers’ orders using the fulfillment and payment methods they demand, or provide a convenient and consistent experience for our customers regardless of the ultimate sales channel, our ability to compete and our results of operations could be adversely affected. In addition, if our retail eCommerce sites or our other customer-facing technology systems do not appeal to our customers, reliably function as designed, or maintain the privacy of customer data, or if we are unable to consistently meet our brand promise to our customers, we may experience a loss of customer confidence or lost sales, or be exposed to fraudulent purchases, which could adversely affect our reputation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retail success and future growth is dependent upon identifying locations and negotiating appropriate lease terms for retail stores.</w:t>
      </w:r>
    </w:p>
    <w:p>
      <w:pPr>
        <w:spacing w:after="0" w:line="207" w:lineRule="exact"/>
        <w:rPr>
          <w:sz w:val="20"/>
          <w:szCs w:val="20"/>
          <w:color w:val="auto"/>
        </w:rPr>
      </w:pPr>
    </w:p>
    <w:p>
      <w:pPr>
        <w:ind w:right="60"/>
        <w:spacing w:after="0" w:line="281" w:lineRule="auto"/>
        <w:rPr>
          <w:sz w:val="20"/>
          <w:szCs w:val="20"/>
          <w:color w:val="auto"/>
        </w:rPr>
      </w:pPr>
      <w:r>
        <w:rPr>
          <w:rFonts w:ascii="Arial" w:cs="Arial" w:eastAsia="Arial" w:hAnsi="Arial"/>
          <w:sz w:val="15"/>
          <w:szCs w:val="15"/>
          <w:color w:val="auto"/>
        </w:rPr>
        <w:t>A significant portion of our revenues are through our retail stores in leased retail locations across the United States, Canada, and Mexico. Successful operation of a retail store depends, in part, on the overall ability of the retail location to attract a consumer base sufficient to make store sales volume profitable. If we are unable to identify new retail locations with consumer traffic sufficient to support a profitable sales level, our retail growth may be limited. Further, if existing stores do not maintain a sufficient customer base that provides a reasonable sales volume or we are unable to negotiate appropriate lease terms for the retail stores, there could be a material adverse impact on our sales, gross margin, and results of operations. In addition, if consumer shopping preferences transition more from brick-and-mortar stores to online retail experiences, any increase we may see in our eCommerce sales may not be sufficient to offset the decreases in sales from our brick-and-mortar stores.</w:t>
      </w:r>
    </w:p>
    <w:p>
      <w:pPr>
        <w:spacing w:after="0" w:line="15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We also must be able to effectively renew our existing store leases on acceptable terms. In addition, from time to time, we may seek to downsize, consolidate, reposition, or close some of our real estate locations, which in most cases requires a modification of an existing store lease. Failure to renew existing store leases, secure adequate new locations, or successfully modify existing locations, or failure to effectively manage the profitability of our existing fleet of stores, could have a material adverse effect on our results of operations.</w:t>
      </w:r>
    </w:p>
    <w:p>
      <w:pPr>
        <w:spacing w:after="0" w:line="166"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Additionally, the economic environment may at times make it difficult to determine the fair market rent of real estate properties within the United States and internationally. This could impact the quality of our decisions to exercise lease options at previously negotiated rents and the quality of our decisions to renew expiring leases at negotiated rents. Any adverse effect on the quality of these decisions could impact our ability to retain real estate locations adequate to meet our targets or efficiently manage the profitability of our existing fleet of stores, and could have a material adverse effect on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eCommerce business faces distinct risks, and our failure to successfully manage it could have a negative impact on our profitability.</w:t>
      </w:r>
    </w:p>
    <w:p>
      <w:pPr>
        <w:spacing w:after="0" w:line="207" w:lineRule="exact"/>
        <w:rPr>
          <w:sz w:val="20"/>
          <w:szCs w:val="20"/>
          <w:color w:val="auto"/>
        </w:rPr>
      </w:pPr>
    </w:p>
    <w:p>
      <w:pPr>
        <w:ind w:right="380"/>
        <w:spacing w:after="0" w:line="320" w:lineRule="auto"/>
        <w:rPr>
          <w:sz w:val="20"/>
          <w:szCs w:val="20"/>
          <w:color w:val="auto"/>
        </w:rPr>
      </w:pPr>
      <w:r>
        <w:rPr>
          <w:rFonts w:ascii="Arial" w:cs="Arial" w:eastAsia="Arial" w:hAnsi="Arial"/>
          <w:sz w:val="15"/>
          <w:szCs w:val="15"/>
          <w:color w:val="auto"/>
        </w:rPr>
        <w:t>The successful operation of our eCommerce business as well as our ability to provide a positive shopping experience that will generate orders and drive subsequent visits depends on efficient and uninterrupted operation of our order-taking and fulfillment operations. Risks associated with our eCommerce business include:</w:t>
      </w:r>
    </w:p>
    <w:p>
      <w:pPr>
        <w:spacing w:after="0" w:line="90" w:lineRule="exact"/>
        <w:rPr>
          <w:sz w:val="20"/>
          <w:szCs w:val="20"/>
          <w:color w:val="auto"/>
        </w:rPr>
      </w:pPr>
    </w:p>
    <w:p>
      <w:pPr>
        <w:ind w:left="580" w:right="120" w:firstLine="5"/>
        <w:spacing w:after="0" w:line="320" w:lineRule="auto"/>
        <w:tabs>
          <w:tab w:leader="none" w:pos="678"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failure of the computer systems, including those of third-party vendors, that operate our eCommerce sites including, among others, inadequate system capacity, computer viruses, human error, changes in programming, security breaches, system upgrades or migration of these services to new systems;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47" w:right="239" w:bottom="1440" w:gutter="0" w:footer="0" w:header="0"/>
        </w:sectPr>
      </w:pPr>
    </w:p>
    <w:bookmarkStart w:id="17" w:name="page18"/>
    <w:bookmarkEnd w:id="17"/>
    <w:p>
      <w:pPr>
        <w:ind w:left="680" w:hanging="95"/>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disruptions in telecom services or power outages;</w:t>
      </w:r>
    </w:p>
    <w:p>
      <w:pPr>
        <w:spacing w:after="0" w:line="170" w:lineRule="exact"/>
        <w:rPr>
          <w:rFonts w:ascii="Arial" w:cs="Arial" w:eastAsia="Arial" w:hAnsi="Arial"/>
          <w:sz w:val="16"/>
          <w:szCs w:val="16"/>
          <w:color w:val="auto"/>
        </w:rPr>
      </w:pPr>
    </w:p>
    <w:p>
      <w:pPr>
        <w:ind w:left="680" w:hanging="95"/>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reliance on third parties for computer hardware and software, as well as delivery of merchandise to our customers;</w:t>
      </w:r>
    </w:p>
    <w:p>
      <w:pPr>
        <w:spacing w:after="0" w:line="170" w:lineRule="exact"/>
        <w:rPr>
          <w:rFonts w:ascii="Arial" w:cs="Arial" w:eastAsia="Arial" w:hAnsi="Arial"/>
          <w:sz w:val="16"/>
          <w:szCs w:val="16"/>
          <w:color w:val="auto"/>
        </w:rPr>
      </w:pPr>
    </w:p>
    <w:p>
      <w:pPr>
        <w:ind w:left="680" w:hanging="95"/>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rapid technology changes;</w:t>
      </w:r>
    </w:p>
    <w:p>
      <w:pPr>
        <w:spacing w:after="0" w:line="170" w:lineRule="exact"/>
        <w:rPr>
          <w:rFonts w:ascii="Arial" w:cs="Arial" w:eastAsia="Arial" w:hAnsi="Arial"/>
          <w:sz w:val="16"/>
          <w:szCs w:val="16"/>
          <w:color w:val="auto"/>
        </w:rPr>
      </w:pPr>
    </w:p>
    <w:p>
      <w:pPr>
        <w:ind w:left="680" w:hanging="95"/>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credit or debit card fraud;</w:t>
      </w:r>
    </w:p>
    <w:p>
      <w:pPr>
        <w:spacing w:after="0" w:line="170" w:lineRule="exact"/>
        <w:rPr>
          <w:rFonts w:ascii="Arial" w:cs="Arial" w:eastAsia="Arial" w:hAnsi="Arial"/>
          <w:sz w:val="16"/>
          <w:szCs w:val="16"/>
          <w:color w:val="auto"/>
        </w:rPr>
      </w:pPr>
    </w:p>
    <w:p>
      <w:pPr>
        <w:ind w:left="680" w:hanging="95"/>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diversion of sales from our physical stores;</w:t>
      </w:r>
    </w:p>
    <w:p>
      <w:pPr>
        <w:spacing w:after="0" w:line="170" w:lineRule="exact"/>
        <w:rPr>
          <w:rFonts w:ascii="Arial" w:cs="Arial" w:eastAsia="Arial" w:hAnsi="Arial"/>
          <w:sz w:val="16"/>
          <w:szCs w:val="16"/>
          <w:color w:val="auto"/>
        </w:rPr>
      </w:pPr>
    </w:p>
    <w:p>
      <w:pPr>
        <w:ind w:left="680" w:hanging="95"/>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natural disasters or adverse weather conditions;</w:t>
      </w:r>
    </w:p>
    <w:p>
      <w:pPr>
        <w:spacing w:after="0" w:line="170" w:lineRule="exact"/>
        <w:rPr>
          <w:rFonts w:ascii="Arial" w:cs="Arial" w:eastAsia="Arial" w:hAnsi="Arial"/>
          <w:sz w:val="16"/>
          <w:szCs w:val="16"/>
          <w:color w:val="auto"/>
        </w:rPr>
      </w:pPr>
    </w:p>
    <w:p>
      <w:pPr>
        <w:ind w:left="680" w:hanging="95"/>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applicable federal, state and international regulations;</w:t>
      </w:r>
    </w:p>
    <w:p>
      <w:pPr>
        <w:spacing w:after="0" w:line="170" w:lineRule="exact"/>
        <w:rPr>
          <w:rFonts w:ascii="Arial" w:cs="Arial" w:eastAsia="Arial" w:hAnsi="Arial"/>
          <w:sz w:val="16"/>
          <w:szCs w:val="16"/>
          <w:color w:val="auto"/>
        </w:rPr>
      </w:pPr>
    </w:p>
    <w:p>
      <w:pPr>
        <w:ind w:left="680" w:hanging="95"/>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liability for online content; and</w:t>
      </w:r>
    </w:p>
    <w:p>
      <w:pPr>
        <w:spacing w:after="0" w:line="170" w:lineRule="exact"/>
        <w:rPr>
          <w:rFonts w:ascii="Arial" w:cs="Arial" w:eastAsia="Arial" w:hAnsi="Arial"/>
          <w:sz w:val="16"/>
          <w:szCs w:val="16"/>
          <w:color w:val="auto"/>
        </w:rPr>
      </w:pPr>
    </w:p>
    <w:p>
      <w:pPr>
        <w:ind w:left="680" w:hanging="95"/>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consumer privacy concerns and regulation.</w:t>
      </w:r>
    </w:p>
    <w:p>
      <w:pPr>
        <w:spacing w:after="0" w:line="207"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color w:val="auto"/>
        </w:rPr>
        <w:t>Problems in any of these areas could result in a reduction in sales, increased costs and damage to our reputation and brands, which could adversely affect our business and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unsuccessful in expanding into international markets.</w:t>
      </w:r>
    </w:p>
    <w:p>
      <w:pPr>
        <w:spacing w:after="0" w:line="207"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We cannot be sure that we can successfully complete any planned international expansion or that new international business will be profitable or meet our expectations. We do not have significant experience operating in markets outside of the United States and Canada. Consumer demand, behavior, tastes, and purchasing trends may differ in international markets and, as a result, sales of our products may not be successful or meet our expectations, or the margins on those sales may not be in line with those we currently anticipate. We may encounter differences in business culture and the legal environment that may make working with commercial partners and hiring and retaining an adequate employee base more challenging. We may also face difficulties integrating foreign business operations with our current operations. Significant changes to foreign relations, such as the withdrawal of the United Kingdom from the European Union, may also hinder our success in new markets. Our entry into new markets may have upfront investment costs that may not be accompanied by sufficient revenues to achieve typical or expected operational and financial performance and such costs may be greater than expected. If our international expansion plans are unsuccessful, our results could be materially adversely affected.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achieve sales growth plans, cost savings, and other assumptions that support the carrying value of our intangible assets.</w:t>
      </w:r>
    </w:p>
    <w:p>
      <w:pPr>
        <w:spacing w:after="0" w:line="207"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 carrying values of our goodwill and tradename assets are subject to annual impairment reviews as of the last day of each fiscal year or more frequently, if deemed necessary, due to any significant events or changes in circumstances. Estimated future cash flows used in these impairment reviews could be negatively affected if we do not achieve our sales plans, planned cost savings, and other assumptions that support the carrying value of these intangible assets, which could result in impairment of the remaining asset values. Any material impairment would adversely affect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substantial debt, which could adversely affect our financial health and our ability to obtain financing in the future and to react to changes in our business.</w:t>
      </w:r>
    </w:p>
    <w:p>
      <w:pPr>
        <w:spacing w:after="0" w:line="230"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As of December 30, 2017, we had $621.0 million aggregate principal amount of debt outstanding (excluding $4.5 million of outstanding letters of credit), and $524.5 million of undrawn availability under our senior secured revolving credit facility after giving effect to $4.5 million of letters of credit issued under our senior secured revolving credit facility. As a result, our ability to obtain additional financing for working capital, capital expenditures, acquisitions, debt service requirements, or general corporate or other purposes may be limited, and we may be unable to renew or refinance our debt on terms as favorable as our existing debt or at all.</w:t>
      </w:r>
    </w:p>
    <w:p>
      <w:pPr>
        <w:spacing w:after="0" w:line="150"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If our cash flows and capital resources are insufficient to fund our debt service obligations and other cash requirements, we could be forced to reduce or delay investments and capital expenditures or to sell assets or operations, seek additional capital, or restructure or refinance our indebtedness. We may not be able to effect any such alternative measures, if necessary, on commercially reasonable terms or at all and, even if successful, such alternative actions may not allow us to meet our scheduled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347" w:right="259" w:bottom="1440" w:gutter="0" w:footer="0" w:header="0"/>
        </w:sectPr>
      </w:pPr>
    </w:p>
    <w:bookmarkStart w:id="18" w:name="page19"/>
    <w:bookmarkEnd w:id="18"/>
    <w:p>
      <w:pPr>
        <w:ind w:right="400"/>
        <w:spacing w:after="0" w:line="285" w:lineRule="auto"/>
        <w:rPr>
          <w:sz w:val="20"/>
          <w:szCs w:val="20"/>
          <w:color w:val="auto"/>
        </w:rPr>
      </w:pPr>
      <w:r>
        <w:rPr>
          <w:rFonts w:ascii="Arial" w:cs="Arial" w:eastAsia="Arial" w:hAnsi="Arial"/>
          <w:sz w:val="16"/>
          <w:szCs w:val="16"/>
          <w:color w:val="auto"/>
        </w:rPr>
        <w:t>debt service obligations. In the absence of such operating results and resources, we could face substantial liquidity problems and might be required to dispose of material assets or operations to meet our debt service and other obligations.</w:t>
      </w:r>
    </w:p>
    <w:p>
      <w:pPr>
        <w:spacing w:after="0" w:line="150" w:lineRule="exact"/>
        <w:rPr>
          <w:sz w:val="20"/>
          <w:szCs w:val="20"/>
          <w:color w:val="auto"/>
        </w:rPr>
      </w:pPr>
    </w:p>
    <w:p>
      <w:pPr>
        <w:ind w:right="40"/>
        <w:spacing w:after="0" w:line="280" w:lineRule="auto"/>
        <w:rPr>
          <w:sz w:val="20"/>
          <w:szCs w:val="20"/>
          <w:color w:val="auto"/>
        </w:rPr>
      </w:pPr>
      <w:r>
        <w:rPr>
          <w:rFonts w:ascii="Arial" w:cs="Arial" w:eastAsia="Arial" w:hAnsi="Arial"/>
          <w:sz w:val="15"/>
          <w:szCs w:val="15"/>
          <w:color w:val="auto"/>
        </w:rPr>
        <w:t>In addition, both our senior secured revolving credit facility and indenture governing the senior notes contain restrictive covenants that, subject to specified exemptions, restrict our ability to incur indebtedness, grant liens, make certain investments (including business acquisitions), pay dividends or distributions on our capital stock, engage in mergers, dispose of assets and use the proceeds from any such dispositions, and raise debt or equity capital to be used to repay other indebtedness when it becomes due. These restrictions may limit our ability to engage in acts that may be in our long-term best interests, and may make it difficult for us to execute our business strategy successfully or effectively compete with companies that are not similarly restricted. In particular, we cannot assure you that we will have sufficient cash from operations, borrowing capacity under our debt documents, or the ability to raise additional funds in the capital markets to pursue our growth strategies as a result of these restrictions or otherwise. We may also incur future debt obligations that might subject us to additional restrictive covenants that could affect our financial and operational flexibility.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is dependent upon retaining key individuals within the organization to execute our strategic plan.</w:t>
      </w:r>
    </w:p>
    <w:p>
      <w:pPr>
        <w:spacing w:after="0" w:line="20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ability to attract and retain qualified executive management, marketing, merchandising, design, sourcing, operations, and support function staffing is key to our success. If we are unable to attract and retain qualified individuals in these areas, this may result in an adverse impact on our growth and results of operations. Our inability to retain personnel could cause us to experience business disruption due to a loss of historical knowledge and a lack of business continuity and may adversely affect our results of operations, financial position,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properly manage strategic initiatives in order to achieve our objectives may negatively impact our business.</w:t>
      </w:r>
    </w:p>
    <w:p>
      <w:pPr>
        <w:spacing w:after="0" w:line="20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 implementation of our business strategy periodically involves the execution of complex initiatives, such as acquisitions, which may require that we make significant estimates and assumptions about a project, and these projects could place significant demands on our accounting, financial, information, and other systems, and on our business overall. In addition, we are dependent on our management ability to oversee these projects effectively and implement them successfully. If our estimates and assumptions about a project are incorrect, or if we miscalculate the resources or time we need to complete a project or fail to implement a project effectively, our business and operating results could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successfully integrate acquired businesses and such acquisitions may fail to achieve the financial results we expected.</w:t>
      </w:r>
    </w:p>
    <w:p>
      <w:pPr>
        <w:spacing w:after="0" w:line="207"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 xml:space="preserve">From time to time we may acquire other businesses as part of our growth strategy, such as our recent acquisitions of the </w:t>
      </w:r>
      <w:r>
        <w:rPr>
          <w:rFonts w:ascii="Arial" w:cs="Arial" w:eastAsia="Arial" w:hAnsi="Arial"/>
          <w:sz w:val="15"/>
          <w:szCs w:val="15"/>
          <w:i w:val="1"/>
          <w:iCs w:val="1"/>
          <w:color w:val="auto"/>
        </w:rPr>
        <w:t>Skip Hop</w:t>
      </w:r>
      <w:r>
        <w:rPr>
          <w:rFonts w:ascii="Arial" w:cs="Arial" w:eastAsia="Arial" w:hAnsi="Arial"/>
          <w:sz w:val="15"/>
          <w:szCs w:val="15"/>
          <w:color w:val="auto"/>
        </w:rPr>
        <w:t xml:space="preserve"> brand and our Mexican licensee, and we may partially or fully fund such acquisitions by taking on additional debt. We may be unable to successfully integrate businesses we acquire and such acquisitions may fail to achieve the financial results we expected. Integrating completed acquisitions into our existing operations, particularly larger acquisitions, involves numerous risks, including diversion of our management attention, failure to retain key personnel, and failure of the acquired business to be financially successful. In addition, we cannot be certain of the extent of any unknown or contingent liabilities of any acquired business, including liabilities for failure to comply with applicable laws, including those relating to product safety or anti-bribery and anti-corruption. We may incur material liabilities for past activities of acquired businesses. Also, depending on the location of the acquired business, we may be required to comply with laws and regulations that may differ from those of the jurisdictions in which our operations are currently conducted. Our inability to successfully integrate businesses we acquire, or if such businesses do not achieve the financial results we expect, may increase our costs and have a material adverse impact on our financial condition and results of operations.</w:t>
      </w:r>
    </w:p>
    <w:p>
      <w:pPr>
        <w:spacing w:after="0" w:line="158"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b w:val="1"/>
          <w:bCs w:val="1"/>
          <w:i w:val="1"/>
          <w:iCs w:val="1"/>
          <w:color w:val="auto"/>
        </w:rPr>
        <w:t>Failure to implement new information technology systems or needed upgrades to our systems, including operational and financial systems, could adversely affect our business.</w:t>
      </w:r>
    </w:p>
    <w:p>
      <w:pPr>
        <w:spacing w:after="0" w:line="15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As our business has grown in size, complexity, and geography, we have enhanced and upgraded our information technology infrastructure and we expect there to be a regular need for additional enhancements and upgrades as we continue to grow. Failure to implement new systems or upgrade systems, including operation and financial systems, as needed or complications encountered in implementing new systems or upgrading existing systems could cause disruptions that may adversely affect our business and results of operations. Further, additional investments needed to upgrade and expand our information technology infrastructure may require significant investment of additional resources and capital, which may not always be available or available on favorable terms.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47" w:right="239" w:bottom="1440" w:gutter="0" w:footer="0" w:header="0"/>
        </w:sectPr>
      </w:pPr>
    </w:p>
    <w:bookmarkStart w:id="19" w:name="page20"/>
    <w:bookmarkEnd w:id="19"/>
    <w:p>
      <w:pPr>
        <w:ind w:right="100"/>
        <w:spacing w:after="0" w:line="285" w:lineRule="auto"/>
        <w:rPr>
          <w:sz w:val="20"/>
          <w:szCs w:val="20"/>
          <w:color w:val="auto"/>
        </w:rPr>
      </w:pPr>
      <w:r>
        <w:rPr>
          <w:rFonts w:ascii="Arial" w:cs="Arial" w:eastAsia="Arial" w:hAnsi="Arial"/>
          <w:sz w:val="16"/>
          <w:szCs w:val="16"/>
          <w:b w:val="1"/>
          <w:bCs w:val="1"/>
          <w:i w:val="1"/>
          <w:iCs w:val="1"/>
          <w:color w:val="auto"/>
        </w:rPr>
        <w:t>Our Braselton, Georgia distribution facility handles a large portion of our merchandise distribution. If we encounter problems with this facility, our ability to deliver our products to the market could be adversely affected.</w:t>
      </w:r>
    </w:p>
    <w:p>
      <w:pPr>
        <w:spacing w:after="0" w:line="150"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handle a large portion of our merchandise distribution for our U.S. stores and our eCommerce operations from our facility in Braselton, Georgia. Our ability to meet consumer expectations, manage inventory, complete sales, and achieve objectives for operating efficiencies depends on proper operation of this facility. If we are not able to distribute merchandise to our stores or customers because we have exceeded our capacity at the distribution facility (such as due to a high level of demand during peak periods) or because of natural disasters, accidents, system failures, disruptions, or other events, our sales could decline, which may have a materially adverse effect on our earnings, financial position, and our reputation. In addition, we use an automated system that manages the order processing for our eCommerce business. In the event that this system becomes inoperable for any reason, we may be unable to ship orders in a timely manner, and as a result, we could experience a reduction in our direct-to-consumer business, which could negatively impact our sales and profitability.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suffer a material adverse effect from extreme or unseasonable weather conditions.</w:t>
      </w:r>
    </w:p>
    <w:p>
      <w:pPr>
        <w:spacing w:after="0" w:line="207"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Our business is susceptible to unseasonable weather conditions, which could influence customer trends, consumer traffic, and shopping habits. For example, extended periods of unseasonably warm temperatures during the winter season or cool temperatures during the summer season could reduce demand and thereby would have an adverse effect on our operational results, financial position, and cash flows. In addition, extreme weather conditions in the areas in which our stores are located could negatively affect our business, operational results, financial position, and cash flows. Frequent or unusually heavy or intense snowfall, ice storms, floods, hurricanes, or other extreme weather conditions over an extended period could cause our stores to close for a period of time or permanently, and could make it difficult for our customers to travel to our stores, which in turn could negatively impact our operational results.</w:t>
      </w:r>
    </w:p>
    <w:p>
      <w:pPr>
        <w:spacing w:after="0" w:line="169"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b w:val="1"/>
          <w:bCs w:val="1"/>
          <w:i w:val="1"/>
          <w:iCs w:val="1"/>
          <w:color w:val="auto"/>
        </w:rPr>
        <w:t>Failure to comply with the various laws and regulations as well as changes in laws and regulations could have an adverse impact on our reputation, financial condition, or results of operations.</w:t>
      </w:r>
    </w:p>
    <w:p>
      <w:pPr>
        <w:spacing w:after="0" w:line="150" w:lineRule="exact"/>
        <w:rPr>
          <w:sz w:val="20"/>
          <w:szCs w:val="20"/>
          <w:color w:val="auto"/>
        </w:rPr>
      </w:pPr>
    </w:p>
    <w:p>
      <w:pPr>
        <w:ind w:right="80"/>
        <w:spacing w:after="0" w:line="314" w:lineRule="auto"/>
        <w:rPr>
          <w:sz w:val="20"/>
          <w:szCs w:val="20"/>
          <w:color w:val="auto"/>
        </w:rPr>
      </w:pPr>
      <w:r>
        <w:rPr>
          <w:rFonts w:ascii="Arial" w:cs="Arial" w:eastAsia="Arial" w:hAnsi="Arial"/>
          <w:sz w:val="14"/>
          <w:szCs w:val="14"/>
          <w:color w:val="auto"/>
        </w:rPr>
        <w:t>We must comply with various laws and regulations, including applicable employment and consumer protection laws. Our policies, procedures, and internal controls are designed to help us comply with all applicable foreign and domestic laws, accounting and reporting requirements, regulations, and tax requirements, including those imposed by the Sarbanes-Oxley Act of 2002, the Dodd-Frank Wall Street Reform and Consumer Protection Act, the SEC, and the New York Stock Exchange (“NYSE”) as well as other laws. Our failure to comply with these various laws and regulations could have an adverse impact on our reputation, financial condition, or results of operations.</w:t>
      </w:r>
    </w:p>
    <w:p>
      <w:pPr>
        <w:spacing w:after="0" w:line="136"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In addition, any changes in regulations, the imposition of additional regulations or the enactment of any new legislation that affects employment and labor, trade, product safety, transportation and logistics, health care, tax, privacy, operations, or environmental issues, among other things, may increase the complexity of the regulatory environment in which we operate and the related cost of compliance. Although we undertake to monitor changes in these laws, if these laws change without our knowledge, or are violated by importers, designers, manufacturers, distributors, or agents, we could experience delays in shipments and receipt of goods, or be subject to fines or other penalties under the controlling regulations, any of which could negatively affect the our business and results of operations.</w:t>
      </w:r>
    </w:p>
    <w:p>
      <w:pPr>
        <w:spacing w:after="0" w:line="153"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b w:val="1"/>
          <w:bCs w:val="1"/>
          <w:i w:val="1"/>
          <w:iCs w:val="1"/>
          <w:color w:val="auto"/>
        </w:rPr>
        <w:t>Our results of operations, financial position, and cash flows, and our ability to conduct business in international markets may be affected by legal, regulatory, political, and economic risks.</w:t>
      </w:r>
    </w:p>
    <w:p>
      <w:pPr>
        <w:spacing w:after="0" w:line="150"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Our ability to conduct business in new and existing international markets is subject to legal, regulatory, political, and economic risks. These include the burdens of complying with foreign laws and regulations (including trade and labor restrictions), unexpected changes in regulatory requirements, and new tariffs or other barriers in some international markets. Additionally, the U.S. Foreign Corrupt Practices Act, and similar world-wide anti-bribery laws, prohibit companies and their intermediaries from making improper payments to government officials for the purpose of obtaining or retaining business. Our policies mandate compliance with anti-bribery laws. Our internal control policies and procedures, or those of our vendors, may not adequately protect us from reckless or criminal acts committed by our employees, agents, or vendors. Violations of these laws, or allegations of such violations, could disrupt our business and result in a material adverse effect on our financial condition, results of operations, and cash flows.</w:t>
      </w:r>
    </w:p>
    <w:p>
      <w:pPr>
        <w:spacing w:after="0" w:line="17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We are also subject to general political and economic risks in connection with our global operations, including political instability and terrorist attacks, differences in business culture, different laws governing relationships with employees and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347" w:right="25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business partners, changes in diplomatic and trade relationships, and general economic fluctuations in specific countries or markets.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fluctuations in our tax obligations and effective tax rate.</w:t>
      </w:r>
    </w:p>
    <w:p>
      <w:pPr>
        <w:spacing w:after="0" w:line="20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We are subject to income taxes in federal and applicable state and local tax jurisdictions in the United States, Canada, Hong Kong, Mexico, and other foreign jurisdictions. We record tax expense based on our estimates of current and future payments, which include reserves for estimates of uncertain tax positions. At any time, many tax years are subject to audit by various taxing jurisdictions. The results of these audits and negotiations with taxing authorities may impact the ultimate settlement of these tax positions. As a result, there could be ongoing variability in our quarterly tax rates as taxable events occur and exposures are re-evaluated. Further, our effective tax rate in any financial statement period may be materially affected by changes in the mix and level of earnings.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auto"/>
        </w:rPr>
        <w:t>In December 2017, the U.S. government enacted tax law changes known as the Tax Cuts and Jobs Act (the "2017 Act"). The 2017 Act significantly effects U.S. taxation for multinational corporations. The major implementation provisions of the 2017 Act include a one-time transition tax on earnings of certain foreign subsidiaries that were previously tax deferred and the remeasurement of certain deferred income tax balances. As permitted by Staff Accounting Bulletin No. 118, we have not completed our accounting for the enactment of the 2017 Act, and certain provisional estimates have been reflected in our income tax expense for fourth quarter and fiscal 2017. We anticipate that the provisional estimates will be adjusted during fiscal 2018 and any resulting income tax or benefit will be reflected in our income tax expense for the period of adjustment. Other provisions of the 2017 Act include a reduction in the U.S. corporate tax rate, certain provisions to broaden the U.S. tax base, imposition of a minimum tax on income earned by foreign subsidiaries, and an incentive to encourage the repatriation of foreign sourced income. We are currently assessing the additional effects that these changes will have on our business, financial condition, or results of operations in future periods.</w:t>
      </w:r>
    </w:p>
    <w:p>
      <w:pPr>
        <w:spacing w:after="0" w:line="157"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Furthermore, we cannot predict whether quotas, duties, taxes, or other similar restrictions will be imposed by the United States or foreign countries upon the import or export of our products in the future, or what effect any of these actions would have, if any, on our business, financial condition, or results of operations. Changes in regulatory, geopolitical, social or economic policies, treaties between the United States and other countries, and other factors may have a material adverse effect on our business in the future or may require us to exit a particular market or significantly modify our current business practices.</w:t>
      </w:r>
    </w:p>
    <w:p>
      <w:pPr>
        <w:spacing w:after="0" w:line="166"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In addition, during the requisite service period for compensable equity-based compensation awards that we may grant to certain employees and members of our board of directors, we recognize a deferred income tax benefit on the compensation expense we incur for these awards. At time of subsequent vesting, exercise, forfeiture, or expiration of an award, the difference between our actual income tax deduction, if any, and the previously accrued income tax benefit is recognized in our income tax expense/benefit during the current period and can consequently raise or lower our effective tax rate for the period. Such differences are largely dependent on changes in the market price for our common stock.</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continue to pay quarterly cash dividends to our shareholders could cause the market price for our common stock to decline.</w:t>
      </w:r>
    </w:p>
    <w:p>
      <w:pPr>
        <w:spacing w:after="0" w:line="207"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In 2013, we initiated a quarterly cash dividend. Future declarations of quarterly cash dividends and the establishment of future record and payment dates are at the discretion of our Board of Directors based on a number of factors, including our future financial performance and other investment priorities. Additionally, provisions in our senior credit facility and the indenture governing our senior notes could have the effect of restricting our ability to pay future cash dividends on, or make future repurchases of, our common stock. Any reduction or discontinuance by us of the payment of quarterly cash dividends could cause the market price of our common stock to decline.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40"/>
          </w:cols>
          <w:pgMar w:left="240" w:top="347" w:right="21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27"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219"/>
          </w:cols>
          <w:pgMar w:left="240" w:top="539" w:right="1440"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ITEM 2. PROPERTIES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our principal owned and leased properties as of December 30, 2017.</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Our corporate headquarters occupies 304,000 square feet of leased space in a building in Atlanta, Georgia. Our lease for that space expires in April 2030. In addition, we occupy 28,000 square feet of leased space in a building in Mississauga, Ontario, which serves as our regional headquarters for Canada, and occupy 56,000 square feet of leased space in Hong Kong, China, which serves as our principal sourcing office for Asia. We also lease other space in Georgia, Wisconsin, and New York City, as well as in Bangladesh, Cambodia, China, Mexico, and the United Kingdom that, depending on the site, serve as sourcing, sales, or administrative offices. We also own a 224,000 square foot facility in Griffin, Georgia.</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Our largest distribution centers, which we lease, are located in Braselton, Georgia and Stockbridge, Georgia, and are 1,062,000 and 505,000 square feet, respectively. We lease additional space in Canada and Mexico for distribution and warehousing purposes. We also lease space in California for distribution purposes that is operated by a third party service provider, in addition to engaging other third-party logistics providers in other territories to provide warehousing and distribution services.</w:t>
      </w:r>
    </w:p>
    <w:p>
      <w:pPr>
        <w:spacing w:after="0" w:line="10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also operate the following number of leased retail stores: 830 in the United States; 179 in Canada; and 41 in Mexico. Our average term for a retail store lease in the United States is approximately 5.2 years, excluding renewal options.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24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subject to various claims and pending or threatened lawsuits in the normal course of our business. The Company is not currently a party to any legal proceedings that it believes would have a material adverse effect on our financial position, results of operations, or cash flows.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539"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b w:val="1"/>
          <w:bCs w:val="1"/>
          <w:color w:val="auto"/>
        </w:rPr>
        <w:t>PART II</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MATTERS, AND ISSUER PURCHASES OF EQUITY SECURITIES</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HISTORICAL STOCK PRICE AND NUMBER OF RECORD HOLDERS</w:t>
      </w:r>
    </w:p>
    <w:p>
      <w:pPr>
        <w:spacing w:after="0" w:line="211"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Our common stock trades on the New York Stock Exchange (NYSE) under the symbol CRI. The last reported sale price per share of our common stock on February 23, 2018 was $120.86. On that date there were 190 holders of record of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high and low market price per share for the Company's common stock in fiscal 2017 and 2016, by quarter,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2017</w:t>
            </w:r>
          </w:p>
        </w:tc>
        <w:tc>
          <w:tcPr>
            <w:tcW w:w="12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High</w:t>
            </w:r>
          </w:p>
        </w:tc>
        <w:tc>
          <w:tcPr>
            <w:tcW w:w="5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Low</w:t>
            </w:r>
          </w:p>
        </w:tc>
      </w:tr>
      <w:tr>
        <w:trPr>
          <w:trHeight w:val="218"/>
        </w:trPr>
        <w:tc>
          <w:tcPr>
            <w:tcW w:w="8360" w:type="dxa"/>
            <w:vAlign w:val="bottom"/>
            <w:gridSpan w:val="2"/>
          </w:tcPr>
          <w:p>
            <w:pPr>
              <w:ind w:left="20"/>
              <w:spacing w:after="0"/>
              <w:rPr>
                <w:sz w:val="20"/>
                <w:szCs w:val="20"/>
                <w:color w:val="auto"/>
              </w:rPr>
            </w:pPr>
            <w:r>
              <w:rPr>
                <w:rFonts w:ascii="Arial" w:cs="Arial" w:eastAsia="Arial" w:hAnsi="Arial"/>
                <w:sz w:val="16"/>
                <w:szCs w:val="16"/>
                <w:color w:val="auto"/>
              </w:rPr>
              <w:t>First quarter</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91.71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77.94</w:t>
            </w:r>
          </w:p>
        </w:tc>
      </w:tr>
      <w:tr>
        <w:trPr>
          <w:trHeight w:val="25"/>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Second quarter</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95.80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79.76</w:t>
            </w:r>
          </w:p>
        </w:tc>
      </w:tr>
      <w:tr>
        <w:trPr>
          <w:trHeight w:val="219"/>
        </w:trPr>
        <w:tc>
          <w:tcPr>
            <w:tcW w:w="8360" w:type="dxa"/>
            <w:vAlign w:val="bottom"/>
            <w:gridSpan w:val="2"/>
          </w:tcPr>
          <w:p>
            <w:pPr>
              <w:ind w:left="20"/>
              <w:spacing w:after="0"/>
              <w:rPr>
                <w:sz w:val="20"/>
                <w:szCs w:val="20"/>
                <w:color w:val="auto"/>
              </w:rPr>
            </w:pPr>
            <w:r>
              <w:rPr>
                <w:rFonts w:ascii="Arial" w:cs="Arial" w:eastAsia="Arial" w:hAnsi="Arial"/>
                <w:sz w:val="16"/>
                <w:szCs w:val="16"/>
                <w:color w:val="auto"/>
              </w:rPr>
              <w:t>Third quarter</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99.36</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83.84</w:t>
            </w:r>
          </w:p>
        </w:tc>
      </w:tr>
      <w:tr>
        <w:trPr>
          <w:trHeight w:val="25"/>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9"/>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Fourth quarter</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118.89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91.41</w:t>
            </w:r>
          </w:p>
        </w:tc>
      </w:tr>
      <w:tr>
        <w:trPr>
          <w:trHeight w:val="25"/>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2016</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High</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Low</w:t>
            </w:r>
          </w:p>
        </w:tc>
      </w:tr>
      <w:tr>
        <w:trPr>
          <w:trHeight w:val="218"/>
        </w:trPr>
        <w:tc>
          <w:tcPr>
            <w:tcW w:w="8360" w:type="dxa"/>
            <w:vAlign w:val="bottom"/>
            <w:gridSpan w:val="2"/>
          </w:tcPr>
          <w:p>
            <w:pPr>
              <w:ind w:left="20"/>
              <w:spacing w:after="0"/>
              <w:rPr>
                <w:sz w:val="20"/>
                <w:szCs w:val="20"/>
                <w:color w:val="auto"/>
              </w:rPr>
            </w:pPr>
            <w:r>
              <w:rPr>
                <w:rFonts w:ascii="Arial" w:cs="Arial" w:eastAsia="Arial" w:hAnsi="Arial"/>
                <w:sz w:val="16"/>
                <w:szCs w:val="16"/>
                <w:color w:val="auto"/>
              </w:rPr>
              <w:t>First quarter</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105.93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83.44</w:t>
            </w:r>
          </w:p>
        </w:tc>
      </w:tr>
      <w:tr>
        <w:trPr>
          <w:trHeight w:val="25"/>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Second quarter</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108.20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97.54</w:t>
            </w:r>
          </w:p>
        </w:tc>
      </w:tr>
      <w:tr>
        <w:trPr>
          <w:trHeight w:val="219"/>
        </w:trPr>
        <w:tc>
          <w:tcPr>
            <w:tcW w:w="8360" w:type="dxa"/>
            <w:vAlign w:val="bottom"/>
            <w:gridSpan w:val="2"/>
          </w:tcPr>
          <w:p>
            <w:pPr>
              <w:ind w:left="20"/>
              <w:spacing w:after="0"/>
              <w:rPr>
                <w:sz w:val="20"/>
                <w:szCs w:val="20"/>
                <w:color w:val="auto"/>
              </w:rPr>
            </w:pPr>
            <w:r>
              <w:rPr>
                <w:rFonts w:ascii="Arial" w:cs="Arial" w:eastAsia="Arial" w:hAnsi="Arial"/>
                <w:sz w:val="16"/>
                <w:szCs w:val="16"/>
                <w:color w:val="auto"/>
              </w:rPr>
              <w:t>Third quarter</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112.58</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86.37</w:t>
            </w:r>
          </w:p>
        </w:tc>
      </w:tr>
      <w:tr>
        <w:trPr>
          <w:trHeight w:val="25"/>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9"/>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Fourth quarter</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84.06</w:t>
            </w:r>
          </w:p>
        </w:tc>
      </w:tr>
      <w:tr>
        <w:trPr>
          <w:trHeight w:val="25"/>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Note: The high and low market prices in the above table were compiled from prices that considered intra-day high and low prices as well as closing prices on the NYSE.</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shares repurchased through our repurchase program described below during the fourth quarter of fiscal 2017:</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center"/>
              <w:ind w:right="139"/>
              <w:spacing w:after="0"/>
              <w:rPr>
                <w:sz w:val="20"/>
                <w:szCs w:val="20"/>
                <w:color w:val="auto"/>
              </w:rPr>
            </w:pPr>
            <w:r>
              <w:rPr>
                <w:rFonts w:ascii="Arial" w:cs="Arial" w:eastAsia="Arial" w:hAnsi="Arial"/>
                <w:sz w:val="16"/>
                <w:szCs w:val="16"/>
                <w:b w:val="1"/>
                <w:bCs w:val="1"/>
                <w:color w:val="auto"/>
                <w:w w:val="94"/>
              </w:rPr>
              <w:t>Approximate</w:t>
            </w:r>
          </w:p>
        </w:tc>
      </w:tr>
      <w:tr>
        <w:trPr>
          <w:trHeight w:val="196"/>
        </w:trPr>
        <w:tc>
          <w:tcPr>
            <w:tcW w:w="4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3"/>
              </w:rPr>
              <w:t>dollar value of remaining</w:t>
            </w:r>
          </w:p>
        </w:tc>
      </w:tr>
      <w:tr>
        <w:trPr>
          <w:trHeight w:val="196"/>
        </w:trPr>
        <w:tc>
          <w:tcPr>
            <w:tcW w:w="4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Total number</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center"/>
              <w:ind w:right="119"/>
              <w:spacing w:after="0"/>
              <w:rPr>
                <w:sz w:val="20"/>
                <w:szCs w:val="20"/>
                <w:color w:val="auto"/>
              </w:rPr>
            </w:pPr>
            <w:r>
              <w:rPr>
                <w:rFonts w:ascii="Arial" w:cs="Arial" w:eastAsia="Arial" w:hAnsi="Arial"/>
                <w:sz w:val="16"/>
                <w:szCs w:val="16"/>
                <w:b w:val="1"/>
                <w:bCs w:val="1"/>
                <w:color w:val="auto"/>
                <w:w w:val="89"/>
              </w:rPr>
              <w:t>shares that can be</w:t>
            </w:r>
          </w:p>
        </w:tc>
      </w:tr>
      <w:tr>
        <w:trPr>
          <w:trHeight w:val="196"/>
        </w:trPr>
        <w:tc>
          <w:tcPr>
            <w:tcW w:w="4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4"/>
              </w:rPr>
              <w:t>of shares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part of publicly</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center"/>
              <w:ind w:right="139"/>
              <w:spacing w:after="0"/>
              <w:rPr>
                <w:sz w:val="20"/>
                <w:szCs w:val="20"/>
                <w:color w:val="auto"/>
              </w:rPr>
            </w:pPr>
            <w:r>
              <w:rPr>
                <w:rFonts w:ascii="Arial" w:cs="Arial" w:eastAsia="Arial" w:hAnsi="Arial"/>
                <w:sz w:val="16"/>
                <w:szCs w:val="16"/>
                <w:b w:val="1"/>
                <w:bCs w:val="1"/>
                <w:color w:val="auto"/>
                <w:w w:val="88"/>
              </w:rPr>
              <w:t>purchased</w:t>
            </w:r>
          </w:p>
        </w:tc>
      </w:tr>
      <w:tr>
        <w:trPr>
          <w:trHeight w:val="196"/>
        </w:trPr>
        <w:tc>
          <w:tcPr>
            <w:tcW w:w="4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8"/>
              </w:rPr>
              <w:t>purchased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90"/>
              </w:rPr>
              <w:t>Average price paid</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center"/>
              <w:ind w:right="139"/>
              <w:spacing w:after="0"/>
              <w:rPr>
                <w:sz w:val="20"/>
                <w:szCs w:val="20"/>
                <w:color w:val="auto"/>
              </w:rPr>
            </w:pPr>
            <w:r>
              <w:rPr>
                <w:rFonts w:ascii="Arial" w:cs="Arial" w:eastAsia="Arial" w:hAnsi="Arial"/>
                <w:sz w:val="16"/>
                <w:szCs w:val="16"/>
                <w:b w:val="1"/>
                <w:bCs w:val="1"/>
                <w:color w:val="auto"/>
                <w:w w:val="90"/>
              </w:rPr>
              <w:t>under the plans</w:t>
            </w:r>
          </w:p>
        </w:tc>
      </w:tr>
      <w:tr>
        <w:trPr>
          <w:trHeight w:val="237"/>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Period</w:t>
            </w:r>
          </w:p>
        </w:tc>
        <w:tc>
          <w:tcPr>
            <w:tcW w:w="172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per share</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2"/>
              </w:rPr>
              <w:t>programs</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b w:val="1"/>
                <w:bCs w:val="1"/>
                <w:color w:val="auto"/>
                <w:w w:val="91"/>
              </w:rPr>
              <w:t>or programs</w:t>
            </w:r>
          </w:p>
        </w:tc>
      </w:tr>
      <w:tr>
        <w:trPr>
          <w:trHeight w:val="163"/>
        </w:trPr>
        <w:tc>
          <w:tcPr>
            <w:tcW w:w="43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r>
      <w:tr>
        <w:trPr>
          <w:trHeight w:val="22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October 1, 2017 through October 28, 2017</w:t>
            </w:r>
          </w:p>
        </w:tc>
        <w:tc>
          <w:tcPr>
            <w:tcW w:w="17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141,293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94.74</w:t>
            </w:r>
          </w:p>
        </w:tc>
        <w:tc>
          <w:tcPr>
            <w:tcW w:w="17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141,293</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110,148,594</w:t>
            </w:r>
          </w:p>
        </w:tc>
      </w:tr>
      <w:tr>
        <w:trPr>
          <w:trHeight w:val="147"/>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2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October 29, 2017 through November 25, 2017</w:t>
            </w:r>
          </w:p>
        </w:tc>
        <w:tc>
          <w:tcPr>
            <w:tcW w:w="17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143,516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100.76</w:t>
            </w:r>
          </w:p>
        </w:tc>
        <w:tc>
          <w:tcPr>
            <w:tcW w:w="17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144,485</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95,703,035</w:t>
            </w:r>
          </w:p>
        </w:tc>
      </w:tr>
      <w:tr>
        <w:trPr>
          <w:trHeight w:val="147"/>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2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November 26, 2017 through December 30, 2017</w:t>
            </w:r>
          </w:p>
        </w:tc>
        <w:tc>
          <w:tcPr>
            <w:tcW w:w="17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91,005</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111.58</w:t>
            </w:r>
          </w:p>
        </w:tc>
        <w:tc>
          <w:tcPr>
            <w:tcW w:w="17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91,005</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85,640,453</w:t>
            </w:r>
          </w:p>
        </w:tc>
      </w:tr>
      <w:tr>
        <w:trPr>
          <w:trHeight w:val="171"/>
        </w:trPr>
        <w:tc>
          <w:tcPr>
            <w:tcW w:w="43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r>
      <w:tr>
        <w:trPr>
          <w:trHeight w:val="23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72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375,814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376,783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83" w:lineRule="exact"/>
        <w:rPr>
          <w:sz w:val="20"/>
          <w:szCs w:val="20"/>
          <w:color w:val="auto"/>
        </w:rPr>
      </w:pPr>
    </w:p>
    <w:p>
      <w:pPr>
        <w:ind w:left="580" w:right="200" w:hanging="289"/>
        <w:spacing w:after="0" w:line="285"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shares of our common stock surrendered by our employees to satisfy required tax withholding upon the vesting of restricted stock awards. There were 969 shares surrendered between October 1, 2017 and December 30, 2017.</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40"/>
          </w:cols>
          <w:pgMar w:left="240" w:top="343" w:right="219" w:bottom="1440" w:gutter="0" w:footer="0" w:header="0"/>
        </w:sectPr>
      </w:pPr>
    </w:p>
    <w:bookmarkStart w:id="24" w:name="page25"/>
    <w:bookmarkEnd w:id="24"/>
    <w:p>
      <w:pPr>
        <w:spacing w:after="0"/>
        <w:rPr>
          <w:sz w:val="20"/>
          <w:szCs w:val="20"/>
          <w:color w:val="auto"/>
        </w:rPr>
      </w:pPr>
      <w:r>
        <w:rPr>
          <w:rFonts w:ascii="Arial" w:cs="Arial" w:eastAsia="Arial" w:hAnsi="Arial"/>
          <w:sz w:val="16"/>
          <w:szCs w:val="16"/>
          <w:i w:val="1"/>
          <w:iCs w:val="1"/>
          <w:color w:val="auto"/>
        </w:rPr>
        <w:t>Share Repurchase Program</w:t>
      </w:r>
    </w:p>
    <w:p>
      <w:pPr>
        <w:spacing w:after="0" w:line="207" w:lineRule="exact"/>
        <w:rPr>
          <w:sz w:val="20"/>
          <w:szCs w:val="20"/>
          <w:color w:val="auto"/>
        </w:rPr>
      </w:pPr>
    </w:p>
    <w:p>
      <w:pPr>
        <w:ind w:right="100"/>
        <w:spacing w:after="0" w:line="296" w:lineRule="auto"/>
        <w:rPr>
          <w:sz w:val="20"/>
          <w:szCs w:val="20"/>
          <w:color w:val="auto"/>
        </w:rPr>
      </w:pPr>
      <w:r>
        <w:rPr>
          <w:rFonts w:ascii="Arial" w:cs="Arial" w:eastAsia="Arial" w:hAnsi="Arial"/>
          <w:sz w:val="15"/>
          <w:szCs w:val="15"/>
          <w:color w:val="auto"/>
        </w:rPr>
        <w:t>Prior to 2015, our Board of Directors authorized the repurchase of shares of our common stock in amounts up to $462.5 million. On both February 26, 2016 and February 22, 2018, our Board of Directors authorized an additional $500 million of share repurchases, thereby authorizing total repurchase amounts up to $1,462.5 million. These authorizations are in addition to the $400 million authorized in 2013 for the Company's completed accelerated share repurchase (ASR) program.</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Open-market repurchases of our common stock during fiscal years 2017, 2016, and 2015 were as follows:</w:t>
      </w:r>
    </w:p>
    <w:p>
      <w:pPr>
        <w:spacing w:after="0" w:line="146" w:lineRule="exact"/>
        <w:rPr>
          <w:sz w:val="20"/>
          <w:szCs w:val="20"/>
          <w:color w:val="auto"/>
        </w:rPr>
      </w:pPr>
    </w:p>
    <w:tbl>
      <w:tblPr>
        <w:tblLayout w:type="fixed"/>
        <w:tblInd w:w="1280" w:type="dxa"/>
        <w:tblCellMar>
          <w:top w:w="0" w:type="dxa"/>
          <w:left w:w="0" w:type="dxa"/>
          <w:bottom w:w="0" w:type="dxa"/>
          <w:right w:w="0" w:type="dxa"/>
        </w:tblCellMar>
      </w:tblPr>
      <w:tr>
        <w:trPr>
          <w:trHeight w:val="245"/>
        </w:trPr>
        <w:tc>
          <w:tcPr>
            <w:tcW w:w="3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47"/>
              <w:spacing w:after="0"/>
              <w:rPr>
                <w:sz w:val="20"/>
                <w:szCs w:val="20"/>
                <w:color w:val="auto"/>
              </w:rPr>
            </w:pPr>
            <w:r>
              <w:rPr>
                <w:rFonts w:ascii="Arial" w:cs="Arial" w:eastAsia="Arial" w:hAnsi="Arial"/>
                <w:sz w:val="15"/>
                <w:szCs w:val="15"/>
                <w:b w:val="1"/>
                <w:bCs w:val="1"/>
                <w:color w:val="auto"/>
                <w:w w:val="96"/>
              </w:rPr>
              <w:t>Fiscal year ended</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07"/>
        </w:trPr>
        <w:tc>
          <w:tcPr>
            <w:tcW w:w="30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December 30, 2017</w:t>
            </w: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267"/>
              <w:spacing w:after="0"/>
              <w:rPr>
                <w:sz w:val="20"/>
                <w:szCs w:val="20"/>
                <w:color w:val="auto"/>
              </w:rPr>
            </w:pPr>
            <w:r>
              <w:rPr>
                <w:rFonts w:ascii="Arial" w:cs="Arial" w:eastAsia="Arial" w:hAnsi="Arial"/>
                <w:sz w:val="15"/>
                <w:szCs w:val="15"/>
                <w:b w:val="1"/>
                <w:bCs w:val="1"/>
                <w:color w:val="auto"/>
                <w:w w:val="96"/>
              </w:rPr>
              <w:t>December 31, 2016</w:t>
            </w:r>
          </w:p>
        </w:tc>
        <w:tc>
          <w:tcPr>
            <w:tcW w:w="3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January 2, 2016</w:t>
            </w:r>
          </w:p>
        </w:tc>
      </w:tr>
      <w:tr>
        <w:trPr>
          <w:trHeight w:val="29"/>
        </w:trPr>
        <w:tc>
          <w:tcPr>
            <w:tcW w:w="3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Number of shares repurchased</w:t>
            </w:r>
          </w:p>
        </w:tc>
        <w:tc>
          <w:tcPr>
            <w:tcW w:w="2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2,103,401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3,049,381</w:t>
            </w:r>
          </w:p>
        </w:tc>
        <w:tc>
          <w:tcPr>
            <w:tcW w:w="3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1,154,288</w:t>
            </w:r>
          </w:p>
        </w:tc>
      </w:tr>
      <w:tr>
        <w:trPr>
          <w:trHeight w:val="200"/>
        </w:trPr>
        <w:tc>
          <w:tcPr>
            <w:tcW w:w="3000" w:type="dxa"/>
            <w:vAlign w:val="bottom"/>
          </w:tcPr>
          <w:p>
            <w:pPr>
              <w:ind w:left="20"/>
              <w:spacing w:after="0"/>
              <w:rPr>
                <w:sz w:val="20"/>
                <w:szCs w:val="20"/>
                <w:color w:val="auto"/>
              </w:rPr>
            </w:pPr>
            <w:r>
              <w:rPr>
                <w:rFonts w:ascii="Arial" w:cs="Arial" w:eastAsia="Arial" w:hAnsi="Arial"/>
                <w:sz w:val="15"/>
                <w:szCs w:val="15"/>
                <w:color w:val="auto"/>
                <w:w w:val="91"/>
              </w:rPr>
              <w:t xml:space="preserve">Aggregate cost of shares repurchased </w:t>
            </w:r>
            <w:r>
              <w:rPr>
                <w:rFonts w:ascii="Arial" w:cs="Arial" w:eastAsia="Arial" w:hAnsi="Arial"/>
                <w:sz w:val="15"/>
                <w:szCs w:val="15"/>
                <w:i w:val="1"/>
                <w:iCs w:val="1"/>
                <w:color w:val="auto"/>
                <w:w w:val="91"/>
              </w:rPr>
              <w:t>(dollars in</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87"/>
        </w:trPr>
        <w:tc>
          <w:tcPr>
            <w:tcW w:w="3000" w:type="dxa"/>
            <w:vAlign w:val="bottom"/>
          </w:tcPr>
          <w:p>
            <w:pPr>
              <w:ind w:left="20"/>
              <w:spacing w:after="0"/>
              <w:rPr>
                <w:sz w:val="20"/>
                <w:szCs w:val="20"/>
                <w:color w:val="auto"/>
              </w:rPr>
            </w:pPr>
            <w:r>
              <w:rPr>
                <w:rFonts w:ascii="Arial" w:cs="Arial" w:eastAsia="Arial" w:hAnsi="Arial"/>
                <w:sz w:val="15"/>
                <w:szCs w:val="15"/>
                <w:i w:val="1"/>
                <w:iCs w:val="1"/>
                <w:color w:val="auto"/>
              </w:rPr>
              <w:t>thousands)</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27"/>
              <w:spacing w:after="0"/>
              <w:rPr>
                <w:sz w:val="20"/>
                <w:szCs w:val="20"/>
                <w:color w:val="auto"/>
              </w:rPr>
            </w:pPr>
            <w:r>
              <w:rPr>
                <w:rFonts w:ascii="Arial" w:cs="Arial" w:eastAsia="Arial" w:hAnsi="Arial"/>
                <w:sz w:val="15"/>
                <w:szCs w:val="15"/>
                <w:color w:val="auto"/>
              </w:rPr>
              <w:t>188,762</w:t>
            </w:r>
          </w:p>
        </w:tc>
        <w:tc>
          <w:tcPr>
            <w:tcW w:w="10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ind w:right="27"/>
              <w:spacing w:after="0"/>
              <w:rPr>
                <w:sz w:val="20"/>
                <w:szCs w:val="20"/>
                <w:color w:val="auto"/>
              </w:rPr>
            </w:pPr>
            <w:r>
              <w:rPr>
                <w:rFonts w:ascii="Arial" w:cs="Arial" w:eastAsia="Arial" w:hAnsi="Arial"/>
                <w:sz w:val="15"/>
                <w:szCs w:val="15"/>
                <w:color w:val="auto"/>
              </w:rPr>
              <w:t>300,445</w:t>
            </w:r>
          </w:p>
        </w:tc>
        <w:tc>
          <w:tcPr>
            <w:tcW w:w="36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7"/>
              <w:spacing w:after="0"/>
              <w:rPr>
                <w:sz w:val="20"/>
                <w:szCs w:val="20"/>
                <w:color w:val="auto"/>
              </w:rPr>
            </w:pPr>
            <w:r>
              <w:rPr>
                <w:rFonts w:ascii="Arial" w:cs="Arial" w:eastAsia="Arial" w:hAnsi="Arial"/>
                <w:sz w:val="15"/>
                <w:szCs w:val="15"/>
                <w:color w:val="auto"/>
              </w:rPr>
              <w:t>110,290</w:t>
            </w:r>
          </w:p>
        </w:tc>
      </w:tr>
      <w:tr>
        <w:trPr>
          <w:trHeight w:val="29"/>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5"/>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Average price per share</w:t>
            </w: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89.74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98.53</w:t>
            </w:r>
          </w:p>
        </w:tc>
        <w:tc>
          <w:tcPr>
            <w:tcW w:w="3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95.55</w:t>
            </w:r>
          </w:p>
        </w:tc>
      </w:tr>
      <w:tr>
        <w:trPr>
          <w:trHeight w:val="29"/>
        </w:trPr>
        <w:tc>
          <w:tcPr>
            <w:tcW w:w="3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addition to the open-market repurchases completed in fiscal years 2017, 2016, and 2015, we completed open-market repurchases totaling $277.4 million in fiscal years prior to 2015.</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total remaining capacity under the repurchase authorizations was approximately $85.6 million as of December 30, 2017.</w:t>
      </w:r>
    </w:p>
    <w:p>
      <w:pPr>
        <w:spacing w:after="0" w:line="207"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Repurchases under the authorizations may be made in the open market or in privately-negotiated transactions, with the level and timing of such activity at the discretion of our management depending on market conditions, stock price, other investment priorities, and other factors. The share repurchase authorizations have no expiration dates.</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1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On February 22, 2018, our Board of Directors authorized a quarterly cash dividend payment of $0.45 per common share, payable on March 23, 2018 to shareholders of record at the close of business on March 12, 2018.</w:t>
      </w:r>
    </w:p>
    <w:p>
      <w:pPr>
        <w:spacing w:after="0" w:line="150" w:lineRule="exact"/>
        <w:rPr>
          <w:sz w:val="20"/>
          <w:szCs w:val="20"/>
          <w:color w:val="auto"/>
        </w:rPr>
      </w:pPr>
    </w:p>
    <w:p>
      <w:pPr>
        <w:ind w:right="400"/>
        <w:spacing w:after="0" w:line="270" w:lineRule="auto"/>
        <w:rPr>
          <w:sz w:val="20"/>
          <w:szCs w:val="20"/>
          <w:color w:val="auto"/>
        </w:rPr>
      </w:pPr>
      <w:r>
        <w:rPr>
          <w:rFonts w:ascii="Arial" w:cs="Arial" w:eastAsia="Arial" w:hAnsi="Arial"/>
          <w:sz w:val="16"/>
          <w:szCs w:val="16"/>
          <w:color w:val="auto"/>
        </w:rPr>
        <w:t>In fiscal 2017, we paid quarterly cash dividends of $0.37 per share each quarter. In fiscal 2016, we paid quarterly cash dividends of $0.33 per share each quarter. Future declarations of quarterly dividends and the establishment of future record and payment dates are at the discretion of our Board of Directors based on a number of factors, including our future financial performance and other investment priorities.</w:t>
      </w:r>
    </w:p>
    <w:p>
      <w:pPr>
        <w:spacing w:after="0" w:line="162"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Provisions in our secured revolving credit facility and indenture governing our senior notes could have the effect of restricting our ability to pay future cash dividends on or make future repurchases of our common stock. For more information concerning these dividend restrictions, refer to the "Financial Condition, Capital Resources, and Liquidity" section of Item 7 in this Annual Report on Form 10-K.</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SALES OF UNREGISTERED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543"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ITEM 6. SELECTED FINANCIAL DATA</w:t>
      </w:r>
    </w:p>
    <w:p>
      <w:pPr>
        <w:spacing w:after="0" w:line="208"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The following selected financial and other data has been derived from our consolidated financial statements for each of the five fiscal years presented. The following information should be read in conjunction with Item 7 - "Management's Discussion and Analysis of Financial Condition and Results of Operations" and Item 8-"Financial Statements and Supplementary Data" which includes the consolidated financial statements and related notes appearing elsewhere in this Annual Report on Form 10-K, or the respective prior fiscal years' Form 10-K.</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The Company's fiscal year ends on the Saturday, in December or January, nearest the last day of December, resulting in an additional week of results every five or six years.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All fiscal years for which financial information is set forth below contained 52 weeks, except for the fiscal year ended January 3, 2015, which contained 53 weeks.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5"/>
                <w:szCs w:val="15"/>
                <w:b w:val="1"/>
                <w:bCs w:val="1"/>
                <w:color w:val="auto"/>
                <w:w w:val="87"/>
              </w:rPr>
              <w:t>For the fiscal year ended</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188"/>
        </w:trPr>
        <w:tc>
          <w:tcPr>
            <w:tcW w:w="36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December 30,</w:t>
            </w: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92"/>
              </w:rPr>
              <w:t>December 31,</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January 3,</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191"/>
        </w:trPr>
        <w:tc>
          <w:tcPr>
            <w:tcW w:w="3660" w:type="dxa"/>
            <w:vAlign w:val="bottom"/>
          </w:tcPr>
          <w:p>
            <w:pPr>
              <w:ind w:left="20"/>
              <w:spacing w:after="0"/>
              <w:rPr>
                <w:sz w:val="20"/>
                <w:szCs w:val="20"/>
                <w:color w:val="auto"/>
              </w:rPr>
            </w:pPr>
            <w:r>
              <w:rPr>
                <w:rFonts w:ascii="Arial" w:cs="Arial" w:eastAsia="Arial" w:hAnsi="Arial"/>
                <w:sz w:val="15"/>
                <w:szCs w:val="15"/>
                <w:i w:val="1"/>
                <w:iCs w:val="1"/>
                <w:color w:val="auto"/>
              </w:rPr>
              <w:t>(dollars in thousands, except per share data)</w:t>
            </w:r>
          </w:p>
        </w:tc>
        <w:tc>
          <w:tcPr>
            <w:tcW w:w="300" w:type="dxa"/>
            <w:vAlign w:val="bottom"/>
          </w:tcPr>
          <w:p>
            <w:pPr>
              <w:spacing w:after="0"/>
              <w:rPr>
                <w:sz w:val="16"/>
                <w:szCs w:val="16"/>
                <w:color w:val="auto"/>
              </w:rPr>
            </w:pPr>
          </w:p>
        </w:tc>
        <w:tc>
          <w:tcPr>
            <w:tcW w:w="1180" w:type="dxa"/>
            <w:vAlign w:val="bottom"/>
          </w:tcPr>
          <w:p>
            <w:pPr>
              <w:jc w:val="right"/>
              <w:ind w:right="447"/>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447"/>
              <w:spacing w:after="0"/>
              <w:rPr>
                <w:sz w:val="20"/>
                <w:szCs w:val="20"/>
                <w:color w:val="auto"/>
              </w:rPr>
            </w:pPr>
            <w:r>
              <w:rPr>
                <w:rFonts w:ascii="Arial" w:cs="Arial" w:eastAsia="Arial" w:hAnsi="Arial"/>
                <w:sz w:val="15"/>
                <w:szCs w:val="15"/>
                <w:b w:val="1"/>
                <w:bCs w:val="1"/>
                <w:color w:val="auto"/>
              </w:rPr>
              <w:t>2016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89"/>
              </w:rPr>
              <w:t>January 2, 2016</w:t>
            </w:r>
          </w:p>
        </w:tc>
        <w:tc>
          <w:tcPr>
            <w:tcW w:w="220" w:type="dxa"/>
            <w:vAlign w:val="bottom"/>
          </w:tcPr>
          <w:p>
            <w:pPr>
              <w:spacing w:after="0"/>
              <w:rPr>
                <w:sz w:val="16"/>
                <w:szCs w:val="16"/>
                <w:color w:val="auto"/>
              </w:rPr>
            </w:pPr>
          </w:p>
        </w:tc>
        <w:tc>
          <w:tcPr>
            <w:tcW w:w="1200" w:type="dxa"/>
            <w:vAlign w:val="bottom"/>
          </w:tcPr>
          <w:p>
            <w:pPr>
              <w:jc w:val="right"/>
              <w:ind w:right="507"/>
              <w:spacing w:after="0"/>
              <w:rPr>
                <w:sz w:val="20"/>
                <w:szCs w:val="20"/>
                <w:color w:val="auto"/>
              </w:rPr>
            </w:pPr>
            <w:r>
              <w:rPr>
                <w:rFonts w:ascii="Arial" w:cs="Arial" w:eastAsia="Arial" w:hAnsi="Arial"/>
                <w:sz w:val="15"/>
                <w:szCs w:val="15"/>
                <w:b w:val="1"/>
                <w:bCs w:val="1"/>
                <w:color w:val="auto"/>
              </w:rPr>
              <w:t>2015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67"/>
              <w:spacing w:after="0"/>
              <w:rPr>
                <w:sz w:val="20"/>
                <w:szCs w:val="20"/>
                <w:color w:val="auto"/>
              </w:rPr>
            </w:pPr>
            <w:r>
              <w:rPr>
                <w:rFonts w:ascii="Arial" w:cs="Arial" w:eastAsia="Arial" w:hAnsi="Arial"/>
                <w:sz w:val="15"/>
                <w:szCs w:val="15"/>
                <w:b w:val="1"/>
                <w:bCs w:val="1"/>
                <w:color w:val="auto"/>
                <w:w w:val="85"/>
              </w:rPr>
              <w:t>December 28, 2013</w:t>
            </w:r>
          </w:p>
        </w:tc>
      </w:tr>
      <w:tr>
        <w:trPr>
          <w:trHeight w:val="29"/>
        </w:trPr>
        <w:tc>
          <w:tcPr>
            <w:tcW w:w="3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Data:</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5"/>
                <w:szCs w:val="15"/>
                <w:color w:val="auto"/>
              </w:rPr>
              <w:t>U.S. Retail</w:t>
            </w:r>
          </w:p>
        </w:tc>
        <w:tc>
          <w:tcPr>
            <w:tcW w:w="3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1,775,287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1,656,414</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1,514,355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1,422,305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47"/>
              <w:spacing w:after="0"/>
              <w:rPr>
                <w:sz w:val="20"/>
                <w:szCs w:val="20"/>
                <w:color w:val="auto"/>
              </w:rPr>
            </w:pPr>
            <w:r>
              <w:rPr>
                <w:rFonts w:ascii="Arial" w:cs="Arial" w:eastAsia="Arial" w:hAnsi="Arial"/>
                <w:sz w:val="15"/>
                <w:szCs w:val="15"/>
                <w:color w:val="auto"/>
              </w:rPr>
              <w:t>1,243,471</w:t>
            </w:r>
          </w:p>
        </w:tc>
      </w:tr>
      <w:tr>
        <w:trPr>
          <w:trHeight w:val="29"/>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 Wholesale</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1,209,663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1,178,034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1,173,313</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1,155,089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1,109,984</w:t>
            </w:r>
          </w:p>
        </w:tc>
      </w:tr>
      <w:tr>
        <w:trPr>
          <w:trHeight w:val="215"/>
        </w:trPr>
        <w:tc>
          <w:tcPr>
            <w:tcW w:w="3660" w:type="dxa"/>
            <w:vAlign w:val="bottom"/>
          </w:tcPr>
          <w:p>
            <w:pPr>
              <w:ind w:left="20"/>
              <w:spacing w:after="0"/>
              <w:rPr>
                <w:sz w:val="20"/>
                <w:szCs w:val="20"/>
                <w:color w:val="auto"/>
              </w:rPr>
            </w:pPr>
            <w:r>
              <w:rPr>
                <w:rFonts w:ascii="Arial" w:cs="Arial" w:eastAsia="Arial" w:hAnsi="Arial"/>
                <w:sz w:val="15"/>
                <w:szCs w:val="15"/>
                <w:color w:val="auto"/>
              </w:rPr>
              <w:t>International</w:t>
            </w:r>
          </w:p>
        </w:tc>
        <w:tc>
          <w:tcPr>
            <w:tcW w:w="300" w:type="dxa"/>
            <w:vAlign w:val="bottom"/>
          </w:tcPr>
          <w:p>
            <w:pPr>
              <w:spacing w:after="0"/>
              <w:rPr>
                <w:sz w:val="18"/>
                <w:szCs w:val="18"/>
                <w:color w:val="auto"/>
              </w:rPr>
            </w:pP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415,460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364,736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326,211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316,474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47"/>
              <w:spacing w:after="0"/>
              <w:rPr>
                <w:sz w:val="20"/>
                <w:szCs w:val="20"/>
                <w:color w:val="auto"/>
              </w:rPr>
            </w:pPr>
            <w:r>
              <w:rPr>
                <w:rFonts w:ascii="Arial" w:cs="Arial" w:eastAsia="Arial" w:hAnsi="Arial"/>
                <w:sz w:val="15"/>
                <w:szCs w:val="15"/>
                <w:color w:val="auto"/>
              </w:rPr>
              <w:t>285,256</w:t>
            </w:r>
          </w:p>
        </w:tc>
      </w:tr>
      <w:tr>
        <w:trPr>
          <w:trHeight w:val="29"/>
        </w:trPr>
        <w:tc>
          <w:tcPr>
            <w:tcW w:w="3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Total net sales</w:t>
            </w:r>
          </w:p>
        </w:tc>
        <w:tc>
          <w:tcPr>
            <w:tcW w:w="3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3,400,410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3,199,184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3,013,879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2,893,868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2,638,711</w:t>
            </w:r>
          </w:p>
        </w:tc>
      </w:tr>
      <w:tr>
        <w:trPr>
          <w:trHeight w:val="207"/>
        </w:trPr>
        <w:tc>
          <w:tcPr>
            <w:tcW w:w="3660" w:type="dxa"/>
            <w:vAlign w:val="bottom"/>
          </w:tcPr>
          <w:p>
            <w:pPr>
              <w:ind w:left="20"/>
              <w:spacing w:after="0"/>
              <w:rPr>
                <w:sz w:val="20"/>
                <w:szCs w:val="20"/>
                <w:color w:val="auto"/>
              </w:rPr>
            </w:pPr>
            <w:r>
              <w:rPr>
                <w:rFonts w:ascii="Arial" w:cs="Arial" w:eastAsia="Arial" w:hAnsi="Arial"/>
                <w:sz w:val="15"/>
                <w:szCs w:val="15"/>
                <w:color w:val="auto"/>
              </w:rPr>
              <w:t>Cost of goods sold</w:t>
            </w:r>
          </w:p>
        </w:tc>
        <w:tc>
          <w:tcPr>
            <w:tcW w:w="30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1,917,096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1,820,035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1,755,855</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1,709,428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1,543,332</w:t>
            </w:r>
          </w:p>
        </w:tc>
      </w:tr>
      <w:tr>
        <w:trPr>
          <w:trHeight w:val="29"/>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3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1,483,314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1,379,149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1,258,024</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1,184,440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1,095,379</w:t>
            </w:r>
          </w:p>
        </w:tc>
      </w:tr>
      <w:tr>
        <w:trPr>
          <w:trHeight w:val="215"/>
        </w:trPr>
        <w:tc>
          <w:tcPr>
            <w:tcW w:w="3660" w:type="dxa"/>
            <w:vAlign w:val="bottom"/>
          </w:tcPr>
          <w:p>
            <w:pPr>
              <w:ind w:left="20"/>
              <w:spacing w:after="0"/>
              <w:rPr>
                <w:sz w:val="20"/>
                <w:szCs w:val="20"/>
                <w:color w:val="auto"/>
              </w:rPr>
            </w:pPr>
            <w:r>
              <w:rPr>
                <w:rFonts w:ascii="Arial" w:cs="Arial" w:eastAsia="Arial" w:hAnsi="Arial"/>
                <w:sz w:val="15"/>
                <w:szCs w:val="15"/>
                <w:color w:val="auto"/>
              </w:rPr>
              <w:t>Operating income</w:t>
            </w:r>
          </w:p>
        </w:tc>
        <w:tc>
          <w:tcPr>
            <w:tcW w:w="3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419,568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426,558</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392,857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333,345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47"/>
              <w:spacing w:after="0"/>
              <w:rPr>
                <w:sz w:val="20"/>
                <w:szCs w:val="20"/>
                <w:color w:val="auto"/>
              </w:rPr>
            </w:pPr>
            <w:r>
              <w:rPr>
                <w:rFonts w:ascii="Arial" w:cs="Arial" w:eastAsia="Arial" w:hAnsi="Arial"/>
                <w:sz w:val="15"/>
                <w:szCs w:val="15"/>
                <w:color w:val="auto"/>
              </w:rPr>
              <w:t>264,151</w:t>
            </w:r>
          </w:p>
        </w:tc>
      </w:tr>
      <w:tr>
        <w:trPr>
          <w:trHeight w:val="29"/>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Income before income taxes</w:t>
            </w:r>
          </w:p>
        </w:tc>
        <w:tc>
          <w:tcPr>
            <w:tcW w:w="3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391,032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396,070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368,188</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302,906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249,465</w:t>
            </w:r>
          </w:p>
        </w:tc>
      </w:tr>
      <w:tr>
        <w:trPr>
          <w:trHeight w:val="215"/>
        </w:trPr>
        <w:tc>
          <w:tcPr>
            <w:tcW w:w="3660" w:type="dxa"/>
            <w:vAlign w:val="bottom"/>
          </w:tcPr>
          <w:p>
            <w:pPr>
              <w:ind w:left="40"/>
              <w:spacing w:after="0"/>
              <w:rPr>
                <w:sz w:val="20"/>
                <w:szCs w:val="20"/>
                <w:color w:val="auto"/>
              </w:rPr>
            </w:pPr>
            <w:r>
              <w:rPr>
                <w:rFonts w:ascii="Arial" w:cs="Arial" w:eastAsia="Arial" w:hAnsi="Arial"/>
                <w:sz w:val="15"/>
                <w:szCs w:val="15"/>
                <w:color w:val="auto"/>
              </w:rPr>
              <w:t>Net income (a)</w:t>
            </w:r>
          </w:p>
        </w:tc>
        <w:tc>
          <w:tcPr>
            <w:tcW w:w="3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302,764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258,106</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237,822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194,670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47"/>
              <w:spacing w:after="0"/>
              <w:rPr>
                <w:sz w:val="20"/>
                <w:szCs w:val="20"/>
                <w:color w:val="auto"/>
              </w:rPr>
            </w:pPr>
            <w:r>
              <w:rPr>
                <w:rFonts w:ascii="Arial" w:cs="Arial" w:eastAsia="Arial" w:hAnsi="Arial"/>
                <w:sz w:val="15"/>
                <w:szCs w:val="15"/>
                <w:color w:val="auto"/>
              </w:rPr>
              <w:t>160,407</w:t>
            </w:r>
          </w:p>
        </w:tc>
      </w:tr>
      <w:tr>
        <w:trPr>
          <w:trHeight w:val="29"/>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Per Common Share Data:</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215"/>
        </w:trPr>
        <w:tc>
          <w:tcPr>
            <w:tcW w:w="3660" w:type="dxa"/>
            <w:vAlign w:val="bottom"/>
          </w:tcPr>
          <w:p>
            <w:pPr>
              <w:ind w:left="40"/>
              <w:spacing w:after="0"/>
              <w:rPr>
                <w:sz w:val="20"/>
                <w:szCs w:val="20"/>
                <w:color w:val="auto"/>
              </w:rPr>
            </w:pPr>
            <w:r>
              <w:rPr>
                <w:rFonts w:ascii="Arial" w:cs="Arial" w:eastAsia="Arial" w:hAnsi="Arial"/>
                <w:sz w:val="15"/>
                <w:szCs w:val="15"/>
                <w:color w:val="auto"/>
              </w:rPr>
              <w:t>Basic net income</w:t>
            </w:r>
          </w:p>
        </w:tc>
        <w:tc>
          <w:tcPr>
            <w:tcW w:w="3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6.31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5.13</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4.55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3.65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47"/>
              <w:spacing w:after="0"/>
              <w:rPr>
                <w:sz w:val="20"/>
                <w:szCs w:val="20"/>
                <w:color w:val="auto"/>
              </w:rPr>
            </w:pPr>
            <w:r>
              <w:rPr>
                <w:rFonts w:ascii="Arial" w:cs="Arial" w:eastAsia="Arial" w:hAnsi="Arial"/>
                <w:sz w:val="15"/>
                <w:szCs w:val="15"/>
                <w:color w:val="auto"/>
              </w:rPr>
              <w:t>2.78</w:t>
            </w:r>
          </w:p>
        </w:tc>
      </w:tr>
      <w:tr>
        <w:trPr>
          <w:trHeight w:val="29"/>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Diluted net income</w:t>
            </w:r>
          </w:p>
        </w:tc>
        <w:tc>
          <w:tcPr>
            <w:tcW w:w="3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6.24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5.08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4.50</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3.62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2.75</w:t>
            </w:r>
          </w:p>
        </w:tc>
      </w:tr>
      <w:tr>
        <w:trPr>
          <w:trHeight w:val="215"/>
        </w:trPr>
        <w:tc>
          <w:tcPr>
            <w:tcW w:w="3660" w:type="dxa"/>
            <w:vAlign w:val="bottom"/>
          </w:tcPr>
          <w:p>
            <w:pPr>
              <w:ind w:left="40"/>
              <w:spacing w:after="0"/>
              <w:rPr>
                <w:sz w:val="20"/>
                <w:szCs w:val="20"/>
                <w:color w:val="auto"/>
              </w:rPr>
            </w:pPr>
            <w:r>
              <w:rPr>
                <w:rFonts w:ascii="Arial" w:cs="Arial" w:eastAsia="Arial" w:hAnsi="Arial"/>
                <w:sz w:val="15"/>
                <w:szCs w:val="15"/>
                <w:b w:val="1"/>
                <w:bCs w:val="1"/>
                <w:color w:val="auto"/>
              </w:rPr>
              <w:t>Balance Sheet Data:</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9"/>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Working capital (b) (c) (d)</w:t>
            </w:r>
          </w:p>
        </w:tc>
        <w:tc>
          <w:tcPr>
            <w:tcW w:w="3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689,045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779,476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867,890</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792,675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700,473</w:t>
            </w:r>
          </w:p>
        </w:tc>
      </w:tr>
      <w:tr>
        <w:trPr>
          <w:trHeight w:val="215"/>
        </w:trPr>
        <w:tc>
          <w:tcPr>
            <w:tcW w:w="3660" w:type="dxa"/>
            <w:vAlign w:val="bottom"/>
          </w:tcPr>
          <w:p>
            <w:pPr>
              <w:ind w:left="20"/>
              <w:spacing w:after="0"/>
              <w:rPr>
                <w:sz w:val="20"/>
                <w:szCs w:val="20"/>
                <w:color w:val="auto"/>
              </w:rPr>
            </w:pPr>
            <w:r>
              <w:rPr>
                <w:rFonts w:ascii="Arial" w:cs="Arial" w:eastAsia="Arial" w:hAnsi="Arial"/>
                <w:sz w:val="15"/>
                <w:szCs w:val="15"/>
                <w:color w:val="auto"/>
              </w:rPr>
              <w:t>Total assets (c) (d)</w:t>
            </w:r>
          </w:p>
        </w:tc>
        <w:tc>
          <w:tcPr>
            <w:tcW w:w="3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2,067,999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1,946,597</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2,003,654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1,886,825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47"/>
              <w:spacing w:after="0"/>
              <w:rPr>
                <w:sz w:val="20"/>
                <w:szCs w:val="20"/>
                <w:color w:val="auto"/>
              </w:rPr>
            </w:pPr>
            <w:r>
              <w:rPr>
                <w:rFonts w:ascii="Arial" w:cs="Arial" w:eastAsia="Arial" w:hAnsi="Arial"/>
                <w:sz w:val="15"/>
                <w:szCs w:val="15"/>
                <w:color w:val="auto"/>
              </w:rPr>
              <w:t>1,805,444</w:t>
            </w:r>
          </w:p>
        </w:tc>
      </w:tr>
      <w:tr>
        <w:trPr>
          <w:trHeight w:val="29"/>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debt, net (c)</w:t>
            </w:r>
          </w:p>
        </w:tc>
        <w:tc>
          <w:tcPr>
            <w:tcW w:w="3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617,306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580,376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578,972</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579,728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578,960</w:t>
            </w:r>
          </w:p>
        </w:tc>
      </w:tr>
      <w:tr>
        <w:trPr>
          <w:trHeight w:val="215"/>
        </w:trPr>
        <w:tc>
          <w:tcPr>
            <w:tcW w:w="3660" w:type="dxa"/>
            <w:vAlign w:val="bottom"/>
          </w:tcPr>
          <w:p>
            <w:pPr>
              <w:ind w:left="40"/>
              <w:spacing w:after="0"/>
              <w:rPr>
                <w:sz w:val="20"/>
                <w:szCs w:val="20"/>
                <w:color w:val="auto"/>
              </w:rPr>
            </w:pPr>
            <w:r>
              <w:rPr>
                <w:rFonts w:ascii="Arial" w:cs="Arial" w:eastAsia="Arial" w:hAnsi="Arial"/>
                <w:sz w:val="15"/>
                <w:szCs w:val="15"/>
                <w:color w:val="auto"/>
              </w:rPr>
              <w:t>Stockholders' equity</w:t>
            </w:r>
          </w:p>
        </w:tc>
        <w:tc>
          <w:tcPr>
            <w:tcW w:w="3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857,093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788,124</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875,051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786,684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47"/>
              <w:spacing w:after="0"/>
              <w:rPr>
                <w:sz w:val="20"/>
                <w:szCs w:val="20"/>
                <w:color w:val="auto"/>
              </w:rPr>
            </w:pPr>
            <w:r>
              <w:rPr>
                <w:rFonts w:ascii="Arial" w:cs="Arial" w:eastAsia="Arial" w:hAnsi="Arial"/>
                <w:sz w:val="15"/>
                <w:szCs w:val="15"/>
                <w:color w:val="auto"/>
              </w:rPr>
              <w:t>700,731</w:t>
            </w:r>
          </w:p>
        </w:tc>
      </w:tr>
      <w:tr>
        <w:trPr>
          <w:trHeight w:val="29"/>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Cash Flow Data:</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215"/>
        </w:trPr>
        <w:tc>
          <w:tcPr>
            <w:tcW w:w="3660" w:type="dxa"/>
            <w:vAlign w:val="bottom"/>
          </w:tcPr>
          <w:p>
            <w:pPr>
              <w:ind w:left="40"/>
              <w:spacing w:after="0"/>
              <w:rPr>
                <w:sz w:val="20"/>
                <w:szCs w:val="20"/>
                <w:color w:val="auto"/>
              </w:rPr>
            </w:pPr>
            <w:r>
              <w:rPr>
                <w:rFonts w:ascii="Arial" w:cs="Arial" w:eastAsia="Arial" w:hAnsi="Arial"/>
                <w:sz w:val="15"/>
                <w:szCs w:val="15"/>
                <w:color w:val="auto"/>
              </w:rPr>
              <w:t>Net cash provided by operating activities</w:t>
            </w:r>
          </w:p>
        </w:tc>
        <w:tc>
          <w:tcPr>
            <w:tcW w:w="3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329,621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369,229</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307,987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282,397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47"/>
              <w:spacing w:after="0"/>
              <w:rPr>
                <w:sz w:val="20"/>
                <w:szCs w:val="20"/>
                <w:color w:val="auto"/>
              </w:rPr>
            </w:pPr>
            <w:r>
              <w:rPr>
                <w:rFonts w:ascii="Arial" w:cs="Arial" w:eastAsia="Arial" w:hAnsi="Arial"/>
                <w:sz w:val="15"/>
                <w:szCs w:val="15"/>
                <w:color w:val="auto"/>
              </w:rPr>
              <w:t>209,696</w:t>
            </w:r>
          </w:p>
        </w:tc>
      </w:tr>
      <w:tr>
        <w:trPr>
          <w:trHeight w:val="29"/>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used in investing activities</w:t>
            </w:r>
          </w:p>
        </w:tc>
        <w:tc>
          <w:tcPr>
            <w:tcW w:w="3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(227,915)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(88,340)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(103,425)</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(104,732)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(220,532)</w:t>
            </w:r>
          </w:p>
        </w:tc>
      </w:tr>
      <w:tr>
        <w:trPr>
          <w:trHeight w:val="215"/>
        </w:trPr>
        <w:tc>
          <w:tcPr>
            <w:tcW w:w="3660" w:type="dxa"/>
            <w:vAlign w:val="bottom"/>
          </w:tcPr>
          <w:p>
            <w:pPr>
              <w:ind w:left="20"/>
              <w:spacing w:after="0"/>
              <w:rPr>
                <w:sz w:val="20"/>
                <w:szCs w:val="20"/>
                <w:color w:val="auto"/>
              </w:rPr>
            </w:pPr>
            <w:r>
              <w:rPr>
                <w:rFonts w:ascii="Arial" w:cs="Arial" w:eastAsia="Arial" w:hAnsi="Arial"/>
                <w:sz w:val="15"/>
                <w:szCs w:val="15"/>
                <w:color w:val="auto"/>
              </w:rPr>
              <w:t>Net cash used in financing activities</w:t>
            </w:r>
          </w:p>
        </w:tc>
        <w:tc>
          <w:tcPr>
            <w:tcW w:w="3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(223,075)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(363,507)</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(162,005)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(122,438)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(84,658)</w:t>
            </w:r>
          </w:p>
        </w:tc>
      </w:tr>
      <w:tr>
        <w:trPr>
          <w:trHeight w:val="29"/>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Other Data:</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215"/>
        </w:trPr>
        <w:tc>
          <w:tcPr>
            <w:tcW w:w="3660" w:type="dxa"/>
            <w:vAlign w:val="bottom"/>
          </w:tcPr>
          <w:p>
            <w:pPr>
              <w:ind w:left="40"/>
              <w:spacing w:after="0"/>
              <w:rPr>
                <w:sz w:val="20"/>
                <w:szCs w:val="20"/>
                <w:color w:val="auto"/>
              </w:rPr>
            </w:pPr>
            <w:r>
              <w:rPr>
                <w:rFonts w:ascii="Arial" w:cs="Arial" w:eastAsia="Arial" w:hAnsi="Arial"/>
                <w:sz w:val="15"/>
                <w:szCs w:val="15"/>
                <w:color w:val="auto"/>
              </w:rPr>
              <w:t>Capital expenditures</w:t>
            </w:r>
          </w:p>
        </w:tc>
        <w:tc>
          <w:tcPr>
            <w:tcW w:w="3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69,473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88,556</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103,497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47"/>
              <w:spacing w:after="0"/>
              <w:rPr>
                <w:sz w:val="20"/>
                <w:szCs w:val="20"/>
                <w:color w:val="auto"/>
              </w:rPr>
            </w:pPr>
            <w:r>
              <w:rPr>
                <w:rFonts w:ascii="Arial" w:cs="Arial" w:eastAsia="Arial" w:hAnsi="Arial"/>
                <w:sz w:val="15"/>
                <w:szCs w:val="15"/>
                <w:color w:val="auto"/>
              </w:rPr>
              <w:t>103,453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47"/>
              <w:spacing w:after="0"/>
              <w:rPr>
                <w:sz w:val="20"/>
                <w:szCs w:val="20"/>
                <w:color w:val="auto"/>
              </w:rPr>
            </w:pPr>
            <w:r>
              <w:rPr>
                <w:rFonts w:ascii="Arial" w:cs="Arial" w:eastAsia="Arial" w:hAnsi="Arial"/>
                <w:sz w:val="15"/>
                <w:szCs w:val="15"/>
                <w:color w:val="auto"/>
              </w:rPr>
              <w:t>182,525</w:t>
            </w:r>
          </w:p>
        </w:tc>
      </w:tr>
      <w:tr>
        <w:trPr>
          <w:trHeight w:val="29"/>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5"/>
        </w:trPr>
        <w:tc>
          <w:tcPr>
            <w:tcW w:w="36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Dividend declared and paid per common share</w:t>
            </w:r>
          </w:p>
        </w:tc>
        <w:tc>
          <w:tcPr>
            <w:tcW w:w="3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0.88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0.76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0.48</w:t>
            </w:r>
          </w:p>
        </w:tc>
      </w:tr>
      <w:tr>
        <w:trPr>
          <w:trHeight w:val="29"/>
        </w:trPr>
        <w:tc>
          <w:tcPr>
            <w:tcW w:w="36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20"/>
          </w:cols>
          <w:pgMar w:left="240" w:top="343" w:right="439" w:bottom="1440" w:gutter="0" w:footer="0" w:header="0"/>
        </w:sectPr>
      </w:pPr>
    </w:p>
    <w:bookmarkStart w:id="26" w:name="page27"/>
    <w:bookmarkEnd w:id="26"/>
    <w:p>
      <w:pPr>
        <w:ind w:left="4220"/>
        <w:spacing w:after="0"/>
        <w:rPr>
          <w:sz w:val="20"/>
          <w:szCs w:val="20"/>
          <w:color w:val="auto"/>
        </w:rPr>
      </w:pPr>
      <w:r>
        <w:rPr>
          <w:rFonts w:ascii="Arial" w:cs="Arial" w:eastAsia="Arial" w:hAnsi="Arial"/>
          <w:sz w:val="16"/>
          <w:szCs w:val="16"/>
          <w:b w:val="1"/>
          <w:bCs w:val="1"/>
          <w:color w:val="auto"/>
        </w:rPr>
        <w:t>NOTES TO SELECTED FINANCIAL DATA</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expense and (credit) items were included in the calculation of net income:</w:t>
      </w:r>
    </w:p>
    <w:p>
      <w:pPr>
        <w:spacing w:after="0" w:line="146" w:lineRule="exact"/>
        <w:rPr>
          <w:sz w:val="20"/>
          <w:szCs w:val="20"/>
          <w:color w:val="auto"/>
        </w:rPr>
      </w:pPr>
    </w:p>
    <w:tbl>
      <w:tblPr>
        <w:tblLayout w:type="fixed"/>
        <w:tblInd w:w="100" w:type="dxa"/>
        <w:tblCellMar>
          <w:top w:w="0" w:type="dxa"/>
          <w:left w:w="0" w:type="dxa"/>
          <w:bottom w:w="0" w:type="dxa"/>
          <w:right w:w="0" w:type="dxa"/>
        </w:tblCellMar>
      </w:tblPr>
      <w:tr>
        <w:trPr>
          <w:trHeight w:val="245"/>
        </w:trPr>
        <w:tc>
          <w:tcPr>
            <w:tcW w:w="2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5"/>
                <w:szCs w:val="15"/>
                <w:b w:val="1"/>
                <w:bCs w:val="1"/>
                <w:color w:val="auto"/>
              </w:rPr>
              <w:t>For the fiscal year ended</w:t>
            </w: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188"/>
        </w:trPr>
        <w:tc>
          <w:tcPr>
            <w:tcW w:w="2000" w:type="dxa"/>
            <w:vAlign w:val="bottom"/>
          </w:tcPr>
          <w:p>
            <w:pPr>
              <w:spacing w:after="0"/>
              <w:rPr>
                <w:sz w:val="16"/>
                <w:szCs w:val="16"/>
                <w:color w:val="auto"/>
              </w:rPr>
            </w:pPr>
          </w:p>
        </w:tc>
        <w:tc>
          <w:tcPr>
            <w:tcW w:w="1180" w:type="dxa"/>
            <w:vAlign w:val="bottom"/>
            <w:tcBorders>
              <w:top w:val="single" w:sz="8" w:color="auto"/>
            </w:tcBorders>
            <w:gridSpan w:val="3"/>
          </w:tcPr>
          <w:p>
            <w:pPr>
              <w:ind w:left="160"/>
              <w:spacing w:after="0"/>
              <w:rPr>
                <w:sz w:val="20"/>
                <w:szCs w:val="20"/>
                <w:color w:val="auto"/>
              </w:rPr>
            </w:pPr>
            <w:r>
              <w:rPr>
                <w:rFonts w:ascii="Arial" w:cs="Arial" w:eastAsia="Arial" w:hAnsi="Arial"/>
                <w:sz w:val="15"/>
                <w:szCs w:val="15"/>
                <w:b w:val="1"/>
                <w:bCs w:val="1"/>
                <w:color w:val="auto"/>
              </w:rPr>
              <w:t>December 30,</w:t>
            </w:r>
          </w:p>
        </w:tc>
        <w:tc>
          <w:tcPr>
            <w:tcW w:w="1140" w:type="dxa"/>
            <w:vAlign w:val="bottom"/>
            <w:tcBorders>
              <w:top w:val="single" w:sz="8" w:color="auto"/>
            </w:tcBorders>
            <w:gridSpan w:val="3"/>
          </w:tcPr>
          <w:p>
            <w:pPr>
              <w:ind w:left="80"/>
              <w:spacing w:after="0"/>
              <w:rPr>
                <w:sz w:val="20"/>
                <w:szCs w:val="20"/>
                <w:color w:val="auto"/>
              </w:rPr>
            </w:pPr>
            <w:r>
              <w:rPr>
                <w:rFonts w:ascii="Arial" w:cs="Arial" w:eastAsia="Arial" w:hAnsi="Arial"/>
                <w:sz w:val="15"/>
                <w:szCs w:val="15"/>
                <w:b w:val="1"/>
                <w:bCs w:val="1"/>
                <w:color w:val="auto"/>
              </w:rPr>
              <w:t>December 31,</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January 2,</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spacing w:after="0"/>
              <w:rPr>
                <w:sz w:val="20"/>
                <w:szCs w:val="20"/>
                <w:color w:val="auto"/>
              </w:rPr>
            </w:pPr>
            <w:r>
              <w:rPr>
                <w:rFonts w:ascii="Arial" w:cs="Arial" w:eastAsia="Arial" w:hAnsi="Arial"/>
                <w:sz w:val="15"/>
                <w:szCs w:val="15"/>
                <w:b w:val="1"/>
                <w:bCs w:val="1"/>
                <w:color w:val="auto"/>
              </w:rPr>
              <w:t>January 3,</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2"/>
              </w:rPr>
              <w:t>December 28,</w:t>
            </w:r>
          </w:p>
        </w:tc>
      </w:tr>
      <w:tr>
        <w:trPr>
          <w:trHeight w:val="191"/>
        </w:trPr>
        <w:tc>
          <w:tcPr>
            <w:tcW w:w="2000" w:type="dxa"/>
            <w:vAlign w:val="bottom"/>
          </w:tcPr>
          <w:p>
            <w:pPr>
              <w:ind w:left="20"/>
              <w:spacing w:after="0"/>
              <w:rPr>
                <w:sz w:val="20"/>
                <w:szCs w:val="20"/>
                <w:color w:val="auto"/>
              </w:rPr>
            </w:pPr>
            <w:r>
              <w:rPr>
                <w:rFonts w:ascii="Arial" w:cs="Arial" w:eastAsia="Arial" w:hAnsi="Arial"/>
                <w:sz w:val="15"/>
                <w:szCs w:val="15"/>
                <w:i w:val="1"/>
                <w:iCs w:val="1"/>
                <w:color w:val="auto"/>
              </w:rPr>
              <w:t>(dollars in thousands)</w:t>
            </w:r>
          </w:p>
        </w:tc>
        <w:tc>
          <w:tcPr>
            <w:tcW w:w="320" w:type="dxa"/>
            <w:vAlign w:val="bottom"/>
          </w:tcPr>
          <w:p>
            <w:pPr>
              <w:spacing w:after="0"/>
              <w:rPr>
                <w:sz w:val="16"/>
                <w:szCs w:val="16"/>
                <w:color w:val="auto"/>
              </w:rPr>
            </w:pPr>
          </w:p>
        </w:tc>
        <w:tc>
          <w:tcPr>
            <w:tcW w:w="780" w:type="dxa"/>
            <w:vAlign w:val="bottom"/>
          </w:tcPr>
          <w:p>
            <w:pPr>
              <w:jc w:val="right"/>
              <w:ind w:right="287"/>
              <w:spacing w:after="0"/>
              <w:rPr>
                <w:sz w:val="20"/>
                <w:szCs w:val="20"/>
                <w:color w:val="auto"/>
              </w:rPr>
            </w:pPr>
            <w:r>
              <w:rPr>
                <w:rFonts w:ascii="Arial" w:cs="Arial" w:eastAsia="Arial" w:hAnsi="Arial"/>
                <w:sz w:val="15"/>
                <w:szCs w:val="15"/>
                <w:b w:val="1"/>
                <w:bCs w:val="1"/>
                <w:color w:val="auto"/>
              </w:rPr>
              <w:t>2017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7"/>
              <w:spacing w:after="0"/>
              <w:rPr>
                <w:sz w:val="20"/>
                <w:szCs w:val="20"/>
                <w:color w:val="auto"/>
              </w:rPr>
            </w:pPr>
            <w:r>
              <w:rPr>
                <w:rFonts w:ascii="Arial" w:cs="Arial" w:eastAsia="Arial" w:hAnsi="Arial"/>
                <w:sz w:val="15"/>
                <w:szCs w:val="15"/>
                <w:b w:val="1"/>
                <w:bCs w:val="1"/>
                <w:color w:val="auto"/>
              </w:rPr>
              <w:t>2016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67"/>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87"/>
              <w:spacing w:after="0"/>
              <w:rPr>
                <w:sz w:val="20"/>
                <w:szCs w:val="20"/>
                <w:color w:val="auto"/>
              </w:rPr>
            </w:pPr>
            <w:r>
              <w:rPr>
                <w:rFonts w:ascii="Arial" w:cs="Arial" w:eastAsia="Arial" w:hAnsi="Arial"/>
                <w:sz w:val="15"/>
                <w:szCs w:val="15"/>
                <w:b w:val="1"/>
                <w:bCs w:val="1"/>
                <w:color w:val="auto"/>
              </w:rPr>
              <w:t>2015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7"/>
              <w:spacing w:after="0"/>
              <w:rPr>
                <w:sz w:val="20"/>
                <w:szCs w:val="20"/>
                <w:color w:val="auto"/>
              </w:rPr>
            </w:pPr>
            <w:r>
              <w:rPr>
                <w:rFonts w:ascii="Arial" w:cs="Arial" w:eastAsia="Arial" w:hAnsi="Arial"/>
                <w:sz w:val="15"/>
                <w:szCs w:val="15"/>
                <w:b w:val="1"/>
                <w:bCs w:val="1"/>
                <w:color w:val="auto"/>
              </w:rPr>
              <w:t>2013</w:t>
            </w:r>
          </w:p>
        </w:tc>
      </w:tr>
      <w:tr>
        <w:trPr>
          <w:trHeight w:val="29"/>
        </w:trPr>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0"/>
        </w:trPr>
        <w:tc>
          <w:tcPr>
            <w:tcW w:w="2000" w:type="dxa"/>
            <w:vAlign w:val="bottom"/>
            <w:shd w:val="clear" w:color="auto" w:fill="CCEEFF"/>
          </w:tcPr>
          <w:p>
            <w:pPr>
              <w:ind w:left="20"/>
              <w:spacing w:after="0"/>
              <w:rPr>
                <w:sz w:val="20"/>
                <w:szCs w:val="20"/>
                <w:color w:val="auto"/>
              </w:rPr>
            </w:pPr>
            <w:r>
              <w:rPr>
                <w:rFonts w:ascii="Arial" w:cs="Arial" w:eastAsia="Arial" w:hAnsi="Arial"/>
                <w:sz w:val="15"/>
                <w:szCs w:val="15"/>
                <w:color w:val="auto"/>
                <w:w w:val="92"/>
              </w:rPr>
              <w:t>Amortization of H.W. Carter and</w:t>
            </w: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96"/>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Sons tradenames</w:t>
            </w:r>
          </w:p>
        </w:tc>
        <w:tc>
          <w:tcPr>
            <w:tcW w:w="3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1,742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6,239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16,437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13,588</w:t>
            </w:r>
          </w:p>
        </w:tc>
      </w:tr>
      <w:tr>
        <w:trPr>
          <w:trHeight w:val="200"/>
        </w:trPr>
        <w:tc>
          <w:tcPr>
            <w:tcW w:w="2000" w:type="dxa"/>
            <w:vAlign w:val="bottom"/>
          </w:tcPr>
          <w:p>
            <w:pPr>
              <w:ind w:left="40"/>
              <w:spacing w:after="0"/>
              <w:rPr>
                <w:sz w:val="20"/>
                <w:szCs w:val="20"/>
                <w:color w:val="auto"/>
              </w:rPr>
            </w:pPr>
            <w:r>
              <w:rPr>
                <w:rFonts w:ascii="Arial" w:cs="Arial" w:eastAsia="Arial" w:hAnsi="Arial"/>
                <w:sz w:val="15"/>
                <w:szCs w:val="15"/>
                <w:color w:val="auto"/>
                <w:w w:val="94"/>
              </w:rPr>
              <w:t>Facility closures and workforce</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7"/>
        </w:trPr>
        <w:tc>
          <w:tcPr>
            <w:tcW w:w="2000" w:type="dxa"/>
            <w:vAlign w:val="bottom"/>
          </w:tcPr>
          <w:p>
            <w:pPr>
              <w:ind w:left="40"/>
              <w:spacing w:after="0"/>
              <w:rPr>
                <w:sz w:val="20"/>
                <w:szCs w:val="20"/>
                <w:color w:val="auto"/>
              </w:rPr>
            </w:pPr>
            <w:r>
              <w:rPr>
                <w:rFonts w:ascii="Arial" w:cs="Arial" w:eastAsia="Arial" w:hAnsi="Arial"/>
                <w:sz w:val="15"/>
                <w:szCs w:val="15"/>
                <w:color w:val="auto"/>
              </w:rPr>
              <w:t>reduction costs</w:t>
            </w:r>
          </w:p>
        </w:tc>
        <w:tc>
          <w:tcPr>
            <w:tcW w:w="3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2,454</w:t>
            </w:r>
          </w:p>
        </w:tc>
        <w:tc>
          <w:tcPr>
            <w:tcW w:w="80" w:type="dxa"/>
            <w:vAlign w:val="bottom"/>
          </w:tcPr>
          <w:p>
            <w:pPr>
              <w:spacing w:after="0"/>
              <w:rPr>
                <w:sz w:val="16"/>
                <w:szCs w:val="16"/>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9,126</w:t>
            </w:r>
          </w:p>
        </w:tc>
        <w:tc>
          <w:tcPr>
            <w:tcW w:w="120" w:type="dxa"/>
            <w:vAlign w:val="bottom"/>
          </w:tcPr>
          <w:p>
            <w:pPr>
              <w:spacing w:after="0"/>
              <w:rPr>
                <w:sz w:val="16"/>
                <w:szCs w:val="16"/>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38,214</w:t>
            </w:r>
          </w:p>
        </w:tc>
      </w:tr>
      <w:tr>
        <w:trPr>
          <w:trHeight w:val="29"/>
        </w:trPr>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0"/>
        </w:trPr>
        <w:tc>
          <w:tcPr>
            <w:tcW w:w="2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 and accretion of</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6"/>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contingent considerations</w:t>
            </w:r>
          </w:p>
        </w:tc>
        <w:tc>
          <w:tcPr>
            <w:tcW w:w="3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(3,600)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1,886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1,348</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2,825</w:t>
            </w:r>
          </w:p>
        </w:tc>
      </w:tr>
      <w:tr>
        <w:trPr>
          <w:trHeight w:val="215"/>
        </w:trPr>
        <w:tc>
          <w:tcPr>
            <w:tcW w:w="2000" w:type="dxa"/>
            <w:vAlign w:val="bottom"/>
          </w:tcPr>
          <w:p>
            <w:pPr>
              <w:ind w:left="20"/>
              <w:spacing w:after="0"/>
              <w:rPr>
                <w:sz w:val="20"/>
                <w:szCs w:val="20"/>
                <w:color w:val="auto"/>
              </w:rPr>
            </w:pPr>
            <w:r>
              <w:rPr>
                <w:rFonts w:ascii="Arial" w:cs="Arial" w:eastAsia="Arial" w:hAnsi="Arial"/>
                <w:sz w:val="15"/>
                <w:szCs w:val="15"/>
                <w:color w:val="auto"/>
              </w:rPr>
              <w:t>Direct sourcing initiative</w:t>
            </w:r>
          </w:p>
        </w:tc>
        <w:tc>
          <w:tcPr>
            <w:tcW w:w="3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328</w:t>
            </w:r>
          </w:p>
        </w:tc>
        <w:tc>
          <w:tcPr>
            <w:tcW w:w="80" w:type="dxa"/>
            <w:vAlign w:val="bottom"/>
          </w:tcPr>
          <w:p>
            <w:pPr>
              <w:spacing w:after="0"/>
              <w:rPr>
                <w:sz w:val="18"/>
                <w:szCs w:val="18"/>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720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9"/>
        </w:trPr>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5"/>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Acquisition-related costs</w:t>
            </w:r>
          </w:p>
        </w:tc>
        <w:tc>
          <w:tcPr>
            <w:tcW w:w="3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3,404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2,353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2000" w:type="dxa"/>
            <w:vAlign w:val="bottom"/>
          </w:tcPr>
          <w:p>
            <w:pPr>
              <w:ind w:left="20"/>
              <w:spacing w:after="0"/>
              <w:rPr>
                <w:sz w:val="20"/>
                <w:szCs w:val="20"/>
                <w:color w:val="auto"/>
              </w:rPr>
            </w:pPr>
            <w:r>
              <w:rPr>
                <w:rFonts w:ascii="Arial" w:cs="Arial" w:eastAsia="Arial" w:hAnsi="Arial"/>
                <w:sz w:val="15"/>
                <w:szCs w:val="15"/>
                <w:color w:val="auto"/>
                <w:w w:val="92"/>
              </w:rPr>
              <w:t>Provisions for special employee</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7"/>
        </w:trPr>
        <w:tc>
          <w:tcPr>
            <w:tcW w:w="2000" w:type="dxa"/>
            <w:vAlign w:val="bottom"/>
          </w:tcPr>
          <w:p>
            <w:pPr>
              <w:ind w:left="20"/>
              <w:spacing w:after="0"/>
              <w:rPr>
                <w:sz w:val="20"/>
                <w:szCs w:val="20"/>
                <w:color w:val="auto"/>
              </w:rPr>
            </w:pPr>
            <w:r>
              <w:rPr>
                <w:rFonts w:ascii="Arial" w:cs="Arial" w:eastAsia="Arial" w:hAnsi="Arial"/>
                <w:sz w:val="15"/>
                <w:szCs w:val="15"/>
                <w:color w:val="auto"/>
              </w:rPr>
              <w:t>compensation</w:t>
            </w:r>
          </w:p>
        </w:tc>
        <w:tc>
          <w:tcPr>
            <w:tcW w:w="3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21,197</w:t>
            </w:r>
          </w:p>
        </w:tc>
        <w:tc>
          <w:tcPr>
            <w:tcW w:w="80" w:type="dxa"/>
            <w:vAlign w:val="bottom"/>
          </w:tcPr>
          <w:p>
            <w:pPr>
              <w:spacing w:after="0"/>
              <w:rPr>
                <w:sz w:val="16"/>
                <w:szCs w:val="16"/>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9"/>
        </w:trPr>
        <w:tc>
          <w:tcPr>
            <w:tcW w:w="2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0"/>
        </w:trPr>
        <w:tc>
          <w:tcPr>
            <w:tcW w:w="2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tax benefit for the</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83"/>
        </w:trPr>
        <w:tc>
          <w:tcPr>
            <w:tcW w:w="2000" w:type="dxa"/>
            <w:vAlign w:val="bottom"/>
            <w:shd w:val="clear" w:color="auto" w:fill="CCEEFF"/>
          </w:tcPr>
          <w:p>
            <w:pPr>
              <w:ind w:left="20"/>
              <w:spacing w:after="0"/>
              <w:rPr>
                <w:sz w:val="20"/>
                <w:szCs w:val="20"/>
                <w:color w:val="auto"/>
              </w:rPr>
            </w:pPr>
            <w:r>
              <w:rPr>
                <w:rFonts w:ascii="Arial" w:cs="Arial" w:eastAsia="Arial" w:hAnsi="Arial"/>
                <w:sz w:val="15"/>
                <w:szCs w:val="15"/>
                <w:color w:val="auto"/>
                <w:w w:val="97"/>
              </w:rPr>
              <w:t>U.S. Tax Cuts and Jobs Act of</w:t>
            </w: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87"/>
        </w:trPr>
        <w:tc>
          <w:tcPr>
            <w:tcW w:w="2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2017</w:t>
            </w:r>
          </w:p>
        </w:tc>
        <w:tc>
          <w:tcPr>
            <w:tcW w:w="3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9"/>
        </w:trPr>
        <w:tc>
          <w:tcPr>
            <w:tcW w:w="2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ind w:left="380" w:hanging="282"/>
        <w:spacing w:after="0"/>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total current assets less total current liabilities.</w:t>
      </w:r>
    </w:p>
    <w:p>
      <w:pPr>
        <w:spacing w:after="0" w:line="207" w:lineRule="exact"/>
        <w:rPr>
          <w:rFonts w:ascii="Arial" w:cs="Arial" w:eastAsia="Arial" w:hAnsi="Arial"/>
          <w:sz w:val="16"/>
          <w:szCs w:val="16"/>
          <w:color w:val="auto"/>
        </w:rPr>
      </w:pPr>
    </w:p>
    <w:p>
      <w:pPr>
        <w:ind w:left="380" w:hanging="282"/>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All periods have been adjusted to reflect the retrospective adoption of Accounting Standards Update No. 2015-03, </w:t>
      </w:r>
      <w:r>
        <w:rPr>
          <w:rFonts w:ascii="Arial" w:cs="Arial" w:eastAsia="Arial" w:hAnsi="Arial"/>
          <w:sz w:val="14"/>
          <w:szCs w:val="14"/>
          <w:i w:val="1"/>
          <w:iCs w:val="1"/>
          <w:color w:val="auto"/>
        </w:rPr>
        <w:t>Presentation of Debt Issuance Cost for Term Debt</w:t>
      </w:r>
      <w:r>
        <w:rPr>
          <w:rFonts w:ascii="Arial" w:cs="Arial" w:eastAsia="Arial" w:hAnsi="Arial"/>
          <w:sz w:val="14"/>
          <w:szCs w:val="14"/>
          <w:color w:val="auto"/>
        </w:rPr>
        <w:t>.</w:t>
      </w:r>
    </w:p>
    <w:p>
      <w:pPr>
        <w:spacing w:after="0" w:line="230" w:lineRule="exact"/>
        <w:rPr>
          <w:rFonts w:ascii="Arial" w:cs="Arial" w:eastAsia="Arial" w:hAnsi="Arial"/>
          <w:sz w:val="14"/>
          <w:szCs w:val="14"/>
          <w:color w:val="auto"/>
        </w:rPr>
      </w:pPr>
    </w:p>
    <w:p>
      <w:pPr>
        <w:ind w:left="380" w:hanging="282"/>
        <w:spacing w:after="0"/>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Fiscal 2017 reflects the prospective adoption of Accounting Standards Update No.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60"/>
          </w:cols>
          <w:pgMar w:left="140" w:top="539" w:right="59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211" w:lineRule="exact"/>
        <w:rPr>
          <w:sz w:val="20"/>
          <w:szCs w:val="20"/>
          <w:color w:val="auto"/>
        </w:rPr>
      </w:pPr>
    </w:p>
    <w:p>
      <w:pPr>
        <w:ind w:right="40"/>
        <w:spacing w:after="0" w:line="280" w:lineRule="auto"/>
        <w:rPr>
          <w:sz w:val="20"/>
          <w:szCs w:val="20"/>
          <w:color w:val="auto"/>
        </w:rPr>
      </w:pPr>
      <w:r>
        <w:rPr>
          <w:rFonts w:ascii="Arial" w:cs="Arial" w:eastAsia="Arial" w:hAnsi="Arial"/>
          <w:sz w:val="15"/>
          <w:szCs w:val="15"/>
          <w:color w:val="auto"/>
        </w:rPr>
        <w:t>The following is a discussion of our results of operations and current financial condition. You should read this discussion in conjunction with our consolidated historical financial statements and notes included elsewhere in this Annual Report on Form 10-K. Our discussion of our results of operations and financial condition includes various forward-looking statements about our markets, the demand for our products and services, and our future results. We based these statements on assumptions that we consider reasonable. Actual results may differ materially from those suggested by our forward-looking statements for various reasons including those discussed in the "Risk Factors" in Item 1A of this Annual Report on Form 10-K. Those risk factors expressly qualify all subsequent oral and written forward-looking statements attributable to us or persons acting on our behalf. Except for any ongoing obligations to disclose material information as required by the federal securities laws, we do not have any intention or obligation to update forward-looking statements after we file this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Years</w:t>
      </w:r>
    </w:p>
    <w:p>
      <w:pPr>
        <w:spacing w:after="0" w:line="207" w:lineRule="exact"/>
        <w:rPr>
          <w:sz w:val="20"/>
          <w:szCs w:val="20"/>
          <w:color w:val="auto"/>
        </w:rPr>
      </w:pPr>
    </w:p>
    <w:p>
      <w:pPr>
        <w:ind w:right="80"/>
        <w:spacing w:after="0" w:line="320" w:lineRule="auto"/>
        <w:rPr>
          <w:sz w:val="20"/>
          <w:szCs w:val="20"/>
          <w:color w:val="auto"/>
        </w:rPr>
      </w:pPr>
      <w:r>
        <w:rPr>
          <w:rFonts w:ascii="Arial" w:cs="Arial" w:eastAsia="Arial" w:hAnsi="Arial"/>
          <w:sz w:val="15"/>
          <w:szCs w:val="15"/>
          <w:color w:val="auto"/>
        </w:rPr>
        <w:t>Our "52/53 week" fiscal year ends on the Saturday in December or January nearest December 31, resulting in an additional 53rd week of results every five or six years. Fiscal 2017, 2016, and 2015 each contained 52 calendar weeks and ended on December 30, 2017, December 31, 2016, and January 2, 2016,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Business</w:t>
      </w:r>
    </w:p>
    <w:p>
      <w:pPr>
        <w:spacing w:after="0" w:line="207" w:lineRule="exact"/>
        <w:rPr>
          <w:sz w:val="20"/>
          <w:szCs w:val="20"/>
          <w:color w:val="auto"/>
        </w:rPr>
      </w:pPr>
    </w:p>
    <w:p>
      <w:pPr>
        <w:jc w:val="both"/>
        <w:spacing w:after="0" w:line="314" w:lineRule="auto"/>
        <w:rPr>
          <w:sz w:val="20"/>
          <w:szCs w:val="20"/>
          <w:color w:val="auto"/>
        </w:rPr>
      </w:pPr>
      <w:r>
        <w:rPr>
          <w:rFonts w:ascii="Arial" w:cs="Arial" w:eastAsia="Arial" w:hAnsi="Arial"/>
          <w:sz w:val="14"/>
          <w:szCs w:val="14"/>
          <w:color w:val="auto"/>
        </w:rPr>
        <w:t xml:space="preserve">We are the largest branded marketer in North America of apparel exclusively for babies and young children. We own two of the most highly recognized and most trusted brand names in the children's apparel industry, </w:t>
      </w:r>
      <w:r>
        <w:rPr>
          <w:rFonts w:ascii="Arial" w:cs="Arial" w:eastAsia="Arial" w:hAnsi="Arial"/>
          <w:sz w:val="14"/>
          <w:szCs w:val="14"/>
          <w:i w:val="1"/>
          <w:iCs w:val="1"/>
          <w:color w:val="auto"/>
        </w:rPr>
        <w:t>Carter's</w:t>
      </w:r>
      <w:r>
        <w:rPr>
          <w:rFonts w:ascii="Arial" w:cs="Arial" w:eastAsia="Arial" w:hAnsi="Arial"/>
          <w:sz w:val="14"/>
          <w:szCs w:val="14"/>
          <w:color w:val="auto"/>
        </w:rPr>
        <w:t xml:space="preserve"> and </w:t>
      </w:r>
      <w:r>
        <w:rPr>
          <w:rFonts w:ascii="Arial" w:cs="Arial" w:eastAsia="Arial" w:hAnsi="Arial"/>
          <w:sz w:val="14"/>
          <w:szCs w:val="14"/>
          <w:i w:val="1"/>
          <w:iCs w:val="1"/>
          <w:color w:val="auto"/>
        </w:rPr>
        <w:t>OshKosh B'gosh</w:t>
      </w:r>
      <w:r>
        <w:rPr>
          <w:rFonts w:ascii="Arial" w:cs="Arial" w:eastAsia="Arial" w:hAnsi="Arial"/>
          <w:sz w:val="14"/>
          <w:szCs w:val="14"/>
          <w:color w:val="auto"/>
        </w:rPr>
        <w:t xml:space="preserve"> (or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and a leading baby and young child lifestyle brand,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Established in 1865, our </w:t>
      </w:r>
      <w:r>
        <w:rPr>
          <w:rFonts w:ascii="Arial" w:cs="Arial" w:eastAsia="Arial" w:hAnsi="Arial"/>
          <w:sz w:val="14"/>
          <w:szCs w:val="14"/>
          <w:i w:val="1"/>
          <w:iCs w:val="1"/>
          <w:color w:val="auto"/>
        </w:rPr>
        <w:t xml:space="preserve">Carter's </w:t>
      </w:r>
      <w:r>
        <w:rPr>
          <w:rFonts w:ascii="Arial" w:cs="Arial" w:eastAsia="Arial" w:hAnsi="Arial"/>
          <w:sz w:val="14"/>
          <w:szCs w:val="14"/>
          <w:color w:val="auto"/>
        </w:rPr>
        <w:t>brand is recognized and trusted by consumers for high-quality apparel for children in sizes newborn to eight and accessories. Established in 1895,</w:t>
      </w:r>
      <w:r>
        <w:rPr>
          <w:rFonts w:ascii="Arial" w:cs="Arial" w:eastAsia="Arial" w:hAnsi="Arial"/>
          <w:sz w:val="14"/>
          <w:szCs w:val="14"/>
          <w:i w:val="1"/>
          <w:iCs w:val="1"/>
          <w:color w:val="auto"/>
        </w:rPr>
        <w:t xml:space="preserve"> OshKosh </w:t>
      </w:r>
      <w:r>
        <w:rPr>
          <w:rFonts w:ascii="Arial" w:cs="Arial" w:eastAsia="Arial" w:hAnsi="Arial"/>
          <w:sz w:val="14"/>
          <w:szCs w:val="14"/>
          <w:color w:val="auto"/>
        </w:rPr>
        <w:t>is a well-known brand, trusted by consumers for apparel for children in sizes newborn to 14, with a focus on playclothes for toddlers and young children, and accessories.</w:t>
      </w:r>
    </w:p>
    <w:p>
      <w:pPr>
        <w:spacing w:after="0" w:line="136"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 xml:space="preserve">We acquired the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 in February 2017. Established in 2003, the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 takes durable childhood necessities, and re-thinks, re-energizes, and re-imagines them to produce higher value, superior quality, and top-performance goods for parents, babies, and toddlers.</w:t>
      </w:r>
    </w:p>
    <w:p>
      <w:pPr>
        <w:spacing w:after="0" w:line="150"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 xml:space="preserve">We believe our brands provide a complementary product offering and aesthetic, and are each uniquely positioned in the marketplace. In the approximately $20.0 billion baby and young children's apparel market ages zero to seven in the U.S.,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has the #1 position with approximately 15.0% of the market share and our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brand has approximately 3.0% market share.</w:t>
      </w:r>
    </w:p>
    <w:p>
      <w:pPr>
        <w:spacing w:after="0" w:line="162"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Our multi-channel global business model – retail stores, online and wholesale – enables us to reach a broad range of consumers around the world. As of December 30, 2017, our channels included the following:</w:t>
      </w:r>
    </w:p>
    <w:p>
      <w:pPr>
        <w:spacing w:after="0" w:line="150" w:lineRule="exact"/>
        <w:rPr>
          <w:sz w:val="20"/>
          <w:szCs w:val="20"/>
          <w:color w:val="auto"/>
        </w:rPr>
      </w:pPr>
    </w:p>
    <w:p>
      <w:pPr>
        <w:ind w:left="580" w:hanging="289"/>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over 17,000 wholesale locations (including department stores, national chain stores, specialty stores and discount retailers) in the United States;</w:t>
      </w:r>
    </w:p>
    <w:p>
      <w:pPr>
        <w:spacing w:after="0" w:line="23" w:lineRule="exact"/>
        <w:rPr>
          <w:rFonts w:ascii="Arial" w:cs="Arial" w:eastAsia="Arial" w:hAnsi="Arial"/>
          <w:sz w:val="16"/>
          <w:szCs w:val="16"/>
          <w:color w:val="auto"/>
        </w:rPr>
      </w:pPr>
    </w:p>
    <w:p>
      <w:pPr>
        <w:ind w:left="580" w:hanging="289"/>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830 company-operated retail stores in the United States;</w:t>
      </w:r>
    </w:p>
    <w:p>
      <w:pPr>
        <w:spacing w:after="0" w:line="11" w:lineRule="exact"/>
        <w:rPr>
          <w:rFonts w:ascii="Arial" w:cs="Arial" w:eastAsia="Arial" w:hAnsi="Arial"/>
          <w:sz w:val="16"/>
          <w:szCs w:val="16"/>
          <w:color w:val="auto"/>
        </w:rPr>
      </w:pPr>
    </w:p>
    <w:p>
      <w:pPr>
        <w:ind w:left="580" w:hanging="289"/>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179 company-operated retail stores in Canada;</w:t>
      </w:r>
    </w:p>
    <w:p>
      <w:pPr>
        <w:spacing w:after="0" w:line="11" w:lineRule="exact"/>
        <w:rPr>
          <w:rFonts w:ascii="Arial" w:cs="Arial" w:eastAsia="Arial" w:hAnsi="Arial"/>
          <w:sz w:val="16"/>
          <w:szCs w:val="16"/>
          <w:color w:val="auto"/>
        </w:rPr>
      </w:pPr>
    </w:p>
    <w:p>
      <w:pPr>
        <w:ind w:left="580" w:hanging="289"/>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41 company-operated retail stores in Mexico;</w:t>
      </w:r>
    </w:p>
    <w:p>
      <w:pPr>
        <w:spacing w:after="0" w:line="11" w:lineRule="exact"/>
        <w:rPr>
          <w:rFonts w:ascii="Arial" w:cs="Arial" w:eastAsia="Arial" w:hAnsi="Arial"/>
          <w:sz w:val="16"/>
          <w:szCs w:val="16"/>
          <w:color w:val="auto"/>
        </w:rPr>
      </w:pPr>
    </w:p>
    <w:p>
      <w:pPr>
        <w:ind w:left="580" w:hanging="289"/>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eCommerce sites in the United States, Canada, and China; and</w:t>
      </w:r>
    </w:p>
    <w:p>
      <w:pPr>
        <w:spacing w:after="0" w:line="11" w:lineRule="exact"/>
        <w:rPr>
          <w:rFonts w:ascii="Arial" w:cs="Arial" w:eastAsia="Arial" w:hAnsi="Arial"/>
          <w:sz w:val="16"/>
          <w:szCs w:val="16"/>
          <w:color w:val="auto"/>
        </w:rPr>
      </w:pPr>
    </w:p>
    <w:p>
      <w:pPr>
        <w:ind w:left="580" w:hanging="289"/>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wholesale, licensing, and online channels outside the United States.</w:t>
      </w:r>
    </w:p>
    <w:p>
      <w:pPr>
        <w:spacing w:after="0" w:line="1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have extensive experience in the young children’s apparel and accessories market and focus on delivering products that satisfy our consumers’ needs. Our long-term growth strategy is focused on:</w:t>
      </w:r>
    </w:p>
    <w:p>
      <w:pPr>
        <w:spacing w:after="0" w:line="113" w:lineRule="exact"/>
        <w:rPr>
          <w:sz w:val="20"/>
          <w:szCs w:val="20"/>
          <w:color w:val="auto"/>
        </w:rPr>
      </w:pPr>
    </w:p>
    <w:p>
      <w:pPr>
        <w:ind w:left="580" w:hanging="289"/>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providing the best value and experience in young children's apparel and accessories;</w:t>
      </w:r>
    </w:p>
    <w:p>
      <w:pPr>
        <w:spacing w:after="0" w:line="23" w:lineRule="exact"/>
        <w:rPr>
          <w:rFonts w:ascii="Arial" w:cs="Arial" w:eastAsia="Arial" w:hAnsi="Arial"/>
          <w:sz w:val="16"/>
          <w:szCs w:val="16"/>
          <w:color w:val="auto"/>
        </w:rPr>
      </w:pPr>
    </w:p>
    <w:p>
      <w:pPr>
        <w:ind w:left="580" w:hanging="289"/>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extending the reach of our brands by improving the convenience of shopping for our products in the United States and our omni-channel experience;</w:t>
      </w:r>
    </w:p>
    <w:p>
      <w:pPr>
        <w:spacing w:after="0" w:line="11" w:lineRule="exact"/>
        <w:rPr>
          <w:rFonts w:ascii="Arial" w:cs="Arial" w:eastAsia="Arial" w:hAnsi="Arial"/>
          <w:sz w:val="16"/>
          <w:szCs w:val="16"/>
          <w:color w:val="auto"/>
        </w:rPr>
      </w:pPr>
    </w:p>
    <w:p>
      <w:pPr>
        <w:ind w:left="580" w:hanging="289"/>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expanding our international operations; and</w:t>
      </w:r>
    </w:p>
    <w:p>
      <w:pPr>
        <w:spacing w:after="0" w:line="11" w:lineRule="exact"/>
        <w:rPr>
          <w:rFonts w:ascii="Arial" w:cs="Arial" w:eastAsia="Arial" w:hAnsi="Arial"/>
          <w:sz w:val="16"/>
          <w:szCs w:val="16"/>
          <w:color w:val="auto"/>
        </w:rPr>
      </w:pPr>
    </w:p>
    <w:p>
      <w:pPr>
        <w:ind w:left="580" w:hanging="289"/>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improving profitability by strengthening distribution and direct-sourcing capabilities, as well as inventory management disciplines.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343"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i w:val="1"/>
          <w:iCs w:val="1"/>
          <w:color w:val="auto"/>
        </w:rPr>
        <w:t>Segments</w:t>
      </w:r>
    </w:p>
    <w:p>
      <w:pPr>
        <w:spacing w:after="0" w:line="207"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At the beginning of fiscal 2017, we combined our Carter's Retail and OshKosh Retail operating segments into a single U.S. Retail operating segment, and our Carter's Wholesale and OshKosh Wholesale operating segments into a single U.S. Wholesale operating segment. This change was made to reflect the sales-channel approach executive management now uses to evaluate business performance and manage operations in the U.S. Our International segment was not affected by these changes. Our reportable segments are now U.S. Retail, U.S. Wholesale, and International. Prior periods have been conformed to reflect our current segment structure.</w:t>
      </w:r>
    </w:p>
    <w:p>
      <w:pPr>
        <w:spacing w:after="0" w:line="150"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 xml:space="preserve">Our U.S. Retail segment consists of revenue from sales of products to consumers in the United States, including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branded products, through our retail and online stores. Similarly, our U.S. Wholesale segment consists of revenue from sales in the United States of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branded products through our wholesale customers. Finally, our International segment consists of income from sales of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branded products through our retail and online stores outside the United States, primarily through our retail stores in Canada and Mexico, our eCommerce sites in Canada and China, stores operated by our international partners, and sales to our international wholesale customers.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Summary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some of the highlights for fiscal 2017:</w:t>
      </w:r>
    </w:p>
    <w:p>
      <w:pPr>
        <w:spacing w:after="0" w:line="207" w:lineRule="exact"/>
        <w:rPr>
          <w:sz w:val="20"/>
          <w:szCs w:val="20"/>
          <w:color w:val="auto"/>
        </w:rPr>
      </w:pPr>
    </w:p>
    <w:p>
      <w:pPr>
        <w:ind w:left="580" w:hanging="289"/>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Consolidated net sales grew to $3.4 billion in fiscal 2017, up 6% over fiscal 2016.</w:t>
      </w:r>
    </w:p>
    <w:p>
      <w:pPr>
        <w:spacing w:after="0" w:line="207" w:lineRule="exact"/>
        <w:rPr>
          <w:rFonts w:ascii="Arial" w:cs="Arial" w:eastAsia="Arial" w:hAnsi="Arial"/>
          <w:sz w:val="16"/>
          <w:szCs w:val="16"/>
          <w:color w:val="auto"/>
        </w:rPr>
      </w:pPr>
    </w:p>
    <w:p>
      <w:pPr>
        <w:ind w:left="580" w:hanging="289"/>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Consolidated gross margin increased to 43.6% in fiscal 2017, up from 43.1% in fiscal 2016.</w:t>
      </w:r>
    </w:p>
    <w:p>
      <w:pPr>
        <w:spacing w:after="0" w:line="207" w:lineRule="exact"/>
        <w:rPr>
          <w:rFonts w:ascii="Arial" w:cs="Arial" w:eastAsia="Arial" w:hAnsi="Arial"/>
          <w:sz w:val="16"/>
          <w:szCs w:val="16"/>
          <w:color w:val="auto"/>
        </w:rPr>
      </w:pPr>
    </w:p>
    <w:p>
      <w:pPr>
        <w:ind w:left="580" w:hanging="289"/>
        <w:spacing w:after="0" w:line="285"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Consolidated operating earnings of $420 million included $21 million for provisions for special employee compensation funded by the $40 million income tax benefit from recent tax reform.</w:t>
      </w:r>
    </w:p>
    <w:p>
      <w:pPr>
        <w:spacing w:after="0" w:line="149" w:lineRule="exact"/>
        <w:rPr>
          <w:rFonts w:ascii="Arial" w:cs="Arial" w:eastAsia="Arial" w:hAnsi="Arial"/>
          <w:sz w:val="16"/>
          <w:szCs w:val="16"/>
          <w:color w:val="auto"/>
        </w:rPr>
      </w:pPr>
    </w:p>
    <w:p>
      <w:pPr>
        <w:ind w:left="580" w:right="300" w:hanging="289"/>
        <w:spacing w:after="0" w:line="285"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Consolidated net income for fiscal 2017 of $303 million includes an income tax benefit of approximately $40 million related to the Company's accounting for the implementation of the U.S. Tax Cuts and Jobs Act of 2017.</w:t>
      </w:r>
    </w:p>
    <w:p>
      <w:pPr>
        <w:spacing w:after="0" w:line="149" w:lineRule="exact"/>
        <w:rPr>
          <w:rFonts w:ascii="Arial" w:cs="Arial" w:eastAsia="Arial" w:hAnsi="Arial"/>
          <w:sz w:val="16"/>
          <w:szCs w:val="16"/>
          <w:color w:val="auto"/>
        </w:rPr>
      </w:pPr>
    </w:p>
    <w:p>
      <w:pPr>
        <w:ind w:left="580" w:right="140" w:hanging="289"/>
        <w:spacing w:after="0" w:line="285"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Diluted EPS increased to $6.24 for fiscal 2017 compared to $5.08, with $0.84 of the increase due to income tax benefits related to the Company's accounting for the enactment of U.S. tax reform.</w:t>
      </w:r>
    </w:p>
    <w:p>
      <w:pPr>
        <w:spacing w:after="0" w:line="149" w:lineRule="exact"/>
        <w:rPr>
          <w:rFonts w:ascii="Arial" w:cs="Arial" w:eastAsia="Arial" w:hAnsi="Arial"/>
          <w:sz w:val="16"/>
          <w:szCs w:val="16"/>
          <w:color w:val="auto"/>
        </w:rPr>
      </w:pPr>
    </w:p>
    <w:p>
      <w:pPr>
        <w:ind w:left="580" w:hanging="289"/>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Consolidated cash flow from operations was $330 million.</w:t>
      </w:r>
    </w:p>
    <w:p>
      <w:pPr>
        <w:spacing w:after="0" w:line="207" w:lineRule="exact"/>
        <w:rPr>
          <w:rFonts w:ascii="Arial" w:cs="Arial" w:eastAsia="Arial" w:hAnsi="Arial"/>
          <w:sz w:val="16"/>
          <w:szCs w:val="16"/>
          <w:color w:val="auto"/>
        </w:rPr>
      </w:pPr>
    </w:p>
    <w:p>
      <w:pPr>
        <w:ind w:left="580" w:hanging="289"/>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returned $260 million to shareholders in fiscal 2017 through cash dividends and repurchases of common shares.</w:t>
      </w:r>
    </w:p>
    <w:p>
      <w:pPr>
        <w:spacing w:after="0" w:line="207" w:lineRule="exact"/>
        <w:rPr>
          <w:rFonts w:ascii="Arial" w:cs="Arial" w:eastAsia="Arial" w:hAnsi="Arial"/>
          <w:sz w:val="16"/>
          <w:szCs w:val="16"/>
          <w:color w:val="auto"/>
        </w:rPr>
      </w:pPr>
    </w:p>
    <w:p>
      <w:pPr>
        <w:ind w:left="580" w:hanging="289"/>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acquired Skip Hop and a former licensee in Mexico.</w:t>
      </w:r>
    </w:p>
    <w:p>
      <w:pPr>
        <w:spacing w:after="0" w:line="207" w:lineRule="exact"/>
        <w:rPr>
          <w:rFonts w:ascii="Arial" w:cs="Arial" w:eastAsia="Arial" w:hAnsi="Arial"/>
          <w:sz w:val="16"/>
          <w:szCs w:val="16"/>
          <w:color w:val="auto"/>
        </w:rPr>
      </w:pPr>
    </w:p>
    <w:p>
      <w:pPr>
        <w:ind w:left="580" w:hanging="289"/>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number of company-operated retail stores grew to 1,050, including 39 stores acquired through the acquisition of the former licensee in Mexico.</w:t>
      </w:r>
    </w:p>
    <w:p>
      <w:pPr>
        <w:spacing w:after="0" w:line="207" w:lineRule="exact"/>
        <w:rPr>
          <w:rFonts w:ascii="Arial" w:cs="Arial" w:eastAsia="Arial" w:hAnsi="Arial"/>
          <w:sz w:val="16"/>
          <w:szCs w:val="16"/>
          <w:color w:val="auto"/>
        </w:rPr>
      </w:pPr>
    </w:p>
    <w:p>
      <w:pPr>
        <w:ind w:left="580" w:hanging="289"/>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amended its revolving credit agreement to increase its credit line to $750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47" w:right="239" w:bottom="1440" w:gutter="0" w:footer="0" w:header="0"/>
        </w:sectPr>
      </w:pPr>
    </w:p>
    <w:bookmarkStart w:id="29" w:name="page30"/>
    <w:bookmarkEnd w:id="29"/>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for the periods indicated, selected statement of operations data expressed as a percentage of consolidated net sales.</w:t>
      </w:r>
    </w:p>
    <w:p>
      <w:pPr>
        <w:spacing w:after="0" w:line="146"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c>
          <w:tcPr>
            <w:tcW w:w="20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For the fiscal year ended</w:t>
            </w:r>
          </w:p>
        </w:tc>
        <w:tc>
          <w:tcPr>
            <w:tcW w:w="20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120" w:type="dxa"/>
            <w:vAlign w:val="bottom"/>
            <w:gridSpan w:val="2"/>
          </w:tcPr>
          <w:p>
            <w:pPr>
              <w:ind w:left="520"/>
              <w:spacing w:after="0"/>
              <w:rPr>
                <w:sz w:val="20"/>
                <w:szCs w:val="20"/>
                <w:color w:val="auto"/>
              </w:rPr>
            </w:pPr>
            <w:r>
              <w:rPr>
                <w:rFonts w:ascii="Arial" w:cs="Arial" w:eastAsia="Arial" w:hAnsi="Arial"/>
                <w:sz w:val="16"/>
                <w:szCs w:val="16"/>
                <w:b w:val="1"/>
                <w:bCs w:val="1"/>
                <w:color w:val="auto"/>
              </w:rPr>
              <w:t>December 30,</w:t>
            </w:r>
          </w:p>
        </w:tc>
        <w:tc>
          <w:tcPr>
            <w:tcW w:w="2120" w:type="dxa"/>
            <w:vAlign w:val="bottom"/>
            <w:gridSpan w:val="2"/>
          </w:tcPr>
          <w:p>
            <w:pPr>
              <w:ind w:left="520"/>
              <w:spacing w:after="0"/>
              <w:rPr>
                <w:sz w:val="20"/>
                <w:szCs w:val="20"/>
                <w:color w:val="auto"/>
              </w:rPr>
            </w:pPr>
            <w:r>
              <w:rPr>
                <w:rFonts w:ascii="Arial" w:cs="Arial" w:eastAsia="Arial" w:hAnsi="Arial"/>
                <w:sz w:val="16"/>
                <w:szCs w:val="16"/>
                <w:b w:val="1"/>
                <w:bCs w:val="1"/>
                <w:color w:val="auto"/>
              </w:rPr>
              <w:t>December 31,</w:t>
            </w:r>
          </w:p>
        </w:tc>
        <w:tc>
          <w:tcPr>
            <w:tcW w:w="2020" w:type="dxa"/>
            <w:vAlign w:val="bottom"/>
          </w:tcPr>
          <w:p>
            <w:pPr>
              <w:jc w:val="right"/>
              <w:ind w:right="579"/>
              <w:spacing w:after="0"/>
              <w:rPr>
                <w:sz w:val="20"/>
                <w:szCs w:val="20"/>
                <w:color w:val="auto"/>
              </w:rPr>
            </w:pPr>
            <w:r>
              <w:rPr>
                <w:rFonts w:ascii="Arial" w:cs="Arial" w:eastAsia="Arial" w:hAnsi="Arial"/>
                <w:sz w:val="16"/>
                <w:szCs w:val="16"/>
                <w:b w:val="1"/>
                <w:bCs w:val="1"/>
                <w:color w:val="auto"/>
              </w:rPr>
              <w:t>January 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20" w:type="dxa"/>
            <w:vAlign w:val="bottom"/>
          </w:tcPr>
          <w:p>
            <w:pPr>
              <w:jc w:val="right"/>
              <w:ind w:right="7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20" w:type="dxa"/>
            <w:vAlign w:val="bottom"/>
          </w:tcPr>
          <w:p>
            <w:pPr>
              <w:jc w:val="right"/>
              <w:ind w:right="7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20" w:type="dxa"/>
            <w:vAlign w:val="bottom"/>
          </w:tcPr>
          <w:p>
            <w:pPr>
              <w:jc w:val="right"/>
              <w:ind w:right="7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line="164" w:lineRule="exact"/>
              <w:rPr>
                <w:sz w:val="20"/>
                <w:szCs w:val="20"/>
                <w:color w:val="auto"/>
              </w:rPr>
            </w:pPr>
            <w:r>
              <w:rPr>
                <w:rFonts w:ascii="Arial" w:cs="Arial" w:eastAsia="Arial" w:hAnsi="Arial"/>
                <w:sz w:val="16"/>
                <w:szCs w:val="16"/>
                <w:b w:val="1"/>
                <w:bCs w:val="1"/>
                <w:color w:val="auto"/>
                <w:w w:val="85"/>
              </w:rPr>
              <w:t>Net sales</w:t>
            </w:r>
          </w:p>
        </w:tc>
        <w:tc>
          <w:tcPr>
            <w:tcW w:w="338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3"/>
          </w:tcPr>
          <w:p>
            <w:pPr>
              <w:ind w:left="20"/>
              <w:spacing w:after="0"/>
              <w:rPr>
                <w:sz w:val="20"/>
                <w:szCs w:val="20"/>
                <w:color w:val="auto"/>
              </w:rPr>
            </w:pPr>
            <w:r>
              <w:rPr>
                <w:rFonts w:ascii="Arial" w:cs="Arial" w:eastAsia="Arial" w:hAnsi="Arial"/>
                <w:sz w:val="16"/>
                <w:szCs w:val="16"/>
                <w:color w:val="auto"/>
              </w:rPr>
              <w:t>U.S. Retail</w:t>
            </w:r>
          </w:p>
        </w:tc>
        <w:tc>
          <w:tcPr>
            <w:tcW w:w="2020" w:type="dxa"/>
            <w:vAlign w:val="bottom"/>
          </w:tcPr>
          <w:p>
            <w:pPr>
              <w:jc w:val="right"/>
              <w:spacing w:after="0"/>
              <w:rPr>
                <w:sz w:val="20"/>
                <w:szCs w:val="20"/>
                <w:color w:val="auto"/>
              </w:rPr>
            </w:pPr>
            <w:r>
              <w:rPr>
                <w:rFonts w:ascii="Arial" w:cs="Arial" w:eastAsia="Arial" w:hAnsi="Arial"/>
                <w:sz w:val="16"/>
                <w:szCs w:val="16"/>
                <w:color w:val="auto"/>
              </w:rPr>
              <w:t>52.2 %</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51.8 %</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50.2 %</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U.S. Wholesale</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35.6 %</w:t>
            </w:r>
          </w:p>
        </w:tc>
        <w:tc>
          <w:tcPr>
            <w:tcW w:w="1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36.8 %</w:t>
            </w:r>
          </w:p>
        </w:tc>
        <w:tc>
          <w:tcPr>
            <w:tcW w:w="1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39.0 %</w:t>
            </w:r>
          </w:p>
        </w:tc>
        <w:tc>
          <w:tcPr>
            <w:tcW w:w="0" w:type="dxa"/>
            <w:vAlign w:val="bottom"/>
          </w:tcPr>
          <w:p>
            <w:pPr>
              <w:spacing w:after="0"/>
              <w:rPr>
                <w:sz w:val="1"/>
                <w:szCs w:val="1"/>
                <w:color w:val="auto"/>
              </w:rPr>
            </w:pPr>
          </w:p>
        </w:tc>
      </w:tr>
      <w:tr>
        <w:trPr>
          <w:trHeight w:val="219"/>
        </w:trPr>
        <w:tc>
          <w:tcPr>
            <w:tcW w:w="4020" w:type="dxa"/>
            <w:vAlign w:val="bottom"/>
            <w:gridSpan w:val="3"/>
          </w:tcPr>
          <w:p>
            <w:pPr>
              <w:ind w:left="20"/>
              <w:spacing w:after="0"/>
              <w:rPr>
                <w:sz w:val="20"/>
                <w:szCs w:val="20"/>
                <w:color w:val="auto"/>
              </w:rPr>
            </w:pPr>
            <w:r>
              <w:rPr>
                <w:rFonts w:ascii="Arial" w:cs="Arial" w:eastAsia="Arial" w:hAnsi="Arial"/>
                <w:sz w:val="16"/>
                <w:szCs w:val="16"/>
                <w:color w:val="auto"/>
              </w:rPr>
              <w:t>International</w:t>
            </w:r>
          </w:p>
        </w:tc>
        <w:tc>
          <w:tcPr>
            <w:tcW w:w="2020" w:type="dxa"/>
            <w:vAlign w:val="bottom"/>
          </w:tcPr>
          <w:p>
            <w:pPr>
              <w:jc w:val="right"/>
              <w:spacing w:after="0"/>
              <w:rPr>
                <w:sz w:val="20"/>
                <w:szCs w:val="20"/>
                <w:color w:val="auto"/>
              </w:rPr>
            </w:pPr>
            <w:r>
              <w:rPr>
                <w:rFonts w:ascii="Arial" w:cs="Arial" w:eastAsia="Arial" w:hAnsi="Arial"/>
                <w:sz w:val="16"/>
                <w:szCs w:val="16"/>
                <w:color w:val="auto"/>
              </w:rPr>
              <w:t>12.2 %</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11.4 %</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10.8 %</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Consolidated net sales</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9"/>
        </w:trPr>
        <w:tc>
          <w:tcPr>
            <w:tcW w:w="4020" w:type="dxa"/>
            <w:vAlign w:val="bottom"/>
            <w:gridSpan w:val="3"/>
          </w:tcPr>
          <w:p>
            <w:pPr>
              <w:ind w:left="20"/>
              <w:spacing w:after="0"/>
              <w:rPr>
                <w:sz w:val="20"/>
                <w:szCs w:val="20"/>
                <w:color w:val="auto"/>
              </w:rPr>
            </w:pPr>
            <w:r>
              <w:rPr>
                <w:rFonts w:ascii="Arial" w:cs="Arial" w:eastAsia="Arial" w:hAnsi="Arial"/>
                <w:sz w:val="16"/>
                <w:szCs w:val="16"/>
                <w:color w:val="auto"/>
              </w:rPr>
              <w:t>Cost of goods sold</w:t>
            </w:r>
          </w:p>
        </w:tc>
        <w:tc>
          <w:tcPr>
            <w:tcW w:w="2020" w:type="dxa"/>
            <w:vAlign w:val="bottom"/>
          </w:tcPr>
          <w:p>
            <w:pPr>
              <w:jc w:val="right"/>
              <w:spacing w:after="0"/>
              <w:rPr>
                <w:sz w:val="20"/>
                <w:szCs w:val="20"/>
                <w:color w:val="auto"/>
              </w:rPr>
            </w:pPr>
            <w:r>
              <w:rPr>
                <w:rFonts w:ascii="Arial" w:cs="Arial" w:eastAsia="Arial" w:hAnsi="Arial"/>
                <w:sz w:val="16"/>
                <w:szCs w:val="16"/>
                <w:color w:val="auto"/>
              </w:rPr>
              <w:t>56.4 %</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56.9 %</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58.3 %</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43.6 %</w:t>
            </w:r>
          </w:p>
        </w:tc>
        <w:tc>
          <w:tcPr>
            <w:tcW w:w="1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43.1 %</w:t>
            </w:r>
          </w:p>
        </w:tc>
        <w:tc>
          <w:tcPr>
            <w:tcW w:w="1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41.7 %</w:t>
            </w:r>
          </w:p>
        </w:tc>
        <w:tc>
          <w:tcPr>
            <w:tcW w:w="0" w:type="dxa"/>
            <w:vAlign w:val="bottom"/>
          </w:tcPr>
          <w:p>
            <w:pPr>
              <w:spacing w:after="0"/>
              <w:rPr>
                <w:sz w:val="1"/>
                <w:szCs w:val="1"/>
                <w:color w:val="auto"/>
              </w:rPr>
            </w:pPr>
          </w:p>
        </w:tc>
      </w:tr>
      <w:tr>
        <w:trPr>
          <w:trHeight w:val="219"/>
        </w:trPr>
        <w:tc>
          <w:tcPr>
            <w:tcW w:w="4020" w:type="dxa"/>
            <w:vAlign w:val="bottom"/>
            <w:gridSpan w:val="3"/>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020" w:type="dxa"/>
            <w:vAlign w:val="bottom"/>
          </w:tcPr>
          <w:p>
            <w:pPr>
              <w:jc w:val="right"/>
              <w:spacing w:after="0"/>
              <w:rPr>
                <w:sz w:val="20"/>
                <w:szCs w:val="20"/>
                <w:color w:val="auto"/>
              </w:rPr>
            </w:pPr>
            <w:r>
              <w:rPr>
                <w:rFonts w:ascii="Arial" w:cs="Arial" w:eastAsia="Arial" w:hAnsi="Arial"/>
                <w:sz w:val="16"/>
                <w:szCs w:val="16"/>
                <w:color w:val="auto"/>
              </w:rPr>
              <w:t>32.6 %</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31.1 %</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30.2 %</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Royalty income</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1"/>
        </w:trPr>
        <w:tc>
          <w:tcPr>
            <w:tcW w:w="4020" w:type="dxa"/>
            <w:vAlign w:val="bottom"/>
            <w:gridSpan w:val="3"/>
          </w:tcPr>
          <w:p>
            <w:pPr>
              <w:ind w:left="20"/>
              <w:spacing w:after="0"/>
              <w:rPr>
                <w:sz w:val="20"/>
                <w:szCs w:val="20"/>
                <w:color w:val="auto"/>
              </w:rPr>
            </w:pPr>
            <w:r>
              <w:rPr>
                <w:rFonts w:ascii="Arial" w:cs="Arial" w:eastAsia="Arial" w:hAnsi="Arial"/>
                <w:sz w:val="16"/>
                <w:szCs w:val="16"/>
                <w:color w:val="auto"/>
              </w:rPr>
              <w:t>Operating income</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12.3 %</w:t>
            </w:r>
          </w:p>
        </w:tc>
        <w:tc>
          <w:tcPr>
            <w:tcW w:w="100" w:type="dxa"/>
            <w:vAlign w:val="bottom"/>
          </w:tcPr>
          <w:p>
            <w:pPr>
              <w:spacing w:after="0"/>
              <w:rPr>
                <w:sz w:val="18"/>
                <w:szCs w:val="18"/>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13.3 %</w:t>
            </w:r>
          </w:p>
        </w:tc>
        <w:tc>
          <w:tcPr>
            <w:tcW w:w="100" w:type="dxa"/>
            <w:vAlign w:val="bottom"/>
          </w:tcPr>
          <w:p>
            <w:pPr>
              <w:spacing w:after="0"/>
              <w:rPr>
                <w:sz w:val="18"/>
                <w:szCs w:val="18"/>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13.0 %</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19"/>
        </w:trPr>
        <w:tc>
          <w:tcPr>
            <w:tcW w:w="4020" w:type="dxa"/>
            <w:vAlign w:val="bottom"/>
            <w:gridSpan w:val="3"/>
          </w:tcPr>
          <w:p>
            <w:pPr>
              <w:ind w:left="20"/>
              <w:spacing w:after="0"/>
              <w:rPr>
                <w:sz w:val="20"/>
                <w:szCs w:val="20"/>
                <w:color w:val="auto"/>
              </w:rPr>
            </w:pPr>
            <w:r>
              <w:rPr>
                <w:rFonts w:ascii="Arial" w:cs="Arial" w:eastAsia="Arial" w:hAnsi="Arial"/>
                <w:sz w:val="16"/>
                <w:szCs w:val="16"/>
                <w:color w:val="auto"/>
              </w:rPr>
              <w:t>Interest income</w:t>
            </w:r>
          </w:p>
        </w:tc>
        <w:tc>
          <w:tcPr>
            <w:tcW w:w="2120" w:type="dxa"/>
            <w:vAlign w:val="bottom"/>
            <w:gridSpan w:val="2"/>
          </w:tcPr>
          <w:p>
            <w:pPr>
              <w:ind w:left="1540"/>
              <w:spacing w:after="0"/>
              <w:rPr>
                <w:sz w:val="20"/>
                <w:szCs w:val="20"/>
                <w:color w:val="auto"/>
              </w:rPr>
            </w:pPr>
            <w:r>
              <w:rPr>
                <w:rFonts w:ascii="Arial" w:cs="Arial" w:eastAsia="Arial" w:hAnsi="Arial"/>
                <w:sz w:val="16"/>
                <w:szCs w:val="16"/>
                <w:color w:val="auto"/>
              </w:rPr>
              <w:t>n/m</w:t>
            </w:r>
          </w:p>
        </w:tc>
        <w:tc>
          <w:tcPr>
            <w:tcW w:w="2120" w:type="dxa"/>
            <w:vAlign w:val="bottom"/>
            <w:gridSpan w:val="2"/>
          </w:tcPr>
          <w:p>
            <w:pPr>
              <w:ind w:left="1540"/>
              <w:spacing w:after="0"/>
              <w:rPr>
                <w:sz w:val="20"/>
                <w:szCs w:val="20"/>
                <w:color w:val="auto"/>
              </w:rPr>
            </w:pPr>
            <w:r>
              <w:rPr>
                <w:rFonts w:ascii="Arial" w:cs="Arial" w:eastAsia="Arial" w:hAnsi="Arial"/>
                <w:sz w:val="16"/>
                <w:szCs w:val="16"/>
                <w:color w:val="auto"/>
              </w:rPr>
              <w:t>n/m</w:t>
            </w:r>
          </w:p>
        </w:tc>
        <w:tc>
          <w:tcPr>
            <w:tcW w:w="2020" w:type="dxa"/>
            <w:vAlign w:val="bottom"/>
          </w:tcPr>
          <w:p>
            <w:pPr>
              <w:jc w:val="right"/>
              <w:ind w:right="15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12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6"/>
                <w:szCs w:val="16"/>
                <w:color w:val="auto"/>
              </w:rPr>
              <w:t>n/m</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1"/>
        </w:trPr>
        <w:tc>
          <w:tcPr>
            <w:tcW w:w="4020" w:type="dxa"/>
            <w:vAlign w:val="bottom"/>
            <w:gridSpan w:val="3"/>
          </w:tcPr>
          <w:p>
            <w:pPr>
              <w:ind w:left="20"/>
              <w:spacing w:after="0"/>
              <w:rPr>
                <w:sz w:val="20"/>
                <w:szCs w:val="20"/>
                <w:color w:val="auto"/>
              </w:rPr>
            </w:pPr>
            <w:r>
              <w:rPr>
                <w:rFonts w:ascii="Arial" w:cs="Arial" w:eastAsia="Arial" w:hAnsi="Arial"/>
                <w:sz w:val="16"/>
                <w:szCs w:val="16"/>
                <w:color w:val="auto"/>
              </w:rPr>
              <w:t>Income before income taxes</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11.5 %</w:t>
            </w:r>
          </w:p>
        </w:tc>
        <w:tc>
          <w:tcPr>
            <w:tcW w:w="100" w:type="dxa"/>
            <w:vAlign w:val="bottom"/>
          </w:tcPr>
          <w:p>
            <w:pPr>
              <w:spacing w:after="0"/>
              <w:rPr>
                <w:sz w:val="18"/>
                <w:szCs w:val="18"/>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12.4 %</w:t>
            </w:r>
          </w:p>
        </w:tc>
        <w:tc>
          <w:tcPr>
            <w:tcW w:w="100" w:type="dxa"/>
            <w:vAlign w:val="bottom"/>
          </w:tcPr>
          <w:p>
            <w:pPr>
              <w:spacing w:after="0"/>
              <w:rPr>
                <w:sz w:val="18"/>
                <w:szCs w:val="18"/>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12.2 %</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Provision for income taxes (1)</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29"/>
        </w:trPr>
        <w:tc>
          <w:tcPr>
            <w:tcW w:w="4020" w:type="dxa"/>
            <w:vAlign w:val="bottom"/>
            <w:gridSpan w:val="3"/>
          </w:tcPr>
          <w:p>
            <w:pPr>
              <w:ind w:left="20"/>
              <w:spacing w:after="0"/>
              <w:rPr>
                <w:sz w:val="20"/>
                <w:szCs w:val="20"/>
                <w:color w:val="auto"/>
              </w:rPr>
            </w:pPr>
            <w:r>
              <w:rPr>
                <w:rFonts w:ascii="Arial" w:cs="Arial" w:eastAsia="Arial" w:hAnsi="Arial"/>
                <w:sz w:val="16"/>
                <w:szCs w:val="16"/>
                <w:color w:val="auto"/>
              </w:rPr>
              <w:t>Net income (1)</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8.9 %</w:t>
            </w:r>
          </w:p>
        </w:tc>
        <w:tc>
          <w:tcPr>
            <w:tcW w:w="100" w:type="dxa"/>
            <w:vAlign w:val="bottom"/>
          </w:tcPr>
          <w:p>
            <w:pPr>
              <w:spacing w:after="0"/>
              <w:rPr>
                <w:sz w:val="19"/>
                <w:szCs w:val="19"/>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8.1 %</w:t>
            </w:r>
          </w:p>
        </w:tc>
        <w:tc>
          <w:tcPr>
            <w:tcW w:w="100" w:type="dxa"/>
            <w:vAlign w:val="bottom"/>
          </w:tcPr>
          <w:p>
            <w:pPr>
              <w:spacing w:after="0"/>
              <w:rPr>
                <w:sz w:val="19"/>
                <w:szCs w:val="19"/>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7.9 %</w:t>
            </w: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spacing w:after="0"/>
              <w:rPr>
                <w:sz w:val="20"/>
                <w:szCs w:val="20"/>
                <w:color w:val="auto"/>
              </w:rPr>
            </w:pPr>
            <w:r>
              <w:rPr>
                <w:rFonts w:ascii="Arial" w:cs="Arial" w:eastAsia="Arial" w:hAnsi="Arial"/>
                <w:sz w:val="16"/>
                <w:szCs w:val="16"/>
                <w:i w:val="1"/>
                <w:iCs w:val="1"/>
                <w:color w:val="auto"/>
              </w:rPr>
              <w:t>n/m - rounds to less than 0.1%.</w:t>
            </w: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20" w:type="dxa"/>
            <w:vAlign w:val="bottom"/>
            <w:gridSpan w:val="3"/>
            <w:vMerge w:val="continue"/>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020" w:type="dxa"/>
            <w:vAlign w:val="bottom"/>
            <w:gridSpan w:val="3"/>
          </w:tcPr>
          <w:p>
            <w:pPr>
              <w:spacing w:after="0"/>
              <w:rPr>
                <w:sz w:val="20"/>
                <w:szCs w:val="20"/>
                <w:color w:val="auto"/>
              </w:rPr>
            </w:pPr>
            <w:r>
              <w:rPr>
                <w:rFonts w:ascii="Arial" w:cs="Arial" w:eastAsia="Arial" w:hAnsi="Arial"/>
                <w:sz w:val="16"/>
                <w:szCs w:val="16"/>
                <w:i w:val="1"/>
                <w:iCs w:val="1"/>
                <w:color w:val="auto"/>
              </w:rPr>
              <w:t>Note: Results may not be additive due to rounding.</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580" w:right="20" w:firstLine="5"/>
        <w:spacing w:after="0" w:line="243" w:lineRule="auto"/>
        <w:tabs>
          <w:tab w:leader="none" w:pos="788"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The provision for income taxes recognized during the fourth quarter of fiscal 2017 reflects a benefit related to the accounting for the December 22, 2017 enactment of tax law changes known as the U.S. Tax Cuts and Jobs Act of 2017. Portions of this accounting reflect provisional estimates, as permitted by SEC Staff Accounting Bulletin No. 118, </w:t>
      </w:r>
      <w:r>
        <w:rPr>
          <w:rFonts w:ascii="Arial" w:cs="Arial" w:eastAsia="Arial" w:hAnsi="Arial"/>
          <w:sz w:val="15"/>
          <w:szCs w:val="15"/>
          <w:i w:val="1"/>
          <w:iCs w:val="1"/>
          <w:color w:val="auto"/>
        </w:rPr>
        <w:t>Income</w:t>
      </w:r>
      <w:r>
        <w:rPr>
          <w:rFonts w:ascii="Arial" w:cs="Arial" w:eastAsia="Arial" w:hAnsi="Arial"/>
          <w:sz w:val="15"/>
          <w:szCs w:val="15"/>
          <w:color w:val="auto"/>
        </w:rPr>
        <w:t xml:space="preserve"> </w:t>
      </w:r>
      <w:r>
        <w:rPr>
          <w:rFonts w:ascii="Arial" w:cs="Arial" w:eastAsia="Arial" w:hAnsi="Arial"/>
          <w:sz w:val="15"/>
          <w:szCs w:val="15"/>
          <w:i w:val="1"/>
          <w:iCs w:val="1"/>
          <w:color w:val="auto"/>
        </w:rPr>
        <w:t>Tax Accounting Implications of the Tax Cuts and Jobs Act</w:t>
      </w:r>
      <w:r>
        <w:rPr>
          <w:rFonts w:ascii="Arial" w:cs="Arial" w:eastAsia="Arial" w:hAnsi="Arial"/>
          <w:sz w:val="15"/>
          <w:szCs w:val="15"/>
          <w:color w:val="auto"/>
        </w:rPr>
        <w:t>. Any subsequent adjustments to provisional estimates will be reflected in income tax provisions/benefits during one or more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periods in fiscal 2018. Additional information is contained in Item 8 "Financial Statements and Supplementary Data” under Note 11, </w:t>
      </w:r>
      <w:r>
        <w:rPr>
          <w:rFonts w:ascii="Arial" w:cs="Arial" w:eastAsia="Arial" w:hAnsi="Arial"/>
          <w:sz w:val="15"/>
          <w:szCs w:val="15"/>
          <w:i w:val="1"/>
          <w:iCs w:val="1"/>
          <w:color w:val="auto"/>
        </w:rPr>
        <w:t>Income Taxes</w:t>
      </w:r>
      <w:r>
        <w:rPr>
          <w:rFonts w:ascii="Arial" w:cs="Arial" w:eastAsia="Arial" w:hAnsi="Arial"/>
          <w:sz w:val="15"/>
          <w:szCs w:val="15"/>
          <w:color w:val="auto"/>
        </w:rPr>
        <w:t>, to the consolidated financial statements.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COMPARABLE SALES METRICS</w:t>
      </w:r>
    </w:p>
    <w:p>
      <w:pPr>
        <w:spacing w:after="0" w:line="207" w:lineRule="exact"/>
        <w:rPr>
          <w:sz w:val="20"/>
          <w:szCs w:val="20"/>
          <w:color w:val="auto"/>
        </w:rPr>
      </w:pPr>
    </w:p>
    <w:p>
      <w:pPr>
        <w:ind w:right="720"/>
        <w:spacing w:after="0" w:line="285" w:lineRule="auto"/>
        <w:rPr>
          <w:sz w:val="20"/>
          <w:szCs w:val="20"/>
          <w:color w:val="auto"/>
        </w:rPr>
      </w:pPr>
      <w:r>
        <w:rPr>
          <w:rFonts w:ascii="Arial" w:cs="Arial" w:eastAsia="Arial" w:hAnsi="Arial"/>
          <w:sz w:val="16"/>
          <w:szCs w:val="16"/>
          <w:color w:val="auto"/>
        </w:rPr>
        <w:t>Our management's discussion and analysis includes comparable sales metrics for our company-owned retail stores and our eCommerce sites in our U.S. Retail and International segments.</w:t>
      </w:r>
    </w:p>
    <w:p>
      <w:pPr>
        <w:spacing w:after="0" w:line="150"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Our comparable store sales metrics include sales for all stores and eCommerce sites that were open and operated by us during the comparable fiscal period, including stand-alone format stores that converted to dual-branded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or there is a material change in square footage, such store is treated as a new store. Stores that are closed during the relevant fiscal period are included in the comparable store sales metrics up to the last full fiscal month of operations. All sales that were made from the new Skip Hop tab on our existing U.S. eCommerce site are included in our comparable eCommerce site sales metrics.</w:t>
      </w:r>
    </w:p>
    <w:p>
      <w:pPr>
        <w:spacing w:after="0" w:line="158" w:lineRule="exact"/>
        <w:rPr>
          <w:sz w:val="20"/>
          <w:szCs w:val="20"/>
          <w:color w:val="auto"/>
        </w:rPr>
      </w:pPr>
    </w:p>
    <w:p>
      <w:pPr>
        <w:ind w:right="580"/>
        <w:spacing w:after="0" w:line="285" w:lineRule="auto"/>
        <w:rPr>
          <w:sz w:val="20"/>
          <w:szCs w:val="20"/>
          <w:color w:val="auto"/>
        </w:rPr>
      </w:pPr>
      <w:r>
        <w:rPr>
          <w:rFonts w:ascii="Arial" w:cs="Arial" w:eastAsia="Arial" w:hAnsi="Arial"/>
          <w:sz w:val="16"/>
          <w:szCs w:val="16"/>
          <w:color w:val="auto"/>
        </w:rPr>
        <w:t>The method of calculating sales metrics varies across the retail industry. As a result, our method of calculating comparable sales may not be the same as that of other retailers.</w:t>
      </w: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320"/>
          </w:cols>
          <w:pgMar w:left="240" w:top="123" w:right="339" w:bottom="1440" w:gutter="0" w:footer="0" w:header="0"/>
        </w:sectPr>
      </w:pPr>
    </w:p>
    <w:bookmarkStart w:id="30" w:name="page31"/>
    <w:bookmarkEnd w:id="30"/>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2017 FISCAL YEAR ENDED DECEMBER 30, 2017 COMPARED TO 2016 FISCAL YEAR ENDED DECEMBER 31, 2016</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NET SALES</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Compared to fiscal 2016, consolidated net sales in fiscal 2017 increased $201.2 million, or 6.3%, to $3.4 billion. This improvement reflected sales growth in each of our operating segments, as presented below. Changes in foreign currency exchange rates in fiscal 2017 as compared to fiscal 2016 had a favorable impact on our consolidated net sales of approximately $6.6 million.</w:t>
      </w:r>
    </w:p>
    <w:p>
      <w:pPr>
        <w:spacing w:after="0" w:line="101" w:lineRule="exact"/>
        <w:rPr>
          <w:sz w:val="20"/>
          <w:szCs w:val="20"/>
          <w:color w:val="auto"/>
        </w:rPr>
      </w:pPr>
    </w:p>
    <w:tbl>
      <w:tblPr>
        <w:tblLayout w:type="fixed"/>
        <w:tblInd w:w="1160" w:type="dxa"/>
        <w:tblCellMar>
          <w:top w:w="0" w:type="dxa"/>
          <w:left w:w="0" w:type="dxa"/>
          <w:bottom w:w="0" w:type="dxa"/>
          <w:right w:w="0" w:type="dxa"/>
        </w:tblCellMar>
      </w:tblPr>
      <w:tr>
        <w:trPr>
          <w:trHeight w:val="238"/>
        </w:trPr>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140" w:type="dxa"/>
            <w:vAlign w:val="bottom"/>
            <w:tcBorders>
              <w:bottom w:val="single" w:sz="8" w:color="auto"/>
            </w:tcBorders>
            <w:gridSpan w:val="5"/>
            <w:shd w:val="clear" w:color="auto" w:fill="CCEEFF"/>
          </w:tcPr>
          <w:p>
            <w:pPr>
              <w:ind w:left="300"/>
              <w:spacing w:after="0"/>
              <w:rPr>
                <w:sz w:val="20"/>
                <w:szCs w:val="20"/>
                <w:color w:val="auto"/>
              </w:rPr>
            </w:pPr>
            <w:r>
              <w:rPr>
                <w:rFonts w:ascii="Arial" w:cs="Arial" w:eastAsia="Arial" w:hAnsi="Arial"/>
                <w:sz w:val="16"/>
                <w:szCs w:val="16"/>
                <w:b w:val="1"/>
                <w:bCs w:val="1"/>
                <w:color w:val="auto"/>
              </w:rPr>
              <w:t>For the fiscal year ended</w:t>
            </w:r>
          </w:p>
        </w:tc>
        <w:tc>
          <w:tcPr>
            <w:tcW w:w="1120" w:type="dxa"/>
            <w:vAlign w:val="bottom"/>
            <w:tcBorders>
              <w:bottom w:val="single" w:sz="8" w:color="auto"/>
            </w:tcBorders>
            <w:shd w:val="clear" w:color="auto" w:fill="CCEEFF"/>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4"/>
              </w:rPr>
              <w:t>% of</w:t>
            </w: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327"/>
              <w:spacing w:after="0"/>
              <w:rPr>
                <w:sz w:val="20"/>
                <w:szCs w:val="20"/>
                <w:color w:val="auto"/>
              </w:rPr>
            </w:pPr>
            <w:r>
              <w:rPr>
                <w:rFonts w:ascii="Arial" w:cs="Arial" w:eastAsia="Arial" w:hAnsi="Arial"/>
                <w:sz w:val="15"/>
                <w:szCs w:val="15"/>
                <w:b w:val="1"/>
                <w:bCs w:val="1"/>
                <w:color w:val="auto"/>
              </w:rPr>
              <w:t>% of</w:t>
            </w:r>
          </w:p>
        </w:tc>
      </w:tr>
      <w:tr>
        <w:trPr>
          <w:trHeight w:val="191"/>
        </w:trPr>
        <w:tc>
          <w:tcPr>
            <w:tcW w:w="2840" w:type="dxa"/>
            <w:vAlign w:val="bottom"/>
            <w:gridSpan w:val="3"/>
          </w:tcPr>
          <w:p>
            <w:pPr>
              <w:ind w:left="20"/>
              <w:spacing w:after="0"/>
              <w:rPr>
                <w:sz w:val="20"/>
                <w:szCs w:val="20"/>
                <w:color w:val="auto"/>
              </w:rPr>
            </w:pPr>
            <w:r>
              <w:rPr>
                <w:rFonts w:ascii="Arial" w:cs="Arial" w:eastAsia="Arial" w:hAnsi="Arial"/>
                <w:sz w:val="15"/>
                <w:szCs w:val="15"/>
                <w:i w:val="1"/>
                <w:iCs w:val="1"/>
                <w:color w:val="auto"/>
              </w:rPr>
              <w:t>(dollars in thousands)</w:t>
            </w:r>
          </w:p>
        </w:tc>
        <w:tc>
          <w:tcPr>
            <w:tcW w:w="240" w:type="dxa"/>
            <w:vAlign w:val="bottom"/>
          </w:tcPr>
          <w:p>
            <w:pPr>
              <w:spacing w:after="0"/>
              <w:rPr>
                <w:sz w:val="16"/>
                <w:szCs w:val="16"/>
                <w:color w:val="auto"/>
              </w:rPr>
            </w:pPr>
          </w:p>
        </w:tc>
        <w:tc>
          <w:tcPr>
            <w:tcW w:w="176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30, 2017</w:t>
            </w:r>
          </w:p>
        </w:tc>
        <w:tc>
          <w:tcPr>
            <w:tcW w:w="12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5"/>
              </w:rPr>
              <w:t>Total Net Sales</w:t>
            </w:r>
          </w:p>
        </w:tc>
        <w:tc>
          <w:tcPr>
            <w:tcW w:w="20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 2016</w:t>
            </w:r>
          </w:p>
        </w:tc>
        <w:tc>
          <w:tcPr>
            <w:tcW w:w="1120" w:type="dxa"/>
            <w:vAlign w:val="bottom"/>
          </w:tcPr>
          <w:p>
            <w:pPr>
              <w:jc w:val="right"/>
              <w:ind w:right="27"/>
              <w:spacing w:after="0"/>
              <w:rPr>
                <w:sz w:val="20"/>
                <w:szCs w:val="20"/>
                <w:color w:val="auto"/>
              </w:rPr>
            </w:pPr>
            <w:r>
              <w:rPr>
                <w:rFonts w:ascii="Arial" w:cs="Arial" w:eastAsia="Arial" w:hAnsi="Arial"/>
                <w:sz w:val="15"/>
                <w:szCs w:val="15"/>
                <w:b w:val="1"/>
                <w:bCs w:val="1"/>
                <w:color w:val="auto"/>
                <w:w w:val="92"/>
              </w:rPr>
              <w:t>Total Net Sales</w:t>
            </w:r>
          </w:p>
        </w:tc>
      </w:tr>
      <w:tr>
        <w:trPr>
          <w:trHeight w:val="29"/>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Net sales:</w:t>
            </w: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auto"/>
            </w:tcBorders>
            <w:shd w:val="clear" w:color="auto" w:fill="CCEEFF"/>
          </w:tcPr>
          <w:p>
            <w:pPr>
              <w:spacing w:after="0"/>
              <w:rPr>
                <w:sz w:val="3"/>
                <w:szCs w:val="3"/>
                <w:color w:val="auto"/>
              </w:rPr>
            </w:pPr>
          </w:p>
        </w:tc>
        <w:tc>
          <w:tcPr>
            <w:tcW w:w="22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6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6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r>
      <w:tr>
        <w:trPr>
          <w:trHeight w:val="215"/>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5"/>
                <w:szCs w:val="15"/>
                <w:color w:val="auto"/>
              </w:rPr>
              <w:t>U.S. Retail</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ind w:right="7"/>
              <w:spacing w:after="0"/>
              <w:rPr>
                <w:sz w:val="20"/>
                <w:szCs w:val="20"/>
                <w:color w:val="auto"/>
              </w:rPr>
            </w:pPr>
            <w:r>
              <w:rPr>
                <w:rFonts w:ascii="Arial" w:cs="Arial" w:eastAsia="Arial" w:hAnsi="Arial"/>
                <w:sz w:val="15"/>
                <w:szCs w:val="15"/>
                <w:color w:val="auto"/>
              </w:rPr>
              <w:t>1,775,287</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52.2%</w:t>
            </w:r>
          </w:p>
        </w:tc>
        <w:tc>
          <w:tcPr>
            <w:tcW w:w="100" w:type="dxa"/>
            <w:vAlign w:val="bottom"/>
          </w:tcPr>
          <w:p>
            <w:pPr>
              <w:spacing w:after="0"/>
              <w:rPr>
                <w:sz w:val="18"/>
                <w:szCs w:val="18"/>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27"/>
              <w:spacing w:after="0"/>
              <w:rPr>
                <w:sz w:val="20"/>
                <w:szCs w:val="20"/>
                <w:color w:val="auto"/>
              </w:rPr>
            </w:pPr>
            <w:r>
              <w:rPr>
                <w:rFonts w:ascii="Arial" w:cs="Arial" w:eastAsia="Arial" w:hAnsi="Arial"/>
                <w:sz w:val="15"/>
                <w:szCs w:val="15"/>
                <w:color w:val="auto"/>
              </w:rPr>
              <w:t>1,656,414</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51.8%</w:t>
            </w:r>
          </w:p>
        </w:tc>
      </w:tr>
      <w:tr>
        <w:trPr>
          <w:trHeight w:val="29"/>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5"/>
        </w:trPr>
        <w:tc>
          <w:tcPr>
            <w:tcW w:w="2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U.S. Wholesale</w:t>
            </w:r>
          </w:p>
        </w:tc>
        <w:tc>
          <w:tcPr>
            <w:tcW w:w="24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1,209,663</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1,178,034</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36.8%</w:t>
            </w:r>
          </w:p>
        </w:tc>
      </w:tr>
      <w:tr>
        <w:trPr>
          <w:trHeight w:val="215"/>
        </w:trPr>
        <w:tc>
          <w:tcPr>
            <w:tcW w:w="2840" w:type="dxa"/>
            <w:vAlign w:val="bottom"/>
            <w:gridSpan w:val="3"/>
          </w:tcPr>
          <w:p>
            <w:pPr>
              <w:ind w:left="20"/>
              <w:spacing w:after="0"/>
              <w:rPr>
                <w:sz w:val="20"/>
                <w:szCs w:val="20"/>
                <w:color w:val="auto"/>
              </w:rPr>
            </w:pPr>
            <w:r>
              <w:rPr>
                <w:rFonts w:ascii="Arial" w:cs="Arial" w:eastAsia="Arial" w:hAnsi="Arial"/>
                <w:sz w:val="15"/>
                <w:szCs w:val="15"/>
                <w:color w:val="auto"/>
              </w:rPr>
              <w:t>International</w:t>
            </w:r>
          </w:p>
        </w:tc>
        <w:tc>
          <w:tcPr>
            <w:tcW w:w="240" w:type="dxa"/>
            <w:vAlign w:val="bottom"/>
          </w:tcPr>
          <w:p>
            <w:pPr>
              <w:spacing w:after="0"/>
              <w:rPr>
                <w:sz w:val="18"/>
                <w:szCs w:val="18"/>
                <w:color w:val="auto"/>
              </w:rPr>
            </w:pPr>
          </w:p>
        </w:tc>
        <w:tc>
          <w:tcPr>
            <w:tcW w:w="1660" w:type="dxa"/>
            <w:vAlign w:val="bottom"/>
          </w:tcPr>
          <w:p>
            <w:pPr>
              <w:jc w:val="right"/>
              <w:ind w:right="7"/>
              <w:spacing w:after="0"/>
              <w:rPr>
                <w:sz w:val="20"/>
                <w:szCs w:val="20"/>
                <w:color w:val="auto"/>
              </w:rPr>
            </w:pPr>
            <w:r>
              <w:rPr>
                <w:rFonts w:ascii="Arial" w:cs="Arial" w:eastAsia="Arial" w:hAnsi="Arial"/>
                <w:sz w:val="15"/>
                <w:szCs w:val="15"/>
                <w:color w:val="auto"/>
              </w:rPr>
              <w:t>415,460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27"/>
              <w:spacing w:after="0"/>
              <w:rPr>
                <w:sz w:val="20"/>
                <w:szCs w:val="20"/>
                <w:color w:val="auto"/>
              </w:rPr>
            </w:pPr>
            <w:r>
              <w:rPr>
                <w:rFonts w:ascii="Arial" w:cs="Arial" w:eastAsia="Arial" w:hAnsi="Arial"/>
                <w:sz w:val="15"/>
                <w:szCs w:val="15"/>
                <w:color w:val="auto"/>
              </w:rPr>
              <w:t>364,736</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11.4%</w:t>
            </w:r>
          </w:p>
        </w:tc>
      </w:tr>
      <w:tr>
        <w:trPr>
          <w:trHeight w:val="29"/>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Total net sales</w:t>
            </w:r>
          </w:p>
        </w:tc>
        <w:tc>
          <w:tcPr>
            <w:tcW w:w="2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3,400,410</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3,199,184</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Note: Results may not be additive due to rounding.</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RETAIL SALES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Store Count Data for Company-Operated Retail Stores in our U.S. Retail segment</w:t>
      </w:r>
    </w:p>
    <w:p>
      <w:pPr>
        <w:spacing w:after="0" w:line="342" w:lineRule="exact"/>
        <w:rPr>
          <w:sz w:val="20"/>
          <w:szCs w:val="20"/>
          <w:color w:val="auto"/>
        </w:rPr>
      </w:pPr>
    </w:p>
    <w:tbl>
      <w:tblPr>
        <w:tblLayout w:type="fixed"/>
        <w:tblInd w:w="3280" w:type="dxa"/>
        <w:tblCellMar>
          <w:top w:w="0" w:type="dxa"/>
          <w:left w:w="0" w:type="dxa"/>
          <w:bottom w:w="0" w:type="dxa"/>
          <w:right w:w="0" w:type="dxa"/>
        </w:tblCellMar>
      </w:tblPr>
      <w:tr>
        <w:trPr>
          <w:trHeight w:val="225"/>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Store count at January 2, 2016</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738</w:t>
            </w:r>
          </w:p>
        </w:tc>
      </w:tr>
      <w:tr>
        <w:trPr>
          <w:trHeight w:val="215"/>
        </w:trPr>
        <w:tc>
          <w:tcPr>
            <w:tcW w:w="3620" w:type="dxa"/>
            <w:vAlign w:val="bottom"/>
          </w:tcPr>
          <w:p>
            <w:pPr>
              <w:ind w:left="20"/>
              <w:spacing w:after="0"/>
              <w:rPr>
                <w:sz w:val="20"/>
                <w:szCs w:val="20"/>
                <w:color w:val="auto"/>
              </w:rPr>
            </w:pPr>
            <w:r>
              <w:rPr>
                <w:rFonts w:ascii="Arial" w:cs="Arial" w:eastAsia="Arial" w:hAnsi="Arial"/>
                <w:sz w:val="15"/>
                <w:szCs w:val="15"/>
                <w:color w:val="auto"/>
              </w:rPr>
              <w:t>Openings in fiscal 2016</w:t>
            </w:r>
          </w:p>
        </w:tc>
        <w:tc>
          <w:tcPr>
            <w:tcW w:w="1260" w:type="dxa"/>
            <w:vAlign w:val="bottom"/>
          </w:tcPr>
          <w:p>
            <w:pPr>
              <w:jc w:val="center"/>
              <w:spacing w:after="0"/>
              <w:rPr>
                <w:sz w:val="20"/>
                <w:szCs w:val="20"/>
                <w:color w:val="auto"/>
              </w:rPr>
            </w:pPr>
            <w:r>
              <w:rPr>
                <w:rFonts w:ascii="Arial" w:cs="Arial" w:eastAsia="Arial" w:hAnsi="Arial"/>
                <w:sz w:val="15"/>
                <w:szCs w:val="15"/>
                <w:color w:val="auto"/>
                <w:w w:val="83"/>
              </w:rPr>
              <w:t>63</w:t>
            </w:r>
          </w:p>
        </w:tc>
      </w:tr>
      <w:tr>
        <w:trPr>
          <w:trHeight w:val="29"/>
        </w:trPr>
        <w:tc>
          <w:tcPr>
            <w:tcW w:w="36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Closings in fiscal 2016</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(9)</w:t>
            </w:r>
          </w:p>
        </w:tc>
      </w:tr>
      <w:tr>
        <w:trPr>
          <w:trHeight w:val="195"/>
        </w:trPr>
        <w:tc>
          <w:tcPr>
            <w:tcW w:w="3620" w:type="dxa"/>
            <w:vAlign w:val="bottom"/>
          </w:tcPr>
          <w:p>
            <w:pPr>
              <w:ind w:left="20"/>
              <w:spacing w:after="0"/>
              <w:rPr>
                <w:sz w:val="20"/>
                <w:szCs w:val="20"/>
                <w:color w:val="auto"/>
              </w:rPr>
            </w:pPr>
            <w:r>
              <w:rPr>
                <w:rFonts w:ascii="Arial" w:cs="Arial" w:eastAsia="Arial" w:hAnsi="Arial"/>
                <w:sz w:val="15"/>
                <w:szCs w:val="15"/>
                <w:b w:val="1"/>
                <w:bCs w:val="1"/>
                <w:color w:val="auto"/>
              </w:rPr>
              <w:t>Store count at December 31, 2016</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87"/>
              </w:rPr>
              <w:t>792</w:t>
            </w:r>
          </w:p>
        </w:tc>
      </w:tr>
      <w:tr>
        <w:trPr>
          <w:trHeight w:val="29"/>
        </w:trPr>
        <w:tc>
          <w:tcPr>
            <w:tcW w:w="36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47"/>
        </w:trPr>
        <w:tc>
          <w:tcPr>
            <w:tcW w:w="36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215"/>
        </w:trPr>
        <w:tc>
          <w:tcPr>
            <w:tcW w:w="3620" w:type="dxa"/>
            <w:vAlign w:val="bottom"/>
          </w:tcPr>
          <w:p>
            <w:pPr>
              <w:ind w:left="20"/>
              <w:spacing w:after="0"/>
              <w:rPr>
                <w:sz w:val="20"/>
                <w:szCs w:val="20"/>
                <w:color w:val="auto"/>
              </w:rPr>
            </w:pPr>
            <w:r>
              <w:rPr>
                <w:rFonts w:ascii="Arial" w:cs="Arial" w:eastAsia="Arial" w:hAnsi="Arial"/>
                <w:sz w:val="15"/>
                <w:szCs w:val="15"/>
                <w:color w:val="auto"/>
              </w:rPr>
              <w:t>Openings in fiscal 2017</w:t>
            </w:r>
          </w:p>
        </w:tc>
        <w:tc>
          <w:tcPr>
            <w:tcW w:w="1260" w:type="dxa"/>
            <w:vAlign w:val="bottom"/>
          </w:tcPr>
          <w:p>
            <w:pPr>
              <w:jc w:val="center"/>
              <w:spacing w:after="0"/>
              <w:rPr>
                <w:sz w:val="20"/>
                <w:szCs w:val="20"/>
                <w:color w:val="auto"/>
              </w:rPr>
            </w:pPr>
            <w:r>
              <w:rPr>
                <w:rFonts w:ascii="Arial" w:cs="Arial" w:eastAsia="Arial" w:hAnsi="Arial"/>
                <w:sz w:val="15"/>
                <w:szCs w:val="15"/>
                <w:color w:val="auto"/>
                <w:w w:val="83"/>
              </w:rPr>
              <w:t>57</w:t>
            </w:r>
          </w:p>
        </w:tc>
      </w:tr>
      <w:tr>
        <w:trPr>
          <w:trHeight w:val="29"/>
        </w:trPr>
        <w:tc>
          <w:tcPr>
            <w:tcW w:w="36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5"/>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Closings in fiscal 2017</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(19)</w:t>
            </w:r>
          </w:p>
        </w:tc>
      </w:tr>
      <w:tr>
        <w:trPr>
          <w:trHeight w:val="257"/>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Store count at December 30, 2017</w:t>
            </w: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color w:val="auto"/>
                <w:w w:val="87"/>
              </w:rPr>
              <w:t>830</w:t>
            </w:r>
          </w:p>
        </w:tc>
      </w:tr>
      <w:tr>
        <w:trPr>
          <w:trHeight w:val="131"/>
        </w:trPr>
        <w:tc>
          <w:tcPr>
            <w:tcW w:w="36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r>
      <w:tr>
        <w:trPr>
          <w:trHeight w:val="215"/>
        </w:trPr>
        <w:tc>
          <w:tcPr>
            <w:tcW w:w="3620" w:type="dxa"/>
            <w:vAlign w:val="bottom"/>
          </w:tcPr>
          <w:p>
            <w:pPr>
              <w:ind w:left="20"/>
              <w:spacing w:after="0"/>
              <w:rPr>
                <w:sz w:val="20"/>
                <w:szCs w:val="20"/>
                <w:color w:val="auto"/>
              </w:rPr>
            </w:pPr>
            <w:r>
              <w:rPr>
                <w:rFonts w:ascii="Arial" w:cs="Arial" w:eastAsia="Arial" w:hAnsi="Arial"/>
                <w:sz w:val="15"/>
                <w:szCs w:val="15"/>
                <w:b w:val="1"/>
                <w:bCs w:val="1"/>
                <w:color w:val="auto"/>
              </w:rPr>
              <w:t>Approximate store projections for fiscal 2018:</w:t>
            </w:r>
          </w:p>
        </w:tc>
        <w:tc>
          <w:tcPr>
            <w:tcW w:w="1260" w:type="dxa"/>
            <w:vAlign w:val="bottom"/>
          </w:tcPr>
          <w:p>
            <w:pPr>
              <w:spacing w:after="0"/>
              <w:rPr>
                <w:sz w:val="18"/>
                <w:szCs w:val="18"/>
                <w:color w:val="auto"/>
              </w:rPr>
            </w:pPr>
          </w:p>
        </w:tc>
      </w:tr>
      <w:tr>
        <w:trPr>
          <w:trHeight w:val="29"/>
        </w:trPr>
        <w:tc>
          <w:tcPr>
            <w:tcW w:w="36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Openings projected for fiscal 2018</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3"/>
              </w:rPr>
              <w:t>50</w:t>
            </w:r>
          </w:p>
        </w:tc>
      </w:tr>
      <w:tr>
        <w:trPr>
          <w:trHeight w:val="215"/>
        </w:trPr>
        <w:tc>
          <w:tcPr>
            <w:tcW w:w="3620" w:type="dxa"/>
            <w:vAlign w:val="bottom"/>
          </w:tcPr>
          <w:p>
            <w:pPr>
              <w:ind w:left="20"/>
              <w:spacing w:after="0"/>
              <w:rPr>
                <w:sz w:val="20"/>
                <w:szCs w:val="20"/>
                <w:color w:val="auto"/>
              </w:rPr>
            </w:pPr>
            <w:r>
              <w:rPr>
                <w:rFonts w:ascii="Arial" w:cs="Arial" w:eastAsia="Arial" w:hAnsi="Arial"/>
                <w:sz w:val="15"/>
                <w:szCs w:val="15"/>
                <w:color w:val="auto"/>
              </w:rPr>
              <w:t>Closings projected for fiscal 2018</w:t>
            </w:r>
          </w:p>
        </w:tc>
        <w:tc>
          <w:tcPr>
            <w:tcW w:w="1260" w:type="dxa"/>
            <w:vAlign w:val="bottom"/>
          </w:tcPr>
          <w:p>
            <w:pPr>
              <w:jc w:val="center"/>
              <w:spacing w:after="0"/>
              <w:rPr>
                <w:sz w:val="20"/>
                <w:szCs w:val="20"/>
                <w:color w:val="auto"/>
              </w:rPr>
            </w:pPr>
            <w:r>
              <w:rPr>
                <w:rFonts w:ascii="Arial" w:cs="Arial" w:eastAsia="Arial" w:hAnsi="Arial"/>
                <w:sz w:val="15"/>
                <w:szCs w:val="15"/>
                <w:color w:val="auto"/>
                <w:w w:val="89"/>
              </w:rPr>
              <w:t>(35)</w:t>
            </w:r>
          </w:p>
        </w:tc>
      </w:tr>
      <w:tr>
        <w:trPr>
          <w:trHeight w:val="29"/>
        </w:trPr>
        <w:tc>
          <w:tcPr>
            <w:tcW w:w="36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increase projected for fiscal 2018</w:t>
            </w:r>
          </w:p>
        </w:tc>
        <w:tc>
          <w:tcPr>
            <w:tcW w:w="12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15</w:t>
            </w:r>
          </w:p>
        </w:tc>
      </w:tr>
      <w:tr>
        <w:trPr>
          <w:trHeight w:val="29"/>
        </w:trPr>
        <w:tc>
          <w:tcPr>
            <w:tcW w:w="36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color w:val="auto"/>
        </w:rPr>
        <w:t>At the beginning of fiscal 2017, we changed our methodology for U.S. store counts related to certain dual-branded format stores. Accordingly, our store count data is not comparable to data previously presented in prior fiscal years.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Comparable Sales for our U.S. Retail segment</w:t>
      </w:r>
    </w:p>
    <w:p>
      <w:pPr>
        <w:spacing w:after="0" w:line="342" w:lineRule="exact"/>
        <w:rPr>
          <w:sz w:val="20"/>
          <w:szCs w:val="20"/>
          <w:color w:val="auto"/>
        </w:rPr>
      </w:pPr>
    </w:p>
    <w:tbl>
      <w:tblPr>
        <w:tblLayout w:type="fixed"/>
        <w:tblInd w:w="2780" w:type="dxa"/>
        <w:tblCellMar>
          <w:top w:w="0" w:type="dxa"/>
          <w:left w:w="0" w:type="dxa"/>
          <w:bottom w:w="0" w:type="dxa"/>
          <w:right w:w="0" w:type="dxa"/>
        </w:tblCellMar>
      </w:tblPr>
      <w:tr>
        <w:trPr>
          <w:trHeight w:val="245"/>
        </w:trPr>
        <w:tc>
          <w:tcPr>
            <w:tcW w:w="2000" w:type="dxa"/>
            <w:vAlign w:val="bottom"/>
            <w:shd w:val="clear" w:color="auto" w:fill="CCEEFF"/>
          </w:tcPr>
          <w:p>
            <w:pPr>
              <w:spacing w:after="0"/>
              <w:rPr>
                <w:sz w:val="21"/>
                <w:szCs w:val="21"/>
                <w:color w:val="auto"/>
              </w:rPr>
            </w:pPr>
          </w:p>
        </w:tc>
        <w:tc>
          <w:tcPr>
            <w:tcW w:w="388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6"/>
                <w:szCs w:val="16"/>
                <w:b w:val="1"/>
                <w:bCs w:val="1"/>
                <w:color w:val="auto"/>
              </w:rPr>
              <w:t>Change from fiscal 2016 to fiscal 2017</w:t>
            </w:r>
          </w:p>
        </w:tc>
      </w:tr>
      <w:tr>
        <w:trPr>
          <w:trHeight w:val="231"/>
        </w:trPr>
        <w:tc>
          <w:tcPr>
            <w:tcW w:w="2000" w:type="dxa"/>
            <w:vAlign w:val="bottom"/>
          </w:tcPr>
          <w:p>
            <w:pPr>
              <w:ind w:left="640"/>
              <w:spacing w:after="0"/>
              <w:rPr>
                <w:sz w:val="20"/>
                <w:szCs w:val="20"/>
                <w:color w:val="auto"/>
              </w:rPr>
            </w:pPr>
            <w:r>
              <w:rPr>
                <w:rFonts w:ascii="Arial" w:cs="Arial" w:eastAsia="Arial" w:hAnsi="Arial"/>
                <w:sz w:val="13"/>
                <w:szCs w:val="13"/>
                <w:color w:val="auto"/>
              </w:rPr>
              <w:t>Increase (Decrease)</w:t>
            </w:r>
          </w:p>
        </w:tc>
        <w:tc>
          <w:tcPr>
            <w:tcW w:w="3880" w:type="dxa"/>
            <w:vAlign w:val="bottom"/>
          </w:tcPr>
          <w:p>
            <w:pPr>
              <w:spacing w:after="0"/>
              <w:rPr>
                <w:sz w:val="20"/>
                <w:szCs w:val="20"/>
                <w:color w:val="auto"/>
              </w:rPr>
            </w:pPr>
          </w:p>
        </w:tc>
      </w:tr>
      <w:tr>
        <w:trPr>
          <w:trHeight w:val="230"/>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Retail stores</w:t>
            </w:r>
          </w:p>
        </w:tc>
        <w:tc>
          <w:tcPr>
            <w:tcW w:w="3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0"/>
              </w:rPr>
              <w:t>(3.3)%</w:t>
            </w:r>
          </w:p>
        </w:tc>
      </w:tr>
      <w:tr>
        <w:trPr>
          <w:trHeight w:val="215"/>
        </w:trPr>
        <w:tc>
          <w:tcPr>
            <w:tcW w:w="2000" w:type="dxa"/>
            <w:vAlign w:val="bottom"/>
          </w:tcPr>
          <w:p>
            <w:pPr>
              <w:ind w:left="20"/>
              <w:spacing w:after="0"/>
              <w:rPr>
                <w:sz w:val="20"/>
                <w:szCs w:val="20"/>
                <w:color w:val="auto"/>
              </w:rPr>
            </w:pPr>
            <w:r>
              <w:rPr>
                <w:rFonts w:ascii="Arial" w:cs="Arial" w:eastAsia="Arial" w:hAnsi="Arial"/>
                <w:sz w:val="15"/>
                <w:szCs w:val="15"/>
                <w:color w:val="auto"/>
              </w:rPr>
              <w:t>eCommerce</w:t>
            </w:r>
          </w:p>
        </w:tc>
        <w:tc>
          <w:tcPr>
            <w:tcW w:w="3880" w:type="dxa"/>
            <w:vAlign w:val="bottom"/>
          </w:tcPr>
          <w:p>
            <w:pPr>
              <w:jc w:val="center"/>
              <w:spacing w:after="0"/>
              <w:rPr>
                <w:sz w:val="20"/>
                <w:szCs w:val="20"/>
                <w:color w:val="auto"/>
              </w:rPr>
            </w:pPr>
            <w:r>
              <w:rPr>
                <w:rFonts w:ascii="Arial" w:cs="Arial" w:eastAsia="Arial" w:hAnsi="Arial"/>
                <w:sz w:val="15"/>
                <w:szCs w:val="15"/>
                <w:color w:val="auto"/>
                <w:w w:val="89"/>
              </w:rPr>
              <w:t>+21.6%</w:t>
            </w:r>
          </w:p>
        </w:tc>
      </w:tr>
      <w:tr>
        <w:trPr>
          <w:trHeight w:val="29"/>
        </w:trPr>
        <w:tc>
          <w:tcPr>
            <w:tcW w:w="200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25"/>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3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+2.7%</w:t>
            </w:r>
          </w:p>
        </w:tc>
      </w:tr>
      <w:tr>
        <w:trPr>
          <w:trHeight w:val="415"/>
        </w:trPr>
        <w:tc>
          <w:tcPr>
            <w:tcW w:w="2000" w:type="dxa"/>
            <w:vAlign w:val="bottom"/>
          </w:tcPr>
          <w:p>
            <w:pPr>
              <w:spacing w:after="0"/>
              <w:rPr>
                <w:sz w:val="24"/>
                <w:szCs w:val="24"/>
                <w:color w:val="auto"/>
              </w:rPr>
            </w:pPr>
          </w:p>
        </w:tc>
        <w:tc>
          <w:tcPr>
            <w:tcW w:w="3880" w:type="dxa"/>
            <w:vAlign w:val="bottom"/>
          </w:tcPr>
          <w:p>
            <w:pPr>
              <w:jc w:val="right"/>
              <w:ind w:right="2783"/>
              <w:spacing w:after="0"/>
              <w:rPr>
                <w:sz w:val="20"/>
                <w:szCs w:val="20"/>
                <w:color w:val="auto"/>
              </w:rPr>
            </w:pPr>
            <w:r>
              <w:rPr>
                <w:rFonts w:ascii="Arial" w:cs="Arial" w:eastAsia="Arial" w:hAnsi="Arial"/>
                <w:sz w:val="16"/>
                <w:szCs w:val="16"/>
                <w:color w:val="auto"/>
              </w:rPr>
              <w:t>28</w:t>
            </w:r>
          </w:p>
        </w:tc>
      </w:tr>
    </w:tbl>
    <w:p>
      <w:pPr>
        <w:sectPr>
          <w:pgSz w:w="11900" w:h="16838" w:orient="portrait"/>
          <w:cols w:equalWidth="0" w:num="1">
            <w:col w:w="11320"/>
          </w:cols>
          <w:pgMar w:left="240" w:top="123" w:right="339" w:bottom="1440" w:gutter="0" w:footer="0" w:header="0"/>
        </w:sectPr>
      </w:pPr>
    </w:p>
    <w:bookmarkStart w:id="31" w:name="page32"/>
    <w:bookmarkEnd w:id="31"/>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decrease in U.S. Retail store comparable sales during fiscal 2017 was primarily due to a lower average transaction price and lower store traffic, which we believe was partially offset by the stabilization of the effects of a decline in shopping by international consumers that we experienced in the first half of fiscal 2016 and in fiscal 2015 (as discussed further below). The increase in eCommerce site comparable sales during fiscal 2017 was primarily due to an increase in the number of transactions, partially offset by a lower average transaction price.</w:t>
      </w:r>
    </w:p>
    <w:p>
      <w:pPr>
        <w:spacing w:after="0" w:line="166"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These sales metrics take into account sales (and returns) that occur at our points of sale in our U.S. retail stores and through our U.S. eCommerce site. It is important to note, however, that as our omni-channel strategy continues to mature, our sales can cross between our U.S. retail stores and eCommerce site. For example:</w:t>
      </w:r>
    </w:p>
    <w:p>
      <w:pPr>
        <w:spacing w:after="0" w:line="90" w:lineRule="exact"/>
        <w:rPr>
          <w:sz w:val="20"/>
          <w:szCs w:val="20"/>
          <w:color w:val="auto"/>
        </w:rPr>
      </w:pPr>
    </w:p>
    <w:p>
      <w:pPr>
        <w:ind w:left="580" w:hanging="289"/>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on-line purchases can easily be returned in our stores;</w:t>
      </w:r>
    </w:p>
    <w:p>
      <w:pPr>
        <w:spacing w:after="0" w:line="23" w:lineRule="exact"/>
        <w:rPr>
          <w:rFonts w:ascii="Arial" w:cs="Arial" w:eastAsia="Arial" w:hAnsi="Arial"/>
          <w:sz w:val="16"/>
          <w:szCs w:val="16"/>
          <w:color w:val="auto"/>
        </w:rPr>
      </w:pPr>
    </w:p>
    <w:p>
      <w:pPr>
        <w:ind w:left="580" w:hanging="289"/>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stores increase on-line sales by providing customers opportunities to view, touch and/or try on physical merchandise before ordering on-line;</w:t>
      </w:r>
    </w:p>
    <w:p>
      <w:pPr>
        <w:spacing w:after="0" w:line="11" w:lineRule="exact"/>
        <w:rPr>
          <w:rFonts w:ascii="Arial" w:cs="Arial" w:eastAsia="Arial" w:hAnsi="Arial"/>
          <w:sz w:val="16"/>
          <w:szCs w:val="16"/>
          <w:color w:val="auto"/>
        </w:rPr>
      </w:pPr>
    </w:p>
    <w:p>
      <w:pPr>
        <w:ind w:left="580" w:hanging="289"/>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in-store customers can order on-line in our stores; and</w:t>
      </w:r>
    </w:p>
    <w:p>
      <w:pPr>
        <w:spacing w:after="0" w:line="11" w:lineRule="exact"/>
        <w:rPr>
          <w:rFonts w:ascii="Arial" w:cs="Arial" w:eastAsia="Arial" w:hAnsi="Arial"/>
          <w:sz w:val="16"/>
          <w:szCs w:val="16"/>
          <w:color w:val="auto"/>
        </w:rPr>
      </w:pPr>
    </w:p>
    <w:p>
      <w:pPr>
        <w:ind w:left="580" w:hanging="289"/>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customers can order on-line and ship to and pick-up in stores.</w:t>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Results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U.S. Retail segment net sales increased $118.9 million, or 7.2%, in fiscal 2017 to $1.8 billion. The increase in net sales in fiscal 2017 primarily reflected an/a:</w:t>
      </w:r>
    </w:p>
    <w:p>
      <w:pPr>
        <w:spacing w:after="0" w:line="207" w:lineRule="exact"/>
        <w:rPr>
          <w:sz w:val="20"/>
          <w:szCs w:val="20"/>
          <w:color w:val="auto"/>
        </w:rPr>
      </w:pPr>
    </w:p>
    <w:p>
      <w:pPr>
        <w:ind w:left="580" w:hanging="289"/>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Increase of $85.8 million in comparable eCommerce sales, including sales of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branded products on our U.S. eCommerce site;</w:t>
      </w:r>
    </w:p>
    <w:p>
      <w:pPr>
        <w:spacing w:after="0" w:line="97" w:lineRule="exact"/>
        <w:rPr>
          <w:rFonts w:ascii="Arial" w:cs="Arial" w:eastAsia="Arial" w:hAnsi="Arial"/>
          <w:sz w:val="16"/>
          <w:szCs w:val="16"/>
          <w:color w:val="auto"/>
        </w:rPr>
      </w:pPr>
    </w:p>
    <w:p>
      <w:pPr>
        <w:ind w:left="580" w:hanging="289"/>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Increase of $81.8 million in sales from new stores that are not yet comparable;</w:t>
      </w:r>
    </w:p>
    <w:p>
      <w:pPr>
        <w:spacing w:after="0" w:line="182" w:lineRule="exact"/>
        <w:rPr>
          <w:rFonts w:ascii="Arial" w:cs="Arial" w:eastAsia="Arial" w:hAnsi="Arial"/>
          <w:sz w:val="16"/>
          <w:szCs w:val="16"/>
          <w:color w:val="auto"/>
        </w:rPr>
      </w:pPr>
    </w:p>
    <w:p>
      <w:pPr>
        <w:ind w:left="580" w:hanging="289"/>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Decrease of $41.7 million in comparable store sales; and</w:t>
      </w:r>
    </w:p>
    <w:p>
      <w:pPr>
        <w:spacing w:after="0" w:line="182" w:lineRule="exact"/>
        <w:rPr>
          <w:rFonts w:ascii="Arial" w:cs="Arial" w:eastAsia="Arial" w:hAnsi="Arial"/>
          <w:sz w:val="16"/>
          <w:szCs w:val="16"/>
          <w:color w:val="auto"/>
        </w:rPr>
      </w:pPr>
    </w:p>
    <w:p>
      <w:pPr>
        <w:ind w:left="580" w:hanging="289"/>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Decrease of $14.4 million due to the effect of store closings.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WHOLESALE SALES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U.S. Wholesale segment net sales increased $31.6 million, or 2.7%, in fiscal 2017 to $1.2 billion. The increase in net sales in fiscal 2017 primarily reflected an/a:</w:t>
      </w:r>
    </w:p>
    <w:p>
      <w:pPr>
        <w:spacing w:after="0" w:line="109" w:lineRule="exact"/>
        <w:rPr>
          <w:sz w:val="20"/>
          <w:szCs w:val="20"/>
          <w:color w:val="auto"/>
        </w:rPr>
      </w:pPr>
    </w:p>
    <w:p>
      <w:pPr>
        <w:ind w:left="580" w:hanging="289"/>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Increase of $55.7 million from new sales of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branded products; and</w:t>
      </w:r>
    </w:p>
    <w:p>
      <w:pPr>
        <w:spacing w:after="0" w:line="292" w:lineRule="exact"/>
        <w:rPr>
          <w:rFonts w:ascii="Arial" w:cs="Arial" w:eastAsia="Arial" w:hAnsi="Arial"/>
          <w:sz w:val="16"/>
          <w:szCs w:val="16"/>
          <w:color w:val="auto"/>
        </w:rPr>
      </w:pPr>
    </w:p>
    <w:p>
      <w:pPr>
        <w:ind w:left="580" w:hanging="289"/>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Decrease of $24.0 million in comparable sales of our other products, which primarily reflected a 2.7% decrease in number of units shipped.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INTERNATIONAL SALES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International segment net sales increased $50.7 million, or 13.9%, in fiscal 2017 to $415.5 million. Changes in foreign currency exchange rates, primarily between the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dollar and the Canadian dollar, had a $6.6 million favorable impact on International segment net sales in fiscal 2017 compared to fiscal 2016.</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$50.7 million increase in net sales in our International segment for fiscal 2017 primarily reflected an/a:</w:t>
      </w:r>
    </w:p>
    <w:p>
      <w:pPr>
        <w:spacing w:after="0" w:line="134" w:lineRule="exact"/>
        <w:rPr>
          <w:sz w:val="20"/>
          <w:szCs w:val="20"/>
          <w:color w:val="auto"/>
        </w:rPr>
      </w:pPr>
    </w:p>
    <w:p>
      <w:pPr>
        <w:ind w:left="600" w:hanging="284"/>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Increase of $31.8 million from sales of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branded product to our wholesale customers</w:t>
      </w:r>
    </w:p>
    <w:p>
      <w:pPr>
        <w:spacing w:after="0" w:line="182" w:lineRule="exact"/>
        <w:rPr>
          <w:rFonts w:ascii="Arial" w:cs="Arial" w:eastAsia="Arial" w:hAnsi="Arial"/>
          <w:sz w:val="16"/>
          <w:szCs w:val="16"/>
          <w:color w:val="auto"/>
        </w:rPr>
      </w:pPr>
    </w:p>
    <w:p>
      <w:pPr>
        <w:ind w:left="600" w:hanging="284"/>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 of $15.4 million from the acquisition of Carter's Mexico;</w:t>
      </w:r>
    </w:p>
    <w:p>
      <w:pPr>
        <w:spacing w:after="0" w:line="182" w:lineRule="exact"/>
        <w:rPr>
          <w:rFonts w:ascii="Arial" w:cs="Arial" w:eastAsia="Arial" w:hAnsi="Arial"/>
          <w:sz w:val="16"/>
          <w:szCs w:val="16"/>
          <w:color w:val="auto"/>
        </w:rPr>
      </w:pPr>
    </w:p>
    <w:p>
      <w:pPr>
        <w:ind w:left="600" w:hanging="284"/>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 of $15.0 million from our company-operated retail stores in Canada;</w:t>
      </w:r>
    </w:p>
    <w:p>
      <w:pPr>
        <w:spacing w:after="0" w:line="31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80"/>
          </w:cols>
          <w:pgMar w:left="240" w:top="123" w:right="379" w:bottom="1440" w:gutter="0" w:footer="0" w:header="0"/>
        </w:sectPr>
      </w:pPr>
    </w:p>
    <w:bookmarkStart w:id="32" w:name="page33"/>
    <w:bookmarkEnd w:id="32"/>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317" w:lineRule="exact"/>
        <w:rPr>
          <w:sz w:val="20"/>
          <w:szCs w:val="20"/>
          <w:color w:val="auto"/>
        </w:rPr>
      </w:pPr>
    </w:p>
    <w:p>
      <w:pPr>
        <w:ind w:left="600" w:hanging="284"/>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 of $8.5 million from eCommerce net sales, primarily from our eCommerce sites in Canada and China; and</w:t>
      </w:r>
    </w:p>
    <w:p>
      <w:pPr>
        <w:spacing w:after="0" w:line="182" w:lineRule="exact"/>
        <w:rPr>
          <w:rFonts w:ascii="Arial" w:cs="Arial" w:eastAsia="Arial" w:hAnsi="Arial"/>
          <w:sz w:val="16"/>
          <w:szCs w:val="16"/>
          <w:color w:val="auto"/>
        </w:rPr>
      </w:pPr>
    </w:p>
    <w:p>
      <w:pPr>
        <w:ind w:left="600" w:hanging="284"/>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Decrease of $20.0 million from international wholesale customers across various markets.</w:t>
      </w:r>
    </w:p>
    <w:p>
      <w:pPr>
        <w:spacing w:after="0" w:line="37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Compared to fiscal 2016, our Canadian total retail comparable sales increased 0.2% in fiscal 2017, primarily due to eCommerce comparable sales growth of 37.6%, which was partially offset by a retail store comparable sales decline of 3.1%.</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Store Count Data for Company-Operated Retail Stores in our International segment</w:t>
      </w:r>
    </w:p>
    <w:p>
      <w:pPr>
        <w:spacing w:after="0" w:line="146" w:lineRule="exact"/>
        <w:rPr>
          <w:sz w:val="20"/>
          <w:szCs w:val="20"/>
          <w:color w:val="auto"/>
        </w:rPr>
      </w:pPr>
    </w:p>
    <w:tbl>
      <w:tblPr>
        <w:tblLayout w:type="fixed"/>
        <w:tblInd w:w="2200" w:type="dxa"/>
        <w:tblCellMar>
          <w:top w:w="0" w:type="dxa"/>
          <w:left w:w="0" w:type="dxa"/>
          <w:bottom w:w="0" w:type="dxa"/>
          <w:right w:w="0" w:type="dxa"/>
        </w:tblCellMar>
      </w:tblPr>
      <w:tr>
        <w:trPr>
          <w:trHeight w:val="204"/>
        </w:trPr>
        <w:tc>
          <w:tcPr>
            <w:tcW w:w="46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b w:val="1"/>
                <w:bCs w:val="1"/>
                <w:color w:val="auto"/>
                <w:w w:val="94"/>
              </w:rPr>
              <w:t>Canada Retail</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Mexico Retail</w:t>
            </w:r>
          </w:p>
        </w:tc>
      </w:tr>
      <w:tr>
        <w:trPr>
          <w:trHeight w:val="237"/>
        </w:trPr>
        <w:tc>
          <w:tcPr>
            <w:tcW w:w="4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84"/>
              </w:rPr>
              <w:t>Stores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Stores (a)</w:t>
            </w:r>
          </w:p>
        </w:tc>
      </w:tr>
      <w:tr>
        <w:trPr>
          <w:trHeight w:val="139"/>
        </w:trPr>
        <w:tc>
          <w:tcPr>
            <w:tcW w:w="46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r>
      <w:tr>
        <w:trPr>
          <w:trHeight w:val="225"/>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Store count at January 2, 2016</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147</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(a)</w:t>
            </w:r>
          </w:p>
        </w:tc>
      </w:tr>
      <w:tr>
        <w:trPr>
          <w:trHeight w:val="215"/>
        </w:trPr>
        <w:tc>
          <w:tcPr>
            <w:tcW w:w="4620" w:type="dxa"/>
            <w:vAlign w:val="bottom"/>
          </w:tcPr>
          <w:p>
            <w:pPr>
              <w:ind w:left="20"/>
              <w:spacing w:after="0"/>
              <w:rPr>
                <w:sz w:val="20"/>
                <w:szCs w:val="20"/>
                <w:color w:val="auto"/>
              </w:rPr>
            </w:pPr>
            <w:r>
              <w:rPr>
                <w:rFonts w:ascii="Arial" w:cs="Arial" w:eastAsia="Arial" w:hAnsi="Arial"/>
                <w:sz w:val="15"/>
                <w:szCs w:val="15"/>
                <w:color w:val="auto"/>
              </w:rPr>
              <w:t>Openings in fiscal 2016</w:t>
            </w:r>
          </w:p>
        </w:tc>
        <w:tc>
          <w:tcPr>
            <w:tcW w:w="1180" w:type="dxa"/>
            <w:vAlign w:val="bottom"/>
          </w:tcPr>
          <w:p>
            <w:pPr>
              <w:jc w:val="center"/>
              <w:spacing w:after="0"/>
              <w:rPr>
                <w:sz w:val="20"/>
                <w:szCs w:val="20"/>
                <w:color w:val="auto"/>
              </w:rPr>
            </w:pPr>
            <w:r>
              <w:rPr>
                <w:rFonts w:ascii="Arial" w:cs="Arial" w:eastAsia="Arial" w:hAnsi="Arial"/>
                <w:sz w:val="15"/>
                <w:szCs w:val="15"/>
                <w:color w:val="auto"/>
                <w:w w:val="83"/>
              </w:rPr>
              <w:t>17</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5"/>
                <w:szCs w:val="15"/>
                <w:color w:val="auto"/>
                <w:w w:val="87"/>
              </w:rPr>
              <w:t>(a)</w:t>
            </w:r>
          </w:p>
        </w:tc>
      </w:tr>
      <w:tr>
        <w:trPr>
          <w:trHeight w:val="29"/>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Closings in fiscal 2016</w:t>
            </w:r>
          </w:p>
        </w:tc>
        <w:tc>
          <w:tcPr>
            <w:tcW w:w="1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7"/>
              </w:rPr>
              <w:t>(a)</w:t>
            </w:r>
          </w:p>
        </w:tc>
      </w:tr>
      <w:tr>
        <w:trPr>
          <w:trHeight w:val="195"/>
        </w:trPr>
        <w:tc>
          <w:tcPr>
            <w:tcW w:w="4620" w:type="dxa"/>
            <w:vAlign w:val="bottom"/>
          </w:tcPr>
          <w:p>
            <w:pPr>
              <w:ind w:left="20"/>
              <w:spacing w:after="0"/>
              <w:rPr>
                <w:sz w:val="20"/>
                <w:szCs w:val="20"/>
                <w:color w:val="auto"/>
              </w:rPr>
            </w:pPr>
            <w:r>
              <w:rPr>
                <w:rFonts w:ascii="Arial" w:cs="Arial" w:eastAsia="Arial" w:hAnsi="Arial"/>
                <w:sz w:val="15"/>
                <w:szCs w:val="15"/>
                <w:b w:val="1"/>
                <w:bCs w:val="1"/>
                <w:color w:val="auto"/>
              </w:rPr>
              <w:t>Store count at December 31, 2016</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87"/>
              </w:rPr>
              <w:t>164</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87"/>
              </w:rPr>
              <w:t>(a)</w:t>
            </w:r>
          </w:p>
        </w:tc>
      </w:tr>
      <w:tr>
        <w:trPr>
          <w:trHeight w:val="29"/>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47"/>
        </w:trPr>
        <w:tc>
          <w:tcPr>
            <w:tcW w:w="46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15"/>
        </w:trPr>
        <w:tc>
          <w:tcPr>
            <w:tcW w:w="4620" w:type="dxa"/>
            <w:vAlign w:val="bottom"/>
          </w:tcPr>
          <w:p>
            <w:pPr>
              <w:ind w:left="20"/>
              <w:spacing w:after="0"/>
              <w:rPr>
                <w:sz w:val="20"/>
                <w:szCs w:val="20"/>
                <w:color w:val="auto"/>
              </w:rPr>
            </w:pPr>
            <w:r>
              <w:rPr>
                <w:rFonts w:ascii="Arial" w:cs="Arial" w:eastAsia="Arial" w:hAnsi="Arial"/>
                <w:sz w:val="15"/>
                <w:szCs w:val="15"/>
                <w:color w:val="auto"/>
              </w:rPr>
              <w:t>Acquired through business acquisition in fiscal 2017</w:t>
            </w:r>
          </w:p>
        </w:tc>
        <w:tc>
          <w:tcPr>
            <w:tcW w:w="1280" w:type="dxa"/>
            <w:vAlign w:val="bottom"/>
            <w:gridSpan w:val="2"/>
          </w:tcPr>
          <w:p>
            <w:pPr>
              <w:jc w:val="center"/>
              <w:ind w:right="100"/>
              <w:spacing w:after="0"/>
              <w:rPr>
                <w:sz w:val="20"/>
                <w:szCs w:val="20"/>
                <w:color w:val="auto"/>
              </w:rPr>
            </w:pPr>
            <w:r>
              <w:rPr>
                <w:rFonts w:ascii="Arial" w:cs="Arial" w:eastAsia="Arial" w:hAnsi="Arial"/>
                <w:sz w:val="15"/>
                <w:szCs w:val="15"/>
                <w:color w:val="auto"/>
              </w:rPr>
              <w:t>N/A</w:t>
            </w:r>
          </w:p>
        </w:tc>
        <w:tc>
          <w:tcPr>
            <w:tcW w:w="1120" w:type="dxa"/>
            <w:vAlign w:val="bottom"/>
          </w:tcPr>
          <w:p>
            <w:pPr>
              <w:jc w:val="center"/>
              <w:spacing w:after="0"/>
              <w:rPr>
                <w:sz w:val="20"/>
                <w:szCs w:val="20"/>
                <w:color w:val="auto"/>
              </w:rPr>
            </w:pPr>
            <w:r>
              <w:rPr>
                <w:rFonts w:ascii="Arial" w:cs="Arial" w:eastAsia="Arial" w:hAnsi="Arial"/>
                <w:sz w:val="15"/>
                <w:szCs w:val="15"/>
                <w:color w:val="auto"/>
                <w:w w:val="83"/>
              </w:rPr>
              <w:t>39</w:t>
            </w:r>
          </w:p>
        </w:tc>
      </w:tr>
      <w:tr>
        <w:trPr>
          <w:trHeight w:val="29"/>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5"/>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Openings in fiscal 2017</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83"/>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71"/>
              </w:rPr>
              <w:t>2</w:t>
            </w:r>
          </w:p>
        </w:tc>
      </w:tr>
      <w:tr>
        <w:trPr>
          <w:trHeight w:val="215"/>
        </w:trPr>
        <w:tc>
          <w:tcPr>
            <w:tcW w:w="4620" w:type="dxa"/>
            <w:vAlign w:val="bottom"/>
          </w:tcPr>
          <w:p>
            <w:pPr>
              <w:ind w:left="20"/>
              <w:spacing w:after="0"/>
              <w:rPr>
                <w:sz w:val="20"/>
                <w:szCs w:val="20"/>
                <w:color w:val="auto"/>
              </w:rPr>
            </w:pPr>
            <w:r>
              <w:rPr>
                <w:rFonts w:ascii="Arial" w:cs="Arial" w:eastAsia="Arial" w:hAnsi="Arial"/>
                <w:sz w:val="15"/>
                <w:szCs w:val="15"/>
                <w:color w:val="auto"/>
              </w:rPr>
              <w:t>Closings in fiscal 2017</w:t>
            </w:r>
          </w:p>
        </w:tc>
        <w:tc>
          <w:tcPr>
            <w:tcW w:w="1180" w:type="dxa"/>
            <w:vAlign w:val="bottom"/>
          </w:tcPr>
          <w:p>
            <w:pPr>
              <w:jc w:val="center"/>
              <w:spacing w:after="0"/>
              <w:rPr>
                <w:sz w:val="20"/>
                <w:szCs w:val="20"/>
                <w:color w:val="auto"/>
              </w:rPr>
            </w:pPr>
            <w:r>
              <w:rPr>
                <w:rFonts w:ascii="Arial" w:cs="Arial" w:eastAsia="Arial" w:hAnsi="Arial"/>
                <w:sz w:val="15"/>
                <w:szCs w:val="15"/>
                <w:color w:val="auto"/>
                <w:w w:val="97"/>
              </w:rPr>
              <w:t>(2)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5"/>
                <w:szCs w:val="15"/>
                <w:color w:val="auto"/>
                <w:w w:val="93"/>
              </w:rPr>
              <w:t>—</w:t>
            </w:r>
          </w:p>
        </w:tc>
      </w:tr>
      <w:tr>
        <w:trPr>
          <w:trHeight w:val="29"/>
        </w:trPr>
        <w:tc>
          <w:tcPr>
            <w:tcW w:w="4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Store count at December 30, 2017</w:t>
            </w:r>
          </w:p>
        </w:tc>
        <w:tc>
          <w:tcPr>
            <w:tcW w:w="1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7"/>
              </w:rPr>
              <w:t>179</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3"/>
              </w:rPr>
              <w:t>41</w:t>
            </w:r>
          </w:p>
        </w:tc>
      </w:tr>
      <w:tr>
        <w:trPr>
          <w:trHeight w:val="20"/>
        </w:trPr>
        <w:tc>
          <w:tcPr>
            <w:tcW w:w="46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31"/>
        </w:trPr>
        <w:tc>
          <w:tcPr>
            <w:tcW w:w="46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25"/>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Approximate store projections for fiscal 2018:</w:t>
            </w: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15"/>
        </w:trPr>
        <w:tc>
          <w:tcPr>
            <w:tcW w:w="4620" w:type="dxa"/>
            <w:vAlign w:val="bottom"/>
          </w:tcPr>
          <w:p>
            <w:pPr>
              <w:ind w:left="20"/>
              <w:spacing w:after="0"/>
              <w:rPr>
                <w:sz w:val="20"/>
                <w:szCs w:val="20"/>
                <w:color w:val="auto"/>
              </w:rPr>
            </w:pPr>
            <w:r>
              <w:rPr>
                <w:rFonts w:ascii="Arial" w:cs="Arial" w:eastAsia="Arial" w:hAnsi="Arial"/>
                <w:sz w:val="15"/>
                <w:szCs w:val="15"/>
                <w:color w:val="auto"/>
              </w:rPr>
              <w:t>Openings projected in fiscal 2018</w:t>
            </w:r>
          </w:p>
        </w:tc>
        <w:tc>
          <w:tcPr>
            <w:tcW w:w="1180" w:type="dxa"/>
            <w:vAlign w:val="bottom"/>
          </w:tcPr>
          <w:p>
            <w:pPr>
              <w:jc w:val="center"/>
              <w:spacing w:after="0"/>
              <w:rPr>
                <w:sz w:val="20"/>
                <w:szCs w:val="20"/>
                <w:color w:val="auto"/>
              </w:rPr>
            </w:pPr>
            <w:r>
              <w:rPr>
                <w:rFonts w:ascii="Arial" w:cs="Arial" w:eastAsia="Arial" w:hAnsi="Arial"/>
                <w:sz w:val="15"/>
                <w:szCs w:val="15"/>
                <w:color w:val="auto"/>
                <w:w w:val="83"/>
              </w:rPr>
              <w:t>11</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5"/>
                <w:szCs w:val="15"/>
                <w:color w:val="auto"/>
                <w:w w:val="71"/>
              </w:rPr>
              <w:t>7</w:t>
            </w:r>
          </w:p>
        </w:tc>
      </w:tr>
      <w:tr>
        <w:trPr>
          <w:trHeight w:val="29"/>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Closings projected in fiscal 2018</w:t>
            </w:r>
          </w:p>
        </w:tc>
        <w:tc>
          <w:tcPr>
            <w:tcW w:w="1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w:t>
            </w:r>
          </w:p>
        </w:tc>
      </w:tr>
      <w:tr>
        <w:trPr>
          <w:trHeight w:val="217"/>
        </w:trPr>
        <w:tc>
          <w:tcPr>
            <w:tcW w:w="4620" w:type="dxa"/>
            <w:vAlign w:val="bottom"/>
          </w:tcPr>
          <w:p>
            <w:pPr>
              <w:ind w:left="20"/>
              <w:spacing w:after="0"/>
              <w:rPr>
                <w:sz w:val="20"/>
                <w:szCs w:val="20"/>
                <w:color w:val="auto"/>
              </w:rPr>
            </w:pPr>
            <w:r>
              <w:rPr>
                <w:rFonts w:ascii="Arial" w:cs="Arial" w:eastAsia="Arial" w:hAnsi="Arial"/>
                <w:sz w:val="15"/>
                <w:szCs w:val="15"/>
                <w:b w:val="1"/>
                <w:bCs w:val="1"/>
                <w:color w:val="auto"/>
              </w:rPr>
              <w:t>Net increase projected for fiscal 2018</w:t>
            </w: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color w:val="auto"/>
                <w:w w:val="83"/>
              </w:rPr>
              <w:t>11</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color w:val="auto"/>
                <w:w w:val="71"/>
              </w:rPr>
              <w:t>7</w:t>
            </w:r>
          </w:p>
        </w:tc>
      </w:tr>
      <w:tr>
        <w:trPr>
          <w:trHeight w:val="20"/>
        </w:trPr>
        <w:tc>
          <w:tcPr>
            <w:tcW w:w="46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(a) We owned/operated retail stores in Mexico beginning with the acquisition of</w:t>
      </w:r>
    </w:p>
    <w:p>
      <w:pPr>
        <w:spacing w:after="0" w:line="14" w:lineRule="exact"/>
        <w:rPr>
          <w:sz w:val="20"/>
          <w:szCs w:val="20"/>
          <w:color w:val="auto"/>
        </w:rPr>
      </w:pPr>
    </w:p>
    <w:p>
      <w:pPr>
        <w:ind w:left="1760"/>
        <w:spacing w:after="0"/>
        <w:rPr>
          <w:sz w:val="20"/>
          <w:szCs w:val="20"/>
          <w:color w:val="auto"/>
        </w:rPr>
      </w:pPr>
      <w:r>
        <w:rPr>
          <w:rFonts w:ascii="Arial" w:cs="Arial" w:eastAsia="Arial" w:hAnsi="Arial"/>
          <w:sz w:val="15"/>
          <w:szCs w:val="15"/>
          <w:color w:val="auto"/>
        </w:rPr>
        <w:t>our former licensee in Mexico on August 1, 2017.</w:t>
      </w: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GROSS PROFIT AND GROSS MARGIN</w:t>
      </w:r>
    </w:p>
    <w:p>
      <w:pPr>
        <w:spacing w:after="0" w:line="207"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Our consolidated gross profit increased $104.2 million, or 7.6%, to $1.48 billion in fiscal 2017. Consolidated gross margin increased from 43.1% in fiscal 2016 to 43.6% in fiscal 2017. These increases were due primarily to overall lower product costs and increases in higher-margin eCommerce sales, partially offset by lower margins in our wholesale channels.</w:t>
      </w:r>
    </w:p>
    <w:p>
      <w:pPr>
        <w:spacing w:after="0" w:line="162" w:lineRule="exact"/>
        <w:rPr>
          <w:sz w:val="20"/>
          <w:szCs w:val="20"/>
          <w:color w:val="auto"/>
        </w:rPr>
      </w:pPr>
    </w:p>
    <w:p>
      <w:pPr>
        <w:ind w:right="440"/>
        <w:spacing w:after="0" w:line="285" w:lineRule="auto"/>
        <w:rPr>
          <w:sz w:val="20"/>
          <w:szCs w:val="20"/>
          <w:color w:val="auto"/>
        </w:rPr>
      </w:pPr>
      <w:r>
        <w:rPr>
          <w:rFonts w:ascii="Arial" w:cs="Arial" w:eastAsia="Arial" w:hAnsi="Arial"/>
          <w:sz w:val="16"/>
          <w:szCs w:val="16"/>
          <w:color w:val="auto"/>
        </w:rPr>
        <w:t>We include distribution costs in selling, general, and administrative ("SG&amp;A") expenses. Accordingly, our gross profit and gross margin may not be comparable to other entities that include such distribution costs in their cost of goods sold.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("SG&amp;A") EXPENSES</w:t>
      </w:r>
    </w:p>
    <w:p>
      <w:pPr>
        <w:spacing w:after="0" w:line="207"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auto"/>
        </w:rPr>
        <w:t>Consolidated SG&amp;A expenses in fiscal 2017 increased $111.5 million, or 11.2%, to $1.11 billion. As a percentage of consolidated net sales, consolidated SG&amp;A expenses increased from 31.1% in fiscal 2016 to 32.6% in fiscal 2017.</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SG&amp;A expenses, as a percentage of net sales, in fiscal 2017 primarily reflected a:</w:t>
      </w:r>
    </w:p>
    <w:p>
      <w:pPr>
        <w:spacing w:after="0" w:line="134" w:lineRule="exact"/>
        <w:rPr>
          <w:sz w:val="20"/>
          <w:szCs w:val="20"/>
          <w:color w:val="auto"/>
        </w:rPr>
      </w:pPr>
    </w:p>
    <w:p>
      <w:pPr>
        <w:ind w:left="580" w:hanging="289"/>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$48.2 million increase in expenses related to retail store operations, primarily due to new store openings;</w:t>
      </w:r>
    </w:p>
    <w:p>
      <w:pPr>
        <w:spacing w:after="0" w:line="182" w:lineRule="exact"/>
        <w:rPr>
          <w:rFonts w:ascii="Arial" w:cs="Arial" w:eastAsia="Arial" w:hAnsi="Arial"/>
          <w:sz w:val="16"/>
          <w:szCs w:val="16"/>
          <w:color w:val="auto"/>
        </w:rPr>
      </w:pPr>
    </w:p>
    <w:p>
      <w:pPr>
        <w:ind w:left="580" w:hanging="289"/>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$24.9 million in expenses for selling, distribution, and administrative expenses for Skip Hop;</w:t>
      </w:r>
    </w:p>
    <w:p>
      <w:pPr>
        <w:spacing w:after="0" w:line="182" w:lineRule="exact"/>
        <w:rPr>
          <w:rFonts w:ascii="Arial" w:cs="Arial" w:eastAsia="Arial" w:hAnsi="Arial"/>
          <w:sz w:val="16"/>
          <w:szCs w:val="16"/>
          <w:color w:val="auto"/>
        </w:rPr>
      </w:pPr>
    </w:p>
    <w:p>
      <w:pPr>
        <w:ind w:left="580" w:hanging="289"/>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$21.2 million for provisions for special employee compensation;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3" w:right="239" w:bottom="1440" w:gutter="0" w:footer="0" w:header="0"/>
        </w:sectPr>
      </w:pPr>
    </w:p>
    <w:bookmarkStart w:id="33" w:name="page34"/>
    <w:bookmarkEnd w:id="33"/>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317" w:lineRule="exact"/>
        <w:rPr>
          <w:sz w:val="20"/>
          <w:szCs w:val="20"/>
          <w:color w:val="auto"/>
        </w:rPr>
      </w:pPr>
    </w:p>
    <w:p>
      <w:pPr>
        <w:ind w:left="580" w:hanging="289"/>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$17.4 million increase in expenses for eCommerce operations;</w:t>
      </w:r>
    </w:p>
    <w:p>
      <w:pPr>
        <w:spacing w:after="0" w:line="182" w:lineRule="exact"/>
        <w:rPr>
          <w:rFonts w:ascii="Arial" w:cs="Arial" w:eastAsia="Arial" w:hAnsi="Arial"/>
          <w:sz w:val="16"/>
          <w:szCs w:val="16"/>
          <w:color w:val="auto"/>
        </w:rPr>
      </w:pPr>
    </w:p>
    <w:p>
      <w:pPr>
        <w:ind w:left="580" w:hanging="289"/>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$6.4 million increase in expenses for marketing and brand management;</w:t>
      </w:r>
    </w:p>
    <w:p>
      <w:pPr>
        <w:spacing w:after="0" w:line="182" w:lineRule="exact"/>
        <w:rPr>
          <w:rFonts w:ascii="Arial" w:cs="Arial" w:eastAsia="Arial" w:hAnsi="Arial"/>
          <w:sz w:val="16"/>
          <w:szCs w:val="16"/>
          <w:color w:val="auto"/>
        </w:rPr>
      </w:pPr>
    </w:p>
    <w:p>
      <w:pPr>
        <w:ind w:left="580" w:hanging="289"/>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$3.0 million increase in expenses for in-housed sourcing operations; and</w:t>
      </w:r>
    </w:p>
    <w:p>
      <w:pPr>
        <w:spacing w:after="0" w:line="182" w:lineRule="exact"/>
        <w:rPr>
          <w:rFonts w:ascii="Arial" w:cs="Arial" w:eastAsia="Arial" w:hAnsi="Arial"/>
          <w:sz w:val="16"/>
          <w:szCs w:val="16"/>
          <w:color w:val="auto"/>
        </w:rPr>
      </w:pPr>
    </w:p>
    <w:p>
      <w:pPr>
        <w:ind w:left="580" w:hanging="289"/>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$2.5 million increase in expenses for other general and administrative expenses.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which were partially offset by a:</w:t>
      </w:r>
    </w:p>
    <w:p>
      <w:pPr>
        <w:spacing w:after="0" w:line="97" w:lineRule="exact"/>
        <w:rPr>
          <w:sz w:val="20"/>
          <w:szCs w:val="20"/>
          <w:color w:val="auto"/>
        </w:rPr>
      </w:pPr>
    </w:p>
    <w:p>
      <w:pPr>
        <w:ind w:left="580" w:hanging="289"/>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$4.4 million decrease in information technology and systems costs;</w:t>
      </w:r>
    </w:p>
    <w:p>
      <w:pPr>
        <w:spacing w:after="0" w:line="182" w:lineRule="exact"/>
        <w:rPr>
          <w:rFonts w:ascii="Arial" w:cs="Arial" w:eastAsia="Arial" w:hAnsi="Arial"/>
          <w:sz w:val="16"/>
          <w:szCs w:val="16"/>
          <w:color w:val="auto"/>
        </w:rPr>
      </w:pPr>
    </w:p>
    <w:p>
      <w:pPr>
        <w:ind w:left="580" w:hanging="289"/>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$3.6 million decrease in the fair value of the earn-out obligation for Skip Hop;</w:t>
      </w:r>
    </w:p>
    <w:p>
      <w:pPr>
        <w:spacing w:after="0" w:line="182" w:lineRule="exact"/>
        <w:rPr>
          <w:rFonts w:ascii="Arial" w:cs="Arial" w:eastAsia="Arial" w:hAnsi="Arial"/>
          <w:sz w:val="16"/>
          <w:szCs w:val="16"/>
          <w:color w:val="auto"/>
        </w:rPr>
      </w:pPr>
    </w:p>
    <w:p>
      <w:pPr>
        <w:ind w:left="580" w:hanging="289"/>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$2.4 million decrease in performance-based compensation expenses; and</w:t>
      </w:r>
    </w:p>
    <w:p>
      <w:pPr>
        <w:spacing w:after="0" w:line="182" w:lineRule="exact"/>
        <w:rPr>
          <w:rFonts w:ascii="Arial" w:cs="Arial" w:eastAsia="Arial" w:hAnsi="Arial"/>
          <w:sz w:val="16"/>
          <w:szCs w:val="16"/>
          <w:color w:val="auto"/>
        </w:rPr>
      </w:pPr>
    </w:p>
    <w:p>
      <w:pPr>
        <w:ind w:left="580" w:hanging="289"/>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$1.7 million decrease in amortization of the H.W. Carter &amp; Sons trademarks.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ROYALTY INCOME</w:t>
      </w:r>
    </w:p>
    <w:p>
      <w:pPr>
        <w:spacing w:after="0" w:line="20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We license the use of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w:t>
      </w:r>
      <w:r>
        <w:rPr>
          <w:rFonts w:ascii="Arial" w:cs="Arial" w:eastAsia="Arial" w:hAnsi="Arial"/>
          <w:sz w:val="16"/>
          <w:szCs w:val="16"/>
          <w:i w:val="1"/>
          <w:iCs w:val="1"/>
          <w:color w:val="auto"/>
        </w:rPr>
        <w:t>Just One You</w:t>
      </w:r>
      <w:r>
        <w:rPr>
          <w:rFonts w:ascii="Arial" w:cs="Arial" w:eastAsia="Arial" w:hAnsi="Arial"/>
          <w:sz w:val="16"/>
          <w:szCs w:val="16"/>
          <w:color w:val="auto"/>
        </w:rPr>
        <w:t xml:space="preserve">, </w:t>
      </w:r>
      <w:r>
        <w:rPr>
          <w:rFonts w:ascii="Arial" w:cs="Arial" w:eastAsia="Arial" w:hAnsi="Arial"/>
          <w:sz w:val="16"/>
          <w:szCs w:val="16"/>
          <w:i w:val="1"/>
          <w:iCs w:val="1"/>
          <w:color w:val="auto"/>
        </w:rPr>
        <w:t>Child of Mine</w:t>
      </w:r>
      <w:r>
        <w:rPr>
          <w:rFonts w:ascii="Arial" w:cs="Arial" w:eastAsia="Arial" w:hAnsi="Arial"/>
          <w:sz w:val="16"/>
          <w:szCs w:val="16"/>
          <w:color w:val="auto"/>
        </w:rPr>
        <w:t xml:space="preserve">, </w:t>
      </w:r>
      <w:r>
        <w:rPr>
          <w:rFonts w:ascii="Arial" w:cs="Arial" w:eastAsia="Arial" w:hAnsi="Arial"/>
          <w:sz w:val="16"/>
          <w:szCs w:val="16"/>
          <w:i w:val="1"/>
          <w:iCs w:val="1"/>
          <w:color w:val="auto"/>
        </w:rPr>
        <w:t>OshKosh B’gosh</w:t>
      </w:r>
      <w:r>
        <w:rPr>
          <w:rFonts w:ascii="Arial" w:cs="Arial" w:eastAsia="Arial" w:hAnsi="Arial"/>
          <w:sz w:val="16"/>
          <w:szCs w:val="16"/>
          <w:color w:val="auto"/>
        </w:rPr>
        <w:t xml:space="preserv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w:t>
      </w:r>
      <w:r>
        <w:rPr>
          <w:rFonts w:ascii="Arial" w:cs="Arial" w:eastAsia="Arial" w:hAnsi="Arial"/>
          <w:sz w:val="16"/>
          <w:szCs w:val="16"/>
          <w:i w:val="1"/>
          <w:iCs w:val="1"/>
          <w:color w:val="auto"/>
        </w:rPr>
        <w:t>Genuine Kids from OshKosh</w:t>
      </w:r>
      <w:r>
        <w:rPr>
          <w:rFonts w:ascii="Arial" w:cs="Arial" w:eastAsia="Arial" w:hAnsi="Arial"/>
          <w:sz w:val="16"/>
          <w:szCs w:val="16"/>
          <w:color w:val="auto"/>
        </w:rPr>
        <w:t xml:space="preserve">, </w:t>
      </w:r>
      <w:r>
        <w:rPr>
          <w:rFonts w:ascii="Arial" w:cs="Arial" w:eastAsia="Arial" w:hAnsi="Arial"/>
          <w:sz w:val="16"/>
          <w:szCs w:val="16"/>
          <w:i w:val="1"/>
          <w:iCs w:val="1"/>
          <w:color w:val="auto"/>
        </w:rPr>
        <w:t>Baby B'gosh</w:t>
      </w:r>
      <w:r>
        <w:rPr>
          <w:rFonts w:ascii="Arial" w:cs="Arial" w:eastAsia="Arial" w:hAnsi="Arial"/>
          <w:sz w:val="16"/>
          <w:szCs w:val="16"/>
          <w:color w:val="auto"/>
        </w:rPr>
        <w:t xml:space="preserve">, </w:t>
      </w:r>
      <w:r>
        <w:rPr>
          <w:rFonts w:ascii="Arial" w:cs="Arial" w:eastAsia="Arial" w:hAnsi="Arial"/>
          <w:sz w:val="16"/>
          <w:szCs w:val="16"/>
          <w:i w:val="1"/>
          <w:iCs w:val="1"/>
          <w:color w:val="auto"/>
        </w:rPr>
        <w:t>Simple Joys</w:t>
      </w:r>
      <w:r>
        <w:rPr>
          <w:rFonts w:ascii="Arial" w:cs="Arial" w:eastAsia="Arial" w:hAnsi="Arial"/>
          <w:sz w:val="16"/>
          <w:szCs w:val="16"/>
          <w:color w:val="auto"/>
        </w:rPr>
        <w:t xml:space="preserve">, and </w:t>
      </w:r>
      <w:r>
        <w:rPr>
          <w:rFonts w:ascii="Arial" w:cs="Arial" w:eastAsia="Arial" w:hAnsi="Arial"/>
          <w:sz w:val="16"/>
          <w:szCs w:val="16"/>
          <w:i w:val="1"/>
          <w:iCs w:val="1"/>
          <w:color w:val="auto"/>
        </w:rPr>
        <w:t>Precious Firsts</w:t>
      </w:r>
      <w:r>
        <w:rPr>
          <w:rFonts w:ascii="Arial" w:cs="Arial" w:eastAsia="Arial" w:hAnsi="Arial"/>
          <w:sz w:val="16"/>
          <w:szCs w:val="16"/>
          <w:color w:val="auto"/>
        </w:rPr>
        <w:t xml:space="preserve"> brand names. Royalty income from these brands increased $0.4 million, or 0.9%, to $43.2 million in fiscal 2017. This increase was primarily attributable to sales growth from our domestic licensees, partially offset by decreases in income from certain licensees due to the insourcing of formerly licensed product categories and the acquisition of our former licensee in Mexico.</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INCOME</w:t>
      </w:r>
    </w:p>
    <w:p>
      <w:pPr>
        <w:spacing w:after="0" w:line="207"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Compared to fiscal 2016, consolidated operating income for fiscal 2017 decreased $7.0 million, or 1.6%, to $419.6 million. Consolidated operating margin decreased from 13.3% in fiscal 2016 to 12.3% in fiscal 2017. The table below summarizes the changes in each of our segments' operating results and unallocated corporate expenses between the fiscal years:</w:t>
      </w:r>
    </w:p>
    <w:p>
      <w:pPr>
        <w:spacing w:after="0" w:line="296" w:lineRule="exact"/>
        <w:rPr>
          <w:sz w:val="20"/>
          <w:szCs w:val="20"/>
          <w:color w:val="auto"/>
        </w:rPr>
      </w:pPr>
    </w:p>
    <w:tbl>
      <w:tblPr>
        <w:tblLayout w:type="fixed"/>
        <w:tblInd w:w="1500" w:type="dxa"/>
        <w:tblCellMar>
          <w:top w:w="0" w:type="dxa"/>
          <w:left w:w="0" w:type="dxa"/>
          <w:bottom w:w="0" w:type="dxa"/>
          <w:right w:w="0" w:type="dxa"/>
        </w:tblCellMar>
      </w:tblPr>
      <w:tr>
        <w:trPr>
          <w:trHeight w:val="204"/>
        </w:trPr>
        <w:tc>
          <w:tcPr>
            <w:tcW w:w="2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90"/>
              </w:rPr>
              <w:t>Unallocated</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6"/>
        </w:trPr>
        <w:tc>
          <w:tcPr>
            <w:tcW w:w="2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6"/>
              </w:rPr>
              <w:t>U.S.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96"/>
              </w:rPr>
              <w:t>Corporate</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7"/>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i w:val="1"/>
                <w:iCs w:val="1"/>
                <w:color w:val="auto"/>
              </w:rPr>
              <w:t>(dollars in thousands)</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U.S. Retail</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88"/>
              </w:rPr>
              <w:t>Wholesale</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International</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8"/>
              </w:rPr>
              <w:t>Expenses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65"/>
              <w:spacing w:after="0"/>
              <w:rPr>
                <w:sz w:val="20"/>
                <w:szCs w:val="20"/>
                <w:color w:val="auto"/>
              </w:rPr>
            </w:pPr>
            <w:r>
              <w:rPr>
                <w:rFonts w:ascii="Arial" w:cs="Arial" w:eastAsia="Arial" w:hAnsi="Arial"/>
                <w:sz w:val="16"/>
                <w:szCs w:val="16"/>
                <w:b w:val="1"/>
                <w:bCs w:val="1"/>
                <w:color w:val="auto"/>
              </w:rPr>
              <w:t>Total</w:t>
            </w:r>
          </w:p>
        </w:tc>
      </w:tr>
      <w:tr>
        <w:trPr>
          <w:trHeight w:val="176"/>
        </w:trPr>
        <w:tc>
          <w:tcPr>
            <w:tcW w:w="2160" w:type="dxa"/>
            <w:vAlign w:val="bottom"/>
          </w:tcPr>
          <w:p>
            <w:pPr>
              <w:ind w:left="20"/>
              <w:spacing w:after="0"/>
              <w:rPr>
                <w:sz w:val="20"/>
                <w:szCs w:val="20"/>
                <w:color w:val="auto"/>
              </w:rPr>
            </w:pPr>
            <w:r>
              <w:rPr>
                <w:rFonts w:ascii="Arial" w:cs="Arial" w:eastAsia="Arial" w:hAnsi="Arial"/>
                <w:sz w:val="15"/>
                <w:szCs w:val="15"/>
                <w:b w:val="1"/>
                <w:bCs w:val="1"/>
                <w:color w:val="auto"/>
              </w:rPr>
              <w:t>Operating income for fiscal</w:t>
            </w: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r>
      <w:tr>
        <w:trPr>
          <w:trHeight w:val="191"/>
        </w:trPr>
        <w:tc>
          <w:tcPr>
            <w:tcW w:w="2160" w:type="dxa"/>
            <w:vAlign w:val="bottom"/>
          </w:tcPr>
          <w:p>
            <w:pPr>
              <w:ind w:left="20"/>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212,581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260,953</w:t>
            </w:r>
          </w:p>
        </w:tc>
        <w:tc>
          <w:tcPr>
            <w:tcW w:w="10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5"/>
              <w:spacing w:after="0"/>
              <w:rPr>
                <w:sz w:val="20"/>
                <w:szCs w:val="20"/>
                <w:color w:val="auto"/>
              </w:rPr>
            </w:pPr>
            <w:r>
              <w:rPr>
                <w:rFonts w:ascii="Arial" w:cs="Arial" w:eastAsia="Arial" w:hAnsi="Arial"/>
                <w:sz w:val="15"/>
                <w:szCs w:val="15"/>
                <w:color w:val="auto"/>
              </w:rPr>
              <w:t>59,194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(106,170)</w:t>
            </w:r>
          </w:p>
        </w:tc>
        <w:tc>
          <w:tcPr>
            <w:tcW w:w="100" w:type="dxa"/>
            <w:vAlign w:val="bottom"/>
          </w:tcPr>
          <w:p>
            <w:pPr>
              <w:spacing w:after="0"/>
              <w:rPr>
                <w:sz w:val="16"/>
                <w:szCs w:val="16"/>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426,558</w:t>
            </w:r>
          </w:p>
        </w:tc>
      </w:tr>
      <w:tr>
        <w:trPr>
          <w:trHeight w:val="29"/>
        </w:trPr>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0"/>
        </w:trPr>
        <w:tc>
          <w:tcPr>
            <w:tcW w:w="216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4"/>
              </w:rPr>
              <w:t>Favorable (unfavorable) change</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6"/>
        </w:trPr>
        <w:tc>
          <w:tcPr>
            <w:tcW w:w="2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 fiscal 2017:</w:t>
            </w: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r>
      <w:tr>
        <w:trPr>
          <w:trHeight w:val="215"/>
        </w:trPr>
        <w:tc>
          <w:tcPr>
            <w:tcW w:w="2160" w:type="dxa"/>
            <w:vAlign w:val="bottom"/>
          </w:tcPr>
          <w:p>
            <w:pPr>
              <w:jc w:val="right"/>
              <w:ind w:right="47"/>
              <w:spacing w:after="0"/>
              <w:rPr>
                <w:sz w:val="20"/>
                <w:szCs w:val="20"/>
                <w:color w:val="auto"/>
              </w:rPr>
            </w:pPr>
            <w:r>
              <w:rPr>
                <w:rFonts w:ascii="Arial" w:cs="Arial" w:eastAsia="Arial" w:hAnsi="Arial"/>
                <w:sz w:val="15"/>
                <w:szCs w:val="15"/>
                <w:color w:val="auto"/>
              </w:rPr>
              <w:t>Gross profit</w:t>
            </w:r>
          </w:p>
        </w:tc>
        <w:tc>
          <w:tcPr>
            <w:tcW w:w="140" w:type="dxa"/>
            <w:vAlign w:val="bottom"/>
          </w:tcPr>
          <w:p>
            <w:pPr>
              <w:spacing w:after="0"/>
              <w:rPr>
                <w:sz w:val="18"/>
                <w:szCs w:val="18"/>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76,268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11,902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5"/>
              <w:spacing w:after="0"/>
              <w:rPr>
                <w:sz w:val="20"/>
                <w:szCs w:val="20"/>
                <w:color w:val="auto"/>
              </w:rPr>
            </w:pPr>
            <w:r>
              <w:rPr>
                <w:rFonts w:ascii="Arial" w:cs="Arial" w:eastAsia="Arial" w:hAnsi="Arial"/>
                <w:sz w:val="15"/>
                <w:szCs w:val="15"/>
                <w:color w:val="auto"/>
              </w:rPr>
              <w:t>15,745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250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104,165</w:t>
            </w:r>
          </w:p>
        </w:tc>
      </w:tr>
      <w:tr>
        <w:trPr>
          <w:trHeight w:val="29"/>
        </w:trPr>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21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Royalty income</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3,224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(1,233)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(1,625)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366</w:t>
            </w:r>
          </w:p>
        </w:tc>
      </w:tr>
      <w:tr>
        <w:trPr>
          <w:trHeight w:val="215"/>
        </w:trPr>
        <w:tc>
          <w:tcPr>
            <w:tcW w:w="2160" w:type="dxa"/>
            <w:vAlign w:val="bottom"/>
          </w:tcPr>
          <w:p>
            <w:pPr>
              <w:jc w:val="right"/>
              <w:ind w:right="47"/>
              <w:spacing w:after="0"/>
              <w:rPr>
                <w:sz w:val="20"/>
                <w:szCs w:val="20"/>
                <w:color w:val="auto"/>
              </w:rPr>
            </w:pPr>
            <w:r>
              <w:rPr>
                <w:rFonts w:ascii="Arial" w:cs="Arial" w:eastAsia="Arial" w:hAnsi="Arial"/>
                <w:sz w:val="15"/>
                <w:szCs w:val="15"/>
                <w:color w:val="auto"/>
              </w:rPr>
              <w:t>SG&amp;A expenses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(76,472)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(19,532)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(26,888)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11,371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(111,521)</w:t>
            </w:r>
          </w:p>
        </w:tc>
      </w:tr>
      <w:tr>
        <w:trPr>
          <w:trHeight w:val="29"/>
        </w:trPr>
        <w:tc>
          <w:tcPr>
            <w:tcW w:w="2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76"/>
        </w:trPr>
        <w:tc>
          <w:tcPr>
            <w:tcW w:w="21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income for fiscal</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91"/>
        </w:trPr>
        <w:tc>
          <w:tcPr>
            <w:tcW w:w="21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2017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215,601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252,090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46,426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(94,549)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95"/>
              </w:rPr>
              <w:t>$</w:t>
            </w: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419,568</w:t>
            </w:r>
          </w:p>
        </w:tc>
      </w:tr>
      <w:tr>
        <w:trPr>
          <w:trHeight w:val="29"/>
        </w:trPr>
        <w:tc>
          <w:tcPr>
            <w:tcW w:w="2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379" w:lineRule="exact"/>
        <w:rPr>
          <w:sz w:val="20"/>
          <w:szCs w:val="20"/>
          <w:color w:val="auto"/>
        </w:rPr>
      </w:pPr>
    </w:p>
    <w:p>
      <w:pPr>
        <w:ind w:right="380"/>
        <w:spacing w:after="0" w:line="360" w:lineRule="auto"/>
        <w:rPr>
          <w:sz w:val="20"/>
          <w:szCs w:val="20"/>
          <w:color w:val="auto"/>
        </w:rPr>
      </w:pPr>
      <w:r>
        <w:rPr>
          <w:rFonts w:ascii="Arial" w:cs="Arial" w:eastAsia="Arial" w:hAnsi="Arial"/>
          <w:sz w:val="14"/>
          <w:szCs w:val="14"/>
          <w:color w:val="auto"/>
        </w:rPr>
        <w:t>The following table presents changes in the operating margin for each of our three operating segments between fiscal 2016 and fiscal 2017. The primary drivers of these change are presented in terms of the difference in each driver's margin (based on net sales) between fiscal years, in each case expressed in basis points ("bps").</w:t>
      </w:r>
    </w:p>
    <w:p>
      <w:pPr>
        <w:spacing w:after="0" w:line="12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60"/>
          </w:cols>
          <w:pgMar w:left="240" w:top="123" w:right="299" w:bottom="1440" w:gutter="0" w:footer="0" w:header="0"/>
        </w:sectPr>
      </w:pPr>
    </w:p>
    <w:bookmarkStart w:id="34" w:name="page35"/>
    <w:bookmarkEnd w:id="34"/>
    <w:p>
      <w:pPr>
        <w:ind w:left="2"/>
        <w:spacing w:after="0"/>
        <w:tabs>
          <w:tab w:leader="none" w:pos="742"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366" w:lineRule="exact"/>
        <w:rPr>
          <w:sz w:val="20"/>
          <w:szCs w:val="20"/>
          <w:color w:val="auto"/>
        </w:rPr>
      </w:pPr>
    </w:p>
    <w:tbl>
      <w:tblPr>
        <w:tblLayout w:type="fixed"/>
        <w:tblInd w:w="2322" w:type="dxa"/>
        <w:tblCellMar>
          <w:top w:w="0" w:type="dxa"/>
          <w:left w:w="0" w:type="dxa"/>
          <w:bottom w:w="0" w:type="dxa"/>
          <w:right w:w="0" w:type="dxa"/>
        </w:tblCellMar>
      </w:tblPr>
      <w:tr>
        <w:trPr>
          <w:trHeight w:val="245"/>
        </w:trPr>
        <w:tc>
          <w:tcPr>
            <w:tcW w:w="3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b w:val="1"/>
                <w:bCs w:val="1"/>
                <w:color w:val="auto"/>
              </w:rPr>
              <w:t>U.S. Retail</w:t>
            </w:r>
          </w:p>
        </w:tc>
        <w:tc>
          <w:tcPr>
            <w:tcW w:w="12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b w:val="1"/>
                <w:bCs w:val="1"/>
                <w:color w:val="auto"/>
              </w:rPr>
              <w:t>U.S. Wholesale</w:t>
            </w:r>
          </w:p>
        </w:tc>
        <w:tc>
          <w:tcPr>
            <w:tcW w:w="138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5"/>
                <w:szCs w:val="15"/>
                <w:b w:val="1"/>
                <w:bCs w:val="1"/>
                <w:color w:val="auto"/>
              </w:rPr>
              <w:t>International</w:t>
            </w:r>
          </w:p>
        </w:tc>
      </w:tr>
      <w:tr>
        <w:trPr>
          <w:trHeight w:val="195"/>
        </w:trPr>
        <w:tc>
          <w:tcPr>
            <w:tcW w:w="3020" w:type="dxa"/>
            <w:vAlign w:val="bottom"/>
          </w:tcPr>
          <w:p>
            <w:pPr>
              <w:jc w:val="right"/>
              <w:ind w:right="867"/>
              <w:spacing w:after="0"/>
              <w:rPr>
                <w:sz w:val="20"/>
                <w:szCs w:val="20"/>
                <w:color w:val="auto"/>
              </w:rPr>
            </w:pPr>
            <w:r>
              <w:rPr>
                <w:rFonts w:ascii="Arial" w:cs="Arial" w:eastAsia="Arial" w:hAnsi="Arial"/>
                <w:sz w:val="15"/>
                <w:szCs w:val="15"/>
                <w:b w:val="1"/>
                <w:bCs w:val="1"/>
                <w:color w:val="auto"/>
                <w:w w:val="89"/>
              </w:rPr>
              <w:t>Operating margin for fiscal 2016</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12.8%</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22.2%</w:t>
            </w:r>
          </w:p>
        </w:tc>
        <w:tc>
          <w:tcPr>
            <w:tcW w:w="100" w:type="dxa"/>
            <w:vAlign w:val="bottom"/>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16.2%</w:t>
            </w:r>
          </w:p>
        </w:tc>
      </w:tr>
      <w:tr>
        <w:trPr>
          <w:trHeight w:val="29"/>
        </w:trPr>
        <w:tc>
          <w:tcPr>
            <w:tcW w:w="3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00"/>
        </w:trPr>
        <w:tc>
          <w:tcPr>
            <w:tcW w:w="302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91"/>
              </w:rPr>
              <w:t>Favorable (unfavorable) bps changes in fiscal</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196"/>
        </w:trPr>
        <w:tc>
          <w:tcPr>
            <w:tcW w:w="3020" w:type="dxa"/>
            <w:vAlign w:val="bottom"/>
            <w:tcBorders>
              <w:bottom w:val="single" w:sz="8" w:color="CCEEFF"/>
            </w:tcBorders>
            <w:shd w:val="clear" w:color="auto" w:fill="CCEEFF"/>
          </w:tcPr>
          <w:p>
            <w:pPr>
              <w:jc w:val="right"/>
              <w:ind w:right="2467"/>
              <w:spacing w:after="0"/>
              <w:rPr>
                <w:sz w:val="20"/>
                <w:szCs w:val="20"/>
                <w:color w:val="auto"/>
              </w:rPr>
            </w:pPr>
            <w:r>
              <w:rPr>
                <w:rFonts w:ascii="Arial" w:cs="Arial" w:eastAsia="Arial" w:hAnsi="Arial"/>
                <w:sz w:val="15"/>
                <w:szCs w:val="15"/>
                <w:color w:val="auto"/>
              </w:rPr>
              <w:t>2017:</w:t>
            </w: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r>
      <w:tr>
        <w:trPr>
          <w:trHeight w:val="215"/>
        </w:trPr>
        <w:tc>
          <w:tcPr>
            <w:tcW w:w="3020" w:type="dxa"/>
            <w:vAlign w:val="bottom"/>
          </w:tcPr>
          <w:p>
            <w:pPr>
              <w:jc w:val="right"/>
              <w:ind w:right="47"/>
              <w:spacing w:after="0"/>
              <w:rPr>
                <w:sz w:val="20"/>
                <w:szCs w:val="20"/>
                <w:color w:val="auto"/>
              </w:rPr>
            </w:pPr>
            <w:r>
              <w:rPr>
                <w:rFonts w:ascii="Arial" w:cs="Arial" w:eastAsia="Arial" w:hAnsi="Arial"/>
                <w:sz w:val="15"/>
                <w:szCs w:val="15"/>
                <w:color w:val="auto"/>
              </w:rPr>
              <w:t>Gross profit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80 bps</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20 bps</w:t>
            </w:r>
          </w:p>
        </w:tc>
        <w:tc>
          <w:tcPr>
            <w:tcW w:w="1380" w:type="dxa"/>
            <w:vAlign w:val="bottom"/>
          </w:tcPr>
          <w:p>
            <w:pPr>
              <w:jc w:val="right"/>
              <w:ind w:right="67"/>
              <w:spacing w:after="0"/>
              <w:rPr>
                <w:sz w:val="20"/>
                <w:szCs w:val="20"/>
                <w:color w:val="auto"/>
              </w:rPr>
            </w:pPr>
            <w:r>
              <w:rPr>
                <w:rFonts w:ascii="Arial" w:cs="Arial" w:eastAsia="Arial" w:hAnsi="Arial"/>
                <w:sz w:val="15"/>
                <w:szCs w:val="15"/>
                <w:color w:val="auto"/>
              </w:rPr>
              <w:t>(190) bps</w:t>
            </w:r>
          </w:p>
        </w:tc>
      </w:tr>
      <w:tr>
        <w:trPr>
          <w:trHeight w:val="29"/>
        </w:trPr>
        <w:tc>
          <w:tcPr>
            <w:tcW w:w="3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5"/>
        </w:trPr>
        <w:tc>
          <w:tcPr>
            <w:tcW w:w="30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Royalty income</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 bps</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(20) bps</w:t>
            </w:r>
          </w:p>
        </w:tc>
        <w:tc>
          <w:tcPr>
            <w:tcW w:w="13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rPr>
              <w:t>(60) bps</w:t>
            </w:r>
          </w:p>
        </w:tc>
      </w:tr>
      <w:tr>
        <w:trPr>
          <w:trHeight w:val="215"/>
        </w:trPr>
        <w:tc>
          <w:tcPr>
            <w:tcW w:w="3020" w:type="dxa"/>
            <w:vAlign w:val="bottom"/>
          </w:tcPr>
          <w:p>
            <w:pPr>
              <w:jc w:val="right"/>
              <w:ind w:right="47"/>
              <w:spacing w:after="0"/>
              <w:rPr>
                <w:sz w:val="20"/>
                <w:szCs w:val="20"/>
                <w:color w:val="auto"/>
              </w:rPr>
            </w:pPr>
            <w:r>
              <w:rPr>
                <w:rFonts w:ascii="Arial" w:cs="Arial" w:eastAsia="Arial" w:hAnsi="Arial"/>
                <w:sz w:val="15"/>
                <w:szCs w:val="15"/>
                <w:color w:val="auto"/>
              </w:rPr>
              <w:t>SG&amp;A expenses</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(160) bps</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(140) bps</w:t>
            </w:r>
          </w:p>
        </w:tc>
        <w:tc>
          <w:tcPr>
            <w:tcW w:w="1380" w:type="dxa"/>
            <w:vAlign w:val="bottom"/>
          </w:tcPr>
          <w:p>
            <w:pPr>
              <w:jc w:val="right"/>
              <w:ind w:right="67"/>
              <w:spacing w:after="0"/>
              <w:rPr>
                <w:sz w:val="20"/>
                <w:szCs w:val="20"/>
                <w:color w:val="auto"/>
              </w:rPr>
            </w:pPr>
            <w:r>
              <w:rPr>
                <w:rFonts w:ascii="Arial" w:cs="Arial" w:eastAsia="Arial" w:hAnsi="Arial"/>
                <w:sz w:val="15"/>
                <w:szCs w:val="15"/>
                <w:color w:val="auto"/>
              </w:rPr>
              <w:t>(250) bps</w:t>
            </w:r>
          </w:p>
        </w:tc>
      </w:tr>
      <w:tr>
        <w:trPr>
          <w:trHeight w:val="29"/>
        </w:trPr>
        <w:tc>
          <w:tcPr>
            <w:tcW w:w="3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3020" w:type="dxa"/>
            <w:vAlign w:val="bottom"/>
            <w:tcBorders>
              <w:bottom w:val="single" w:sz="8" w:color="CCEEFF"/>
            </w:tcBorders>
            <w:shd w:val="clear" w:color="auto" w:fill="CCEEFF"/>
          </w:tcPr>
          <w:p>
            <w:pPr>
              <w:jc w:val="right"/>
              <w:ind w:right="867"/>
              <w:spacing w:after="0"/>
              <w:rPr>
                <w:sz w:val="20"/>
                <w:szCs w:val="20"/>
                <w:color w:val="auto"/>
              </w:rPr>
            </w:pPr>
            <w:r>
              <w:rPr>
                <w:rFonts w:ascii="Arial" w:cs="Arial" w:eastAsia="Arial" w:hAnsi="Arial"/>
                <w:sz w:val="15"/>
                <w:szCs w:val="15"/>
                <w:b w:val="1"/>
                <w:bCs w:val="1"/>
                <w:color w:val="auto"/>
                <w:w w:val="89"/>
              </w:rPr>
              <w:t>Operating margin for fiscal 2017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20.8%</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w:t>
            </w:r>
          </w:p>
        </w:tc>
      </w:tr>
      <w:tr>
        <w:trPr>
          <w:trHeight w:val="20"/>
        </w:trPr>
        <w:tc>
          <w:tcPr>
            <w:tcW w:w="3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7"/>
        </w:trPr>
        <w:tc>
          <w:tcPr>
            <w:tcW w:w="30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(a)</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(b)</w:t>
            </w:r>
          </w:p>
        </w:tc>
        <w:tc>
          <w:tcPr>
            <w:tcW w:w="1380" w:type="dxa"/>
            <w:vAlign w:val="bottom"/>
          </w:tcPr>
          <w:p>
            <w:pPr>
              <w:jc w:val="right"/>
              <w:ind w:right="67"/>
              <w:spacing w:after="0"/>
              <w:rPr>
                <w:sz w:val="20"/>
                <w:szCs w:val="20"/>
                <w:color w:val="auto"/>
              </w:rPr>
            </w:pPr>
            <w:r>
              <w:rPr>
                <w:rFonts w:ascii="Arial" w:cs="Arial" w:eastAsia="Arial" w:hAnsi="Arial"/>
                <w:sz w:val="15"/>
                <w:szCs w:val="15"/>
                <w:color w:val="auto"/>
              </w:rPr>
              <w:t>(c)</w:t>
            </w:r>
          </w:p>
        </w:tc>
      </w:tr>
    </w:tbl>
    <w:p>
      <w:pPr>
        <w:spacing w:after="0" w:line="213" w:lineRule="exact"/>
        <w:rPr>
          <w:sz w:val="20"/>
          <w:szCs w:val="20"/>
          <w:color w:val="auto"/>
        </w:rPr>
      </w:pPr>
    </w:p>
    <w:p>
      <w:pPr>
        <w:ind w:left="2" w:hanging="2"/>
        <w:spacing w:after="0" w:line="285" w:lineRule="auto"/>
        <w:tabs>
          <w:tab w:leader="none" w:pos="224" w:val="left"/>
        </w:tabs>
        <w:numPr>
          <w:ilvl w:val="0"/>
          <w:numId w:val="21"/>
        </w:numPr>
        <w:rPr>
          <w:rFonts w:ascii="Arial" w:cs="Arial" w:eastAsia="Arial" w:hAnsi="Arial"/>
          <w:sz w:val="16"/>
          <w:szCs w:val="16"/>
          <w:color w:val="auto"/>
        </w:rPr>
      </w:pPr>
      <w:r>
        <w:rPr>
          <w:rFonts w:ascii="Arial" w:cs="Arial" w:eastAsia="Arial" w:hAnsi="Arial"/>
          <w:sz w:val="16"/>
          <w:szCs w:val="16"/>
          <w:color w:val="auto"/>
        </w:rPr>
        <w:t>U.S. Retail segment operating income in fiscal 2017 increased $3.0 million, or 1.4%, from fiscal 2016 to $215.6 million. The segment's operating margin decreased 70 bps from 12.8% in fiscal 2016 to 12.1% in fiscal 2017. The primary drivers of the change in the operating margin were an:</w:t>
      </w:r>
    </w:p>
    <w:p>
      <w:pPr>
        <w:spacing w:after="0" w:line="149" w:lineRule="exact"/>
        <w:rPr>
          <w:rFonts w:ascii="Arial" w:cs="Arial" w:eastAsia="Arial" w:hAnsi="Arial"/>
          <w:sz w:val="16"/>
          <w:szCs w:val="16"/>
          <w:color w:val="auto"/>
        </w:rPr>
      </w:pPr>
    </w:p>
    <w:p>
      <w:pPr>
        <w:ind w:left="882" w:hanging="295"/>
        <w:spacing w:after="0"/>
        <w:tabs>
          <w:tab w:leader="none" w:pos="882" w:val="left"/>
        </w:tabs>
        <w:numPr>
          <w:ilvl w:val="1"/>
          <w:numId w:val="21"/>
        </w:numPr>
        <w:rPr>
          <w:rFonts w:ascii="Arial" w:cs="Arial" w:eastAsia="Arial" w:hAnsi="Arial"/>
          <w:sz w:val="16"/>
          <w:szCs w:val="16"/>
          <w:color w:val="auto"/>
        </w:rPr>
      </w:pPr>
      <w:r>
        <w:rPr>
          <w:rFonts w:ascii="Arial" w:cs="Arial" w:eastAsia="Arial" w:hAnsi="Arial"/>
          <w:sz w:val="16"/>
          <w:szCs w:val="16"/>
          <w:color w:val="auto"/>
        </w:rPr>
        <w:t>80 bps increase in gross profit primarily due to growth in higher-margin eCommerce business and lower product costs;</w:t>
      </w:r>
    </w:p>
    <w:p>
      <w:pPr>
        <w:spacing w:after="0" w:line="97" w:lineRule="exact"/>
        <w:rPr>
          <w:rFonts w:ascii="Arial" w:cs="Arial" w:eastAsia="Arial" w:hAnsi="Arial"/>
          <w:sz w:val="16"/>
          <w:szCs w:val="16"/>
          <w:color w:val="auto"/>
        </w:rPr>
      </w:pPr>
    </w:p>
    <w:p>
      <w:pPr>
        <w:ind w:left="882" w:hanging="295"/>
        <w:spacing w:after="0"/>
        <w:tabs>
          <w:tab w:leader="none" w:pos="882" w:val="left"/>
        </w:tabs>
        <w:numPr>
          <w:ilvl w:val="1"/>
          <w:numId w:val="21"/>
        </w:numPr>
        <w:rPr>
          <w:rFonts w:ascii="Arial" w:cs="Arial" w:eastAsia="Arial" w:hAnsi="Arial"/>
          <w:sz w:val="16"/>
          <w:szCs w:val="16"/>
          <w:color w:val="auto"/>
        </w:rPr>
      </w:pPr>
      <w:r>
        <w:rPr>
          <w:rFonts w:ascii="Arial" w:cs="Arial" w:eastAsia="Arial" w:hAnsi="Arial"/>
          <w:sz w:val="16"/>
          <w:szCs w:val="16"/>
          <w:color w:val="auto"/>
        </w:rPr>
        <w:t>10 bps increase in royalty income; and</w:t>
      </w:r>
    </w:p>
    <w:p>
      <w:pPr>
        <w:spacing w:after="0" w:line="182" w:lineRule="exact"/>
        <w:rPr>
          <w:rFonts w:ascii="Arial" w:cs="Arial" w:eastAsia="Arial" w:hAnsi="Arial"/>
          <w:sz w:val="16"/>
          <w:szCs w:val="16"/>
          <w:color w:val="auto"/>
        </w:rPr>
      </w:pPr>
    </w:p>
    <w:p>
      <w:pPr>
        <w:ind w:left="882" w:hanging="295"/>
        <w:spacing w:after="0"/>
        <w:tabs>
          <w:tab w:leader="none" w:pos="882" w:val="left"/>
        </w:tabs>
        <w:numPr>
          <w:ilvl w:val="1"/>
          <w:numId w:val="21"/>
        </w:numPr>
        <w:rPr>
          <w:rFonts w:ascii="Arial" w:cs="Arial" w:eastAsia="Arial" w:hAnsi="Arial"/>
          <w:sz w:val="16"/>
          <w:szCs w:val="16"/>
          <w:color w:val="auto"/>
        </w:rPr>
      </w:pPr>
      <w:r>
        <w:rPr>
          <w:rFonts w:ascii="Arial" w:cs="Arial" w:eastAsia="Arial" w:hAnsi="Arial"/>
          <w:sz w:val="16"/>
          <w:szCs w:val="16"/>
          <w:color w:val="auto"/>
        </w:rPr>
        <w:t>160 bps increase in SG&amp;A expenses primarily due to a:</w:t>
      </w:r>
    </w:p>
    <w:p>
      <w:pPr>
        <w:spacing w:after="0" w:line="182" w:lineRule="exact"/>
        <w:rPr>
          <w:rFonts w:ascii="Arial" w:cs="Arial" w:eastAsia="Arial" w:hAnsi="Arial"/>
          <w:sz w:val="16"/>
          <w:szCs w:val="16"/>
          <w:color w:val="auto"/>
        </w:rPr>
      </w:pPr>
    </w:p>
    <w:p>
      <w:pPr>
        <w:ind w:left="1762" w:hanging="295"/>
        <w:spacing w:after="0"/>
        <w:tabs>
          <w:tab w:leader="none" w:pos="1762" w:val="left"/>
        </w:tabs>
        <w:numPr>
          <w:ilvl w:val="2"/>
          <w:numId w:val="21"/>
        </w:numPr>
        <w:rPr>
          <w:rFonts w:ascii="Arial" w:cs="Arial" w:eastAsia="Arial" w:hAnsi="Arial"/>
          <w:sz w:val="16"/>
          <w:szCs w:val="16"/>
          <w:color w:val="auto"/>
        </w:rPr>
      </w:pPr>
      <w:r>
        <w:rPr>
          <w:rFonts w:ascii="Arial" w:cs="Arial" w:eastAsia="Arial" w:hAnsi="Arial"/>
          <w:sz w:val="16"/>
          <w:szCs w:val="16"/>
          <w:color w:val="auto"/>
        </w:rPr>
        <w:t>80 bps increase due to provisions for special employee compensation;</w:t>
      </w:r>
    </w:p>
    <w:p>
      <w:pPr>
        <w:spacing w:after="0" w:line="182" w:lineRule="exact"/>
        <w:rPr>
          <w:rFonts w:ascii="Arial" w:cs="Arial" w:eastAsia="Arial" w:hAnsi="Arial"/>
          <w:sz w:val="16"/>
          <w:szCs w:val="16"/>
          <w:color w:val="auto"/>
        </w:rPr>
      </w:pPr>
    </w:p>
    <w:p>
      <w:pPr>
        <w:ind w:left="1762" w:hanging="295"/>
        <w:spacing w:after="0"/>
        <w:tabs>
          <w:tab w:leader="none" w:pos="1762" w:val="left"/>
        </w:tabs>
        <w:numPr>
          <w:ilvl w:val="2"/>
          <w:numId w:val="21"/>
        </w:numPr>
        <w:rPr>
          <w:rFonts w:ascii="Arial" w:cs="Arial" w:eastAsia="Arial" w:hAnsi="Arial"/>
          <w:sz w:val="16"/>
          <w:szCs w:val="16"/>
          <w:color w:val="auto"/>
        </w:rPr>
      </w:pPr>
      <w:r>
        <w:rPr>
          <w:rFonts w:ascii="Arial" w:cs="Arial" w:eastAsia="Arial" w:hAnsi="Arial"/>
          <w:sz w:val="16"/>
          <w:szCs w:val="16"/>
          <w:color w:val="auto"/>
        </w:rPr>
        <w:t>40 bps increase in expenses associated with eCommerce;</w:t>
      </w:r>
    </w:p>
    <w:p>
      <w:pPr>
        <w:spacing w:after="0" w:line="182" w:lineRule="exact"/>
        <w:rPr>
          <w:rFonts w:ascii="Arial" w:cs="Arial" w:eastAsia="Arial" w:hAnsi="Arial"/>
          <w:sz w:val="16"/>
          <w:szCs w:val="16"/>
          <w:color w:val="auto"/>
        </w:rPr>
      </w:pPr>
    </w:p>
    <w:p>
      <w:pPr>
        <w:ind w:left="1762" w:hanging="295"/>
        <w:spacing w:after="0"/>
        <w:tabs>
          <w:tab w:leader="none" w:pos="1762" w:val="left"/>
        </w:tabs>
        <w:numPr>
          <w:ilvl w:val="2"/>
          <w:numId w:val="21"/>
        </w:numPr>
        <w:rPr>
          <w:rFonts w:ascii="Arial" w:cs="Arial" w:eastAsia="Arial" w:hAnsi="Arial"/>
          <w:sz w:val="16"/>
          <w:szCs w:val="16"/>
          <w:color w:val="auto"/>
        </w:rPr>
      </w:pPr>
      <w:r>
        <w:rPr>
          <w:rFonts w:ascii="Arial" w:cs="Arial" w:eastAsia="Arial" w:hAnsi="Arial"/>
          <w:sz w:val="16"/>
          <w:szCs w:val="16"/>
          <w:color w:val="auto"/>
        </w:rPr>
        <w:t>20 bps increase in expenses associated with new retail stores and store restructuring costs; and</w:t>
      </w:r>
    </w:p>
    <w:p>
      <w:pPr>
        <w:spacing w:after="0" w:line="182" w:lineRule="exact"/>
        <w:rPr>
          <w:rFonts w:ascii="Arial" w:cs="Arial" w:eastAsia="Arial" w:hAnsi="Arial"/>
          <w:sz w:val="16"/>
          <w:szCs w:val="16"/>
          <w:color w:val="auto"/>
        </w:rPr>
      </w:pPr>
    </w:p>
    <w:p>
      <w:pPr>
        <w:ind w:left="1762" w:hanging="295"/>
        <w:spacing w:after="0"/>
        <w:tabs>
          <w:tab w:leader="none" w:pos="1762" w:val="left"/>
        </w:tabs>
        <w:numPr>
          <w:ilvl w:val="2"/>
          <w:numId w:val="21"/>
        </w:numPr>
        <w:rPr>
          <w:rFonts w:ascii="Arial" w:cs="Arial" w:eastAsia="Arial" w:hAnsi="Arial"/>
          <w:sz w:val="16"/>
          <w:szCs w:val="16"/>
          <w:color w:val="auto"/>
        </w:rPr>
      </w:pPr>
      <w:r>
        <w:rPr>
          <w:rFonts w:ascii="Arial" w:cs="Arial" w:eastAsia="Arial" w:hAnsi="Arial"/>
          <w:sz w:val="16"/>
          <w:szCs w:val="16"/>
          <w:color w:val="auto"/>
        </w:rPr>
        <w:t>20 bps increase in distribution expenses.</w:t>
      </w:r>
    </w:p>
    <w:p>
      <w:pPr>
        <w:spacing w:after="0" w:line="200" w:lineRule="exact"/>
        <w:rPr>
          <w:rFonts w:ascii="Arial" w:cs="Arial" w:eastAsia="Arial" w:hAnsi="Arial"/>
          <w:sz w:val="16"/>
          <w:szCs w:val="16"/>
          <w:color w:val="auto"/>
        </w:rPr>
      </w:pPr>
    </w:p>
    <w:p>
      <w:pPr>
        <w:spacing w:after="0" w:line="288" w:lineRule="exact"/>
        <w:rPr>
          <w:rFonts w:ascii="Arial" w:cs="Arial" w:eastAsia="Arial" w:hAnsi="Arial"/>
          <w:sz w:val="16"/>
          <w:szCs w:val="16"/>
          <w:color w:val="auto"/>
        </w:rPr>
      </w:pPr>
    </w:p>
    <w:p>
      <w:pPr>
        <w:ind w:left="222" w:hanging="222"/>
        <w:spacing w:after="0"/>
        <w:tabs>
          <w:tab w:leader="none" w:pos="222" w:val="left"/>
        </w:tabs>
        <w:numPr>
          <w:ilvl w:val="0"/>
          <w:numId w:val="21"/>
        </w:numPr>
        <w:rPr>
          <w:rFonts w:ascii="Arial" w:cs="Arial" w:eastAsia="Arial" w:hAnsi="Arial"/>
          <w:sz w:val="14"/>
          <w:szCs w:val="14"/>
          <w:color w:val="auto"/>
        </w:rPr>
      </w:pPr>
      <w:r>
        <w:rPr>
          <w:rFonts w:ascii="Arial" w:cs="Arial" w:eastAsia="Arial" w:hAnsi="Arial"/>
          <w:sz w:val="14"/>
          <w:szCs w:val="14"/>
          <w:color w:val="auto"/>
        </w:rPr>
        <w:t>U.S. Wholesale segment operating income in fiscal 2017 decreased $8.9 million, or 3.4%, from fiscal 2016 to $252.1 million. The segment's operating margin decreased</w:t>
      </w:r>
    </w:p>
    <w:p>
      <w:pPr>
        <w:spacing w:after="0" w:line="46" w:lineRule="exact"/>
        <w:rPr>
          <w:rFonts w:ascii="Arial" w:cs="Arial" w:eastAsia="Arial" w:hAnsi="Arial"/>
          <w:sz w:val="14"/>
          <w:szCs w:val="14"/>
          <w:color w:val="auto"/>
        </w:rPr>
      </w:pPr>
    </w:p>
    <w:p>
      <w:pPr>
        <w:ind w:left="2"/>
        <w:spacing w:after="0"/>
        <w:rPr>
          <w:rFonts w:ascii="Arial" w:cs="Arial" w:eastAsia="Arial" w:hAnsi="Arial"/>
          <w:sz w:val="14"/>
          <w:szCs w:val="14"/>
          <w:color w:val="auto"/>
        </w:rPr>
      </w:pPr>
      <w:r>
        <w:rPr>
          <w:rFonts w:ascii="Arial" w:cs="Arial" w:eastAsia="Arial" w:hAnsi="Arial"/>
          <w:sz w:val="16"/>
          <w:szCs w:val="16"/>
          <w:color w:val="auto"/>
        </w:rPr>
        <w:t>140 bps from 22.2% in fiscal 2016 to 20.8% in fiscal 2017. The primary drivers of the change in the operating margin were a:</w:t>
      </w:r>
    </w:p>
    <w:p>
      <w:pPr>
        <w:spacing w:after="0" w:line="85" w:lineRule="exact"/>
        <w:rPr>
          <w:rFonts w:ascii="Arial" w:cs="Arial" w:eastAsia="Arial" w:hAnsi="Arial"/>
          <w:sz w:val="14"/>
          <w:szCs w:val="14"/>
          <w:color w:val="auto"/>
        </w:rPr>
      </w:pPr>
    </w:p>
    <w:p>
      <w:pPr>
        <w:ind w:left="882" w:hanging="295"/>
        <w:spacing w:after="0"/>
        <w:tabs>
          <w:tab w:leader="none" w:pos="882" w:val="left"/>
        </w:tabs>
        <w:numPr>
          <w:ilvl w:val="1"/>
          <w:numId w:val="21"/>
        </w:numPr>
        <w:rPr>
          <w:rFonts w:ascii="Arial" w:cs="Arial" w:eastAsia="Arial" w:hAnsi="Arial"/>
          <w:sz w:val="16"/>
          <w:szCs w:val="16"/>
          <w:color w:val="auto"/>
        </w:rPr>
      </w:pPr>
      <w:r>
        <w:rPr>
          <w:rFonts w:ascii="Arial" w:cs="Arial" w:eastAsia="Arial" w:hAnsi="Arial"/>
          <w:sz w:val="16"/>
          <w:szCs w:val="16"/>
          <w:color w:val="auto"/>
        </w:rPr>
        <w:t>20 bps increase in gross profit due to favorable product costs;</w:t>
      </w:r>
    </w:p>
    <w:p>
      <w:pPr>
        <w:spacing w:after="0" w:line="182" w:lineRule="exact"/>
        <w:rPr>
          <w:rFonts w:ascii="Arial" w:cs="Arial" w:eastAsia="Arial" w:hAnsi="Arial"/>
          <w:sz w:val="16"/>
          <w:szCs w:val="16"/>
          <w:color w:val="auto"/>
        </w:rPr>
      </w:pPr>
    </w:p>
    <w:p>
      <w:pPr>
        <w:ind w:left="882" w:hanging="295"/>
        <w:spacing w:after="0"/>
        <w:tabs>
          <w:tab w:leader="none" w:pos="882" w:val="left"/>
        </w:tabs>
        <w:numPr>
          <w:ilvl w:val="1"/>
          <w:numId w:val="21"/>
        </w:numPr>
        <w:rPr>
          <w:rFonts w:ascii="Arial" w:cs="Arial" w:eastAsia="Arial" w:hAnsi="Arial"/>
          <w:sz w:val="16"/>
          <w:szCs w:val="16"/>
          <w:color w:val="auto"/>
        </w:rPr>
      </w:pPr>
      <w:r>
        <w:rPr>
          <w:rFonts w:ascii="Arial" w:cs="Arial" w:eastAsia="Arial" w:hAnsi="Arial"/>
          <w:sz w:val="16"/>
          <w:szCs w:val="16"/>
          <w:color w:val="auto"/>
        </w:rPr>
        <w:t>20 bps decrease in royalty income primarily due to insourcing formerly licensed product categories; and</w:t>
      </w:r>
    </w:p>
    <w:p>
      <w:pPr>
        <w:spacing w:after="0" w:line="182" w:lineRule="exact"/>
        <w:rPr>
          <w:rFonts w:ascii="Arial" w:cs="Arial" w:eastAsia="Arial" w:hAnsi="Arial"/>
          <w:sz w:val="16"/>
          <w:szCs w:val="16"/>
          <w:color w:val="auto"/>
        </w:rPr>
      </w:pPr>
    </w:p>
    <w:p>
      <w:pPr>
        <w:ind w:left="882" w:hanging="295"/>
        <w:spacing w:after="0"/>
        <w:tabs>
          <w:tab w:leader="none" w:pos="882" w:val="left"/>
        </w:tabs>
        <w:numPr>
          <w:ilvl w:val="1"/>
          <w:numId w:val="21"/>
        </w:numPr>
        <w:rPr>
          <w:rFonts w:ascii="Arial" w:cs="Arial" w:eastAsia="Arial" w:hAnsi="Arial"/>
          <w:sz w:val="16"/>
          <w:szCs w:val="16"/>
          <w:color w:val="auto"/>
        </w:rPr>
      </w:pPr>
      <w:r>
        <w:rPr>
          <w:rFonts w:ascii="Arial" w:cs="Arial" w:eastAsia="Arial" w:hAnsi="Arial"/>
          <w:sz w:val="16"/>
          <w:szCs w:val="16"/>
          <w:color w:val="auto"/>
        </w:rPr>
        <w:t>140 bps increase in SG&amp;A expenses, primarily due to a:</w:t>
      </w:r>
    </w:p>
    <w:p>
      <w:pPr>
        <w:spacing w:after="0" w:line="280" w:lineRule="exact"/>
        <w:rPr>
          <w:rFonts w:ascii="Arial" w:cs="Arial" w:eastAsia="Arial" w:hAnsi="Arial"/>
          <w:sz w:val="16"/>
          <w:szCs w:val="16"/>
          <w:color w:val="auto"/>
        </w:rPr>
      </w:pPr>
    </w:p>
    <w:p>
      <w:pPr>
        <w:ind w:left="1822" w:hanging="355"/>
        <w:spacing w:after="0"/>
        <w:tabs>
          <w:tab w:leader="none" w:pos="1822" w:val="left"/>
        </w:tabs>
        <w:numPr>
          <w:ilvl w:val="2"/>
          <w:numId w:val="21"/>
        </w:numPr>
        <w:rPr>
          <w:rFonts w:ascii="Arial" w:cs="Arial" w:eastAsia="Arial" w:hAnsi="Arial"/>
          <w:sz w:val="16"/>
          <w:szCs w:val="16"/>
          <w:color w:val="auto"/>
        </w:rPr>
      </w:pPr>
      <w:r>
        <w:rPr>
          <w:rFonts w:ascii="Arial" w:cs="Arial" w:eastAsia="Arial" w:hAnsi="Arial"/>
          <w:sz w:val="16"/>
          <w:szCs w:val="16"/>
          <w:color w:val="auto"/>
        </w:rPr>
        <w:t>70 bps increase in distribution expenses;</w:t>
      </w:r>
    </w:p>
    <w:p>
      <w:pPr>
        <w:spacing w:after="0" w:line="268" w:lineRule="exact"/>
        <w:rPr>
          <w:rFonts w:ascii="Arial" w:cs="Arial" w:eastAsia="Arial" w:hAnsi="Arial"/>
          <w:sz w:val="16"/>
          <w:szCs w:val="16"/>
          <w:color w:val="auto"/>
        </w:rPr>
      </w:pPr>
    </w:p>
    <w:p>
      <w:pPr>
        <w:ind w:left="1822" w:hanging="355"/>
        <w:spacing w:after="0"/>
        <w:tabs>
          <w:tab w:leader="none" w:pos="1822" w:val="left"/>
        </w:tabs>
        <w:numPr>
          <w:ilvl w:val="2"/>
          <w:numId w:val="21"/>
        </w:numPr>
        <w:rPr>
          <w:rFonts w:ascii="Arial" w:cs="Arial" w:eastAsia="Arial" w:hAnsi="Arial"/>
          <w:sz w:val="16"/>
          <w:szCs w:val="16"/>
          <w:color w:val="auto"/>
        </w:rPr>
      </w:pPr>
      <w:r>
        <w:rPr>
          <w:rFonts w:ascii="Arial" w:cs="Arial" w:eastAsia="Arial" w:hAnsi="Arial"/>
          <w:sz w:val="16"/>
          <w:szCs w:val="16"/>
          <w:color w:val="auto"/>
        </w:rPr>
        <w:t>30 bps increase due to provisions for special employee compensation;</w:t>
      </w:r>
    </w:p>
    <w:p>
      <w:pPr>
        <w:spacing w:after="0" w:line="317" w:lineRule="exact"/>
        <w:rPr>
          <w:rFonts w:ascii="Arial" w:cs="Arial" w:eastAsia="Arial" w:hAnsi="Arial"/>
          <w:sz w:val="16"/>
          <w:szCs w:val="16"/>
          <w:color w:val="auto"/>
        </w:rPr>
      </w:pPr>
    </w:p>
    <w:p>
      <w:pPr>
        <w:ind w:left="1822" w:hanging="355"/>
        <w:spacing w:after="0"/>
        <w:tabs>
          <w:tab w:leader="none" w:pos="1822" w:val="left"/>
        </w:tabs>
        <w:numPr>
          <w:ilvl w:val="2"/>
          <w:numId w:val="21"/>
        </w:numPr>
        <w:rPr>
          <w:rFonts w:ascii="Arial" w:cs="Arial" w:eastAsia="Arial" w:hAnsi="Arial"/>
          <w:sz w:val="16"/>
          <w:szCs w:val="16"/>
          <w:color w:val="auto"/>
        </w:rPr>
      </w:pPr>
      <w:r>
        <w:rPr>
          <w:rFonts w:ascii="Arial" w:cs="Arial" w:eastAsia="Arial" w:hAnsi="Arial"/>
          <w:sz w:val="16"/>
          <w:szCs w:val="16"/>
          <w:color w:val="auto"/>
        </w:rPr>
        <w:t>20 bps increase in marketing and brand management expenses; and</w:t>
      </w:r>
    </w:p>
    <w:p>
      <w:pPr>
        <w:spacing w:after="0" w:line="317" w:lineRule="exact"/>
        <w:rPr>
          <w:rFonts w:ascii="Arial" w:cs="Arial" w:eastAsia="Arial" w:hAnsi="Arial"/>
          <w:sz w:val="16"/>
          <w:szCs w:val="16"/>
          <w:color w:val="auto"/>
        </w:rPr>
      </w:pPr>
    </w:p>
    <w:p>
      <w:pPr>
        <w:ind w:left="1822" w:hanging="355"/>
        <w:spacing w:after="0"/>
        <w:tabs>
          <w:tab w:leader="none" w:pos="1822" w:val="left"/>
        </w:tabs>
        <w:numPr>
          <w:ilvl w:val="2"/>
          <w:numId w:val="21"/>
        </w:numPr>
        <w:rPr>
          <w:rFonts w:ascii="Arial" w:cs="Arial" w:eastAsia="Arial" w:hAnsi="Arial"/>
          <w:sz w:val="16"/>
          <w:szCs w:val="16"/>
          <w:color w:val="auto"/>
        </w:rPr>
      </w:pPr>
      <w:r>
        <w:rPr>
          <w:rFonts w:ascii="Arial" w:cs="Arial" w:eastAsia="Arial" w:hAnsi="Arial"/>
          <w:sz w:val="16"/>
          <w:szCs w:val="16"/>
          <w:color w:val="auto"/>
        </w:rPr>
        <w:t>20 bps increase in provisions for accounts receivable.</w:t>
      </w:r>
    </w:p>
    <w:p>
      <w:pPr>
        <w:spacing w:after="0" w:line="200" w:lineRule="exact"/>
        <w:rPr>
          <w:rFonts w:ascii="Arial" w:cs="Arial" w:eastAsia="Arial" w:hAnsi="Arial"/>
          <w:sz w:val="16"/>
          <w:szCs w:val="16"/>
          <w:color w:val="auto"/>
        </w:rPr>
      </w:pPr>
    </w:p>
    <w:p>
      <w:pPr>
        <w:spacing w:after="0" w:line="325" w:lineRule="exact"/>
        <w:rPr>
          <w:rFonts w:ascii="Arial" w:cs="Arial" w:eastAsia="Arial" w:hAnsi="Arial"/>
          <w:sz w:val="16"/>
          <w:szCs w:val="16"/>
          <w:color w:val="auto"/>
        </w:rPr>
      </w:pPr>
    </w:p>
    <w:p>
      <w:pPr>
        <w:ind w:left="222" w:hanging="222"/>
        <w:spacing w:after="0"/>
        <w:tabs>
          <w:tab w:leader="none" w:pos="222"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International segment operating income in fiscal 2017 decreased $12.8 million, or 21.6%, from fiscal 2016 to $46.4 million. This segment's operating margin decreased</w:t>
      </w:r>
    </w:p>
    <w:p>
      <w:pPr>
        <w:spacing w:after="0" w:line="34" w:lineRule="exact"/>
        <w:rPr>
          <w:rFonts w:ascii="Arial" w:cs="Arial" w:eastAsia="Arial" w:hAnsi="Arial"/>
          <w:sz w:val="15"/>
          <w:szCs w:val="15"/>
          <w:color w:val="auto"/>
        </w:rPr>
      </w:pPr>
    </w:p>
    <w:p>
      <w:pPr>
        <w:ind w:left="2"/>
        <w:spacing w:after="0"/>
        <w:rPr>
          <w:rFonts w:ascii="Arial" w:cs="Arial" w:eastAsia="Arial" w:hAnsi="Arial"/>
          <w:sz w:val="15"/>
          <w:szCs w:val="15"/>
          <w:color w:val="auto"/>
        </w:rPr>
      </w:pPr>
      <w:r>
        <w:rPr>
          <w:rFonts w:ascii="Arial" w:cs="Arial" w:eastAsia="Arial" w:hAnsi="Arial"/>
          <w:sz w:val="16"/>
          <w:szCs w:val="16"/>
          <w:color w:val="auto"/>
        </w:rPr>
        <w:t>500 bps from 16.2% in fiscal 2016 to 11.2% in fiscal 2017. The primary drivers of the change in the operating margin were a:</w:t>
      </w:r>
    </w:p>
    <w:p>
      <w:pPr>
        <w:spacing w:after="0" w:line="195" w:lineRule="exact"/>
        <w:rPr>
          <w:rFonts w:ascii="Arial" w:cs="Arial" w:eastAsia="Arial" w:hAnsi="Arial"/>
          <w:sz w:val="15"/>
          <w:szCs w:val="15"/>
          <w:color w:val="auto"/>
        </w:rPr>
      </w:pPr>
    </w:p>
    <w:p>
      <w:pPr>
        <w:ind w:left="882" w:hanging="295"/>
        <w:spacing w:after="0"/>
        <w:tabs>
          <w:tab w:leader="none" w:pos="882" w:val="left"/>
        </w:tabs>
        <w:numPr>
          <w:ilvl w:val="1"/>
          <w:numId w:val="21"/>
        </w:numPr>
        <w:rPr>
          <w:rFonts w:ascii="Arial" w:cs="Arial" w:eastAsia="Arial" w:hAnsi="Arial"/>
          <w:sz w:val="16"/>
          <w:szCs w:val="16"/>
          <w:color w:val="auto"/>
        </w:rPr>
      </w:pPr>
      <w:r>
        <w:rPr>
          <w:rFonts w:ascii="Arial" w:cs="Arial" w:eastAsia="Arial" w:hAnsi="Arial"/>
          <w:sz w:val="16"/>
          <w:szCs w:val="16"/>
          <w:color w:val="auto"/>
        </w:rPr>
        <w:t>190 bps decrease in gross profit due to changes in channel and customer mix;</w:t>
      </w:r>
    </w:p>
    <w:p>
      <w:pPr>
        <w:spacing w:after="0" w:line="232"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62"/>
          </w:cols>
          <w:pgMar w:left="238" w:top="123" w:right="299" w:bottom="1440" w:gutter="0" w:footer="0" w:header="0"/>
        </w:sectPr>
      </w:pPr>
    </w:p>
    <w:bookmarkStart w:id="35" w:name="page36"/>
    <w:bookmarkEnd w:id="35"/>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80" w:right="440" w:hanging="295"/>
        <w:spacing w:after="0" w:line="285"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60 bps decrease in royalty income related to the purchase of our Mexican licensee, and decreases in income from certain licensees due to the insourcing of formerly licensed product categories; and</w:t>
      </w:r>
    </w:p>
    <w:p>
      <w:pPr>
        <w:spacing w:after="0" w:line="39" w:lineRule="exact"/>
        <w:rPr>
          <w:rFonts w:ascii="Arial" w:cs="Arial" w:eastAsia="Arial" w:hAnsi="Arial"/>
          <w:sz w:val="16"/>
          <w:szCs w:val="16"/>
          <w:color w:val="auto"/>
        </w:rPr>
      </w:pPr>
    </w:p>
    <w:p>
      <w:pPr>
        <w:ind w:left="880" w:hanging="295"/>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250 bps increase in SG&amp;A expenses, primarily due to a:</w:t>
      </w:r>
    </w:p>
    <w:p>
      <w:pPr>
        <w:spacing w:after="0" w:line="231" w:lineRule="exact"/>
        <w:rPr>
          <w:rFonts w:ascii="Arial" w:cs="Arial" w:eastAsia="Arial" w:hAnsi="Arial"/>
          <w:sz w:val="16"/>
          <w:szCs w:val="16"/>
          <w:color w:val="auto"/>
        </w:rPr>
      </w:pPr>
    </w:p>
    <w:p>
      <w:pPr>
        <w:ind w:left="1820" w:hanging="355"/>
        <w:spacing w:after="0"/>
        <w:tabs>
          <w:tab w:leader="none" w:pos="18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70 bps increase expenses associates with eCommerce growth;</w:t>
      </w:r>
    </w:p>
    <w:p>
      <w:pPr>
        <w:spacing w:after="0" w:line="268" w:lineRule="exact"/>
        <w:rPr>
          <w:rFonts w:ascii="Arial" w:cs="Arial" w:eastAsia="Arial" w:hAnsi="Arial"/>
          <w:sz w:val="16"/>
          <w:szCs w:val="16"/>
          <w:color w:val="auto"/>
        </w:rPr>
      </w:pPr>
    </w:p>
    <w:p>
      <w:pPr>
        <w:ind w:left="1820" w:hanging="355"/>
        <w:spacing w:after="0"/>
        <w:tabs>
          <w:tab w:leader="none" w:pos="18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60 bps increase marketing and brand management expenses;</w:t>
      </w:r>
    </w:p>
    <w:p>
      <w:pPr>
        <w:spacing w:after="0" w:line="268" w:lineRule="exact"/>
        <w:rPr>
          <w:rFonts w:ascii="Arial" w:cs="Arial" w:eastAsia="Arial" w:hAnsi="Arial"/>
          <w:sz w:val="16"/>
          <w:szCs w:val="16"/>
          <w:color w:val="auto"/>
        </w:rPr>
      </w:pPr>
    </w:p>
    <w:p>
      <w:pPr>
        <w:ind w:left="1820" w:hanging="355"/>
        <w:spacing w:after="0"/>
        <w:tabs>
          <w:tab w:leader="none" w:pos="18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50 bps increase due to provisions for special employee compensation;</w:t>
      </w:r>
    </w:p>
    <w:p>
      <w:pPr>
        <w:spacing w:after="0" w:line="268" w:lineRule="exact"/>
        <w:rPr>
          <w:rFonts w:ascii="Arial" w:cs="Arial" w:eastAsia="Arial" w:hAnsi="Arial"/>
          <w:sz w:val="16"/>
          <w:szCs w:val="16"/>
          <w:color w:val="auto"/>
        </w:rPr>
      </w:pPr>
    </w:p>
    <w:p>
      <w:pPr>
        <w:ind w:left="1820" w:hanging="355"/>
        <w:spacing w:after="0"/>
        <w:tabs>
          <w:tab w:leader="none" w:pos="18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40 bps increase in expenses associated with new store costs; and</w:t>
      </w:r>
    </w:p>
    <w:p>
      <w:pPr>
        <w:spacing w:after="0" w:line="268" w:lineRule="exact"/>
        <w:rPr>
          <w:rFonts w:ascii="Arial" w:cs="Arial" w:eastAsia="Arial" w:hAnsi="Arial"/>
          <w:sz w:val="16"/>
          <w:szCs w:val="16"/>
          <w:color w:val="auto"/>
        </w:rPr>
      </w:pPr>
    </w:p>
    <w:p>
      <w:pPr>
        <w:ind w:left="1820" w:hanging="355"/>
        <w:spacing w:after="0"/>
        <w:tabs>
          <w:tab w:leader="none" w:pos="18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30 bps increase due to higher provisions for wholesale accounts receivable.</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Unallocated Corporate Expenses</w:t>
      </w:r>
    </w:p>
    <w:p>
      <w:pPr>
        <w:spacing w:after="0" w:line="20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Unallocated corporate expenses decreased by $11.6 million, or 10.9%, from $106.2 million in fiscal 2016 to $94.5 million in fiscal 2017. Unallocated corporate expenses, as a percentage of consolidated net sales, decreased from 3.3% in fiscal 2016 to 2.8% in fiscal 2017. The decrease primarily reflected a/an:</w:t>
      </w:r>
    </w:p>
    <w:p>
      <w:pPr>
        <w:spacing w:after="0" w:line="40" w:lineRule="exact"/>
        <w:rPr>
          <w:sz w:val="20"/>
          <w:szCs w:val="20"/>
          <w:color w:val="auto"/>
        </w:rPr>
      </w:pPr>
    </w:p>
    <w:p>
      <w:pPr>
        <w:ind w:left="880" w:hanging="295"/>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Decrease of $5.2 million in consulting expenses;</w:t>
      </w:r>
    </w:p>
    <w:p>
      <w:pPr>
        <w:spacing w:after="0" w:line="182" w:lineRule="exact"/>
        <w:rPr>
          <w:rFonts w:ascii="Arial" w:cs="Arial" w:eastAsia="Arial" w:hAnsi="Arial"/>
          <w:sz w:val="16"/>
          <w:szCs w:val="16"/>
          <w:color w:val="auto"/>
        </w:rPr>
      </w:pPr>
    </w:p>
    <w:p>
      <w:pPr>
        <w:ind w:left="880" w:hanging="295"/>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Decrease of $4.7 million in expenses related to information technology and systems;</w:t>
      </w:r>
    </w:p>
    <w:p>
      <w:pPr>
        <w:spacing w:after="0" w:line="182" w:lineRule="exact"/>
        <w:rPr>
          <w:rFonts w:ascii="Arial" w:cs="Arial" w:eastAsia="Arial" w:hAnsi="Arial"/>
          <w:sz w:val="16"/>
          <w:szCs w:val="16"/>
          <w:color w:val="auto"/>
        </w:rPr>
      </w:pPr>
    </w:p>
    <w:p>
      <w:pPr>
        <w:ind w:left="880" w:hanging="295"/>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Decrease of $2.6 million in insurance and other employee-related costs;</w:t>
      </w:r>
    </w:p>
    <w:p>
      <w:pPr>
        <w:spacing w:after="0" w:line="182" w:lineRule="exact"/>
        <w:rPr>
          <w:rFonts w:ascii="Arial" w:cs="Arial" w:eastAsia="Arial" w:hAnsi="Arial"/>
          <w:sz w:val="16"/>
          <w:szCs w:val="16"/>
          <w:color w:val="auto"/>
        </w:rPr>
      </w:pPr>
    </w:p>
    <w:p>
      <w:pPr>
        <w:ind w:left="880" w:hanging="295"/>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Decrease of $1.7 million in amortization expense for the H.W. Carter &amp; Sons tradenames; and</w:t>
      </w:r>
    </w:p>
    <w:p>
      <w:pPr>
        <w:spacing w:after="0" w:line="182" w:lineRule="exact"/>
        <w:rPr>
          <w:rFonts w:ascii="Arial" w:cs="Arial" w:eastAsia="Arial" w:hAnsi="Arial"/>
          <w:sz w:val="16"/>
          <w:szCs w:val="16"/>
          <w:color w:val="auto"/>
        </w:rPr>
      </w:pPr>
    </w:p>
    <w:p>
      <w:pPr>
        <w:ind w:left="880" w:hanging="295"/>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Increase of $2.9 million due to provisions for special employee compensation.</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and effective interest rate calculations include the amortization of debt issuance costs.</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Interest expense in fiscal 2017 and fiscal 2016 was approximately $30.0 million and $27.0 million, respectively. Weighted-average borrowings for fiscal 2017 were $652.9 million at an effective interest rate of 4.55%, compared to weighted-average borrowings for fiscal 2016 of $585.2 million at an effective interest rate of 4.57%. The increase in weighted-average borrowings during fiscal 2017 was attributable to additional borrowings under our secured revolving credit facility.</w:t>
      </w:r>
    </w:p>
    <w:p>
      <w:pPr>
        <w:spacing w:after="0" w:line="162"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decrease in the effective interest rate for fiscal 2017 compared to fiscal 2016 was primarily due to a higher portion of our outstanding borrowings under our secured revolving credit facility as compared to the total debt outstanding under our senior notes, partially offset by higher LIBOR rates for the variable portions of outstanding borrowings on our secured revolving credit facility during fiscal 2017. Borrowings under our secured revolving credit facility accrued variable-rate interest at a lower interest rate than our senior notes during fiscal 2017 and 2016.</w:t>
      </w:r>
    </w:p>
    <w:p>
      <w:pPr>
        <w:spacing w:after="0" w:line="166"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On our consolidated balance sheets, unamortized debt issuance costs associated with our senior notes is presented as a direct reduction in the carrying value of the associated debt liability for all periods presented.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p>
    <w:p>
      <w:pPr>
        <w:spacing w:after="0" w:line="207"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Other (income) expense, net is comprised primarily of gains and losses on foreign currency transactions and, if utilized during a reporting period, gains and losses on foreign currency forward contracts. These amounts represented a net gain of</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123" w:right="259" w:bottom="1440" w:gutter="0" w:footer="0" w:header="0"/>
        </w:sectPr>
      </w:pPr>
    </w:p>
    <w:bookmarkStart w:id="36" w:name="page37"/>
    <w:bookmarkEnd w:id="36"/>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approximately $1.3 million for fiscal 2017 and a net loss of approximately $3.9 million for fiscal 2016. When we acquired our former licensee in Mexico on August 1, 2017, the licensee had unsettled foreign currency forward contracts between the U.S. dollar and the Mexican peso.</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07"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On December 22, 2017, the United States enacted tax law changes known as the Tax Cuts and Jobs Act of 2017 (the "2017 Act"). The 2017 Act, among other things, reduces the U.S. federal corporate tax rate from 35% to 21%, requires companies to pay a one-time transition tax (or "toll tax") on earnings of certain foreign subsidiaries that were previously tax deferred, and creates new taxes on certain foreign sourced earnings.</w:t>
      </w:r>
    </w:p>
    <w:p>
      <w:pPr>
        <w:spacing w:after="0" w:line="16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 xml:space="preserve">Our accounting for the enactment of the 2017 Act, including its effects on our consolidated income tax expense, is not complete. The income tax expense reported in our consolidated statement of operations for the fiscal year ended December 30, 2017 reflects certain provisional estimates related to our accounting for the enactment of the 2017 Act, as allowed by SEC Staff Accounting Bulletin No. 118, </w:t>
      </w:r>
      <w:r>
        <w:rPr>
          <w:rFonts w:ascii="Arial" w:cs="Arial" w:eastAsia="Arial" w:hAnsi="Arial"/>
          <w:sz w:val="16"/>
          <w:szCs w:val="16"/>
          <w:i w:val="1"/>
          <w:iCs w:val="1"/>
          <w:color w:val="auto"/>
        </w:rPr>
        <w:t>Income Tax Accounting Implications of the Tax Cuts and Jobs Act.</w:t>
      </w:r>
      <w:r>
        <w:rPr>
          <w:rFonts w:ascii="Arial" w:cs="Arial" w:eastAsia="Arial" w:hAnsi="Arial"/>
          <w:sz w:val="16"/>
          <w:szCs w:val="16"/>
          <w:color w:val="auto"/>
        </w:rPr>
        <w:t xml:space="preserve"> Any subsequent adjustments to the provisional estimates will be reflected in our income tax expense/benefit in one or more future periods in fiscal 2018.</w:t>
      </w:r>
    </w:p>
    <w:p>
      <w:pPr>
        <w:spacing w:after="0" w:line="166"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 xml:space="preserve">During the fourth quarter of fiscal 2017, we recognized an income tax benefit of $40.0 million related to the enactment of the 2017 Act, which is included as a component of our income tax expense on our consolidated statement of operations. This $40.0 million income tax benefit is comprised of a benefit of approximately $50.4 million related to the remeasurement of certain deferred income tax balances, partially offset by a provisional estimate for additional income tax expense of $10.4 million related to foreign earnings. We will continue to refine our calculations as additional analysis is completed. Additional information is contained in Item 8 "Financial Statements and Supplementary Data” under Note 11, </w:t>
      </w:r>
      <w:r>
        <w:rPr>
          <w:rFonts w:ascii="Arial" w:cs="Arial" w:eastAsia="Arial" w:hAnsi="Arial"/>
          <w:sz w:val="16"/>
          <w:szCs w:val="16"/>
          <w:i w:val="1"/>
          <w:iCs w:val="1"/>
          <w:color w:val="auto"/>
        </w:rPr>
        <w:t>Income Taxes</w:t>
      </w:r>
      <w:r>
        <w:rPr>
          <w:rFonts w:ascii="Arial" w:cs="Arial" w:eastAsia="Arial" w:hAnsi="Arial"/>
          <w:sz w:val="16"/>
          <w:szCs w:val="16"/>
          <w:color w:val="auto"/>
        </w:rPr>
        <w:t>, to the consolidated financial statements.</w:t>
      </w:r>
    </w:p>
    <w:p>
      <w:pPr>
        <w:spacing w:after="0" w:line="170" w:lineRule="exact"/>
        <w:rPr>
          <w:sz w:val="20"/>
          <w:szCs w:val="20"/>
          <w:color w:val="auto"/>
        </w:rPr>
      </w:pPr>
    </w:p>
    <w:p>
      <w:pPr>
        <w:spacing w:after="0" w:line="314" w:lineRule="auto"/>
        <w:rPr>
          <w:sz w:val="20"/>
          <w:szCs w:val="20"/>
          <w:color w:val="auto"/>
        </w:rPr>
      </w:pPr>
      <w:r>
        <w:rPr>
          <w:rFonts w:ascii="Arial" w:cs="Arial" w:eastAsia="Arial" w:hAnsi="Arial"/>
          <w:sz w:val="14"/>
          <w:szCs w:val="14"/>
          <w:color w:val="auto"/>
        </w:rPr>
        <w:t>Our consolidated effective tax rate for fiscal 2017 and 2016 was 22.6% and 34.8%, respectively. Of this 12.2% decrease for fiscal 2017, approximately 10.2% was related to our accounting for the implementation of the 2017 Act, including the estimates for provisional amounts. Other drivers of the lower effective tax rate in fiscal 2017 were: 1) changes in the mix of taxable income among our domestic and international tax-paying entities and 2) the new accounting guidance which required certain income tax benefits realized in fiscal 2017 from settled stock-based compensation awards to be reflected as a benefit to income tax expense instead of a credit to additional paid-in capital.</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INCOME</w:t>
      </w:r>
    </w:p>
    <w:p>
      <w:pPr>
        <w:spacing w:after="0" w:line="207"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Our consolidated net income for fiscal 2017 increased $44.7 million, or 17.3%, to $302.8 million as compared to $258.1 million in fiscal 2016. This increase was due to the factors previously discussed.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123" w:right="259" w:bottom="1440" w:gutter="0" w:footer="0" w:header="0"/>
        </w:sectPr>
      </w:pPr>
    </w:p>
    <w:bookmarkStart w:id="37" w:name="page38"/>
    <w:bookmarkEnd w:id="37"/>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2016 FISCAL YEAR ENDED DECEMBER 31, 2016 COMPARED TO 2015 FISCAL YEAR ENDED JANUARY 2, 2016</w:t>
      </w:r>
    </w:p>
    <w:p>
      <w:pPr>
        <w:spacing w:after="0" w:line="211"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At the beginning of fiscal 2017, we combined our Carter's Retail and OshKosh Retail into a single U.S. Retail operating segment, and our Carter's Wholesale and OshKosh Wholesale into a single U.S. Wholesale operating segment. This change was made to reflect the sales-channel approach executive management now uses to evaluate business performance and manage operations in the United States. Our International segment was not affected by these changes. Our reportable segments are now U.S. Retail, U.S. Wholesale, and International. Prior periods have been conformed herein to reflect our current segment structure.</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COMPARABLE RETAIL SALES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Changes in comparable sales for our U.S. Retail segment were as follows:</w:t>
      </w:r>
    </w:p>
    <w:p>
      <w:pPr>
        <w:spacing w:after="0" w:line="342" w:lineRule="exact"/>
        <w:rPr>
          <w:sz w:val="20"/>
          <w:szCs w:val="20"/>
          <w:color w:val="auto"/>
        </w:rPr>
      </w:pPr>
    </w:p>
    <w:tbl>
      <w:tblPr>
        <w:tblLayout w:type="fixed"/>
        <w:tblInd w:w="2940" w:type="dxa"/>
        <w:tblCellMar>
          <w:top w:w="0" w:type="dxa"/>
          <w:left w:w="0" w:type="dxa"/>
          <w:bottom w:w="0" w:type="dxa"/>
          <w:right w:w="0" w:type="dxa"/>
        </w:tblCellMar>
      </w:tblPr>
      <w:tr>
        <w:trPr>
          <w:trHeight w:val="245"/>
        </w:trPr>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5"/>
                <w:szCs w:val="15"/>
                <w:b w:val="1"/>
                <w:bCs w:val="1"/>
                <w:color w:val="auto"/>
              </w:rPr>
              <w:t>Change from fiscal 2015 to fiscal 2016</w:t>
            </w:r>
          </w:p>
        </w:tc>
      </w:tr>
      <w:tr>
        <w:trPr>
          <w:trHeight w:val="231"/>
        </w:trPr>
        <w:tc>
          <w:tcPr>
            <w:tcW w:w="76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Increase (Decrease)</w:t>
            </w:r>
          </w:p>
        </w:tc>
        <w:tc>
          <w:tcPr>
            <w:tcW w:w="3440" w:type="dxa"/>
            <w:vAlign w:val="bottom"/>
            <w:tcBorders>
              <w:top w:val="single" w:sz="8" w:color="auto"/>
            </w:tcBorders>
          </w:tcPr>
          <w:p>
            <w:pPr>
              <w:spacing w:after="0"/>
              <w:rPr>
                <w:sz w:val="20"/>
                <w:szCs w:val="20"/>
                <w:color w:val="auto"/>
              </w:rPr>
            </w:pPr>
          </w:p>
        </w:tc>
      </w:tr>
      <w:tr>
        <w:trPr>
          <w:trHeight w:val="230"/>
        </w:trPr>
        <w:tc>
          <w:tcPr>
            <w:tcW w:w="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86"/>
              </w:rPr>
              <w:t>Retail stores</w:t>
            </w:r>
          </w:p>
        </w:tc>
        <w:tc>
          <w:tcPr>
            <w:tcW w:w="4800" w:type="dxa"/>
            <w:vAlign w:val="bottom"/>
            <w:tcBorders>
              <w:bottom w:val="single" w:sz="8" w:color="CCEEFF"/>
            </w:tcBorders>
            <w:gridSpan w:val="2"/>
            <w:shd w:val="clear" w:color="auto" w:fill="CCEEFF"/>
          </w:tcPr>
          <w:p>
            <w:pPr>
              <w:jc w:val="center"/>
              <w:ind w:left="1289"/>
              <w:spacing w:after="0"/>
              <w:rPr>
                <w:sz w:val="20"/>
                <w:szCs w:val="20"/>
                <w:color w:val="auto"/>
              </w:rPr>
            </w:pPr>
            <w:r>
              <w:rPr>
                <w:rFonts w:ascii="Arial" w:cs="Arial" w:eastAsia="Arial" w:hAnsi="Arial"/>
                <w:sz w:val="15"/>
                <w:szCs w:val="15"/>
                <w:color w:val="auto"/>
                <w:w w:val="90"/>
              </w:rPr>
              <w:t>(1.9)%</w:t>
            </w:r>
          </w:p>
        </w:tc>
      </w:tr>
      <w:tr>
        <w:trPr>
          <w:trHeight w:val="215"/>
        </w:trPr>
        <w:tc>
          <w:tcPr>
            <w:tcW w:w="760" w:type="dxa"/>
            <w:vAlign w:val="bottom"/>
          </w:tcPr>
          <w:p>
            <w:pPr>
              <w:ind w:left="20"/>
              <w:spacing w:after="0"/>
              <w:rPr>
                <w:sz w:val="20"/>
                <w:szCs w:val="20"/>
                <w:color w:val="auto"/>
              </w:rPr>
            </w:pPr>
            <w:r>
              <w:rPr>
                <w:rFonts w:ascii="Arial" w:cs="Arial" w:eastAsia="Arial" w:hAnsi="Arial"/>
                <w:sz w:val="15"/>
                <w:szCs w:val="15"/>
                <w:color w:val="auto"/>
                <w:w w:val="88"/>
              </w:rPr>
              <w:t>eCommerce</w:t>
            </w:r>
          </w:p>
        </w:tc>
        <w:tc>
          <w:tcPr>
            <w:tcW w:w="4800" w:type="dxa"/>
            <w:vAlign w:val="bottom"/>
            <w:gridSpan w:val="2"/>
          </w:tcPr>
          <w:p>
            <w:pPr>
              <w:jc w:val="center"/>
              <w:ind w:left="1269"/>
              <w:spacing w:after="0"/>
              <w:rPr>
                <w:sz w:val="20"/>
                <w:szCs w:val="20"/>
                <w:color w:val="auto"/>
              </w:rPr>
            </w:pPr>
            <w:r>
              <w:rPr>
                <w:rFonts w:ascii="Arial" w:cs="Arial" w:eastAsia="Arial" w:hAnsi="Arial"/>
                <w:sz w:val="15"/>
                <w:szCs w:val="15"/>
                <w:color w:val="auto"/>
                <w:w w:val="89"/>
              </w:rPr>
              <w:t>+21.5%</w:t>
            </w:r>
          </w:p>
        </w:tc>
      </w:tr>
      <w:tr>
        <w:trPr>
          <w:trHeight w:val="29"/>
        </w:trPr>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15"/>
        </w:trPr>
        <w:tc>
          <w:tcPr>
            <w:tcW w:w="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4800" w:type="dxa"/>
            <w:vAlign w:val="bottom"/>
            <w:gridSpan w:val="2"/>
            <w:shd w:val="clear" w:color="auto" w:fill="CCEEFF"/>
          </w:tcPr>
          <w:p>
            <w:pPr>
              <w:jc w:val="center"/>
              <w:ind w:left="1289"/>
              <w:spacing w:after="0"/>
              <w:rPr>
                <w:sz w:val="20"/>
                <w:szCs w:val="20"/>
                <w:color w:val="auto"/>
              </w:rPr>
            </w:pPr>
            <w:r>
              <w:rPr>
                <w:rFonts w:ascii="Arial" w:cs="Arial" w:eastAsia="Arial" w:hAnsi="Arial"/>
                <w:sz w:val="15"/>
                <w:szCs w:val="15"/>
                <w:color w:val="auto"/>
                <w:w w:val="93"/>
              </w:rPr>
              <w:t>+3.1%</w:t>
            </w:r>
          </w:p>
        </w:tc>
      </w:tr>
      <w:tr>
        <w:trPr>
          <w:trHeight w:val="29"/>
        </w:trPr>
        <w:tc>
          <w:tcPr>
            <w:tcW w:w="7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r>
    </w:tbl>
    <w:p>
      <w:pPr>
        <w:spacing w:after="0" w:line="379"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The decrease in retail store comparable sales during fiscal 2016 was primarily due to a decrease in the number of transactions due to lower demand for seasonal products and a lower average price per unit. The increase in eCommerce comparable sales during fiscal 2016 was primarily due to an increase in the number of transactions.</w:t>
      </w:r>
    </w:p>
    <w:p>
      <w:pPr>
        <w:spacing w:after="0" w:line="127"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During fiscal 2016 and similar to fiscal 2015, we believed that U.S. Retail comparable sales continued to be negatively affected overall by lower demand from international consumers shopping in our U.S. retail stores and eCommerce sites, likely influenced by the strength of the U.S. dollar relative to other currencies. However, we believed these effects were less pronounced in the second half of fiscal 2016 as our U.S. retail business experienced some stabilization from international customers.</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CONSOLIDATED NET SALES</w:t>
      </w:r>
    </w:p>
    <w:p>
      <w:pPr>
        <w:spacing w:after="0" w:line="207" w:lineRule="exact"/>
        <w:rPr>
          <w:sz w:val="20"/>
          <w:szCs w:val="20"/>
          <w:color w:val="auto"/>
        </w:rPr>
      </w:pPr>
    </w:p>
    <w:p>
      <w:pPr>
        <w:jc w:val="both"/>
        <w:ind w:right="80"/>
        <w:spacing w:after="0" w:line="270" w:lineRule="auto"/>
        <w:rPr>
          <w:sz w:val="20"/>
          <w:szCs w:val="20"/>
          <w:color w:val="auto"/>
        </w:rPr>
      </w:pPr>
      <w:r>
        <w:rPr>
          <w:rFonts w:ascii="Arial" w:cs="Arial" w:eastAsia="Arial" w:hAnsi="Arial"/>
          <w:sz w:val="16"/>
          <w:szCs w:val="16"/>
          <w:color w:val="auto"/>
        </w:rPr>
        <w:t>Compared to fiscal 2015, consolidated net sales in fiscal 2016 increased $185.3 million, or 6.1%, to 3.2 billion. This improvement reflected overall sales growth in all of our operating segments, as presented below. Changes in foreign currency exchange rates in fiscal 2016 as compared to fiscal 2015 had an unfavorable impact on our consolidated net sales of approximately $7.1 million.</w:t>
      </w:r>
    </w:p>
    <w:p>
      <w:pPr>
        <w:spacing w:after="0" w:line="296" w:lineRule="exact"/>
        <w:rPr>
          <w:sz w:val="20"/>
          <w:szCs w:val="20"/>
          <w:color w:val="auto"/>
        </w:rPr>
      </w:pPr>
    </w:p>
    <w:tbl>
      <w:tblPr>
        <w:tblLayout w:type="fixed"/>
        <w:tblInd w:w="1520" w:type="dxa"/>
        <w:tblCellMar>
          <w:top w:w="0" w:type="dxa"/>
          <w:left w:w="0" w:type="dxa"/>
          <w:bottom w:w="0" w:type="dxa"/>
          <w:right w:w="0" w:type="dxa"/>
        </w:tblCellMar>
      </w:tblPr>
      <w:tr>
        <w:trPr>
          <w:trHeight w:val="238"/>
        </w:trPr>
        <w:tc>
          <w:tcPr>
            <w:tcW w:w="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920" w:type="dxa"/>
            <w:vAlign w:val="bottom"/>
            <w:tcBorders>
              <w:bottom w:val="single" w:sz="8" w:color="auto"/>
            </w:tcBorders>
            <w:gridSpan w:val="5"/>
            <w:shd w:val="clear" w:color="auto" w:fill="CCEEFF"/>
          </w:tcPr>
          <w:p>
            <w:pPr>
              <w:ind w:left="220"/>
              <w:spacing w:after="0"/>
              <w:rPr>
                <w:sz w:val="20"/>
                <w:szCs w:val="20"/>
                <w:color w:val="auto"/>
              </w:rPr>
            </w:pPr>
            <w:r>
              <w:rPr>
                <w:rFonts w:ascii="Arial" w:cs="Arial" w:eastAsia="Arial" w:hAnsi="Arial"/>
                <w:sz w:val="16"/>
                <w:szCs w:val="16"/>
                <w:b w:val="1"/>
                <w:bCs w:val="1"/>
                <w:color w:val="auto"/>
              </w:rPr>
              <w:t>For the fiscal year ended</w:t>
            </w:r>
          </w:p>
        </w:tc>
        <w:tc>
          <w:tcPr>
            <w:tcW w:w="1060" w:type="dxa"/>
            <w:vAlign w:val="bottom"/>
            <w:tcBorders>
              <w:bottom w:val="single" w:sz="8" w:color="auto"/>
            </w:tcBorders>
            <w:shd w:val="clear" w:color="auto" w:fill="CCEEFF"/>
          </w:tcPr>
          <w:p>
            <w:pPr>
              <w:spacing w:after="0"/>
              <w:rPr>
                <w:sz w:val="20"/>
                <w:szCs w:val="20"/>
                <w:color w:val="auto"/>
              </w:rPr>
            </w:pPr>
          </w:p>
        </w:tc>
      </w:tr>
      <w:tr>
        <w:trPr>
          <w:trHeight w:val="195"/>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91"/>
              </w:rPr>
              <w:t>% of Total Net</w:t>
            </w: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
              <w:spacing w:after="0"/>
              <w:rPr>
                <w:sz w:val="20"/>
                <w:szCs w:val="20"/>
                <w:color w:val="auto"/>
              </w:rPr>
            </w:pPr>
            <w:r>
              <w:rPr>
                <w:rFonts w:ascii="Arial" w:cs="Arial" w:eastAsia="Arial" w:hAnsi="Arial"/>
                <w:sz w:val="15"/>
                <w:szCs w:val="15"/>
                <w:b w:val="1"/>
                <w:bCs w:val="1"/>
                <w:color w:val="auto"/>
                <w:w w:val="95"/>
              </w:rPr>
              <w:t>% of Total Net</w:t>
            </w:r>
          </w:p>
        </w:tc>
      </w:tr>
      <w:tr>
        <w:trPr>
          <w:trHeight w:val="191"/>
        </w:trPr>
        <w:tc>
          <w:tcPr>
            <w:tcW w:w="2560" w:type="dxa"/>
            <w:vAlign w:val="bottom"/>
            <w:gridSpan w:val="3"/>
          </w:tcPr>
          <w:p>
            <w:pPr>
              <w:ind w:left="40"/>
              <w:spacing w:after="0"/>
              <w:rPr>
                <w:sz w:val="20"/>
                <w:szCs w:val="20"/>
                <w:color w:val="auto"/>
              </w:rPr>
            </w:pPr>
            <w:r>
              <w:rPr>
                <w:rFonts w:ascii="Arial" w:cs="Arial" w:eastAsia="Arial" w:hAnsi="Arial"/>
                <w:sz w:val="15"/>
                <w:szCs w:val="15"/>
                <w:i w:val="1"/>
                <w:iCs w:val="1"/>
                <w:color w:val="auto"/>
              </w:rPr>
              <w:t>(dollars in thousands)</w:t>
            </w: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5"/>
                <w:szCs w:val="15"/>
                <w:b w:val="1"/>
                <w:bCs w:val="1"/>
                <w:color w:val="auto"/>
              </w:rPr>
              <w:t>December 31, 2016</w:t>
            </w:r>
          </w:p>
        </w:tc>
        <w:tc>
          <w:tcPr>
            <w:tcW w:w="108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1"/>
              </w:rPr>
              <w:t>Sales</w:t>
            </w: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5"/>
                <w:szCs w:val="15"/>
                <w:b w:val="1"/>
                <w:bCs w:val="1"/>
                <w:color w:val="auto"/>
              </w:rPr>
              <w:t>January 2, 2016</w:t>
            </w:r>
          </w:p>
        </w:tc>
        <w:tc>
          <w:tcPr>
            <w:tcW w:w="1060" w:type="dxa"/>
            <w:vAlign w:val="bottom"/>
          </w:tcPr>
          <w:p>
            <w:pPr>
              <w:jc w:val="right"/>
              <w:ind w:right="301"/>
              <w:spacing w:after="0"/>
              <w:rPr>
                <w:sz w:val="20"/>
                <w:szCs w:val="20"/>
                <w:color w:val="auto"/>
              </w:rPr>
            </w:pPr>
            <w:r>
              <w:rPr>
                <w:rFonts w:ascii="Arial" w:cs="Arial" w:eastAsia="Arial" w:hAnsi="Arial"/>
                <w:sz w:val="15"/>
                <w:szCs w:val="15"/>
                <w:b w:val="1"/>
                <w:bCs w:val="1"/>
                <w:color w:val="auto"/>
              </w:rPr>
              <w:t>Sales</w:t>
            </w:r>
          </w:p>
        </w:tc>
      </w:tr>
      <w:tr>
        <w:trPr>
          <w:trHeight w:val="29"/>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6"/>
        </w:trPr>
        <w:tc>
          <w:tcPr>
            <w:tcW w:w="2560" w:type="dxa"/>
            <w:vAlign w:val="bottom"/>
            <w:gridSpan w:val="3"/>
            <w:shd w:val="clear" w:color="auto" w:fill="CCEEFF"/>
          </w:tcPr>
          <w:p>
            <w:pPr>
              <w:ind w:left="40"/>
              <w:spacing w:after="0"/>
              <w:rPr>
                <w:sz w:val="20"/>
                <w:szCs w:val="20"/>
                <w:color w:val="auto"/>
              </w:rPr>
            </w:pPr>
            <w:r>
              <w:rPr>
                <w:rFonts w:ascii="Arial" w:cs="Arial" w:eastAsia="Arial" w:hAnsi="Arial"/>
                <w:sz w:val="15"/>
                <w:szCs w:val="15"/>
                <w:b w:val="1"/>
                <w:bCs w:val="1"/>
                <w:color w:val="auto"/>
              </w:rPr>
              <w:t>Net sales:</w:t>
            </w: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auto"/>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5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5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60" w:type="dxa"/>
            <w:vAlign w:val="bottom"/>
            <w:tcBorders>
              <w:top w:val="single" w:sz="8" w:color="CCEEFF"/>
            </w:tcBorders>
            <w:shd w:val="clear" w:color="auto" w:fill="CCEEFF"/>
          </w:tcPr>
          <w:p>
            <w:pPr>
              <w:spacing w:after="0"/>
              <w:rPr>
                <w:sz w:val="3"/>
                <w:szCs w:val="3"/>
                <w:color w:val="auto"/>
              </w:rPr>
            </w:pPr>
          </w:p>
        </w:tc>
      </w:tr>
      <w:tr>
        <w:trPr>
          <w:trHeight w:val="219"/>
        </w:trPr>
        <w:tc>
          <w:tcPr>
            <w:tcW w:w="2560" w:type="dxa"/>
            <w:vAlign w:val="bottom"/>
            <w:gridSpan w:val="3"/>
          </w:tcPr>
          <w:p>
            <w:pPr>
              <w:ind w:left="40"/>
              <w:spacing w:after="0"/>
              <w:rPr>
                <w:sz w:val="20"/>
                <w:szCs w:val="20"/>
                <w:color w:val="auto"/>
              </w:rPr>
            </w:pPr>
            <w:r>
              <w:rPr>
                <w:rFonts w:ascii="Arial" w:cs="Arial" w:eastAsia="Arial" w:hAnsi="Arial"/>
                <w:sz w:val="15"/>
                <w:szCs w:val="15"/>
                <w:color w:val="auto"/>
              </w:rPr>
              <w:t>U.S. Retail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1,656,414</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1,514,355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5"/>
        </w:trPr>
        <w:tc>
          <w:tcPr>
            <w:tcW w:w="2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5"/>
                <w:szCs w:val="15"/>
                <w:color w:val="auto"/>
              </w:rPr>
              <w:t>U.S. Wholesale</w:t>
            </w:r>
          </w:p>
        </w:tc>
        <w:tc>
          <w:tcPr>
            <w:tcW w:w="2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1,178,034</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1,173,313</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r>
      <w:tr>
        <w:trPr>
          <w:trHeight w:val="219"/>
        </w:trPr>
        <w:tc>
          <w:tcPr>
            <w:tcW w:w="2560" w:type="dxa"/>
            <w:vAlign w:val="bottom"/>
            <w:gridSpan w:val="3"/>
          </w:tcPr>
          <w:p>
            <w:pPr>
              <w:ind w:left="40"/>
              <w:spacing w:after="0"/>
              <w:rPr>
                <w:sz w:val="20"/>
                <w:szCs w:val="20"/>
                <w:color w:val="auto"/>
              </w:rPr>
            </w:pPr>
            <w:r>
              <w:rPr>
                <w:rFonts w:ascii="Arial" w:cs="Arial" w:eastAsia="Arial" w:hAnsi="Arial"/>
                <w:sz w:val="15"/>
                <w:szCs w:val="15"/>
                <w:color w:val="auto"/>
              </w:rPr>
              <w:t>International</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364,736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326,211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5"/>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9"/>
        </w:trPr>
        <w:tc>
          <w:tcPr>
            <w:tcW w:w="40" w:type="dxa"/>
            <w:vAlign w:val="bottom"/>
            <w:tcBorders>
              <w:bottom w:val="single" w:sz="8" w:color="CCEEFF"/>
            </w:tcBorders>
            <w:shd w:val="clear" w:color="auto" w:fill="CCEEFF"/>
          </w:tcPr>
          <w:p>
            <w:pPr>
              <w:spacing w:after="0"/>
              <w:rPr>
                <w:sz w:val="19"/>
                <w:szCs w:val="19"/>
                <w:color w:val="auto"/>
              </w:rPr>
            </w:pPr>
          </w:p>
        </w:tc>
        <w:tc>
          <w:tcPr>
            <w:tcW w:w="2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color w:val="auto"/>
              </w:rPr>
              <w:t>Total net sales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3,199,184</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3,013,879</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123" w:right="259" w:bottom="1440" w:gutter="0" w:footer="0" w:header="0"/>
        </w:sectPr>
      </w:pPr>
    </w:p>
    <w:bookmarkStart w:id="38" w:name="page39"/>
    <w:bookmarkEnd w:id="38"/>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RETAIL SALES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U.S. Retail net sales increased $142.1 million, or 9.4%, in fiscal 2016 to $1.7 billion. The increase in fiscal 2016 was primarily driven by an/a:</w:t>
      </w:r>
    </w:p>
    <w:p>
      <w:pPr>
        <w:spacing w:after="0" w:line="97" w:lineRule="exact"/>
        <w:rPr>
          <w:sz w:val="20"/>
          <w:szCs w:val="20"/>
          <w:color w:val="auto"/>
        </w:rPr>
      </w:pPr>
    </w:p>
    <w:p>
      <w:pPr>
        <w:ind w:left="580" w:hanging="289"/>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 of $106.4 million from new stores;</w:t>
      </w:r>
    </w:p>
    <w:p>
      <w:pPr>
        <w:spacing w:after="0" w:line="182" w:lineRule="exact"/>
        <w:rPr>
          <w:rFonts w:ascii="Arial" w:cs="Arial" w:eastAsia="Arial" w:hAnsi="Arial"/>
          <w:sz w:val="16"/>
          <w:szCs w:val="16"/>
          <w:color w:val="auto"/>
        </w:rPr>
      </w:pPr>
    </w:p>
    <w:p>
      <w:pPr>
        <w:ind w:left="580" w:hanging="289"/>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 of $69.3 million in eCommerce sales;</w:t>
      </w:r>
    </w:p>
    <w:p>
      <w:pPr>
        <w:spacing w:after="0" w:line="182" w:lineRule="exact"/>
        <w:rPr>
          <w:rFonts w:ascii="Arial" w:cs="Arial" w:eastAsia="Arial" w:hAnsi="Arial"/>
          <w:sz w:val="16"/>
          <w:szCs w:val="16"/>
          <w:color w:val="auto"/>
        </w:rPr>
      </w:pPr>
    </w:p>
    <w:p>
      <w:pPr>
        <w:ind w:left="580" w:hanging="289"/>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Decrease of $22.7 million in sales from new stores that are not yet comparable; and</w:t>
      </w:r>
    </w:p>
    <w:p>
      <w:pPr>
        <w:spacing w:after="0" w:line="182" w:lineRule="exact"/>
        <w:rPr>
          <w:rFonts w:ascii="Arial" w:cs="Arial" w:eastAsia="Arial" w:hAnsi="Arial"/>
          <w:sz w:val="16"/>
          <w:szCs w:val="16"/>
          <w:color w:val="auto"/>
        </w:rPr>
      </w:pPr>
    </w:p>
    <w:p>
      <w:pPr>
        <w:ind w:left="580" w:hanging="289"/>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Decrease of $11.0 million due to the impact of store closings.</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WHOLESALE SALES</w:t>
      </w:r>
    </w:p>
    <w:p>
      <w:pPr>
        <w:spacing w:after="0" w:line="20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U.S. Wholesale net sales increased $4.7 million, or 0.4%, in fiscal 2016 to $1.2 billion. Compared to fiscal 2015, the 2016 growth reflected a 2.1% increase in average price per unit due to favorable product mix, partially offset by a 1.7% decrease in units shipped mainly due to an overall decline in seasonal bookings.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INTERNATIONAL SALES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International segment net sales increased $38.5 million, or 11.8%, in fiscal 2016 to $364.7 million. Changes in foreign currency exchange rates, primarily between the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dollar and the Canadian dollar, had an unfavorable impact on International segment net sales of approximately $7.1 million in fiscal 2016.</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This overall increase in net sales in our International segment for fiscal 2016 mainly reflected an/a:</w:t>
      </w:r>
    </w:p>
    <w:p>
      <w:pPr>
        <w:spacing w:after="0" w:line="134" w:lineRule="exact"/>
        <w:rPr>
          <w:sz w:val="20"/>
          <w:szCs w:val="20"/>
          <w:color w:val="auto"/>
        </w:rPr>
      </w:pPr>
    </w:p>
    <w:p>
      <w:pPr>
        <w:ind w:left="600" w:hanging="28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 of $24.6 million from our Canadian retail stores;</w:t>
      </w:r>
    </w:p>
    <w:p>
      <w:pPr>
        <w:spacing w:after="0" w:line="182" w:lineRule="exact"/>
        <w:rPr>
          <w:rFonts w:ascii="Arial" w:cs="Arial" w:eastAsia="Arial" w:hAnsi="Arial"/>
          <w:sz w:val="16"/>
          <w:szCs w:val="16"/>
          <w:color w:val="auto"/>
        </w:rPr>
      </w:pPr>
    </w:p>
    <w:p>
      <w:pPr>
        <w:ind w:left="600" w:hanging="28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 of $11.4 million from eCommerce, primarily driven by our eCommerce site in China;</w:t>
      </w:r>
    </w:p>
    <w:p>
      <w:pPr>
        <w:spacing w:after="0" w:line="182" w:lineRule="exact"/>
        <w:rPr>
          <w:rFonts w:ascii="Arial" w:cs="Arial" w:eastAsia="Arial" w:hAnsi="Arial"/>
          <w:sz w:val="16"/>
          <w:szCs w:val="16"/>
          <w:color w:val="auto"/>
        </w:rPr>
      </w:pPr>
    </w:p>
    <w:p>
      <w:pPr>
        <w:ind w:left="600" w:hanging="28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 of $3.5 million from international wholesale businesses other than Canada; and</w:t>
      </w:r>
    </w:p>
    <w:p>
      <w:pPr>
        <w:spacing w:after="0" w:line="97" w:lineRule="exact"/>
        <w:rPr>
          <w:rFonts w:ascii="Arial" w:cs="Arial" w:eastAsia="Arial" w:hAnsi="Arial"/>
          <w:sz w:val="16"/>
          <w:szCs w:val="16"/>
          <w:color w:val="auto"/>
        </w:rPr>
      </w:pPr>
    </w:p>
    <w:p>
      <w:pPr>
        <w:ind w:left="600" w:hanging="284"/>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Decrease of $1.0 million in our Canada wholesale business due, in part, to the Target Canada bankruptcy that occurred in early 2015.</w:t>
      </w:r>
    </w:p>
    <w:p>
      <w:pPr>
        <w:spacing w:after="0" w:line="20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Compared to fiscal 2015, our Canadian total retail comparable sales increased 8.4% in fiscal 2016, primarily due to retail stores sales growth of 5.9% and eCommerce sales growth of 46.4%.</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GROSS PROFIT AND GROSS MARGIN</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Our consolidated gross profit increased $121.1 million, or 9.6%, to $1.4 billion in fiscal 2016, primarily due to the increase in net sales and favorable product costs.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Consolidated gross margin increased from 41.7% in fiscal 2015 to 43.1% in fiscal 2016, primarily due to favorable product costs and channel mix.</w:t>
      </w:r>
    </w:p>
    <w:p>
      <w:pPr>
        <w:spacing w:after="0" w:line="196"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We include distribution costs in selling, general, and administrative ("SG&amp;A") expenses. Accordingly, our gross profit and gross margin may not be comparable to other entities that include such distribution costs in their cost of goods sold.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("SG&amp;A") EXPENSES</w:t>
      </w:r>
    </w:p>
    <w:p>
      <w:pPr>
        <w:spacing w:after="0" w:line="207"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Consolidated SG&amp;A expenses in fiscal 2016 increased $86.2 million, or 9.5%, to $995.4 million. As a percentage of consolidated net sales, consolidated SG&amp;A expenses increased from 30.2% in fiscal 2015 to 31.1% in fiscal 2016.</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SG&amp;A expenses, as a percentage of net sales, in fiscal 2016 primarily reflected a:</w:t>
      </w: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20"/>
          </w:cols>
          <w:pgMar w:left="240" w:top="123" w:right="439" w:bottom="1440" w:gutter="0" w:footer="0" w:header="0"/>
        </w:sectPr>
      </w:pPr>
    </w:p>
    <w:bookmarkStart w:id="39" w:name="page40"/>
    <w:bookmarkEnd w:id="39"/>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317" w:lineRule="exact"/>
        <w:rPr>
          <w:sz w:val="20"/>
          <w:szCs w:val="20"/>
          <w:color w:val="auto"/>
        </w:rPr>
      </w:pPr>
    </w:p>
    <w:p>
      <w:pPr>
        <w:ind w:left="580" w:hanging="289"/>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$53.3 million increase in expenses related to retail store operations, primarily due to new store openings;</w:t>
      </w:r>
    </w:p>
    <w:p>
      <w:pPr>
        <w:spacing w:after="0" w:line="182" w:lineRule="exact"/>
        <w:rPr>
          <w:rFonts w:ascii="Arial" w:cs="Arial" w:eastAsia="Arial" w:hAnsi="Arial"/>
          <w:sz w:val="16"/>
          <w:szCs w:val="16"/>
          <w:color w:val="auto"/>
        </w:rPr>
      </w:pPr>
    </w:p>
    <w:p>
      <w:pPr>
        <w:ind w:left="580" w:hanging="289"/>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$15.8 million increase in expenses related to our domestic and international eCommerce operations;</w:t>
      </w:r>
    </w:p>
    <w:p>
      <w:pPr>
        <w:spacing w:after="0" w:line="182" w:lineRule="exact"/>
        <w:rPr>
          <w:rFonts w:ascii="Arial" w:cs="Arial" w:eastAsia="Arial" w:hAnsi="Arial"/>
          <w:sz w:val="16"/>
          <w:szCs w:val="16"/>
          <w:color w:val="auto"/>
        </w:rPr>
      </w:pPr>
    </w:p>
    <w:p>
      <w:pPr>
        <w:ind w:left="580" w:hanging="289"/>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$7.8 million increase in expenses related to marketing and brand management;</w:t>
      </w:r>
    </w:p>
    <w:p>
      <w:pPr>
        <w:spacing w:after="0" w:line="182" w:lineRule="exact"/>
        <w:rPr>
          <w:rFonts w:ascii="Arial" w:cs="Arial" w:eastAsia="Arial" w:hAnsi="Arial"/>
          <w:sz w:val="16"/>
          <w:szCs w:val="16"/>
          <w:color w:val="auto"/>
        </w:rPr>
      </w:pPr>
    </w:p>
    <w:p>
      <w:pPr>
        <w:ind w:left="580" w:hanging="289"/>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$7.1 million increase in expenses related to information technology and systems;</w:t>
      </w:r>
    </w:p>
    <w:p>
      <w:pPr>
        <w:spacing w:after="0" w:line="182" w:lineRule="exact"/>
        <w:rPr>
          <w:rFonts w:ascii="Arial" w:cs="Arial" w:eastAsia="Arial" w:hAnsi="Arial"/>
          <w:sz w:val="16"/>
          <w:szCs w:val="16"/>
          <w:color w:val="auto"/>
        </w:rPr>
      </w:pPr>
    </w:p>
    <w:p>
      <w:pPr>
        <w:ind w:left="580" w:hanging="289"/>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$5.0 million increase in expenses related to distribution and freight;</w:t>
      </w:r>
    </w:p>
    <w:p>
      <w:pPr>
        <w:spacing w:after="0" w:line="182" w:lineRule="exact"/>
        <w:rPr>
          <w:rFonts w:ascii="Arial" w:cs="Arial" w:eastAsia="Arial" w:hAnsi="Arial"/>
          <w:sz w:val="16"/>
          <w:szCs w:val="16"/>
          <w:color w:val="auto"/>
        </w:rPr>
      </w:pPr>
    </w:p>
    <w:p>
      <w:pPr>
        <w:ind w:left="580" w:hanging="289"/>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$2.6 million increase in expenses related to other general and administrative expenses; and</w:t>
      </w:r>
    </w:p>
    <w:p>
      <w:pPr>
        <w:spacing w:after="0" w:line="182" w:lineRule="exact"/>
        <w:rPr>
          <w:rFonts w:ascii="Arial" w:cs="Arial" w:eastAsia="Arial" w:hAnsi="Arial"/>
          <w:sz w:val="16"/>
          <w:szCs w:val="16"/>
          <w:color w:val="auto"/>
        </w:rPr>
      </w:pPr>
    </w:p>
    <w:p>
      <w:pPr>
        <w:ind w:left="580" w:hanging="289"/>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$1.7 million increase in provisions for accounts receivable;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which were partially offset by a:</w:t>
      </w:r>
    </w:p>
    <w:p>
      <w:pPr>
        <w:spacing w:after="0" w:line="97" w:lineRule="exact"/>
        <w:rPr>
          <w:sz w:val="20"/>
          <w:szCs w:val="20"/>
          <w:color w:val="auto"/>
        </w:rPr>
      </w:pPr>
    </w:p>
    <w:p>
      <w:pPr>
        <w:ind w:left="580" w:hanging="289"/>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$5.9 million decrease in insurance and employer-related costs;</w:t>
      </w:r>
    </w:p>
    <w:p>
      <w:pPr>
        <w:spacing w:after="0" w:line="182" w:lineRule="exact"/>
        <w:rPr>
          <w:rFonts w:ascii="Arial" w:cs="Arial" w:eastAsia="Arial" w:hAnsi="Arial"/>
          <w:sz w:val="16"/>
          <w:szCs w:val="16"/>
          <w:color w:val="auto"/>
        </w:rPr>
      </w:pPr>
    </w:p>
    <w:p>
      <w:pPr>
        <w:ind w:left="580" w:hanging="289"/>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$4.5 million decrease in amortization of the H.W. Carter &amp; Sons trademarks; and</w:t>
      </w:r>
    </w:p>
    <w:p>
      <w:pPr>
        <w:spacing w:after="0" w:line="182" w:lineRule="exact"/>
        <w:rPr>
          <w:rFonts w:ascii="Arial" w:cs="Arial" w:eastAsia="Arial" w:hAnsi="Arial"/>
          <w:sz w:val="16"/>
          <w:szCs w:val="16"/>
          <w:color w:val="auto"/>
        </w:rPr>
      </w:pPr>
    </w:p>
    <w:p>
      <w:pPr>
        <w:ind w:left="580" w:hanging="289"/>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$0.8 million decrease in performance-based compensation expenses.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ROYALTY INCOME</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We licensed the use of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w:t>
      </w:r>
      <w:r>
        <w:rPr>
          <w:rFonts w:ascii="Arial" w:cs="Arial" w:eastAsia="Arial" w:hAnsi="Arial"/>
          <w:sz w:val="16"/>
          <w:szCs w:val="16"/>
          <w:i w:val="1"/>
          <w:iCs w:val="1"/>
          <w:color w:val="auto"/>
        </w:rPr>
        <w:t>Just One You</w:t>
      </w:r>
      <w:r>
        <w:rPr>
          <w:rFonts w:ascii="Arial" w:cs="Arial" w:eastAsia="Arial" w:hAnsi="Arial"/>
          <w:sz w:val="16"/>
          <w:szCs w:val="16"/>
          <w:color w:val="auto"/>
        </w:rPr>
        <w:t xml:space="preserve">, </w:t>
      </w:r>
      <w:r>
        <w:rPr>
          <w:rFonts w:ascii="Arial" w:cs="Arial" w:eastAsia="Arial" w:hAnsi="Arial"/>
          <w:sz w:val="16"/>
          <w:szCs w:val="16"/>
          <w:i w:val="1"/>
          <w:iCs w:val="1"/>
          <w:color w:val="auto"/>
        </w:rPr>
        <w:t>Child of Mine</w:t>
      </w:r>
      <w:r>
        <w:rPr>
          <w:rFonts w:ascii="Arial" w:cs="Arial" w:eastAsia="Arial" w:hAnsi="Arial"/>
          <w:sz w:val="16"/>
          <w:szCs w:val="16"/>
          <w:color w:val="auto"/>
        </w:rPr>
        <w:t xml:space="preserve">, </w:t>
      </w:r>
      <w:r>
        <w:rPr>
          <w:rFonts w:ascii="Arial" w:cs="Arial" w:eastAsia="Arial" w:hAnsi="Arial"/>
          <w:sz w:val="16"/>
          <w:szCs w:val="16"/>
          <w:i w:val="1"/>
          <w:iCs w:val="1"/>
          <w:color w:val="auto"/>
        </w:rPr>
        <w:t>OshKosh B’gosh, OshKosh</w:t>
      </w:r>
      <w:r>
        <w:rPr>
          <w:rFonts w:ascii="Arial" w:cs="Arial" w:eastAsia="Arial" w:hAnsi="Arial"/>
          <w:sz w:val="16"/>
          <w:szCs w:val="16"/>
          <w:color w:val="auto"/>
        </w:rPr>
        <w:t xml:space="preserve">, </w:t>
      </w:r>
      <w:r>
        <w:rPr>
          <w:rFonts w:ascii="Arial" w:cs="Arial" w:eastAsia="Arial" w:hAnsi="Arial"/>
          <w:sz w:val="16"/>
          <w:szCs w:val="16"/>
          <w:i w:val="1"/>
          <w:iCs w:val="1"/>
          <w:color w:val="auto"/>
        </w:rPr>
        <w:t>Genuine Kids from OshKosh</w:t>
      </w:r>
      <w:r>
        <w:rPr>
          <w:rFonts w:ascii="Arial" w:cs="Arial" w:eastAsia="Arial" w:hAnsi="Arial"/>
          <w:sz w:val="16"/>
          <w:szCs w:val="16"/>
          <w:color w:val="auto"/>
        </w:rPr>
        <w:t xml:space="preserve">, and </w:t>
      </w:r>
      <w:r>
        <w:rPr>
          <w:rFonts w:ascii="Arial" w:cs="Arial" w:eastAsia="Arial" w:hAnsi="Arial"/>
          <w:sz w:val="16"/>
          <w:szCs w:val="16"/>
          <w:i w:val="1"/>
          <w:iCs w:val="1"/>
          <w:color w:val="auto"/>
        </w:rPr>
        <w:t>Precious Firsts</w:t>
      </w:r>
      <w:r>
        <w:rPr>
          <w:rFonts w:ascii="Arial" w:cs="Arial" w:eastAsia="Arial" w:hAnsi="Arial"/>
          <w:sz w:val="16"/>
          <w:szCs w:val="16"/>
          <w:color w:val="auto"/>
        </w:rPr>
        <w:t xml:space="preserve"> brand names. Royalty income from these brands decreased $1.3 million, or 2.8%, to $42.8 million in fiscal 2016. The decrease compared to fiscal 2015 was attributable to a decrease in income from certain licensees due in part to the insourcing of formerly licensed product categories, partially offset by sales growth from other domestic licensees. We also benefited from favorable settlements in the first quarter of fiscal 2015.</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INCOME</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Compared to 2015, consolidated operating income for fiscal 2016 increased $33.7 million, or 8.6%, to $426.6 million. Consolidated operating margin increased from 13.0% in fiscal 2015 to 13.3% in fiscal 2016. The table below summarizes the changes in each of our segments' operating results and unallocated corporate expenses between the fiscal years:</w:t>
      </w:r>
    </w:p>
    <w:p>
      <w:pPr>
        <w:spacing w:after="0" w:line="296"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2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92"/>
              </w:rPr>
              <w:t>Unallocated</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6"/>
        </w:trPr>
        <w:tc>
          <w:tcPr>
            <w:tcW w:w="2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94"/>
              </w:rPr>
              <w:t>Corporate</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7"/>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i w:val="1"/>
                <w:iCs w:val="1"/>
                <w:color w:val="auto"/>
              </w:rPr>
              <w:t>(dollars in thousands)</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U.S. Retail</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U.S. Wholesale</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International</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85"/>
              </w:rPr>
              <w:t>Expenses</w:t>
            </w: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6"/>
                <w:szCs w:val="16"/>
                <w:b w:val="1"/>
                <w:bCs w:val="1"/>
                <w:color w:val="auto"/>
              </w:rPr>
              <w:t>Total</w:t>
            </w:r>
          </w:p>
        </w:tc>
      </w:tr>
      <w:tr>
        <w:trPr>
          <w:trHeight w:val="195"/>
        </w:trPr>
        <w:tc>
          <w:tcPr>
            <w:tcW w:w="2340" w:type="dxa"/>
            <w:vAlign w:val="bottom"/>
          </w:tcPr>
          <w:p>
            <w:pPr>
              <w:ind w:left="20"/>
              <w:spacing w:after="0"/>
              <w:rPr>
                <w:sz w:val="20"/>
                <w:szCs w:val="20"/>
                <w:color w:val="auto"/>
              </w:rPr>
            </w:pPr>
            <w:r>
              <w:rPr>
                <w:rFonts w:ascii="Arial" w:cs="Arial" w:eastAsia="Arial" w:hAnsi="Arial"/>
                <w:sz w:val="15"/>
                <w:szCs w:val="15"/>
                <w:b w:val="1"/>
                <w:bCs w:val="1"/>
                <w:color w:val="auto"/>
                <w:w w:val="99"/>
              </w:rPr>
              <w:t>Operating income for fiscal 2015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210,971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245,767</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47,004</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(110,885)</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392,857</w:t>
            </w:r>
          </w:p>
        </w:tc>
      </w:tr>
      <w:tr>
        <w:trPr>
          <w:trHeight w:val="29"/>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0"/>
        </w:trPr>
        <w:tc>
          <w:tcPr>
            <w:tcW w:w="234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6"/>
              </w:rPr>
              <w:t>Favorable (unfavorable) change in</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6"/>
        </w:trPr>
        <w:tc>
          <w:tcPr>
            <w:tcW w:w="2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fiscal 2016:</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215"/>
        </w:trPr>
        <w:tc>
          <w:tcPr>
            <w:tcW w:w="2340" w:type="dxa"/>
            <w:vAlign w:val="bottom"/>
          </w:tcPr>
          <w:p>
            <w:pPr>
              <w:jc w:val="right"/>
              <w:ind w:right="47"/>
              <w:spacing w:after="0"/>
              <w:rPr>
                <w:sz w:val="20"/>
                <w:szCs w:val="20"/>
                <w:color w:val="auto"/>
              </w:rPr>
            </w:pPr>
            <w:r>
              <w:rPr>
                <w:rFonts w:ascii="Arial" w:cs="Arial" w:eastAsia="Arial" w:hAnsi="Arial"/>
                <w:sz w:val="15"/>
                <w:szCs w:val="15"/>
                <w:color w:val="auto"/>
              </w:rPr>
              <w:t>Gross profit</w:t>
            </w:r>
          </w:p>
        </w:tc>
        <w:tc>
          <w:tcPr>
            <w:tcW w:w="140" w:type="dxa"/>
            <w:vAlign w:val="bottom"/>
          </w:tcPr>
          <w:p>
            <w:pPr>
              <w:spacing w:after="0"/>
              <w:rPr>
                <w:sz w:val="18"/>
                <w:szCs w:val="18"/>
                <w:color w:val="auto"/>
              </w:rPr>
            </w:pPr>
          </w:p>
        </w:tc>
        <w:tc>
          <w:tcPr>
            <w:tcW w:w="940" w:type="dxa"/>
            <w:vAlign w:val="bottom"/>
          </w:tcPr>
          <w:p>
            <w:pPr>
              <w:jc w:val="right"/>
              <w:ind w:right="25"/>
              <w:spacing w:after="0"/>
              <w:rPr>
                <w:sz w:val="20"/>
                <w:szCs w:val="20"/>
                <w:color w:val="auto"/>
              </w:rPr>
            </w:pPr>
            <w:r>
              <w:rPr>
                <w:rFonts w:ascii="Arial" w:cs="Arial" w:eastAsia="Arial" w:hAnsi="Arial"/>
                <w:sz w:val="15"/>
                <w:szCs w:val="15"/>
                <w:color w:val="auto"/>
              </w:rPr>
              <w:t>79,092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
              <w:spacing w:after="0"/>
              <w:rPr>
                <w:sz w:val="20"/>
                <w:szCs w:val="20"/>
                <w:color w:val="auto"/>
              </w:rPr>
            </w:pPr>
            <w:r>
              <w:rPr>
                <w:rFonts w:ascii="Arial" w:cs="Arial" w:eastAsia="Arial" w:hAnsi="Arial"/>
                <w:sz w:val="15"/>
                <w:szCs w:val="15"/>
                <w:color w:val="auto"/>
              </w:rPr>
              <w:t>16,282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5"/>
              <w:spacing w:after="0"/>
              <w:rPr>
                <w:sz w:val="20"/>
                <w:szCs w:val="20"/>
                <w:color w:val="auto"/>
              </w:rPr>
            </w:pPr>
            <w:r>
              <w:rPr>
                <w:rFonts w:ascii="Arial" w:cs="Arial" w:eastAsia="Arial" w:hAnsi="Arial"/>
                <w:sz w:val="15"/>
                <w:szCs w:val="15"/>
                <w:color w:val="auto"/>
              </w:rPr>
              <w:t>25,438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313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121,125</w:t>
            </w:r>
          </w:p>
        </w:tc>
      </w:tr>
      <w:tr>
        <w:trPr>
          <w:trHeight w:val="29"/>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5"/>
        </w:trPr>
        <w:tc>
          <w:tcPr>
            <w:tcW w:w="23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Royalty income</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rPr>
              <w:t>524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(1,405)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(1,251)</w:t>
            </w:r>
          </w:p>
        </w:tc>
      </w:tr>
      <w:tr>
        <w:trPr>
          <w:trHeight w:val="215"/>
        </w:trPr>
        <w:tc>
          <w:tcPr>
            <w:tcW w:w="2340" w:type="dxa"/>
            <w:vAlign w:val="bottom"/>
          </w:tcPr>
          <w:p>
            <w:pPr>
              <w:jc w:val="right"/>
              <w:ind w:right="47"/>
              <w:spacing w:after="0"/>
              <w:rPr>
                <w:sz w:val="20"/>
                <w:szCs w:val="20"/>
                <w:color w:val="auto"/>
              </w:rPr>
            </w:pPr>
            <w:r>
              <w:rPr>
                <w:rFonts w:ascii="Arial" w:cs="Arial" w:eastAsia="Arial" w:hAnsi="Arial"/>
                <w:sz w:val="15"/>
                <w:szCs w:val="15"/>
                <w:color w:val="auto"/>
              </w:rPr>
              <w:t>SG&amp;A expenses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(78,006)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
              <w:spacing w:after="0"/>
              <w:rPr>
                <w:sz w:val="20"/>
                <w:szCs w:val="20"/>
                <w:color w:val="auto"/>
              </w:rPr>
            </w:pPr>
            <w:r>
              <w:rPr>
                <w:rFonts w:ascii="Arial" w:cs="Arial" w:eastAsia="Arial" w:hAnsi="Arial"/>
                <w:sz w:val="15"/>
                <w:szCs w:val="15"/>
                <w:color w:val="auto"/>
              </w:rPr>
              <w:t>309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(12,878)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4"/>
              <w:spacing w:after="0"/>
              <w:rPr>
                <w:sz w:val="20"/>
                <w:szCs w:val="20"/>
                <w:color w:val="auto"/>
              </w:rPr>
            </w:pPr>
            <w:r>
              <w:rPr>
                <w:rFonts w:ascii="Arial" w:cs="Arial" w:eastAsia="Arial" w:hAnsi="Arial"/>
                <w:sz w:val="15"/>
                <w:szCs w:val="15"/>
                <w:color w:val="auto"/>
              </w:rPr>
              <w:t>4,402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(86,173)</w:t>
            </w:r>
          </w:p>
        </w:tc>
      </w:tr>
      <w:tr>
        <w:trPr>
          <w:trHeight w:val="29"/>
        </w:trPr>
        <w:tc>
          <w:tcPr>
            <w:tcW w:w="2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99"/>
              </w:rPr>
              <w:t>Operating income for fiscal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rPr>
              <w:t>212,581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260,953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59,194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(106,170)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426,558</w:t>
            </w:r>
          </w:p>
        </w:tc>
      </w:tr>
      <w:tr>
        <w:trPr>
          <w:trHeight w:val="20"/>
        </w:trPr>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420"/>
        <w:spacing w:after="0" w:line="360" w:lineRule="auto"/>
        <w:rPr>
          <w:sz w:val="20"/>
          <w:szCs w:val="20"/>
          <w:color w:val="auto"/>
        </w:rPr>
      </w:pPr>
      <w:r>
        <w:rPr>
          <w:rFonts w:ascii="Arial" w:cs="Arial" w:eastAsia="Arial" w:hAnsi="Arial"/>
          <w:sz w:val="14"/>
          <w:szCs w:val="14"/>
          <w:color w:val="auto"/>
        </w:rPr>
        <w:t>The following table presents changes in the operating margin for each of our three operating segments between fiscal 2015 and fiscal 2016. The primary drivers of these change are presented in terms of the difference in each driver's margin (based on net sales) between fiscal years, in each case expressed in basis points ("bps").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123" w:right="259" w:bottom="1440" w:gutter="0" w:footer="0" w:header="0"/>
        </w:sectPr>
      </w:pPr>
    </w:p>
    <w:bookmarkStart w:id="40" w:name="page41"/>
    <w:bookmarkEnd w:id="40"/>
    <w:p>
      <w:pPr>
        <w:ind w:left="2"/>
        <w:spacing w:after="0"/>
        <w:tabs>
          <w:tab w:leader="none" w:pos="742"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366" w:lineRule="exact"/>
        <w:rPr>
          <w:sz w:val="20"/>
          <w:szCs w:val="20"/>
          <w:color w:val="auto"/>
        </w:rPr>
      </w:pPr>
    </w:p>
    <w:tbl>
      <w:tblPr>
        <w:tblLayout w:type="fixed"/>
        <w:tblInd w:w="2322" w:type="dxa"/>
        <w:tblCellMar>
          <w:top w:w="0" w:type="dxa"/>
          <w:left w:w="0" w:type="dxa"/>
          <w:bottom w:w="0" w:type="dxa"/>
          <w:right w:w="0" w:type="dxa"/>
        </w:tblCellMar>
      </w:tblPr>
      <w:tr>
        <w:trPr>
          <w:trHeight w:val="245"/>
        </w:trPr>
        <w:tc>
          <w:tcPr>
            <w:tcW w:w="30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b w:val="1"/>
                <w:bCs w:val="1"/>
                <w:color w:val="auto"/>
              </w:rPr>
              <w:t>U.S. Retail</w:t>
            </w:r>
          </w:p>
        </w:tc>
        <w:tc>
          <w:tcPr>
            <w:tcW w:w="12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b w:val="1"/>
                <w:bCs w:val="1"/>
                <w:color w:val="auto"/>
              </w:rPr>
              <w:t>U.S. Wholesale</w:t>
            </w:r>
          </w:p>
        </w:tc>
        <w:tc>
          <w:tcPr>
            <w:tcW w:w="138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5"/>
                <w:szCs w:val="15"/>
                <w:b w:val="1"/>
                <w:bCs w:val="1"/>
                <w:color w:val="auto"/>
              </w:rPr>
              <w:t>International</w:t>
            </w:r>
          </w:p>
        </w:tc>
      </w:tr>
      <w:tr>
        <w:trPr>
          <w:trHeight w:val="195"/>
        </w:trPr>
        <w:tc>
          <w:tcPr>
            <w:tcW w:w="3020" w:type="dxa"/>
            <w:vAlign w:val="bottom"/>
          </w:tcPr>
          <w:p>
            <w:pPr>
              <w:jc w:val="right"/>
              <w:ind w:right="867"/>
              <w:spacing w:after="0"/>
              <w:rPr>
                <w:sz w:val="20"/>
                <w:szCs w:val="20"/>
                <w:color w:val="auto"/>
              </w:rPr>
            </w:pPr>
            <w:r>
              <w:rPr>
                <w:rFonts w:ascii="Arial" w:cs="Arial" w:eastAsia="Arial" w:hAnsi="Arial"/>
                <w:sz w:val="15"/>
                <w:szCs w:val="15"/>
                <w:b w:val="1"/>
                <w:bCs w:val="1"/>
                <w:color w:val="auto"/>
                <w:w w:val="89"/>
              </w:rPr>
              <w:t>Operating margin for fiscal 2015</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13.9%</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20.9%</w:t>
            </w:r>
          </w:p>
        </w:tc>
        <w:tc>
          <w:tcPr>
            <w:tcW w:w="100" w:type="dxa"/>
            <w:vAlign w:val="bottom"/>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14.4%</w:t>
            </w:r>
          </w:p>
        </w:tc>
      </w:tr>
      <w:tr>
        <w:trPr>
          <w:trHeight w:val="29"/>
        </w:trPr>
        <w:tc>
          <w:tcPr>
            <w:tcW w:w="3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00"/>
        </w:trPr>
        <w:tc>
          <w:tcPr>
            <w:tcW w:w="302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92"/>
              </w:rPr>
              <w:t>Favorable (unfavorable) bps change in fiscal</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196"/>
        </w:trPr>
        <w:tc>
          <w:tcPr>
            <w:tcW w:w="3020" w:type="dxa"/>
            <w:vAlign w:val="bottom"/>
            <w:tcBorders>
              <w:bottom w:val="single" w:sz="8" w:color="CCEEFF"/>
            </w:tcBorders>
            <w:shd w:val="clear" w:color="auto" w:fill="CCEEFF"/>
          </w:tcPr>
          <w:p>
            <w:pPr>
              <w:jc w:val="right"/>
              <w:ind w:right="2467"/>
              <w:spacing w:after="0"/>
              <w:rPr>
                <w:sz w:val="20"/>
                <w:szCs w:val="20"/>
                <w:color w:val="auto"/>
              </w:rPr>
            </w:pPr>
            <w:r>
              <w:rPr>
                <w:rFonts w:ascii="Arial" w:cs="Arial" w:eastAsia="Arial" w:hAnsi="Arial"/>
                <w:sz w:val="15"/>
                <w:szCs w:val="15"/>
                <w:color w:val="auto"/>
              </w:rPr>
              <w:t>2016:</w:t>
            </w: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r>
      <w:tr>
        <w:trPr>
          <w:trHeight w:val="215"/>
        </w:trPr>
        <w:tc>
          <w:tcPr>
            <w:tcW w:w="3020" w:type="dxa"/>
            <w:vAlign w:val="bottom"/>
          </w:tcPr>
          <w:p>
            <w:pPr>
              <w:jc w:val="right"/>
              <w:ind w:right="47"/>
              <w:spacing w:after="0"/>
              <w:rPr>
                <w:sz w:val="20"/>
                <w:szCs w:val="20"/>
                <w:color w:val="auto"/>
              </w:rPr>
            </w:pPr>
            <w:r>
              <w:rPr>
                <w:rFonts w:ascii="Arial" w:cs="Arial" w:eastAsia="Arial" w:hAnsi="Arial"/>
                <w:sz w:val="15"/>
                <w:szCs w:val="15"/>
                <w:color w:val="auto"/>
              </w:rPr>
              <w:t>Gross profit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30 bps</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130 bps</w:t>
            </w:r>
          </w:p>
        </w:tc>
        <w:tc>
          <w:tcPr>
            <w:tcW w:w="1380" w:type="dxa"/>
            <w:vAlign w:val="bottom"/>
          </w:tcPr>
          <w:p>
            <w:pPr>
              <w:jc w:val="right"/>
              <w:ind w:right="67"/>
              <w:spacing w:after="0"/>
              <w:rPr>
                <w:sz w:val="20"/>
                <w:szCs w:val="20"/>
                <w:color w:val="auto"/>
              </w:rPr>
            </w:pPr>
            <w:r>
              <w:rPr>
                <w:rFonts w:ascii="Arial" w:cs="Arial" w:eastAsia="Arial" w:hAnsi="Arial"/>
                <w:sz w:val="15"/>
                <w:szCs w:val="15"/>
                <w:color w:val="auto"/>
              </w:rPr>
              <w:t>220 bps</w:t>
            </w:r>
          </w:p>
        </w:tc>
      </w:tr>
      <w:tr>
        <w:trPr>
          <w:trHeight w:val="29"/>
        </w:trPr>
        <w:tc>
          <w:tcPr>
            <w:tcW w:w="3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5"/>
        </w:trPr>
        <w:tc>
          <w:tcPr>
            <w:tcW w:w="30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Royalty income</w:t>
            </w:r>
          </w:p>
        </w:tc>
        <w:tc>
          <w:tcPr>
            <w:tcW w:w="1040" w:type="dxa"/>
            <w:vAlign w:val="bottom"/>
            <w:tcBorders>
              <w:bottom w:val="single" w:sz="8" w:color="CCEEFF"/>
            </w:tcBorders>
            <w:shd w:val="clear" w:color="auto" w:fill="CCEEFF"/>
          </w:tcPr>
          <w:p>
            <w:pPr>
              <w:jc w:val="right"/>
              <w:ind w:right="427"/>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(10) bps</w:t>
            </w:r>
          </w:p>
        </w:tc>
        <w:tc>
          <w:tcPr>
            <w:tcW w:w="13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rPr>
              <w:t>(30) bps</w:t>
            </w:r>
          </w:p>
        </w:tc>
      </w:tr>
      <w:tr>
        <w:trPr>
          <w:trHeight w:val="215"/>
        </w:trPr>
        <w:tc>
          <w:tcPr>
            <w:tcW w:w="3020" w:type="dxa"/>
            <w:vAlign w:val="bottom"/>
          </w:tcPr>
          <w:p>
            <w:pPr>
              <w:jc w:val="right"/>
              <w:ind w:right="47"/>
              <w:spacing w:after="0"/>
              <w:rPr>
                <w:sz w:val="20"/>
                <w:szCs w:val="20"/>
                <w:color w:val="auto"/>
              </w:rPr>
            </w:pPr>
            <w:r>
              <w:rPr>
                <w:rFonts w:ascii="Arial" w:cs="Arial" w:eastAsia="Arial" w:hAnsi="Arial"/>
                <w:sz w:val="15"/>
                <w:szCs w:val="15"/>
                <w:color w:val="auto"/>
              </w:rPr>
              <w:t>SG&amp;A expenses</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(140) bps</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10 bps</w:t>
            </w:r>
          </w:p>
        </w:tc>
        <w:tc>
          <w:tcPr>
            <w:tcW w:w="1380" w:type="dxa"/>
            <w:vAlign w:val="bottom"/>
          </w:tcPr>
          <w:p>
            <w:pPr>
              <w:jc w:val="right"/>
              <w:ind w:right="67"/>
              <w:spacing w:after="0"/>
              <w:rPr>
                <w:sz w:val="20"/>
                <w:szCs w:val="20"/>
                <w:color w:val="auto"/>
              </w:rPr>
            </w:pPr>
            <w:r>
              <w:rPr>
                <w:rFonts w:ascii="Arial" w:cs="Arial" w:eastAsia="Arial" w:hAnsi="Arial"/>
                <w:sz w:val="15"/>
                <w:szCs w:val="15"/>
                <w:color w:val="auto"/>
              </w:rPr>
              <w:t>(10) bps</w:t>
            </w:r>
          </w:p>
        </w:tc>
      </w:tr>
      <w:tr>
        <w:trPr>
          <w:trHeight w:val="29"/>
        </w:trPr>
        <w:tc>
          <w:tcPr>
            <w:tcW w:w="3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3020" w:type="dxa"/>
            <w:vAlign w:val="bottom"/>
            <w:tcBorders>
              <w:bottom w:val="single" w:sz="8" w:color="CCEEFF"/>
            </w:tcBorders>
            <w:shd w:val="clear" w:color="auto" w:fill="CCEEFF"/>
          </w:tcPr>
          <w:p>
            <w:pPr>
              <w:jc w:val="right"/>
              <w:ind w:right="867"/>
              <w:spacing w:after="0"/>
              <w:rPr>
                <w:sz w:val="20"/>
                <w:szCs w:val="20"/>
                <w:color w:val="auto"/>
              </w:rPr>
            </w:pPr>
            <w:r>
              <w:rPr>
                <w:rFonts w:ascii="Arial" w:cs="Arial" w:eastAsia="Arial" w:hAnsi="Arial"/>
                <w:sz w:val="15"/>
                <w:szCs w:val="15"/>
                <w:b w:val="1"/>
                <w:bCs w:val="1"/>
                <w:color w:val="auto"/>
                <w:w w:val="89"/>
              </w:rPr>
              <w:t>Operating margin for fiscal 2016</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22.2%</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16.2%</w:t>
            </w:r>
          </w:p>
        </w:tc>
      </w:tr>
      <w:tr>
        <w:trPr>
          <w:trHeight w:val="20"/>
        </w:trPr>
        <w:tc>
          <w:tcPr>
            <w:tcW w:w="3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7"/>
        </w:trPr>
        <w:tc>
          <w:tcPr>
            <w:tcW w:w="30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(a)</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(b)</w:t>
            </w:r>
          </w:p>
        </w:tc>
        <w:tc>
          <w:tcPr>
            <w:tcW w:w="1380" w:type="dxa"/>
            <w:vAlign w:val="bottom"/>
          </w:tcPr>
          <w:p>
            <w:pPr>
              <w:jc w:val="right"/>
              <w:ind w:right="67"/>
              <w:spacing w:after="0"/>
              <w:rPr>
                <w:sz w:val="20"/>
                <w:szCs w:val="20"/>
                <w:color w:val="auto"/>
              </w:rPr>
            </w:pPr>
            <w:r>
              <w:rPr>
                <w:rFonts w:ascii="Arial" w:cs="Arial" w:eastAsia="Arial" w:hAnsi="Arial"/>
                <w:sz w:val="15"/>
                <w:szCs w:val="15"/>
                <w:color w:val="auto"/>
              </w:rPr>
              <w:t>(c)</w:t>
            </w:r>
          </w:p>
        </w:tc>
      </w:tr>
    </w:tbl>
    <w:p>
      <w:pPr>
        <w:spacing w:after="0" w:line="213" w:lineRule="exact"/>
        <w:rPr>
          <w:sz w:val="20"/>
          <w:szCs w:val="20"/>
          <w:color w:val="auto"/>
        </w:rPr>
      </w:pPr>
    </w:p>
    <w:p>
      <w:pPr>
        <w:ind w:left="2" w:right="220" w:hanging="2"/>
        <w:spacing w:after="0" w:line="285" w:lineRule="auto"/>
        <w:tabs>
          <w:tab w:leader="none" w:pos="2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U.S. Retail segment operating income in fiscal 2016 increased $1.6 million, or 0.8%, from fiscal 2015 to $212.6 million. The segment's operating margin decreased 110 bps from 13.9% in fiscal 2015 to 12.8% in fiscal 2016. The primary drivers of the decrease in the operating margin were a:</w:t>
      </w:r>
    </w:p>
    <w:p>
      <w:pPr>
        <w:spacing w:after="0" w:line="149" w:lineRule="exact"/>
        <w:rPr>
          <w:rFonts w:ascii="Arial" w:cs="Arial" w:eastAsia="Arial" w:hAnsi="Arial"/>
          <w:sz w:val="16"/>
          <w:szCs w:val="16"/>
          <w:color w:val="auto"/>
        </w:rPr>
      </w:pPr>
    </w:p>
    <w:p>
      <w:pPr>
        <w:ind w:left="882" w:right="680" w:hanging="295"/>
        <w:spacing w:after="0" w:line="285" w:lineRule="auto"/>
        <w:tabs>
          <w:tab w:leader="none" w:pos="882" w:val="left"/>
        </w:tabs>
        <w:numPr>
          <w:ilvl w:val="1"/>
          <w:numId w:val="28"/>
        </w:numPr>
        <w:rPr>
          <w:rFonts w:ascii="Arial" w:cs="Arial" w:eastAsia="Arial" w:hAnsi="Arial"/>
          <w:sz w:val="16"/>
          <w:szCs w:val="16"/>
          <w:color w:val="auto"/>
        </w:rPr>
      </w:pPr>
      <w:r>
        <w:rPr>
          <w:rFonts w:ascii="Arial" w:cs="Arial" w:eastAsia="Arial" w:hAnsi="Arial"/>
          <w:sz w:val="16"/>
          <w:szCs w:val="16"/>
          <w:color w:val="auto"/>
        </w:rPr>
        <w:t>30 bps increase in gross profit primarily due to favorable product costs, partially offset by lower average price per unit due to an increased promotional environment; and</w:t>
      </w:r>
    </w:p>
    <w:p>
      <w:pPr>
        <w:spacing w:after="0" w:line="39" w:lineRule="exact"/>
        <w:rPr>
          <w:rFonts w:ascii="Arial" w:cs="Arial" w:eastAsia="Arial" w:hAnsi="Arial"/>
          <w:sz w:val="16"/>
          <w:szCs w:val="16"/>
          <w:color w:val="auto"/>
        </w:rPr>
      </w:pPr>
    </w:p>
    <w:p>
      <w:pPr>
        <w:ind w:left="882" w:hanging="295"/>
        <w:spacing w:after="0"/>
        <w:tabs>
          <w:tab w:leader="none" w:pos="882" w:val="left"/>
        </w:tabs>
        <w:numPr>
          <w:ilvl w:val="1"/>
          <w:numId w:val="28"/>
        </w:numPr>
        <w:rPr>
          <w:rFonts w:ascii="Arial" w:cs="Arial" w:eastAsia="Arial" w:hAnsi="Arial"/>
          <w:sz w:val="16"/>
          <w:szCs w:val="16"/>
          <w:color w:val="auto"/>
        </w:rPr>
      </w:pPr>
      <w:r>
        <w:rPr>
          <w:rFonts w:ascii="Arial" w:cs="Arial" w:eastAsia="Arial" w:hAnsi="Arial"/>
          <w:sz w:val="16"/>
          <w:szCs w:val="16"/>
          <w:color w:val="auto"/>
        </w:rPr>
        <w:t>140 bps increase in SG&amp;A expenses mainly due to a:</w:t>
      </w:r>
    </w:p>
    <w:p>
      <w:pPr>
        <w:spacing w:after="0" w:line="182" w:lineRule="exact"/>
        <w:rPr>
          <w:rFonts w:ascii="Arial" w:cs="Arial" w:eastAsia="Arial" w:hAnsi="Arial"/>
          <w:sz w:val="16"/>
          <w:szCs w:val="16"/>
          <w:color w:val="auto"/>
        </w:rPr>
      </w:pPr>
    </w:p>
    <w:p>
      <w:pPr>
        <w:ind w:left="1762" w:hanging="295"/>
        <w:spacing w:after="0"/>
        <w:tabs>
          <w:tab w:leader="none" w:pos="1762" w:val="left"/>
        </w:tabs>
        <w:numPr>
          <w:ilvl w:val="2"/>
          <w:numId w:val="28"/>
        </w:numPr>
        <w:rPr>
          <w:rFonts w:ascii="Arial" w:cs="Arial" w:eastAsia="Arial" w:hAnsi="Arial"/>
          <w:sz w:val="16"/>
          <w:szCs w:val="16"/>
          <w:color w:val="auto"/>
        </w:rPr>
      </w:pPr>
      <w:r>
        <w:rPr>
          <w:rFonts w:ascii="Arial" w:cs="Arial" w:eastAsia="Arial" w:hAnsi="Arial"/>
          <w:sz w:val="16"/>
          <w:szCs w:val="16"/>
          <w:color w:val="auto"/>
        </w:rPr>
        <w:t>100 bps increase in expenses associated with new retail stores;</w:t>
      </w:r>
    </w:p>
    <w:p>
      <w:pPr>
        <w:spacing w:after="0" w:line="182" w:lineRule="exact"/>
        <w:rPr>
          <w:rFonts w:ascii="Arial" w:cs="Arial" w:eastAsia="Arial" w:hAnsi="Arial"/>
          <w:sz w:val="16"/>
          <w:szCs w:val="16"/>
          <w:color w:val="auto"/>
        </w:rPr>
      </w:pPr>
    </w:p>
    <w:p>
      <w:pPr>
        <w:ind w:left="1762" w:hanging="295"/>
        <w:spacing w:after="0"/>
        <w:tabs>
          <w:tab w:leader="none" w:pos="1762" w:val="left"/>
        </w:tabs>
        <w:numPr>
          <w:ilvl w:val="2"/>
          <w:numId w:val="28"/>
        </w:numPr>
        <w:rPr>
          <w:rFonts w:ascii="Arial" w:cs="Arial" w:eastAsia="Arial" w:hAnsi="Arial"/>
          <w:sz w:val="16"/>
          <w:szCs w:val="16"/>
          <w:color w:val="auto"/>
        </w:rPr>
      </w:pPr>
      <w:r>
        <w:rPr>
          <w:rFonts w:ascii="Arial" w:cs="Arial" w:eastAsia="Arial" w:hAnsi="Arial"/>
          <w:sz w:val="16"/>
          <w:szCs w:val="16"/>
          <w:color w:val="auto"/>
        </w:rPr>
        <w:t>30 bps increase in marketing expenses; and</w:t>
      </w:r>
    </w:p>
    <w:p>
      <w:pPr>
        <w:spacing w:after="0" w:line="182" w:lineRule="exact"/>
        <w:rPr>
          <w:rFonts w:ascii="Arial" w:cs="Arial" w:eastAsia="Arial" w:hAnsi="Arial"/>
          <w:sz w:val="16"/>
          <w:szCs w:val="16"/>
          <w:color w:val="auto"/>
        </w:rPr>
      </w:pPr>
    </w:p>
    <w:p>
      <w:pPr>
        <w:ind w:left="1762" w:hanging="295"/>
        <w:spacing w:after="0"/>
        <w:tabs>
          <w:tab w:leader="none" w:pos="1762" w:val="left"/>
        </w:tabs>
        <w:numPr>
          <w:ilvl w:val="2"/>
          <w:numId w:val="28"/>
        </w:numPr>
        <w:rPr>
          <w:rFonts w:ascii="Arial" w:cs="Arial" w:eastAsia="Arial" w:hAnsi="Arial"/>
          <w:sz w:val="16"/>
          <w:szCs w:val="16"/>
          <w:color w:val="auto"/>
        </w:rPr>
      </w:pPr>
      <w:r>
        <w:rPr>
          <w:rFonts w:ascii="Arial" w:cs="Arial" w:eastAsia="Arial" w:hAnsi="Arial"/>
          <w:sz w:val="16"/>
          <w:szCs w:val="16"/>
          <w:color w:val="auto"/>
        </w:rPr>
        <w:t>10 bps increase in freight and distribution expenses.</w:t>
      </w:r>
    </w:p>
    <w:p>
      <w:pPr>
        <w:spacing w:after="0" w:line="378" w:lineRule="exact"/>
        <w:rPr>
          <w:rFonts w:ascii="Arial" w:cs="Arial" w:eastAsia="Arial" w:hAnsi="Arial"/>
          <w:sz w:val="16"/>
          <w:szCs w:val="16"/>
          <w:color w:val="auto"/>
        </w:rPr>
      </w:pPr>
    </w:p>
    <w:p>
      <w:pPr>
        <w:ind w:left="222" w:hanging="222"/>
        <w:spacing w:after="0"/>
        <w:tabs>
          <w:tab w:leader="none" w:pos="222" w:val="left"/>
        </w:tabs>
        <w:numPr>
          <w:ilvl w:val="0"/>
          <w:numId w:val="28"/>
        </w:numPr>
        <w:rPr>
          <w:rFonts w:ascii="Arial" w:cs="Arial" w:eastAsia="Arial" w:hAnsi="Arial"/>
          <w:sz w:val="15"/>
          <w:szCs w:val="15"/>
          <w:color w:val="auto"/>
        </w:rPr>
      </w:pPr>
      <w:r>
        <w:rPr>
          <w:rFonts w:ascii="Arial" w:cs="Arial" w:eastAsia="Arial" w:hAnsi="Arial"/>
          <w:sz w:val="15"/>
          <w:szCs w:val="15"/>
          <w:color w:val="auto"/>
        </w:rPr>
        <w:t>U.S. Wholesale segment operating income in fiscal 2016 increased $15.2 million, or 6.2%, from fiscal 2015 to $261.0 million. The segment's operating margin increased</w:t>
      </w:r>
    </w:p>
    <w:p>
      <w:pPr>
        <w:spacing w:after="0" w:line="34" w:lineRule="exact"/>
        <w:rPr>
          <w:rFonts w:ascii="Arial" w:cs="Arial" w:eastAsia="Arial" w:hAnsi="Arial"/>
          <w:sz w:val="15"/>
          <w:szCs w:val="15"/>
          <w:color w:val="auto"/>
        </w:rPr>
      </w:pPr>
    </w:p>
    <w:p>
      <w:pPr>
        <w:ind w:left="2"/>
        <w:spacing w:after="0"/>
        <w:rPr>
          <w:rFonts w:ascii="Arial" w:cs="Arial" w:eastAsia="Arial" w:hAnsi="Arial"/>
          <w:sz w:val="15"/>
          <w:szCs w:val="15"/>
          <w:color w:val="auto"/>
        </w:rPr>
      </w:pPr>
      <w:r>
        <w:rPr>
          <w:rFonts w:ascii="Arial" w:cs="Arial" w:eastAsia="Arial" w:hAnsi="Arial"/>
          <w:sz w:val="16"/>
          <w:szCs w:val="16"/>
          <w:color w:val="auto"/>
        </w:rPr>
        <w:t>130 bps from 20.9% in fiscal 2015 to 22.2% in fiscal 2016. The primary drivers of the increase in the operating margin were a:</w:t>
      </w:r>
    </w:p>
    <w:p>
      <w:pPr>
        <w:spacing w:after="0" w:line="195" w:lineRule="exact"/>
        <w:rPr>
          <w:rFonts w:ascii="Arial" w:cs="Arial" w:eastAsia="Arial" w:hAnsi="Arial"/>
          <w:sz w:val="15"/>
          <w:szCs w:val="15"/>
          <w:color w:val="auto"/>
        </w:rPr>
      </w:pPr>
    </w:p>
    <w:p>
      <w:pPr>
        <w:ind w:left="882" w:right="60" w:hanging="295"/>
        <w:spacing w:after="0" w:line="285" w:lineRule="auto"/>
        <w:tabs>
          <w:tab w:leader="none" w:pos="882" w:val="left"/>
        </w:tabs>
        <w:numPr>
          <w:ilvl w:val="1"/>
          <w:numId w:val="28"/>
        </w:numPr>
        <w:rPr>
          <w:rFonts w:ascii="Arial" w:cs="Arial" w:eastAsia="Arial" w:hAnsi="Arial"/>
          <w:sz w:val="16"/>
          <w:szCs w:val="16"/>
          <w:color w:val="auto"/>
        </w:rPr>
      </w:pPr>
      <w:r>
        <w:rPr>
          <w:rFonts w:ascii="Arial" w:cs="Arial" w:eastAsia="Arial" w:hAnsi="Arial"/>
          <w:sz w:val="16"/>
          <w:szCs w:val="16"/>
          <w:color w:val="auto"/>
        </w:rPr>
        <w:t>130 bps increase in gross profit due to favorable product costs and improved pricing due to changes in product mix, partially offset by unfavorable sales channel mix;</w:t>
      </w:r>
    </w:p>
    <w:p>
      <w:pPr>
        <w:spacing w:after="0" w:line="39" w:lineRule="exact"/>
        <w:rPr>
          <w:rFonts w:ascii="Arial" w:cs="Arial" w:eastAsia="Arial" w:hAnsi="Arial"/>
          <w:sz w:val="16"/>
          <w:szCs w:val="16"/>
          <w:color w:val="auto"/>
        </w:rPr>
      </w:pPr>
    </w:p>
    <w:p>
      <w:pPr>
        <w:ind w:left="882" w:hanging="295"/>
        <w:spacing w:after="0"/>
        <w:tabs>
          <w:tab w:leader="none" w:pos="882" w:val="left"/>
        </w:tabs>
        <w:numPr>
          <w:ilvl w:val="1"/>
          <w:numId w:val="28"/>
        </w:numPr>
        <w:rPr>
          <w:rFonts w:ascii="Arial" w:cs="Arial" w:eastAsia="Arial" w:hAnsi="Arial"/>
          <w:sz w:val="16"/>
          <w:szCs w:val="16"/>
          <w:color w:val="auto"/>
        </w:rPr>
      </w:pPr>
      <w:r>
        <w:rPr>
          <w:rFonts w:ascii="Arial" w:cs="Arial" w:eastAsia="Arial" w:hAnsi="Arial"/>
          <w:sz w:val="16"/>
          <w:szCs w:val="16"/>
          <w:color w:val="auto"/>
        </w:rPr>
        <w:t>10 bps decrease in SG&amp;A expenses; and</w:t>
      </w:r>
    </w:p>
    <w:p>
      <w:pPr>
        <w:spacing w:after="0" w:line="182" w:lineRule="exact"/>
        <w:rPr>
          <w:rFonts w:ascii="Arial" w:cs="Arial" w:eastAsia="Arial" w:hAnsi="Arial"/>
          <w:sz w:val="16"/>
          <w:szCs w:val="16"/>
          <w:color w:val="auto"/>
        </w:rPr>
      </w:pPr>
    </w:p>
    <w:p>
      <w:pPr>
        <w:ind w:left="882" w:hanging="295"/>
        <w:spacing w:after="0"/>
        <w:tabs>
          <w:tab w:leader="none" w:pos="882" w:val="left"/>
        </w:tabs>
        <w:numPr>
          <w:ilvl w:val="1"/>
          <w:numId w:val="28"/>
        </w:numPr>
        <w:rPr>
          <w:rFonts w:ascii="Arial" w:cs="Arial" w:eastAsia="Arial" w:hAnsi="Arial"/>
          <w:sz w:val="16"/>
          <w:szCs w:val="16"/>
          <w:color w:val="auto"/>
        </w:rPr>
      </w:pPr>
      <w:r>
        <w:rPr>
          <w:rFonts w:ascii="Arial" w:cs="Arial" w:eastAsia="Arial" w:hAnsi="Arial"/>
          <w:sz w:val="16"/>
          <w:szCs w:val="16"/>
          <w:color w:val="auto"/>
        </w:rPr>
        <w:t>10 bps decrease in royalty income.</w:t>
      </w:r>
    </w:p>
    <w:p>
      <w:pPr>
        <w:spacing w:after="0" w:line="378" w:lineRule="exact"/>
        <w:rPr>
          <w:rFonts w:ascii="Arial" w:cs="Arial" w:eastAsia="Arial" w:hAnsi="Arial"/>
          <w:sz w:val="16"/>
          <w:szCs w:val="16"/>
          <w:color w:val="auto"/>
        </w:rPr>
      </w:pPr>
    </w:p>
    <w:p>
      <w:pPr>
        <w:ind w:left="2" w:right="20" w:hanging="2"/>
        <w:spacing w:after="0" w:line="285" w:lineRule="auto"/>
        <w:tabs>
          <w:tab w:leader="none" w:pos="224"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International segment operating income in fiscal 2016 increased $12.2 million, or 25.9%, from fiscal 2015 to $59.2 million. This segment's operating margin increased 180 bps from 14.4% in fiscal 2015 to 16.2% in fiscal 2016. The primary drivers of the increase in the operating margin were a:</w:t>
      </w:r>
    </w:p>
    <w:p>
      <w:pPr>
        <w:spacing w:after="0" w:line="149" w:lineRule="exact"/>
        <w:rPr>
          <w:rFonts w:ascii="Arial" w:cs="Arial" w:eastAsia="Arial" w:hAnsi="Arial"/>
          <w:sz w:val="16"/>
          <w:szCs w:val="16"/>
          <w:color w:val="auto"/>
        </w:rPr>
      </w:pPr>
    </w:p>
    <w:p>
      <w:pPr>
        <w:ind w:left="882" w:right="500" w:hanging="295"/>
        <w:spacing w:after="0" w:line="285" w:lineRule="auto"/>
        <w:tabs>
          <w:tab w:leader="none" w:pos="882" w:val="left"/>
        </w:tabs>
        <w:numPr>
          <w:ilvl w:val="1"/>
          <w:numId w:val="28"/>
        </w:numPr>
        <w:rPr>
          <w:rFonts w:ascii="Arial" w:cs="Arial" w:eastAsia="Arial" w:hAnsi="Arial"/>
          <w:sz w:val="16"/>
          <w:szCs w:val="16"/>
          <w:color w:val="auto"/>
        </w:rPr>
      </w:pPr>
      <w:r>
        <w:rPr>
          <w:rFonts w:ascii="Arial" w:cs="Arial" w:eastAsia="Arial" w:hAnsi="Arial"/>
          <w:sz w:val="16"/>
          <w:szCs w:val="16"/>
          <w:color w:val="auto"/>
        </w:rPr>
        <w:t>220 bps increase in gross profit, primarily driven by growth in higher margin retail store and eCommerce channels, partially offset by unfavorable foreign exchange rates and higher provisions for inventory; and</w:t>
      </w:r>
    </w:p>
    <w:p>
      <w:pPr>
        <w:spacing w:after="0" w:line="39" w:lineRule="exact"/>
        <w:rPr>
          <w:rFonts w:ascii="Arial" w:cs="Arial" w:eastAsia="Arial" w:hAnsi="Arial"/>
          <w:sz w:val="16"/>
          <w:szCs w:val="16"/>
          <w:color w:val="auto"/>
        </w:rPr>
      </w:pPr>
    </w:p>
    <w:p>
      <w:pPr>
        <w:ind w:left="882" w:hanging="295"/>
        <w:spacing w:after="0"/>
        <w:tabs>
          <w:tab w:leader="none" w:pos="882" w:val="left"/>
        </w:tabs>
        <w:numPr>
          <w:ilvl w:val="1"/>
          <w:numId w:val="28"/>
        </w:numPr>
        <w:rPr>
          <w:rFonts w:ascii="Arial" w:cs="Arial" w:eastAsia="Arial" w:hAnsi="Arial"/>
          <w:sz w:val="16"/>
          <w:szCs w:val="16"/>
          <w:color w:val="auto"/>
        </w:rPr>
      </w:pPr>
      <w:r>
        <w:rPr>
          <w:rFonts w:ascii="Arial" w:cs="Arial" w:eastAsia="Arial" w:hAnsi="Arial"/>
          <w:sz w:val="16"/>
          <w:szCs w:val="16"/>
          <w:color w:val="auto"/>
        </w:rPr>
        <w:t>30 bps decrease in royalty income due to a reduction in licensees.</w:t>
      </w:r>
    </w:p>
    <w:p>
      <w:pPr>
        <w:spacing w:after="0" w:line="200" w:lineRule="exact"/>
        <w:rPr>
          <w:sz w:val="20"/>
          <w:szCs w:val="20"/>
          <w:color w:val="auto"/>
        </w:rPr>
      </w:pPr>
    </w:p>
    <w:p>
      <w:pPr>
        <w:spacing w:after="0" w:line="313"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Unallocated Corporate Expenses</w:t>
      </w:r>
    </w:p>
    <w:p>
      <w:pPr>
        <w:spacing w:after="0" w:line="244" w:lineRule="exact"/>
        <w:rPr>
          <w:sz w:val="20"/>
          <w:szCs w:val="20"/>
          <w:color w:val="auto"/>
        </w:rPr>
      </w:pPr>
    </w:p>
    <w:p>
      <w:pPr>
        <w:ind w:left="2"/>
        <w:spacing w:after="0" w:line="285" w:lineRule="auto"/>
        <w:rPr>
          <w:sz w:val="20"/>
          <w:szCs w:val="20"/>
          <w:color w:val="auto"/>
        </w:rPr>
      </w:pPr>
      <w:r>
        <w:rPr>
          <w:rFonts w:ascii="Arial" w:cs="Arial" w:eastAsia="Arial" w:hAnsi="Arial"/>
          <w:sz w:val="16"/>
          <w:szCs w:val="16"/>
          <w:color w:val="auto"/>
        </w:rPr>
        <w:t>Unallocated corporate expenses decreased by $4.7 million, from $110.9 million in fiscal 2015 to $106.2 million in fiscal 2016. Unallocated corporate expenses as a percentage of consolidated net sales decreased from 3.7% in fiscal 2015 to 3.3% in fiscal 2016. The decrease primarily reflected a/an:</w:t>
      </w:r>
    </w:p>
    <w:p>
      <w:pPr>
        <w:spacing w:after="0" w:line="40" w:lineRule="exact"/>
        <w:rPr>
          <w:sz w:val="20"/>
          <w:szCs w:val="20"/>
          <w:color w:val="auto"/>
        </w:rPr>
      </w:pPr>
    </w:p>
    <w:p>
      <w:pPr>
        <w:ind w:left="882" w:hanging="295"/>
        <w:spacing w:after="0"/>
        <w:tabs>
          <w:tab w:leader="none" w:pos="882"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Decrease of $4.8 million in insurance and other employer-related costs;</w:t>
      </w:r>
    </w:p>
    <w:p>
      <w:pPr>
        <w:spacing w:after="0" w:line="31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2"/>
          </w:cols>
          <w:pgMar w:left="238" w:top="123" w:right="259" w:bottom="1440" w:gutter="0" w:footer="0" w:header="0"/>
        </w:sectPr>
      </w:pPr>
    </w:p>
    <w:bookmarkStart w:id="41" w:name="page42"/>
    <w:bookmarkEnd w:id="41"/>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317" w:lineRule="exact"/>
        <w:rPr>
          <w:sz w:val="20"/>
          <w:szCs w:val="20"/>
          <w:color w:val="auto"/>
        </w:rPr>
      </w:pPr>
    </w:p>
    <w:p>
      <w:pPr>
        <w:ind w:left="880" w:hanging="295"/>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Decrease of $4.5 million in amortization expense for the H.W. Carter &amp; Sons tradenames;</w:t>
      </w:r>
    </w:p>
    <w:p>
      <w:pPr>
        <w:spacing w:after="0" w:line="182" w:lineRule="exact"/>
        <w:rPr>
          <w:rFonts w:ascii="Arial" w:cs="Arial" w:eastAsia="Arial" w:hAnsi="Arial"/>
          <w:sz w:val="16"/>
          <w:szCs w:val="16"/>
          <w:color w:val="auto"/>
        </w:rPr>
      </w:pPr>
    </w:p>
    <w:p>
      <w:pPr>
        <w:ind w:left="880" w:hanging="295"/>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Decrease of $3.2 million in performance-based compensation expenses;</w:t>
      </w:r>
    </w:p>
    <w:p>
      <w:pPr>
        <w:spacing w:after="0" w:line="182" w:lineRule="exact"/>
        <w:rPr>
          <w:rFonts w:ascii="Arial" w:cs="Arial" w:eastAsia="Arial" w:hAnsi="Arial"/>
          <w:sz w:val="16"/>
          <w:szCs w:val="16"/>
          <w:color w:val="auto"/>
        </w:rPr>
      </w:pPr>
    </w:p>
    <w:p>
      <w:pPr>
        <w:ind w:left="880" w:hanging="295"/>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 of $6.3 million in other general and administrative expenses primarily due to advisory fees; and</w:t>
      </w:r>
    </w:p>
    <w:p>
      <w:pPr>
        <w:spacing w:after="0" w:line="182" w:lineRule="exact"/>
        <w:rPr>
          <w:rFonts w:ascii="Arial" w:cs="Arial" w:eastAsia="Arial" w:hAnsi="Arial"/>
          <w:sz w:val="16"/>
          <w:szCs w:val="16"/>
          <w:color w:val="auto"/>
        </w:rPr>
      </w:pPr>
    </w:p>
    <w:p>
      <w:pPr>
        <w:ind w:left="880" w:hanging="295"/>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 of $1.4 million in expenses related to information technology and systems.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and effective interest rate calculations include the amortization of debt issuance costs.</w:t>
      </w:r>
    </w:p>
    <w:p>
      <w:pPr>
        <w:spacing w:after="0" w:line="207"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Interest expense in fiscal 2016 and fiscal 2015 were both approximately $27.0 million. Weighted-average borrowings for fiscal 2016 were $585.2 million at an effective interest rate of 4.57%, compared to weighted-average borrowings for fiscal 2015 of $585.8 million at an effective interest rate of 4.59%. The decrease in the effective interest rate for fiscal 2016 compared to fiscal 2015 was primarily due to lower borrowing costs on the U.S. and Canadian borrowings outstanding under our secured revolving credit facility which was amended and restated in September 2015. The change in weighted-average borrowings between fiscal 2016 and fiscal 2015 was due solely to changes in foreign currency exchange rates between the U.S. and Canadian dollars. On our consolidated balance sheets, unamortized debt issuance costs associated with our senior notes is presented as a direct reduction in the carrying value of the associated debt liability for all periods presented.</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EXPENSE (INCOME), NET</w:t>
      </w:r>
    </w:p>
    <w:p>
      <w:pPr>
        <w:spacing w:after="0" w:line="207" w:lineRule="exact"/>
        <w:rPr>
          <w:sz w:val="20"/>
          <w:szCs w:val="20"/>
          <w:color w:val="auto"/>
        </w:rPr>
      </w:pPr>
    </w:p>
    <w:p>
      <w:pPr>
        <w:ind w:right="360"/>
        <w:spacing w:after="0" w:line="270" w:lineRule="auto"/>
        <w:rPr>
          <w:sz w:val="20"/>
          <w:szCs w:val="20"/>
          <w:color w:val="auto"/>
        </w:rPr>
      </w:pPr>
      <w:r>
        <w:rPr>
          <w:rFonts w:ascii="Arial" w:cs="Arial" w:eastAsia="Arial" w:hAnsi="Arial"/>
          <w:sz w:val="16"/>
          <w:szCs w:val="16"/>
          <w:color w:val="auto"/>
        </w:rPr>
        <w:t>Other expense (income), net is comprised primarily of gains and losses on foreign currency transactions and foreign currency forward contracts. These net amounts represented a net loss of $3.9 million for fiscal 2016 and a net gain of $1.8 million for fiscal 2015. As of December 31, 2016 all foreign currency forward contracts were settled.</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07"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Our consolidated effective tax rates for fiscal 2016 and 2015 were 34.8% and 35.4%, respectively. The lower effective rate for fiscal 2016 was primarily due to expansion of our business outside the U.S. to countries with generally lower applicable income tax rates, partially offset by favorable settlements of federal and state tax audits for 2011, 2012 and 2013 during fiscal 2015.</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INCOME</w:t>
      </w:r>
    </w:p>
    <w:p>
      <w:pPr>
        <w:spacing w:after="0" w:line="207"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Our consolidated net income for fiscal 2016 increased $20.3 million, or 8.5%, to $258.1 million as compared to $237.8 million in fiscal 2015. This increase was due to the factors previously discussed.</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340"/>
          </w:cols>
          <w:pgMar w:left="240" w:top="123" w:right="319" w:bottom="1440" w:gutter="0" w:footer="0" w:header="0"/>
        </w:sectPr>
      </w:pPr>
    </w:p>
    <w:bookmarkStart w:id="42" w:name="page43"/>
    <w:bookmarkEnd w:id="42"/>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 CAPITAL RESOURCES, AND LIQUIDITY</w:t>
      </w:r>
    </w:p>
    <w:p>
      <w:pPr>
        <w:spacing w:after="0" w:line="211"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Our ongoing cash needs are primarily for working capital and capital expenditures. We expect that our primary sources of liquidity will continue to be cash and cash equivalents on hand, cash flow from operations, and borrowings available under our secured revolving credit facility. We expect that these sources will fund our ongoing requirements for the foreseeable future, and we believe that we also have access to the capital markets. Further, we do not expect current economic conditions to prevent us from meeting our cash requirements. These sources of liquidity may be affected by events described in our risk factors, as further discussed in Part I, Item 1.A., Risk Factors, in this Annual Report on Form 10-K for the fiscal year ended December 30, 2017.</w:t>
      </w:r>
    </w:p>
    <w:p>
      <w:pPr>
        <w:spacing w:after="0" w:line="17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As of December 30, 2017, we had approximately $178.5 million of cash and cash equivalents in major financial institutions, including approximately $39.0 million in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BALANCE SHEET</w:t>
      </w:r>
    </w:p>
    <w:p>
      <w:pPr>
        <w:spacing w:after="0" w:line="207"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Net accounts receivable at December 30, 2017 were $240.6 million compared to $202.5 million at December 31, 2016. The increase of $38.1 million, or 18.8%, as compared to December 31, 2016 primarily reflected the Skip Hop acquisition in fiscal 2017. Net accounts receivable at December 31, 2016 were $202.5 million compared to $207.6 million at January 2, 2016. The decrease of $5.1 million, or 2.5%, as compared to January 2, 2016 was primarily due to the timing of payments from wholesale customers, partially offset by higher net sales in fiscal 2016.</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Inventories at December 30, 2017 were $548.7 million compared to $487.6 million at December 31, 2016. The increase of $61.1 million, or 12.5%, compared to</w:t>
      </w:r>
    </w:p>
    <w:p>
      <w:pPr>
        <w:spacing w:after="0" w:line="23"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December 31, 2016, primarily acquisitions and business growth. Inventories at December 31, 2016 were $487.6 million compared to $469.9 million at January 2, 2016. The increase of $17.7 million, or 3.8%, compared to January 2, 2016, primarily reflected business growth and timing of inventory purchases.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w:t>
      </w:r>
    </w:p>
    <w:p>
      <w:pPr>
        <w:spacing w:after="0" w:line="207" w:lineRule="exact"/>
        <w:rPr>
          <w:sz w:val="20"/>
          <w:szCs w:val="20"/>
          <w:color w:val="auto"/>
        </w:rPr>
      </w:pPr>
    </w:p>
    <w:p>
      <w:pPr>
        <w:jc w:val="both"/>
        <w:ind w:right="500"/>
        <w:spacing w:after="0" w:line="270" w:lineRule="auto"/>
        <w:rPr>
          <w:sz w:val="20"/>
          <w:szCs w:val="20"/>
          <w:color w:val="auto"/>
        </w:rPr>
      </w:pPr>
      <w:r>
        <w:rPr>
          <w:rFonts w:ascii="Arial" w:cs="Arial" w:eastAsia="Arial" w:hAnsi="Arial"/>
          <w:sz w:val="16"/>
          <w:szCs w:val="16"/>
          <w:color w:val="auto"/>
        </w:rPr>
        <w:t>Net cash provided by operating activities for fiscal 2017 was $329.6 million compared to net cash provided by operating activities of $369.2 million in fiscal 2016. The decrease in operating cash flow primarily reflected unfavorable changes in working capital in fiscal 2017. The timing of payments and receipts in the normal course of business can impact our working capital.</w:t>
      </w:r>
    </w:p>
    <w:p>
      <w:pPr>
        <w:spacing w:after="0" w:line="162" w:lineRule="exact"/>
        <w:rPr>
          <w:sz w:val="20"/>
          <w:szCs w:val="20"/>
          <w:color w:val="auto"/>
        </w:rPr>
      </w:pPr>
    </w:p>
    <w:p>
      <w:pPr>
        <w:ind w:right="460"/>
        <w:spacing w:after="0" w:line="285" w:lineRule="auto"/>
        <w:rPr>
          <w:sz w:val="20"/>
          <w:szCs w:val="20"/>
          <w:color w:val="auto"/>
        </w:rPr>
      </w:pPr>
      <w:r>
        <w:rPr>
          <w:rFonts w:ascii="Arial" w:cs="Arial" w:eastAsia="Arial" w:hAnsi="Arial"/>
          <w:sz w:val="16"/>
          <w:szCs w:val="16"/>
          <w:color w:val="auto"/>
        </w:rPr>
        <w:t>Net cash provided by operating activities for fiscal 2016 was $369.2 million compared to net cash provided by operating activities of $308.0 million in fiscal 2015. This increase in operating cash flow for fiscal 2016 primarily reflected an increase in net income and favorable changes in working capital.</w:t>
      </w:r>
    </w:p>
    <w:p>
      <w:pPr>
        <w:spacing w:after="0" w:line="150"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Net cash used in investing activities was approximately $227.9 million in fiscal 2017, compared to net cash used of approximately $88.3 million in fiscal 2016. In fiscal 2017, our cash used for investing activities included $158.5 million, net of cash acquired, for business acquisitions. Our capital expenditures were approximately $69.5 million, including $42.5 million for our U.S. and international retail store openings and remodelings, $11.5 million for information technology initiatives, $8.8 million for our Braselton, Georgia distribution facility, and $1.1 million for wholesale fixtures.</w:t>
      </w:r>
    </w:p>
    <w:p>
      <w:pPr>
        <w:spacing w:after="0" w:line="166"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Our capital expenditures were approximately $88.6 million in fiscal 2016, compared to $103.5 million in fiscal 2015. Expenditures in fiscal 2016 primarily reflected expenditures of $55.5 million for our U.S. and international retail store openings and remodelings, $20.0 million for information technology initiatives, $4.2 million for our Braselton, Georgia distribution facility, and $2.2 million for wholesale fixtures.</w:t>
      </w:r>
    </w:p>
    <w:p>
      <w:pPr>
        <w:spacing w:after="0" w:line="162"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color w:val="auto"/>
        </w:rPr>
        <w:t>We plan to invest approximately $115 million in capital expenditures in fiscal 2018, primarily for U.S. and international retail store openings and remodelings, information technology initiatives, and distribution facilities.</w:t>
      </w:r>
    </w:p>
    <w:p>
      <w:pPr>
        <w:spacing w:after="0" w:line="150"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Net cash used in financing activities was $223.1 million in fiscal 2017 compared to $363.5 million in fiscal 2016. This decrease in cash used for financing activities in fiscal 2017 reflected fewer repurchases of our common stock, partially offset by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3" w:right="239" w:bottom="1440" w:gutter="0" w:footer="0" w:header="0"/>
        </w:sectPr>
      </w:pPr>
    </w:p>
    <w:bookmarkStart w:id="43" w:name="page44"/>
    <w:bookmarkEnd w:id="43"/>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an increase in net borrowings under our amended revolving credit facility and higher cash dividends paid to stockholders in fiscal 2017.</w:t>
      </w:r>
    </w:p>
    <w:p>
      <w:pPr>
        <w:spacing w:after="0" w:line="207"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Net cash used in financing activities was $363.5 million in fiscal 2016 compared to $162.0 million in fiscal 2015. This increase in cash used for financing activities in fiscal 2016 reflected an increase in repurchases of our common stock and an increase in cash dividend payments to our shareholders.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AMENDED AND RESTATED CREDIT FACILITY</w:t>
      </w:r>
    </w:p>
    <w:p>
      <w:pPr>
        <w:spacing w:after="0" w:line="244"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On August 25, 2017, our wholly-owned subsidiary, The William Carter Company ("TWCC"), amended and restated the terms of its existing $500 million revolving credit facility pursuant to a fourth amended and restated credit agreement to provide for a $750 million revolving credit facility.</w:t>
      </w:r>
    </w:p>
    <w:p>
      <w:pPr>
        <w:spacing w:after="0" w:line="101"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Our amended and restated secured revolving credit facility provides liquidity that can be used as needed for our ongoing working capital purposes and general corporate purposes. This facility provides for (i) a $650 million U.S. dollar revolving facility (including a $100 million sub-limit for letters of credit and a swing line sub-limit of $70 million) available for borrowings in U.S. dollars and (ii) a $100 million multicurrency revolving facility (including a $40 million sub-limit for letters of credit and a swing line sub-limit of $15 million) available for borrowings denominated in U.S. dollars, Canadian dollars, Euros, Pounds Sterling, or other currencies agreed to by the applicable lenders. Our secured revolving credit facility also provides for incremental facilities in an aggregate amount not to exceed $425 million (with the aggregate U.S. dollar amount not to exceed $350 million and the aggregate multicurrency amount not to exceed $75 million). The U.S. dollar incremental facility can increase to an unlimited borrowing amount so long as the consolidated first lien leverage ratio (as defined) does not exceed 2.25:1.00.</w:t>
      </w:r>
    </w:p>
    <w:p>
      <w:pPr>
        <w:spacing w:after="0" w:line="34"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Under the secured credit facility, TWCC and its domestic subsidiaries have granted to the collateral agent, for the benefit of the lenders, valid and perfected first priority security interests in substantially all of their present and future assets, excluding certain customary exceptions, and guarantee the obligations of the borrowers. In addition, The Genuine Canadian Corp., as Canadian borrower, and Carter’s Holdings B.V., as Dutch borrower, have each guaranteed the obligations of the other.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Our secured revolving credit facility matures August 25, 2022.</w:t>
      </w:r>
    </w:p>
    <w:p>
      <w:pPr>
        <w:spacing w:after="0" w:line="15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As of December 30, 2017, we had $221.0 million in outstanding borrowings under our secured revolving credit facility, exclusive of $4.5 million of outstanding letters of credit. As of December 30, 2017, approximately $524.5 million was available for future borrowing. All outstanding borrowings under our secured revolving credit facility are classified as non-current liabilities on our consolidated balance sheet because of the contractual repayment terms under the credit facility. However, these repayment terms also allow us to repay some or all of the outstanding borrowings at any time.</w:t>
      </w:r>
    </w:p>
    <w:p>
      <w:pPr>
        <w:spacing w:after="0" w:line="117"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The interest rate margins applicable to our secured revolving credit facility as of December 30, 2017 were 1.375% for LIBOR rate loans (which may be adjusted based on a leverage-based pricing grid ranging from 1.125% to 1.875%) and 0.375% for base rate loans (which may be adjusted based on a leverage-based pricing grid ranging from 0.125% to0.875%).</w:t>
      </w:r>
    </w:p>
    <w:p>
      <w:pPr>
        <w:spacing w:after="0" w:line="113"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As of December 30, 2017, U.S. dollar borrowings outstanding under the secured revolving credit facility accrued interest at a LIBOR rate plus the applicable base rate, which resulted in a borrowing rate of 2.93%. All outstanding Canadian dollar borrowings were repaid during the first quarter of fiscal 2017.</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30, 2017, we were in compliance with the financial and other covenants under our secured revolving credit facility.</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NOTES</w:t>
      </w:r>
    </w:p>
    <w:p>
      <w:pPr>
        <w:spacing w:after="0" w:line="232"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As of December 30, 2017, TWCC had $400 million principal amount of senior notes outstanding, bearing interest at a rate of 5.25% per annum, and maturing on August 15, 2021. On our consolidated balance sheet, the $400 million outstanding is reported net of $3.7 million and $4.6 million of unamortized issuance-related debt costs at December 30, 2017 and December 31, 2016,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senior notes are unsecured and are fully and unconditionally guaranteed by Carter's, Inc. and certain subsidiaries of TWCC.</w:t>
      </w:r>
    </w:p>
    <w:p>
      <w:pPr>
        <w:spacing w:after="0" w:line="17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On and after August 15, 2017, TWCC may redeem all or part of the senior notes at the redemption prices (expressed as a percentage of principal amount of the senior notes to be redeemed) set forth below, plus accrued and unpaid interest.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3" w:right="239" w:bottom="1440" w:gutter="0" w:footer="0" w:header="0"/>
        </w:sectPr>
      </w:pPr>
    </w:p>
    <w:bookmarkStart w:id="44" w:name="page45"/>
    <w:bookmarkEnd w:id="44"/>
    <w:p>
      <w:pPr>
        <w:ind w:left="2"/>
        <w:spacing w:after="0"/>
        <w:tabs>
          <w:tab w:leader="none" w:pos="742"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390" w:lineRule="exact"/>
        <w:rPr>
          <w:sz w:val="20"/>
          <w:szCs w:val="20"/>
          <w:color w:val="auto"/>
        </w:rPr>
      </w:pPr>
    </w:p>
    <w:p>
      <w:pPr>
        <w:ind w:left="2"/>
        <w:spacing w:after="0" w:line="285" w:lineRule="auto"/>
        <w:rPr>
          <w:sz w:val="20"/>
          <w:szCs w:val="20"/>
          <w:color w:val="auto"/>
        </w:rPr>
      </w:pPr>
      <w:r>
        <w:rPr>
          <w:rFonts w:ascii="Arial" w:cs="Arial" w:eastAsia="Arial" w:hAnsi="Arial"/>
          <w:sz w:val="16"/>
          <w:szCs w:val="16"/>
          <w:color w:val="auto"/>
        </w:rPr>
        <w:t>redemption price applicable where the redemption occurs during the 12-month period beginning on August 15 of each of the years indicated as follows: 2017, 102.63%; 2018, 101.31%; and 2019 and thereafter, 100.00%.</w:t>
      </w:r>
    </w:p>
    <w:p>
      <w:pPr>
        <w:spacing w:after="0" w:line="150" w:lineRule="exact"/>
        <w:rPr>
          <w:sz w:val="20"/>
          <w:szCs w:val="20"/>
          <w:color w:val="auto"/>
        </w:rPr>
      </w:pPr>
    </w:p>
    <w:p>
      <w:pPr>
        <w:ind w:left="2" w:right="20"/>
        <w:spacing w:after="0" w:line="265" w:lineRule="auto"/>
        <w:rPr>
          <w:sz w:val="20"/>
          <w:szCs w:val="20"/>
          <w:color w:val="auto"/>
        </w:rPr>
      </w:pPr>
      <w:r>
        <w:rPr>
          <w:rFonts w:ascii="Arial" w:cs="Arial" w:eastAsia="Arial" w:hAnsi="Arial"/>
          <w:sz w:val="16"/>
          <w:szCs w:val="16"/>
          <w:color w:val="auto"/>
        </w:rPr>
        <w:t>Upon the occurrence of specific kinds of changes of control, unless a redemption notice with respect to all the outstanding senior notes has previously or concurrently been mailed or delivered, we will be required to make an offer to purchase the senior notes at 101% of their principal amount. In addition, if we or any of our restricted subsidiaries engages in certain asset sales, under certain circumstances we will be required to use the net proceeds to make an offer to purchase the senior notes at 100% of their principal amount.</w:t>
      </w:r>
    </w:p>
    <w:p>
      <w:pPr>
        <w:spacing w:after="0" w:line="166" w:lineRule="exact"/>
        <w:rPr>
          <w:sz w:val="20"/>
          <w:szCs w:val="20"/>
          <w:color w:val="auto"/>
        </w:rPr>
      </w:pPr>
    </w:p>
    <w:p>
      <w:pPr>
        <w:ind w:left="2"/>
        <w:spacing w:after="0" w:line="295" w:lineRule="auto"/>
        <w:rPr>
          <w:sz w:val="20"/>
          <w:szCs w:val="20"/>
          <w:color w:val="auto"/>
        </w:rPr>
      </w:pPr>
      <w:r>
        <w:rPr>
          <w:rFonts w:ascii="Arial" w:cs="Arial" w:eastAsia="Arial" w:hAnsi="Arial"/>
          <w:sz w:val="14"/>
          <w:szCs w:val="14"/>
          <w:color w:val="auto"/>
        </w:rPr>
        <w:t>The indenture governing the senior notes includes a number of covenants, that, among other things and subject to certain exceptions, restrict TWCC's ability to: (i) incur, assume or guarantee additional indebtedness; (ii) issue disqualified stock and preferred stock; (iii) pay dividends, among other things, or make distributions or other restricted payments; (iv) prepay, redeem or repurchase certain debt; (v) make loans and investments (including joint ventures); (vi) incur liens; (vii) create restrictions on the payment of dividends or other amounts from restricted subsidiaries that are not guarantors of the notes; (viii) sell or otherwise dispose of assets, including capital stock of subsidiaries;</w:t>
      </w:r>
    </w:p>
    <w:p>
      <w:pPr>
        <w:spacing w:after="0" w:line="3" w:lineRule="exact"/>
        <w:rPr>
          <w:sz w:val="20"/>
          <w:szCs w:val="20"/>
          <w:color w:val="auto"/>
        </w:rPr>
      </w:pPr>
    </w:p>
    <w:p>
      <w:pPr>
        <w:ind w:left="2" w:right="160" w:hanging="2"/>
        <w:spacing w:after="0" w:line="260" w:lineRule="auto"/>
        <w:tabs>
          <w:tab w:leader="none" w:pos="278"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consolidate or merge with or into, or sell substantially all of TWCC's assets to, another person; (x) designate subsidiaries as unrestricted subsidiaries; and (xi) enter into transactions with affiliates. Additionally, the terms of the notes contain customary affirmative covenants and provide for events of default which, if certain of them occur, would permit the trustee or the holders of at least 25% in principal amount of the then total outstanding senior notes to declare all amounts owning under the notes to be due and payable. Carter's, Inc. is not subject to these covenants.</w:t>
      </w:r>
    </w:p>
    <w:p>
      <w:pPr>
        <w:spacing w:after="0" w:line="365"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SHARE REPURCHASES</w:t>
      </w:r>
    </w:p>
    <w:p>
      <w:pPr>
        <w:spacing w:after="0" w:line="207" w:lineRule="exact"/>
        <w:rPr>
          <w:sz w:val="20"/>
          <w:szCs w:val="20"/>
          <w:color w:val="auto"/>
        </w:rPr>
      </w:pPr>
    </w:p>
    <w:p>
      <w:pPr>
        <w:ind w:left="2" w:right="400"/>
        <w:spacing w:after="0" w:line="285" w:lineRule="auto"/>
        <w:rPr>
          <w:sz w:val="20"/>
          <w:szCs w:val="20"/>
          <w:color w:val="auto"/>
        </w:rPr>
      </w:pPr>
      <w:r>
        <w:rPr>
          <w:rFonts w:ascii="Arial" w:cs="Arial" w:eastAsia="Arial" w:hAnsi="Arial"/>
          <w:sz w:val="16"/>
          <w:szCs w:val="16"/>
          <w:color w:val="auto"/>
        </w:rPr>
        <w:t>On February 24, 2016, our Board of Directors authorized an additional $500 million of share repurchases, for total authorizations of amounts up to $1,462.5 million. On February 22, 2018, our Board of Directors authorized $500 million for a new share repurchase program.</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16"/>
          <w:szCs w:val="16"/>
          <w:color w:val="auto"/>
        </w:rPr>
        <w:t>Open-market repurchases of our common stock during fiscal years 2017, 2016 and 2015 were as follows:</w:t>
      </w:r>
    </w:p>
    <w:p>
      <w:pPr>
        <w:spacing w:after="0" w:line="342" w:lineRule="exact"/>
        <w:rPr>
          <w:sz w:val="20"/>
          <w:szCs w:val="20"/>
          <w:color w:val="auto"/>
        </w:rPr>
      </w:pPr>
    </w:p>
    <w:tbl>
      <w:tblPr>
        <w:tblLayout w:type="fixed"/>
        <w:tblInd w:w="1282" w:type="dxa"/>
        <w:tblCellMar>
          <w:top w:w="0" w:type="dxa"/>
          <w:left w:w="0" w:type="dxa"/>
          <w:bottom w:w="0" w:type="dxa"/>
          <w:right w:w="0" w:type="dxa"/>
        </w:tblCellMar>
      </w:tblPr>
      <w:tr>
        <w:trPr>
          <w:trHeight w:val="245"/>
        </w:trPr>
        <w:tc>
          <w:tcPr>
            <w:tcW w:w="3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47"/>
              <w:spacing w:after="0"/>
              <w:rPr>
                <w:sz w:val="20"/>
                <w:szCs w:val="20"/>
                <w:color w:val="auto"/>
              </w:rPr>
            </w:pPr>
            <w:r>
              <w:rPr>
                <w:rFonts w:ascii="Arial" w:cs="Arial" w:eastAsia="Arial" w:hAnsi="Arial"/>
                <w:sz w:val="15"/>
                <w:szCs w:val="15"/>
                <w:b w:val="1"/>
                <w:bCs w:val="1"/>
                <w:color w:val="auto"/>
                <w:w w:val="96"/>
              </w:rPr>
              <w:t>Fiscal year ended</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07"/>
        </w:trPr>
        <w:tc>
          <w:tcPr>
            <w:tcW w:w="30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December 30, 2017</w:t>
            </w: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267"/>
              <w:spacing w:after="0"/>
              <w:rPr>
                <w:sz w:val="20"/>
                <w:szCs w:val="20"/>
                <w:color w:val="auto"/>
              </w:rPr>
            </w:pPr>
            <w:r>
              <w:rPr>
                <w:rFonts w:ascii="Arial" w:cs="Arial" w:eastAsia="Arial" w:hAnsi="Arial"/>
                <w:sz w:val="15"/>
                <w:szCs w:val="15"/>
                <w:b w:val="1"/>
                <w:bCs w:val="1"/>
                <w:color w:val="auto"/>
                <w:w w:val="96"/>
              </w:rPr>
              <w:t>December 31, 2016</w:t>
            </w:r>
          </w:p>
        </w:tc>
        <w:tc>
          <w:tcPr>
            <w:tcW w:w="3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January 2, 2016</w:t>
            </w:r>
          </w:p>
        </w:tc>
      </w:tr>
      <w:tr>
        <w:trPr>
          <w:trHeight w:val="29"/>
        </w:trPr>
        <w:tc>
          <w:tcPr>
            <w:tcW w:w="3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Number of shares repurchased</w:t>
            </w:r>
          </w:p>
        </w:tc>
        <w:tc>
          <w:tcPr>
            <w:tcW w:w="2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2,103,401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3,049,381</w:t>
            </w:r>
          </w:p>
        </w:tc>
        <w:tc>
          <w:tcPr>
            <w:tcW w:w="3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1,154,288</w:t>
            </w:r>
          </w:p>
        </w:tc>
      </w:tr>
      <w:tr>
        <w:trPr>
          <w:trHeight w:val="200"/>
        </w:trPr>
        <w:tc>
          <w:tcPr>
            <w:tcW w:w="3000" w:type="dxa"/>
            <w:vAlign w:val="bottom"/>
          </w:tcPr>
          <w:p>
            <w:pPr>
              <w:ind w:left="20"/>
              <w:spacing w:after="0"/>
              <w:rPr>
                <w:sz w:val="20"/>
                <w:szCs w:val="20"/>
                <w:color w:val="auto"/>
              </w:rPr>
            </w:pPr>
            <w:r>
              <w:rPr>
                <w:rFonts w:ascii="Arial" w:cs="Arial" w:eastAsia="Arial" w:hAnsi="Arial"/>
                <w:sz w:val="15"/>
                <w:szCs w:val="15"/>
                <w:color w:val="auto"/>
                <w:w w:val="91"/>
              </w:rPr>
              <w:t xml:space="preserve">Aggregate cost of shares repurchased </w:t>
            </w:r>
            <w:r>
              <w:rPr>
                <w:rFonts w:ascii="Arial" w:cs="Arial" w:eastAsia="Arial" w:hAnsi="Arial"/>
                <w:sz w:val="15"/>
                <w:szCs w:val="15"/>
                <w:i w:val="1"/>
                <w:iCs w:val="1"/>
                <w:color w:val="auto"/>
                <w:w w:val="91"/>
              </w:rPr>
              <w:t>(dollars in</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87"/>
        </w:trPr>
        <w:tc>
          <w:tcPr>
            <w:tcW w:w="3000" w:type="dxa"/>
            <w:vAlign w:val="bottom"/>
          </w:tcPr>
          <w:p>
            <w:pPr>
              <w:ind w:left="20"/>
              <w:spacing w:after="0"/>
              <w:rPr>
                <w:sz w:val="20"/>
                <w:szCs w:val="20"/>
                <w:color w:val="auto"/>
              </w:rPr>
            </w:pPr>
            <w:r>
              <w:rPr>
                <w:rFonts w:ascii="Arial" w:cs="Arial" w:eastAsia="Arial" w:hAnsi="Arial"/>
                <w:sz w:val="15"/>
                <w:szCs w:val="15"/>
                <w:i w:val="1"/>
                <w:iCs w:val="1"/>
                <w:color w:val="auto"/>
              </w:rPr>
              <w:t>thousands)</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27"/>
              <w:spacing w:after="0"/>
              <w:rPr>
                <w:sz w:val="20"/>
                <w:szCs w:val="20"/>
                <w:color w:val="auto"/>
              </w:rPr>
            </w:pPr>
            <w:r>
              <w:rPr>
                <w:rFonts w:ascii="Arial" w:cs="Arial" w:eastAsia="Arial" w:hAnsi="Arial"/>
                <w:sz w:val="15"/>
                <w:szCs w:val="15"/>
                <w:color w:val="auto"/>
              </w:rPr>
              <w:t>188.762</w:t>
            </w:r>
          </w:p>
        </w:tc>
        <w:tc>
          <w:tcPr>
            <w:tcW w:w="10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ind w:right="27"/>
              <w:spacing w:after="0"/>
              <w:rPr>
                <w:sz w:val="20"/>
                <w:szCs w:val="20"/>
                <w:color w:val="auto"/>
              </w:rPr>
            </w:pPr>
            <w:r>
              <w:rPr>
                <w:rFonts w:ascii="Arial" w:cs="Arial" w:eastAsia="Arial" w:hAnsi="Arial"/>
                <w:sz w:val="15"/>
                <w:szCs w:val="15"/>
                <w:color w:val="auto"/>
              </w:rPr>
              <w:t>300,445</w:t>
            </w:r>
          </w:p>
        </w:tc>
        <w:tc>
          <w:tcPr>
            <w:tcW w:w="36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7"/>
              <w:spacing w:after="0"/>
              <w:rPr>
                <w:sz w:val="20"/>
                <w:szCs w:val="20"/>
                <w:color w:val="auto"/>
              </w:rPr>
            </w:pPr>
            <w:r>
              <w:rPr>
                <w:rFonts w:ascii="Arial" w:cs="Arial" w:eastAsia="Arial" w:hAnsi="Arial"/>
                <w:sz w:val="15"/>
                <w:szCs w:val="15"/>
                <w:color w:val="auto"/>
              </w:rPr>
              <w:t>110,290</w:t>
            </w:r>
          </w:p>
        </w:tc>
      </w:tr>
      <w:tr>
        <w:trPr>
          <w:trHeight w:val="29"/>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5"/>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Average price per share</w:t>
            </w: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89.74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98.53</w:t>
            </w:r>
          </w:p>
        </w:tc>
        <w:tc>
          <w:tcPr>
            <w:tcW w:w="3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95.55</w:t>
            </w:r>
          </w:p>
        </w:tc>
      </w:tr>
      <w:tr>
        <w:trPr>
          <w:trHeight w:val="29"/>
        </w:trPr>
        <w:tc>
          <w:tcPr>
            <w:tcW w:w="3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379" w:lineRule="exact"/>
        <w:rPr>
          <w:sz w:val="20"/>
          <w:szCs w:val="20"/>
          <w:color w:val="auto"/>
        </w:rPr>
      </w:pPr>
    </w:p>
    <w:p>
      <w:pPr>
        <w:ind w:left="2"/>
        <w:spacing w:after="0" w:line="285" w:lineRule="auto"/>
        <w:rPr>
          <w:sz w:val="20"/>
          <w:szCs w:val="20"/>
          <w:color w:val="auto"/>
        </w:rPr>
      </w:pPr>
      <w:r>
        <w:rPr>
          <w:rFonts w:ascii="Arial" w:cs="Arial" w:eastAsia="Arial" w:hAnsi="Arial"/>
          <w:sz w:val="16"/>
          <w:szCs w:val="16"/>
          <w:color w:val="auto"/>
        </w:rPr>
        <w:t>In addition to the open-market repurchases completed in fiscal years 2017, 2016, and 2015, open-market repurchases totaling $277.4 million were made in fiscal years prior to 2015. Total remaining capacity under the repurchase authorizations as of December 30, 2017 was approximately $85.6 million.</w:t>
      </w:r>
    </w:p>
    <w:p>
      <w:pPr>
        <w:spacing w:after="0" w:line="150" w:lineRule="exact"/>
        <w:rPr>
          <w:sz w:val="20"/>
          <w:szCs w:val="20"/>
          <w:color w:val="auto"/>
        </w:rPr>
      </w:pPr>
    </w:p>
    <w:p>
      <w:pPr>
        <w:ind w:left="2" w:right="240"/>
        <w:spacing w:after="0" w:line="285" w:lineRule="auto"/>
        <w:rPr>
          <w:sz w:val="20"/>
          <w:szCs w:val="20"/>
          <w:color w:val="auto"/>
        </w:rPr>
      </w:pPr>
      <w:r>
        <w:rPr>
          <w:rFonts w:ascii="Arial" w:cs="Arial" w:eastAsia="Arial" w:hAnsi="Arial"/>
          <w:sz w:val="16"/>
          <w:szCs w:val="16"/>
          <w:color w:val="auto"/>
        </w:rPr>
        <w:t>Future share repurchases may be made in the open market or in privately negotiated transactions, with the level and timing of activity being at our discretion depending on market conditions, share price, other investment priorities, and other factors. Our share repurchase authorizations have no expiration dates.</w:t>
      </w:r>
    </w:p>
    <w:p>
      <w:pPr>
        <w:spacing w:after="0" w:line="346"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DIVIDENDS</w:t>
      </w:r>
    </w:p>
    <w:p>
      <w:pPr>
        <w:spacing w:after="0" w:line="207" w:lineRule="exact"/>
        <w:rPr>
          <w:sz w:val="20"/>
          <w:szCs w:val="20"/>
          <w:color w:val="auto"/>
        </w:rPr>
      </w:pPr>
    </w:p>
    <w:p>
      <w:pPr>
        <w:ind w:left="2" w:right="220"/>
        <w:spacing w:after="0" w:line="285" w:lineRule="auto"/>
        <w:rPr>
          <w:sz w:val="20"/>
          <w:szCs w:val="20"/>
          <w:color w:val="auto"/>
        </w:rPr>
      </w:pPr>
      <w:r>
        <w:rPr>
          <w:rFonts w:ascii="Arial" w:cs="Arial" w:eastAsia="Arial" w:hAnsi="Arial"/>
          <w:sz w:val="16"/>
          <w:szCs w:val="16"/>
          <w:color w:val="auto"/>
        </w:rPr>
        <w:t>Our Board of Directors authorized quarterly cash dividends of $0.37 per share in each quarter of fiscal 2017, and cash dividends of $0.33 per share in each quarter of fiscal 2016. The dividends were paid during the fiscal quarter in which they were declared.</w:t>
      </w:r>
    </w:p>
    <w:p>
      <w:pPr>
        <w:spacing w:after="0" w:line="200" w:lineRule="exact"/>
        <w:rPr>
          <w:sz w:val="20"/>
          <w:szCs w:val="20"/>
          <w:color w:val="auto"/>
        </w:rPr>
      </w:pPr>
    </w:p>
    <w:p>
      <w:pPr>
        <w:spacing w:after="0" w:line="366"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382"/>
          </w:cols>
          <w:pgMar w:left="238" w:top="123" w:right="279" w:bottom="1440" w:gutter="0" w:footer="0" w:header="0"/>
        </w:sectPr>
      </w:pPr>
    </w:p>
    <w:bookmarkStart w:id="45" w:name="page46"/>
    <w:bookmarkEnd w:id="45"/>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On February 22, 2018, our Board of Directors authorized a quarterly cash dividend payment of $0.45 per common share, payable on March 23, 2018 to shareholders of record at the close of business on March 12, 2018.</w:t>
      </w:r>
    </w:p>
    <w:p>
      <w:pPr>
        <w:spacing w:after="0" w:line="150"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Future declarations of quarterly dividends and the establishment of future record and payment dates are at the discretion of our Board of Directors, and are based on a number of factors, including our future financial performance and other investment priorities.</w:t>
      </w:r>
    </w:p>
    <w:p>
      <w:pPr>
        <w:spacing w:after="0" w:line="150"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Provisions in our secured revolving credit facility and indenture governing our senior notes could have the effect of restricting our ability to pay future cash dividends on or make future repurchases of our common stock.</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COMMITMENTS</w:t>
      </w:r>
    </w:p>
    <w:p>
      <w:pPr>
        <w:spacing w:after="0" w:line="207" w:lineRule="exact"/>
        <w:rPr>
          <w:sz w:val="20"/>
          <w:szCs w:val="20"/>
          <w:color w:val="auto"/>
        </w:rPr>
      </w:pPr>
    </w:p>
    <w:p>
      <w:pPr>
        <w:ind w:right="360"/>
        <w:spacing w:after="0" w:line="285" w:lineRule="auto"/>
        <w:rPr>
          <w:sz w:val="20"/>
          <w:szCs w:val="20"/>
          <w:color w:val="auto"/>
        </w:rPr>
      </w:pPr>
      <w:r>
        <w:rPr>
          <w:rFonts w:ascii="Arial" w:cs="Arial" w:eastAsia="Arial" w:hAnsi="Arial"/>
          <w:sz w:val="16"/>
          <w:szCs w:val="16"/>
          <w:color w:val="auto"/>
        </w:rPr>
        <w:t>The following table summarizes as of December 30, 2017, the maturity or expiration dates of mandatory contractual obligations and commitments for the following fiscal years: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6"/>
                <w:szCs w:val="16"/>
                <w:b w:val="1"/>
                <w:bCs w:val="1"/>
                <w:color w:val="auto"/>
              </w:rPr>
              <w:t>2018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6"/>
                <w:szCs w:val="16"/>
                <w:b w:val="1"/>
                <w:bCs w:val="1"/>
                <w:color w:val="auto"/>
              </w:rPr>
              <w:t>2019</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6"/>
                <w:szCs w:val="16"/>
                <w:b w:val="1"/>
                <w:bCs w:val="1"/>
                <w:color w:val="auto"/>
              </w:rPr>
              <w:t>2020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6"/>
                <w:szCs w:val="16"/>
                <w:b w:val="1"/>
                <w:bCs w:val="1"/>
                <w:color w:val="auto"/>
              </w:rPr>
              <w:t>2021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6"/>
                <w:szCs w:val="16"/>
                <w:b w:val="1"/>
                <w:bCs w:val="1"/>
                <w:color w:val="auto"/>
              </w:rPr>
              <w:t>2022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6"/>
                <w:szCs w:val="16"/>
                <w:b w:val="1"/>
                <w:bCs w:val="1"/>
                <w:color w:val="auto"/>
                <w:w w:val="97"/>
              </w:rPr>
              <w:t>Thereafter</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26"/>
              <w:spacing w:after="0"/>
              <w:rPr>
                <w:sz w:val="20"/>
                <w:szCs w:val="20"/>
                <w:color w:val="auto"/>
              </w:rPr>
            </w:pPr>
            <w:r>
              <w:rPr>
                <w:rFonts w:ascii="Arial" w:cs="Arial" w:eastAsia="Arial" w:hAnsi="Arial"/>
                <w:sz w:val="16"/>
                <w:szCs w:val="16"/>
                <w:b w:val="1"/>
                <w:bCs w:val="1"/>
                <w:color w:val="auto"/>
              </w:rPr>
              <w:t>Total</w:t>
            </w:r>
          </w:p>
        </w:tc>
      </w:tr>
      <w:tr>
        <w:trPr>
          <w:trHeight w:val="199"/>
        </w:trPr>
        <w:tc>
          <w:tcPr>
            <w:tcW w:w="33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400,000</w:t>
            </w:r>
          </w:p>
        </w:tc>
        <w:tc>
          <w:tcPr>
            <w:tcW w:w="100" w:type="dxa"/>
            <w:vAlign w:val="bottom"/>
          </w:tcPr>
          <w:p>
            <w:pPr>
              <w:spacing w:after="0"/>
              <w:rPr>
                <w:sz w:val="17"/>
                <w:szCs w:val="17"/>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221,000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621,000</w:t>
            </w:r>
          </w:p>
        </w:tc>
      </w:tr>
      <w:tr>
        <w:trPr>
          <w:trHeight w:val="25"/>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on debt (a)</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27,541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27,541</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28,012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21,071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4,259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108,424</w:t>
            </w:r>
          </w:p>
        </w:tc>
      </w:tr>
      <w:tr>
        <w:trPr>
          <w:trHeight w:val="219"/>
        </w:trPr>
        <w:tc>
          <w:tcPr>
            <w:tcW w:w="332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240" w:type="dxa"/>
            <w:vAlign w:val="bottom"/>
          </w:tcPr>
          <w:p>
            <w:pPr>
              <w:spacing w:after="0"/>
              <w:rPr>
                <w:sz w:val="19"/>
                <w:szCs w:val="19"/>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168,719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154,866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46"/>
              <w:spacing w:after="0"/>
              <w:rPr>
                <w:sz w:val="20"/>
                <w:szCs w:val="20"/>
                <w:color w:val="auto"/>
              </w:rPr>
            </w:pPr>
            <w:r>
              <w:rPr>
                <w:rFonts w:ascii="Arial" w:cs="Arial" w:eastAsia="Arial" w:hAnsi="Arial"/>
                <w:sz w:val="15"/>
                <w:szCs w:val="15"/>
                <w:color w:val="auto"/>
              </w:rPr>
              <w:t>139,016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46"/>
              <w:spacing w:after="0"/>
              <w:rPr>
                <w:sz w:val="20"/>
                <w:szCs w:val="20"/>
                <w:color w:val="auto"/>
              </w:rPr>
            </w:pPr>
            <w:r>
              <w:rPr>
                <w:rFonts w:ascii="Arial" w:cs="Arial" w:eastAsia="Arial" w:hAnsi="Arial"/>
                <w:sz w:val="15"/>
                <w:szCs w:val="15"/>
                <w:color w:val="auto"/>
              </w:rPr>
              <w:t>124,102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108,029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46"/>
              <w:spacing w:after="0"/>
              <w:rPr>
                <w:sz w:val="20"/>
                <w:szCs w:val="20"/>
                <w:color w:val="auto"/>
              </w:rPr>
            </w:pPr>
            <w:r>
              <w:rPr>
                <w:rFonts w:ascii="Arial" w:cs="Arial" w:eastAsia="Arial" w:hAnsi="Arial"/>
                <w:sz w:val="15"/>
                <w:szCs w:val="15"/>
                <w:color w:val="auto"/>
              </w:rPr>
              <w:t>322,473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46"/>
              <w:spacing w:after="0"/>
              <w:rPr>
                <w:sz w:val="20"/>
                <w:szCs w:val="20"/>
                <w:color w:val="auto"/>
              </w:rPr>
            </w:pPr>
            <w:r>
              <w:rPr>
                <w:rFonts w:ascii="Arial" w:cs="Arial" w:eastAsia="Arial" w:hAnsi="Arial"/>
                <w:sz w:val="15"/>
                <w:szCs w:val="15"/>
                <w:color w:val="auto"/>
              </w:rPr>
              <w:t>1,017,205</w:t>
            </w:r>
          </w:p>
        </w:tc>
      </w:tr>
      <w:tr>
        <w:trPr>
          <w:trHeight w:val="25"/>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231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1,670</w:t>
            </w:r>
          </w:p>
        </w:tc>
      </w:tr>
      <w:tr>
        <w:trPr>
          <w:trHeight w:val="199"/>
        </w:trPr>
        <w:tc>
          <w:tcPr>
            <w:tcW w:w="3320" w:type="dxa"/>
            <w:vAlign w:val="bottom"/>
          </w:tcPr>
          <w:p>
            <w:pPr>
              <w:ind w:left="20"/>
              <w:spacing w:after="0"/>
              <w:rPr>
                <w:sz w:val="20"/>
                <w:szCs w:val="20"/>
                <w:color w:val="auto"/>
              </w:rPr>
            </w:pPr>
            <w:r>
              <w:rPr>
                <w:rFonts w:ascii="Arial" w:cs="Arial" w:eastAsia="Arial" w:hAnsi="Arial"/>
                <w:sz w:val="16"/>
                <w:szCs w:val="16"/>
                <w:color w:val="auto"/>
              </w:rPr>
              <w:t>Total financial obligations</w:t>
            </w: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196,795</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182,638</w:t>
            </w: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167,259</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545,404</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333,519</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322,684</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6"/>
              <w:spacing w:after="0"/>
              <w:rPr>
                <w:sz w:val="20"/>
                <w:szCs w:val="20"/>
                <w:color w:val="auto"/>
              </w:rPr>
            </w:pPr>
            <w:r>
              <w:rPr>
                <w:rFonts w:ascii="Arial" w:cs="Arial" w:eastAsia="Arial" w:hAnsi="Arial"/>
                <w:sz w:val="15"/>
                <w:szCs w:val="15"/>
                <w:color w:val="auto"/>
              </w:rPr>
              <w:t>1,748,299</w:t>
            </w:r>
          </w:p>
        </w:tc>
      </w:tr>
      <w:tr>
        <w:trPr>
          <w:trHeight w:val="25"/>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Letters of credit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4,518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4,518</w:t>
            </w:r>
          </w:p>
        </w:tc>
      </w:tr>
      <w:tr>
        <w:trPr>
          <w:trHeight w:val="188"/>
        </w:trPr>
        <w:tc>
          <w:tcPr>
            <w:tcW w:w="3320" w:type="dxa"/>
            <w:vAlign w:val="bottom"/>
          </w:tcPr>
          <w:p>
            <w:pPr>
              <w:ind w:left="20"/>
              <w:spacing w:after="0"/>
              <w:rPr>
                <w:sz w:val="20"/>
                <w:szCs w:val="20"/>
                <w:color w:val="auto"/>
              </w:rPr>
            </w:pPr>
            <w:r>
              <w:rPr>
                <w:rFonts w:ascii="Arial" w:cs="Arial" w:eastAsia="Arial" w:hAnsi="Arial"/>
                <w:sz w:val="16"/>
                <w:szCs w:val="16"/>
                <w:color w:val="auto"/>
                <w:w w:val="98"/>
              </w:rPr>
              <w:t>Total financial obligations and commitments (b)</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r>
      <w:tr>
        <w:trPr>
          <w:trHeight w:val="214"/>
        </w:trPr>
        <w:tc>
          <w:tcPr>
            <w:tcW w:w="3320" w:type="dxa"/>
            <w:vAlign w:val="bottom"/>
          </w:tcPr>
          <w:p>
            <w:pPr>
              <w:ind w:left="20"/>
              <w:spacing w:after="0"/>
              <w:rPr>
                <w:sz w:val="20"/>
                <w:szCs w:val="20"/>
                <w:color w:val="auto"/>
              </w:rPr>
            </w:pPr>
            <w:r>
              <w:rPr>
                <w:rFonts w:ascii="Arial" w:cs="Arial" w:eastAsia="Arial" w:hAnsi="Arial"/>
                <w:sz w:val="16"/>
                <w:szCs w:val="16"/>
                <w:color w:val="auto"/>
              </w:rPr>
              <w:t>(c)</w:t>
            </w:r>
          </w:p>
        </w:tc>
        <w:tc>
          <w:tcPr>
            <w:tcW w:w="2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201,313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182,638</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167,259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545,404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333,519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322,684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1,752,817</w:t>
            </w: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ind w:left="580" w:right="280" w:firstLine="5"/>
        <w:spacing w:after="0" w:line="285" w:lineRule="auto"/>
        <w:tabs>
          <w:tab w:leader="none" w:pos="802"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Reflects: i) estimated variable rate interest on obligations outstanding on our secured revolving credit facility as of December 30, 2017 using an interest rate of 2.93% and ii) a fixed interest rate of 5.25% for the senior notes.</w:t>
      </w:r>
    </w:p>
    <w:p>
      <w:pPr>
        <w:spacing w:after="0" w:line="149" w:lineRule="exact"/>
        <w:rPr>
          <w:rFonts w:ascii="Arial" w:cs="Arial" w:eastAsia="Arial" w:hAnsi="Arial"/>
          <w:sz w:val="16"/>
          <w:szCs w:val="16"/>
          <w:color w:val="auto"/>
        </w:rPr>
      </w:pPr>
    </w:p>
    <w:p>
      <w:pPr>
        <w:ind w:left="820" w:hanging="235"/>
        <w:spacing w:after="0"/>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table above excludes our reserves for income taxes, as we are unable to reasonably predict the ultimate amount or timing of settlement.</w:t>
      </w:r>
    </w:p>
    <w:p>
      <w:pPr>
        <w:spacing w:after="0" w:line="207" w:lineRule="exact"/>
        <w:rPr>
          <w:rFonts w:ascii="Arial" w:cs="Arial" w:eastAsia="Arial" w:hAnsi="Arial"/>
          <w:sz w:val="16"/>
          <w:szCs w:val="16"/>
          <w:color w:val="auto"/>
        </w:rPr>
      </w:pPr>
    </w:p>
    <w:p>
      <w:pPr>
        <w:ind w:left="580" w:right="200" w:firstLine="5"/>
        <w:spacing w:after="0" w:line="270" w:lineRule="auto"/>
        <w:tabs>
          <w:tab w:leader="none" w:pos="80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table above excludes purchase obligations. Our estimate as of December 30, 2017 for commitments to purchase inventory in the normal course of business, which are cancellable (with or without penalty, depending on the stage of production) and span a period of one year or less, was between $300 million and $400 million.</w:t>
      </w:r>
    </w:p>
    <w:p>
      <w:pPr>
        <w:spacing w:after="0" w:line="161" w:lineRule="exact"/>
        <w:rPr>
          <w:rFonts w:ascii="Arial" w:cs="Arial" w:eastAsia="Arial" w:hAnsi="Arial"/>
          <w:sz w:val="16"/>
          <w:szCs w:val="16"/>
          <w:color w:val="auto"/>
        </w:rPr>
      </w:pPr>
    </w:p>
    <w:p>
      <w:pPr>
        <w:ind w:left="580" w:right="40" w:firstLine="5"/>
        <w:spacing w:after="0" w:line="265" w:lineRule="auto"/>
        <w:tabs>
          <w:tab w:leader="none" w:pos="811"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The table above excludes any potential future Company funding for obligations under our defined benefit retirement plans. Our estimates of such obligations as of December 30, 2017 have been determined in accordance with U.S. GAAP and are included in other current liabilities and other long-term liabilities on our consolidated balance sheet, as described in Item 8 "Financial Statements and Supplementary Data” under Note 10, </w:t>
      </w:r>
      <w:r>
        <w:rPr>
          <w:rFonts w:ascii="Arial" w:cs="Arial" w:eastAsia="Arial" w:hAnsi="Arial"/>
          <w:sz w:val="16"/>
          <w:szCs w:val="16"/>
          <w:i w:val="1"/>
          <w:iCs w:val="1"/>
          <w:color w:val="auto"/>
        </w:rPr>
        <w:t>Employee Benefit Plans</w:t>
      </w:r>
      <w:r>
        <w:rPr>
          <w:rFonts w:ascii="Arial" w:cs="Arial" w:eastAsia="Arial" w:hAnsi="Arial"/>
          <w:sz w:val="16"/>
          <w:szCs w:val="16"/>
          <w:color w:val="auto"/>
        </w:rPr>
        <w:t>, to the consolidated financial statements.</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OFF-BALANCE SHEET OBLIGATIONS</w:t>
      </w:r>
    </w:p>
    <w:p>
      <w:pPr>
        <w:spacing w:after="0" w:line="207"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We do not maintain off-balance sheet arrangements, transaction, obligations, or other relationships with unconsolidated entities except for those that are made in the normal course of our business and included in our commitments table presented above.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 OUTLOOK</w:t>
      </w:r>
    </w:p>
    <w:p>
      <w:pPr>
        <w:spacing w:after="0" w:line="207"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Based on our current outlook, we believe that cash generated from operations and available cash, together with amounts available under our secured revolving credit facility, will be adequate to meet our working capital needs and capital expenditure requirements for the foreseeable future, although no assurance can be given in this regard. Additionally, we believe that we have access to the capital markets as needed to fund our liquidity needs.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40"/>
          </w:cols>
          <w:pgMar w:left="240" w:top="123" w:right="219" w:bottom="1440" w:gutter="0" w:footer="0" w:header="0"/>
        </w:sectPr>
      </w:pPr>
    </w:p>
    <w:bookmarkStart w:id="46" w:name="page47"/>
    <w:bookmarkEnd w:id="46"/>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On December 22, 2017, the United States enacted tax legislation known as the Tax Cuts and Jobs Act of 2017. This tax legislation is expected to have an impact on our uses of liquidity beginning in 2018, including an expected reduction in the amount of cash that we use to pay income taxes in the United States. In addition, it is anticipated that this legislation will reduce the tax costs of repatriating foreign cash to the United States, and we expect to repatriate portions of our foreign cash balances to the United States beginning in fiscal 2018.</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EFFECTS OF INFLATION AND DEFLATION</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We do not believe that inflation has had a significant effect on our net sales or our profitability. Substantial increases in costs, however, could have a significant impact on our business and the industry in the future. Additionally, while deflation could positively impact our merchandise costs, it could have an adverse effect on our average unit retail price, resulting in lower sales and profitability.</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11"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year. Accordingly, our results of operations during the first half of the year may not be indicative of the results we expect for the full year.</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340"/>
          </w:cols>
          <w:pgMar w:left="240" w:top="123" w:right="319" w:bottom="1440" w:gutter="0" w:footer="0" w:header="0"/>
        </w:sectPr>
      </w:pPr>
    </w:p>
    <w:bookmarkStart w:id="47" w:name="page48"/>
    <w:bookmarkEnd w:id="47"/>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4"/>
          <w:szCs w:val="14"/>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41" w:lineRule="exact"/>
        <w:rPr>
          <w:sz w:val="20"/>
          <w:szCs w:val="20"/>
          <w:color w:val="auto"/>
        </w:rPr>
      </w:pPr>
    </w:p>
    <w:p>
      <w:pPr>
        <w:jc w:val="both"/>
        <w:ind w:right="100"/>
        <w:spacing w:after="0" w:line="270" w:lineRule="auto"/>
        <w:rPr>
          <w:sz w:val="20"/>
          <w:szCs w:val="20"/>
          <w:color w:val="auto"/>
        </w:rPr>
      </w:pPr>
      <w:r>
        <w:rPr>
          <w:rFonts w:ascii="Arial" w:cs="Arial" w:eastAsia="Arial" w:hAnsi="Arial"/>
          <w:sz w:val="16"/>
          <w:szCs w:val="16"/>
          <w:color w:val="auto"/>
        </w:rPr>
        <w:t>Our significant accounting policies are described in our accompanying consolidated financial statements. The following discussion addresses our critical accounting policies and estimates, which are those policies that require management’s most difficult and subjective judgments, often as a result of the need to make estimates about the effect of matters that are inherently uncertain.</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 AND ACCOUNTS RECEIVABLE ALLOWANCE</w:t>
      </w:r>
    </w:p>
    <w:p>
      <w:pPr>
        <w:spacing w:after="0" w:line="20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revenues, which are reported as Net sales, consist of sales to customers, net of returns, discounts, chargebacks, and cooperative advertising. We consider revenue realized or realizable and earned when the product has been shipped, when title passes, when all risks and rewards of ownership have transferred, the sales price is fixed or determinable, and collectibility is reasonably assured. In certain cases in which we retain the risk of loss during shipment, revenue recognition does not occur until the goods have reached the specified customer.</w:t>
      </w:r>
    </w:p>
    <w:p>
      <w:pPr>
        <w:spacing w:after="0" w:line="166"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color w:val="auto"/>
        </w:rPr>
        <w:t>We record cooperative advertising arrangements with certain of our major wholesale customers at fair value. Fair value is determined based upon, among other factors, comparable market analysis for similar advertisements. We have included the fair value of these arrangements of approximately $3.1 million for fiscal 2017, $3.7 million for fiscal 2016, and $3.9 million for fiscal 2015 as a component of selling, general, and administrative expenses on the accompanying consolidated statements of operations, rather than as a reduction of net sales. Amounts determined to be in excess of the fair value of these arrangements are recorded as a reduction of net sales.</w:t>
      </w:r>
    </w:p>
    <w:p>
      <w:pPr>
        <w:spacing w:after="0" w:line="15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retail store revenues, also reported as Net sales, are recognized at the point of sale. Retail sales through our on-line channels are recognized at time of delivery to the customer. We recognize retail sales returns at the time of transaction by recording adjustments to both revenue and cost of goods sold. Additionally, we maintain a liability for retail sales returns in Other current liabilities on our consolidated balance sheet for estimated future returns. There are no accounts receivable associated with our retail customers.</w:t>
      </w:r>
    </w:p>
    <w:p>
      <w:pPr>
        <w:spacing w:after="0" w:line="166"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auto"/>
        </w:rPr>
        <w:t>Our accounts receivable reserves for wholesale customers include an allowance for doubtful accounts and an allowance for chargebacks. The allowance for doubtful accounts includes estimated losses resulting from the inability of our customers to make payments. If the financial condition of a customer were to deteriorate, resulting in an impairment of its ability to make payments, an additional allowance could be required. Past due balances over 90 days are reviewed individually for collectibility. Our credit and collections department reviews all other balances regularly. Account balances are charged off against the allowance when it is probable that the receivable will not be recovered. Provisions for the allowance for doubtful accounts are reflected in Selling, general and administrative expenses on our consolidated statement of operations and provisions for chargebacks are reflected as a reduction in Net sales on our consolidated statement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Except in very limited circumstances, we do not allow our wholesale customers to return goods to us.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INVENTORY</w:t>
      </w:r>
    </w:p>
    <w:p>
      <w:pPr>
        <w:spacing w:after="0" w:line="207"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Our inventories, which consist primarily of finished goods, are stated approximately at the lower of cost (first-in, first-out basis for wholesale inventory and average cost for retail inventories) or net realizable value. Obsolete, damaged, and excess inventory is carried at net realizable value by establishing reserves after assessing historical recovery rates, current market conditions, and future marketing and sales plans. Rebates, discounts and other cash consideration received from a vendor</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360"/>
          </w:cols>
          <w:pgMar w:left="240" w:top="123" w:right="299" w:bottom="1440" w:gutter="0" w:footer="0" w:header="0"/>
        </w:sectPr>
      </w:pPr>
    </w:p>
    <w:bookmarkStart w:id="48" w:name="page49"/>
    <w:bookmarkEnd w:id="48"/>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related to inventory purchases are reflected as reductions in the cost of the related inventory item, and are therefore reflected in cost of sales when the related inventory item is sold.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AND TRADENAME</w:t>
      </w:r>
    </w:p>
    <w:p>
      <w:pPr>
        <w:spacing w:after="0" w:line="207" w:lineRule="exact"/>
        <w:rPr>
          <w:sz w:val="20"/>
          <w:szCs w:val="20"/>
          <w:color w:val="auto"/>
        </w:rPr>
      </w:pPr>
    </w:p>
    <w:p>
      <w:pPr>
        <w:ind w:right="360"/>
        <w:spacing w:after="0" w:line="314" w:lineRule="auto"/>
        <w:rPr>
          <w:sz w:val="20"/>
          <w:szCs w:val="20"/>
          <w:color w:val="auto"/>
        </w:rPr>
      </w:pPr>
      <w:r>
        <w:rPr>
          <w:rFonts w:ascii="Arial" w:cs="Arial" w:eastAsia="Arial" w:hAnsi="Arial"/>
          <w:sz w:val="14"/>
          <w:szCs w:val="14"/>
          <w:color w:val="auto"/>
        </w:rPr>
        <w:t>The carrying values of goodwill and indefinite-lived tradename assets are subject to annual impairment reviews as of the last day of each fiscal year. Between annual assessments, impairment reviews may also be triggered by any significant events or changes in circumstances affecting our business. Factors affecting such impairment reviews include the continued market acceptance of our current products and the development of new products. We use qualitative and quantitative methods to assess for impairment, including the use of discounted cash flows ("income approach") and relevant data from guideline public companies ("market approach").</w:t>
      </w:r>
    </w:p>
    <w:p>
      <w:pPr>
        <w:spacing w:after="0" w:line="136"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We perform impairment tests of goodwill at the reporting unit level. A qualitative assessment determines if it is "more likely than not" that the fair value of the reporting unit is less than its carrying value. Qualitative factors may include, but are not limited to: macroeconomic conditions; industry and market considerations; cost factors that may have a negative effect on earnings; overall financial performance; and other relevant entity-specific events. If the results of a qualitative test determine that it is "more likely than not" that the fair value of a reporting unit is less than its carrying value, then a goodwill impairment test using quantitative assessments must be performed. If it is determined that it is "not likely" that the fair value of the reporting unit is less than its carrying value, then no further testing is required.</w:t>
      </w:r>
    </w:p>
    <w:p>
      <w:pPr>
        <w:spacing w:after="0" w:line="15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Under a quantitative assessment for goodwill, the first step is to compare the fair value of a reporting unit to its carrying value, including goodwill. We use discounted cash flow models to determine the fair value of a reporting unit. The assumptions used in these models are consistent with those we believe hypothetical marketplace participants would use. If the fair value of a reporting unit is less than its carrying value, the second step of the impairment test must be performed in order to determine the impairment loss, if any. The second step compares the implied fair value of the reporting unit goodwill with the carrying amount of that goodwill. If the carrying amount of the reporting unit's goodwill exceeds its implied fair value, an impairment charge is recognized in an amount equal to that excess. The loss recognized cannot exceed the carrying amount of the goodwill.</w:t>
      </w:r>
    </w:p>
    <w:p>
      <w:pPr>
        <w:spacing w:after="0" w:line="169" w:lineRule="exact"/>
        <w:rPr>
          <w:sz w:val="20"/>
          <w:szCs w:val="20"/>
          <w:color w:val="auto"/>
        </w:rPr>
      </w:pPr>
    </w:p>
    <w:p>
      <w:pPr>
        <w:ind w:right="80"/>
        <w:spacing w:after="0" w:line="314" w:lineRule="auto"/>
        <w:rPr>
          <w:sz w:val="20"/>
          <w:szCs w:val="20"/>
          <w:color w:val="auto"/>
        </w:rPr>
      </w:pPr>
      <w:r>
        <w:rPr>
          <w:rFonts w:ascii="Arial" w:cs="Arial" w:eastAsia="Arial" w:hAnsi="Arial"/>
          <w:sz w:val="14"/>
          <w:szCs w:val="14"/>
          <w:color w:val="auto"/>
        </w:rPr>
        <w:t>A tradename is considered impaired if the estimated fair value of the tradename is less than the carrying amount. Impairment reviews for an indefinite-lived tradename can be conducted using qualitative analysis, and if necessary, by a qualitative impairment test. If a tradename is considered impaired, we recognize a loss equal to the difference between the carrying amount and the estimated fair value of the tradename. The process of estimating the fair value of a tradename incorporates the relief-from-royalty method, which requires us to make assumptions and to apply judgment, including forecasting future cash flows and selecting appropriate discount and royalty rates.</w:t>
      </w:r>
    </w:p>
    <w:p>
      <w:pPr>
        <w:spacing w:after="0" w:line="13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 deterioration of macroeconomic conditions may not only negatively impact the estimated operating cash flows used in our cash flow models, but may also negatively impact other assumptions used in our analysis, including, but not limited to, the estimated cost of capital and/or discount rates. Additionally, we are required to ensure that assumptions used to determine fair value in our analysis are consistent with the assumptions a hypothetical marketplace participant would use. As a result, the cost of capital and/or discount rates used in our analysis may increase or decrease based on market conditions and trends, regardless of whether our actual cost of capital has changed. Therefore, we may recognize an impairment of an intangible asset or assets even though realized actual cash flows are approximately equal to or greater than our previously forecast amounts.</w:t>
      </w:r>
    </w:p>
    <w:p>
      <w:pPr>
        <w:spacing w:after="0" w:line="16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Based upon our most recent assessment, performed as of December 30, 2017, there were no impairments in the values of goodwill or indefinite-lived tradename assets and no reporting units were at risk for impairment.</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ACCRUED EXPENSES</w:t>
      </w:r>
    </w:p>
    <w:p>
      <w:pPr>
        <w:spacing w:after="0" w:line="207" w:lineRule="exact"/>
        <w:rPr>
          <w:sz w:val="20"/>
          <w:szCs w:val="20"/>
          <w:color w:val="auto"/>
        </w:rPr>
      </w:pPr>
    </w:p>
    <w:p>
      <w:pPr>
        <w:ind w:right="60"/>
        <w:spacing w:after="0" w:line="360" w:lineRule="auto"/>
        <w:rPr>
          <w:sz w:val="20"/>
          <w:szCs w:val="20"/>
          <w:color w:val="auto"/>
        </w:rPr>
      </w:pPr>
      <w:r>
        <w:rPr>
          <w:rFonts w:ascii="Arial" w:cs="Arial" w:eastAsia="Arial" w:hAnsi="Arial"/>
          <w:sz w:val="14"/>
          <w:szCs w:val="14"/>
          <w:color w:val="auto"/>
        </w:rPr>
        <w:t>Accrued expenses for workers’ compensation, incentive compensation, health insurance, 401(k), and other outstanding obligations are assessed based on actual commitments, statistical trends, and/or estimates based on projections and current expectations, and these estimates are updated periodically as additional information becomes available.</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LOSS CONTINGENCIES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3" w:right="239" w:bottom="1440" w:gutter="0" w:footer="0" w:header="0"/>
        </w:sectPr>
      </w:pPr>
    </w:p>
    <w:bookmarkStart w:id="49" w:name="page50"/>
    <w:bookmarkEnd w:id="49"/>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We record accruals for various contingencies including legal exposures as they arise in the normal course of business. We determine whether to disclose and accrue for loss contingencies based on an assessment of whether the risk of loss is remote, reasonably possible, or probable. Our assessment is developed in consultation with our internal and external counsel and other advisors and is based on an analysis of possible outcomes under various strategies. Loss contingency assumptions involve judgments that are inherently subjective and can involve matters that are in litigation, which, by their nature are unpredictable. We believe that our assessment of the probability of loss contingencies is reasonable.</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INCOME TAXES</w:t>
      </w:r>
    </w:p>
    <w:p>
      <w:pPr>
        <w:spacing w:after="0" w:line="207" w:lineRule="exact"/>
        <w:rPr>
          <w:sz w:val="20"/>
          <w:szCs w:val="20"/>
          <w:color w:val="auto"/>
        </w:rPr>
      </w:pPr>
    </w:p>
    <w:p>
      <w:pPr>
        <w:ind w:right="80"/>
        <w:spacing w:after="0" w:line="308" w:lineRule="auto"/>
        <w:rPr>
          <w:sz w:val="20"/>
          <w:szCs w:val="20"/>
          <w:color w:val="auto"/>
        </w:rPr>
      </w:pPr>
      <w:r>
        <w:rPr>
          <w:rFonts w:ascii="Arial" w:cs="Arial" w:eastAsia="Arial" w:hAnsi="Arial"/>
          <w:sz w:val="14"/>
          <w:szCs w:val="14"/>
          <w:color w:val="auto"/>
        </w:rPr>
        <w:t>As part of the process of preparing the accompanying consolidated financial statements, we are required to estimate our actual current tax exposure (state, federal, and foreign). We assess our income tax positions and record tax benefits for all years subject to examination based upon management’s evaluation of the facts, circumstances, and information available at the reporting dates. We determine whether it is "more likely than not" that a tax position will be sustained upon the examination by the appropriate taxing authorities before any part of the benefit can be recorded in the financial statements. For those income tax positions where it is not "more likely than not" that a tax benefit will be sustained, no tax benefit has been recognized in the financial statements. Where applicable, associated interest and penalties are also recognized.</w:t>
      </w:r>
    </w:p>
    <w:p>
      <w:pPr>
        <w:spacing w:after="0" w:line="14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also assess permanent and temporary differences resulting from differing bases and treatment of items for tax and accounting purposes, such as the carrying value of intangibles, deductibility of expenses, depreciation of property, plant, and equipment, stock-based compensation expense, and valuation of inventories. Temporary differences result in deferred tax assets and liabilities, which are included within our consolidated balance sheets. We must then assess the likelihood that our deferred tax assets will be recovered from future taxable income. Actual results could differ from this assessment if sufficient taxable income is not generated in future periods. To the extent we determine the need to establish a valuation allowance or increase such allowance in a period, we must include an expense within the tax provision in the accompanying consolidated statements of operations.</w:t>
      </w:r>
    </w:p>
    <w:p>
      <w:pPr>
        <w:spacing w:after="0" w:line="16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 xml:space="preserve">For current and deferred tax provisions, ASC 740 requires entities to account for the effects of new income tax legislation in the same reporting period that the tax legislation is enacted. For recent tax law changes known as the U.S. Tax Cuts and Jobs Act of 2017 (the "2017 Act") enacted on December 22, 2017, SEC Staff Accounting Bulletin No. 118, </w:t>
      </w:r>
      <w:r>
        <w:rPr>
          <w:rFonts w:ascii="Arial" w:cs="Arial" w:eastAsia="Arial" w:hAnsi="Arial"/>
          <w:sz w:val="16"/>
          <w:szCs w:val="16"/>
          <w:i w:val="1"/>
          <w:iCs w:val="1"/>
          <w:color w:val="auto"/>
        </w:rPr>
        <w:t>Income Tax Accounting Implications of the Tax Cuts and Jobs Act</w:t>
      </w:r>
      <w:r>
        <w:rPr>
          <w:rFonts w:ascii="Arial" w:cs="Arial" w:eastAsia="Arial" w:hAnsi="Arial"/>
          <w:sz w:val="16"/>
          <w:szCs w:val="16"/>
          <w:color w:val="auto"/>
        </w:rPr>
        <w:t xml:space="preserve">, permits us to calculate and recognize provisional tax estimates for our fourth quarter of fiscal 2017 for the accounting related to the enactment of the 2017 Act. Any subsequent adjustments to the provisional estimates will be reflected in our income tax provisions/benefits during one or more periods in fiscal 2018. Additional information is contained in Item 8 "Financial Statements and Supplementary Data” under Note 11, </w:t>
      </w:r>
      <w:r>
        <w:rPr>
          <w:rFonts w:ascii="Arial" w:cs="Arial" w:eastAsia="Arial" w:hAnsi="Arial"/>
          <w:sz w:val="16"/>
          <w:szCs w:val="16"/>
          <w:i w:val="1"/>
          <w:iCs w:val="1"/>
          <w:color w:val="auto"/>
        </w:rPr>
        <w:t>Income Taxes</w:t>
      </w:r>
      <w:r>
        <w:rPr>
          <w:rFonts w:ascii="Arial" w:cs="Arial" w:eastAsia="Arial" w:hAnsi="Arial"/>
          <w:sz w:val="16"/>
          <w:szCs w:val="16"/>
          <w:color w:val="auto"/>
        </w:rPr>
        <w:t>, to the consolidated financial statements.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functional currency of substantially all of our foreign operations is the local currency.</w:t>
      </w:r>
    </w:p>
    <w:p>
      <w:pPr>
        <w:spacing w:after="0" w:line="207" w:lineRule="exact"/>
        <w:rPr>
          <w:sz w:val="20"/>
          <w:szCs w:val="20"/>
          <w:color w:val="auto"/>
        </w:rPr>
      </w:pPr>
    </w:p>
    <w:p>
      <w:pPr>
        <w:ind w:right="420"/>
        <w:spacing w:after="0" w:line="270" w:lineRule="auto"/>
        <w:rPr>
          <w:sz w:val="20"/>
          <w:szCs w:val="20"/>
          <w:color w:val="auto"/>
        </w:rPr>
      </w:pPr>
      <w:r>
        <w:rPr>
          <w:rFonts w:ascii="Arial" w:cs="Arial" w:eastAsia="Arial" w:hAnsi="Arial"/>
          <w:sz w:val="16"/>
          <w:szCs w:val="16"/>
          <w:color w:val="auto"/>
        </w:rPr>
        <w:t>Assets and liabilities are translated into U.S. dollars using the current exchange rates in effect at the balance sheet date, while revenues and expenses are translated at the average exchange rates for the period. The resulting translation adjustments are recorded as a component of accumulated other comprehensive income (loss) within stockholders’ equity.</w:t>
      </w:r>
    </w:p>
    <w:p>
      <w:pPr>
        <w:spacing w:after="0" w:line="162" w:lineRule="exact"/>
        <w:rPr>
          <w:sz w:val="20"/>
          <w:szCs w:val="20"/>
          <w:color w:val="auto"/>
        </w:rPr>
      </w:pPr>
    </w:p>
    <w:p>
      <w:pPr>
        <w:jc w:val="both"/>
        <w:ind w:right="20"/>
        <w:spacing w:after="0" w:line="296" w:lineRule="auto"/>
        <w:rPr>
          <w:sz w:val="20"/>
          <w:szCs w:val="20"/>
          <w:color w:val="auto"/>
        </w:rPr>
      </w:pPr>
      <w:r>
        <w:rPr>
          <w:rFonts w:ascii="Arial" w:cs="Arial" w:eastAsia="Arial" w:hAnsi="Arial"/>
          <w:sz w:val="15"/>
          <w:szCs w:val="15"/>
          <w:color w:val="auto"/>
        </w:rPr>
        <w:t>Transaction gains and losses, such as those resulting from the settlement of nonfunctional currency receivables and payables, including intercompany balances, are included in foreign currency gain or loss in our consolidated statements of operations. Additionally, payable and receivable balances denominated in nonfunctional currencies are marked-to-market at the end of each reporting period, and the gain or loss is recognized in our consolidated statements of operations.</w:t>
      </w:r>
    </w:p>
    <w:p>
      <w:pPr>
        <w:spacing w:after="0" w:line="144"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As part of our overall strategy to manage the level of exposure to the risk of foreign currency exchange rate fluctuations, primarily between the U.S. dollar and the currencies of Canada and Mexico, we may use foreign currency forward contracts to hedge purchases that are made in U.S. dollars, primarily for inventory purchases in our Canadian and Mexican businesses. As part of a hedging strategy, we may use foreign currency forward exchange contracts that typically have maturities of less than 12 months and provide continuing coverage throughout the hedging period. These contracts are not designated for hedge accounting treatment, and therefore changes in the fair value of these contracts are recorded in our consolidated statement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3" w:right="239" w:bottom="1440" w:gutter="0" w:footer="0" w:header="0"/>
        </w:sectPr>
      </w:pPr>
    </w:p>
    <w:bookmarkStart w:id="50" w:name="page51"/>
    <w:bookmarkEnd w:id="50"/>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operations. Such foreign currency gains and losses include the mark-to-market fair value adjustments at the end of each reporting period related to any open contracts, as well as any realized gains and losses on contracts settled during the reporting period. Fair values for open contracts are calculated by using readily observable market inputs (market-quoted currency exchange rates), classified as Level 2 within the fair value hierarchy. At December 30, 2017, our unsettled foreign currency forward contracts were not material.</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BENEFIT PLANS</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sponsor a frozen defined benefit pension plan and other unfunded post-retirement plans. The defined benefit pension and post-retirement plans require an actuarial valuation to determine plan obligations, and related periodic costs. Plan valuations require economic assumptions, including expected rates of return on plan assets, discount rates to value plan obligations and employee demographic assumptions including mortality rates. The actuarial assumptions used may differ materially from actual results due to changing market and economic conditions. Actual results that differ from the actuarial assumptions are reflected as unrecognized gains and losses. Unrecognized gains and losses that exceed 10% of the greater of the plan’s projected benefit obligations or market value of assets are amortized to earnings over the estimated service life of the remaining plan participants.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Any future obligation under our pension plan not funded from investment returns on plan assets are expected to be funded from cash flows from operations.</w:t>
      </w:r>
    </w:p>
    <w:p>
      <w:pPr>
        <w:spacing w:after="0" w:line="207" w:lineRule="exact"/>
        <w:rPr>
          <w:sz w:val="20"/>
          <w:szCs w:val="20"/>
          <w:color w:val="auto"/>
        </w:rPr>
      </w:pPr>
    </w:p>
    <w:p>
      <w:pPr>
        <w:ind w:right="120"/>
        <w:spacing w:after="0" w:line="320" w:lineRule="auto"/>
        <w:rPr>
          <w:sz w:val="20"/>
          <w:szCs w:val="20"/>
          <w:color w:val="auto"/>
        </w:rPr>
      </w:pPr>
      <w:r>
        <w:rPr>
          <w:rFonts w:ascii="Arial" w:cs="Arial" w:eastAsia="Arial" w:hAnsi="Arial"/>
          <w:sz w:val="15"/>
          <w:szCs w:val="15"/>
          <w:color w:val="auto"/>
        </w:rPr>
        <w:t xml:space="preserve">The most significant assumption used to determine the Company's projected benefit obligation under its defined benefit plans is the discount rate. For further details on rates and assumptions, see Item 8 "Financial Statements and Supplementary Data” under Note 10, </w:t>
      </w:r>
      <w:r>
        <w:rPr>
          <w:rFonts w:ascii="Arial" w:cs="Arial" w:eastAsia="Arial" w:hAnsi="Arial"/>
          <w:sz w:val="15"/>
          <w:szCs w:val="15"/>
          <w:i w:val="1"/>
          <w:iCs w:val="1"/>
          <w:color w:val="auto"/>
        </w:rPr>
        <w:t>Employee Benefit Plans</w:t>
      </w:r>
      <w:r>
        <w:rPr>
          <w:rFonts w:ascii="Arial" w:cs="Arial" w:eastAsia="Arial" w:hAnsi="Arial"/>
          <w:sz w:val="15"/>
          <w:szCs w:val="15"/>
          <w:color w:val="auto"/>
        </w:rPr>
        <w:t>, to the consolidated financial statements.</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ARRANGEMENTS</w:t>
      </w:r>
    </w:p>
    <w:p>
      <w:pPr>
        <w:spacing w:after="0" w:line="207"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We account for the cost resulting from stock-based compensation arrangements at grant date fair value, utilizing the Black-Scholes option pricing model, which requires the use of subjective assumptions. These assumptions include the following:</w:t>
      </w:r>
    </w:p>
    <w:p>
      <w:pPr>
        <w:spacing w:after="0" w:line="150"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i w:val="1"/>
          <w:iCs w:val="1"/>
          <w:color w:val="auto"/>
        </w:rPr>
        <w:t xml:space="preserve">Volatility </w:t>
      </w:r>
      <w:r>
        <w:rPr>
          <w:rFonts w:ascii="Arial" w:cs="Arial" w:eastAsia="Arial" w:hAnsi="Arial"/>
          <w:sz w:val="16"/>
          <w:szCs w:val="16"/>
          <w:color w:val="auto"/>
        </w:rPr>
        <w:t>– This is a measure of the amount by which a stock price has fluctuated or is expected to fluctuate. We use actual monthly historical changes in the market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stock covering the expected life of stock options being valued. An increase in the expected volatility will increase the fair value of the stock option and related compensation expense.</w:t>
      </w:r>
    </w:p>
    <w:p>
      <w:pPr>
        <w:spacing w:after="0" w:line="162"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 This is the U.S. Treasury rate as of the grant date having a term equal to the expected term of the stock option. An increase in the risk-free interest rate</w:t>
      </w:r>
      <w:r>
        <w:rPr>
          <w:rFonts w:ascii="Arial" w:cs="Arial" w:eastAsia="Arial" w:hAnsi="Arial"/>
          <w:sz w:val="16"/>
          <w:szCs w:val="16"/>
          <w:i w:val="1"/>
          <w:iCs w:val="1"/>
          <w:color w:val="auto"/>
        </w:rPr>
        <w:t xml:space="preserve"> </w:t>
      </w:r>
      <w:r>
        <w:rPr>
          <w:rFonts w:ascii="Arial" w:cs="Arial" w:eastAsia="Arial" w:hAnsi="Arial"/>
          <w:sz w:val="16"/>
          <w:szCs w:val="16"/>
          <w:color w:val="auto"/>
        </w:rPr>
        <w:t>will increase the fair value of the stock option and related compensation expense.</w:t>
      </w:r>
    </w:p>
    <w:p>
      <w:pPr>
        <w:spacing w:after="0" w:line="150"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This is the period of time over which the stock options granted are expected to remain outstanding and is based on historical experience and estimated future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behavior. Separate groups of employees that have similar historical exercise behavior are considered separately for valuation purposes. An increase in the expected term will increase the fair value of the stock option and related compensation expense.</w:t>
      </w:r>
    </w:p>
    <w:p>
      <w:pPr>
        <w:spacing w:after="0" w:line="16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color w:val="auto"/>
        </w:rPr>
        <w:t xml:space="preserve">Dividend yield </w:t>
      </w:r>
      <w:r>
        <w:rPr>
          <w:rFonts w:ascii="Arial" w:cs="Arial" w:eastAsia="Arial" w:hAnsi="Arial"/>
          <w:sz w:val="16"/>
          <w:szCs w:val="16"/>
          <w:color w:val="auto"/>
        </w:rPr>
        <w:t>– We estimate a dividend yield based on the current dividend amount as a percentage of our current stock price. An increase in the dividend yield will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the stock option and related stock-based compensation expense.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Forfeitures </w:t>
      </w:r>
      <w:r>
        <w:rPr>
          <w:rFonts w:ascii="Arial" w:cs="Arial" w:eastAsia="Arial" w:hAnsi="Arial"/>
          <w:sz w:val="16"/>
          <w:szCs w:val="16"/>
          <w:color w:val="auto"/>
        </w:rPr>
        <w:t>– We estimate forfeitures of stock-based awards based on historical experience and expected future activity.</w:t>
      </w:r>
    </w:p>
    <w:p>
      <w:pPr>
        <w:spacing w:after="0" w:line="207"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Changes in the subjective assumptions can materially affect the estimate of fair value of stock-based compensation and consequently, the related amount recognized in the accompanying consolidated statements of operations.</w:t>
      </w:r>
    </w:p>
    <w:p>
      <w:pPr>
        <w:spacing w:after="0" w:line="150"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We account for performance-based awards over the vesting term of the awards that are expected to vest based on whether it is probable that the performance criteria will be achieved. We reassess the probability of vesting at each reporting period for awards with performance criteria and adjust stock-based compensation expense based on the probability assessments.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380"/>
          </w:cols>
          <w:pgMar w:left="240" w:top="123" w:right="279" w:bottom="1440" w:gutter="0" w:footer="0" w:header="0"/>
        </w:sectPr>
      </w:pPr>
    </w:p>
    <w:bookmarkStart w:id="51" w:name="page52"/>
    <w:bookmarkEnd w:id="51"/>
    <w:p>
      <w:pPr>
        <w:spacing w:after="0"/>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(Continued)</w:t>
      </w:r>
    </w:p>
    <w:p>
      <w:pPr>
        <w:spacing w:after="0" w:line="200" w:lineRule="exact"/>
        <w:rPr>
          <w:sz w:val="20"/>
          <w:szCs w:val="20"/>
          <w:color w:val="auto"/>
        </w:rPr>
      </w:pPr>
    </w:p>
    <w:p>
      <w:pPr>
        <w:spacing w:after="0" w:line="231"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During the requisite service period, we recognize a deferred income tax benefit for the expense recognized for U.S. GAAP. At time of subsequent vest, exercise, forfeiture, or expiration of an award, the difference between our actual income tax deduction, if any, and the previously accrued income tax benefit is recognized in our income tax expense/benefit during the current period.</w:t>
      </w:r>
    </w:p>
    <w:p>
      <w:pPr>
        <w:spacing w:after="0" w:line="200" w:lineRule="exact"/>
        <w:rPr>
          <w:sz w:val="20"/>
          <w:szCs w:val="20"/>
          <w:color w:val="auto"/>
        </w:rPr>
      </w:pPr>
    </w:p>
    <w:p>
      <w:pPr>
        <w:spacing w:after="0" w:line="349"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7A.</w:t>
        <w:tab/>
        <w:t>QUANTITATIVE AND QUALITATIVE DISCLOSURES ABOUT MARKET RISK</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CURRENCY AND INTEREST RATE RISKS</w:t>
      </w:r>
    </w:p>
    <w:p>
      <w:pPr>
        <w:spacing w:after="0" w:line="211" w:lineRule="exact"/>
        <w:rPr>
          <w:sz w:val="20"/>
          <w:szCs w:val="20"/>
          <w:color w:val="auto"/>
        </w:rPr>
      </w:pPr>
    </w:p>
    <w:p>
      <w:pPr>
        <w:ind w:right="3380"/>
        <w:spacing w:after="0" w:line="285" w:lineRule="auto"/>
        <w:rPr>
          <w:sz w:val="20"/>
          <w:szCs w:val="20"/>
          <w:color w:val="auto"/>
        </w:rPr>
      </w:pPr>
      <w:r>
        <w:rPr>
          <w:rFonts w:ascii="Arial" w:cs="Arial" w:eastAsia="Arial" w:hAnsi="Arial"/>
          <w:sz w:val="16"/>
          <w:szCs w:val="16"/>
          <w:color w:val="auto"/>
        </w:rPr>
        <w:t>In the operation of our business, we have market risk exposures including those related to foreign currency risk and interest rates. These risks, and our strategies to manage our exposure to them, are discussed below.</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Currency Risk</w:t>
      </w:r>
    </w:p>
    <w:p>
      <w:pPr>
        <w:spacing w:after="0" w:line="207"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 S. dollar and the local currencies of these contractors. Due to the number of currencies involved, we cannot quantify the potential impact that future currency fluctuations may have on our results of operations in future periods.</w:t>
      </w:r>
    </w:p>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foreign subsidiaries typically record sales denominated in currencies other than the U.S. dollar, which are then translated into U.S. dollars using weighted-average exchange rates. The changes in foreign currency exchange rates in fiscal 2017, compared to fiscal 2016, positively affected our International segment's net sales by approximately $6.6 million.</w:t>
      </w:r>
    </w:p>
    <w:p>
      <w:pPr>
        <w:spacing w:after="0" w:line="162" w:lineRule="exact"/>
        <w:rPr>
          <w:sz w:val="20"/>
          <w:szCs w:val="20"/>
          <w:color w:val="auto"/>
        </w:rPr>
      </w:pPr>
    </w:p>
    <w:p>
      <w:pPr>
        <w:jc w:val="both"/>
        <w:spacing w:after="0" w:line="326" w:lineRule="auto"/>
        <w:rPr>
          <w:sz w:val="20"/>
          <w:szCs w:val="20"/>
          <w:color w:val="auto"/>
        </w:rPr>
      </w:pPr>
      <w:r>
        <w:rPr>
          <w:rFonts w:ascii="Arial" w:cs="Arial" w:eastAsia="Arial" w:hAnsi="Arial"/>
          <w:sz w:val="14"/>
          <w:szCs w:val="14"/>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noncurrent intercompany loans with foreign subsidiaries that are marked to market. In our statement of operations, these gains and losses are recorded within other expense, net.</w:t>
      </w:r>
    </w:p>
    <w:p>
      <w:pPr>
        <w:spacing w:after="0" w:line="126"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As part of our overall strategy to manage the level of exposure to the risk of foreign currency exchange rate fluctuations, primarily between the U.S. dollar and currencies of Canada and Mexico, we may use foreign currency forward contracts to hedge purchases that are made in U.S. dollars, primarily for inventory purchases for our Canadian and Mexican operations. As part of this hedging strategy, we have used foreign currency forward exchange contracts with maturities of less than 12 months to provide coverage throughout the hedging period.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Risk</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Our operating results are subject to risk from interest rate fluctuations on our amended revolving credit facility, which carries</w:t>
      </w:r>
    </w:p>
    <w:p>
      <w:pPr>
        <w:spacing w:after="0" w:line="23" w:lineRule="exact"/>
        <w:rPr>
          <w:sz w:val="20"/>
          <w:szCs w:val="20"/>
          <w:color w:val="auto"/>
        </w:rPr>
      </w:pPr>
    </w:p>
    <w:p>
      <w:pPr>
        <w:ind w:right="360"/>
        <w:spacing w:after="0" w:line="304" w:lineRule="auto"/>
        <w:rPr>
          <w:sz w:val="20"/>
          <w:szCs w:val="20"/>
          <w:color w:val="auto"/>
        </w:rPr>
      </w:pPr>
      <w:r>
        <w:rPr>
          <w:rFonts w:ascii="Arial" w:cs="Arial" w:eastAsia="Arial" w:hAnsi="Arial"/>
          <w:sz w:val="15"/>
          <w:szCs w:val="15"/>
          <w:color w:val="auto"/>
        </w:rPr>
        <w:t>variable interest rates. Weighted-average variable rate borrowings for the fiscal year ended December 30, 2017 were $252.9 million. An increase or decrease of 1% in the effective interest rate on that amount would have increased or decreased our annual pretax interest cost for fiscal 2017 by approximately $2.5 million.</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RISKS</w:t>
      </w:r>
    </w:p>
    <w:p>
      <w:pPr>
        <w:spacing w:after="0" w:line="211" w:lineRule="exact"/>
        <w:rPr>
          <w:sz w:val="20"/>
          <w:szCs w:val="20"/>
          <w:color w:val="auto"/>
        </w:rPr>
      </w:pPr>
    </w:p>
    <w:p>
      <w:pPr>
        <w:ind w:right="360"/>
        <w:spacing w:after="0" w:line="285" w:lineRule="auto"/>
        <w:rPr>
          <w:sz w:val="20"/>
          <w:szCs w:val="20"/>
          <w:color w:val="auto"/>
        </w:rPr>
      </w:pPr>
      <w:r>
        <w:rPr>
          <w:rFonts w:ascii="Arial" w:cs="Arial" w:eastAsia="Arial" w:hAnsi="Arial"/>
          <w:sz w:val="16"/>
          <w:szCs w:val="16"/>
          <w:color w:val="auto"/>
        </w:rPr>
        <w:t>We enter into various purchase order commitments with our suppliers. We can cancel these arrangements, although in some instances, we may be subject to a termination charge reflecting a percentage of work performed prior to cancellation.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3"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30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CARTER'S, INC.</w:t>
      </w:r>
    </w:p>
    <w:p>
      <w:pPr>
        <w:spacing w:after="0" w:line="10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200" w:lineRule="exact"/>
        <w:rPr>
          <w:sz w:val="20"/>
          <w:szCs w:val="20"/>
          <w:color w:val="auto"/>
        </w:rPr>
      </w:pPr>
    </w:p>
    <w:p>
      <w:pPr>
        <w:spacing w:after="0" w:line="341"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85"/>
              </w:rPr>
              <w:t>Page</w:t>
            </w:r>
          </w:p>
        </w:tc>
      </w:tr>
      <w:tr>
        <w:trPr>
          <w:trHeight w:val="225"/>
        </w:trPr>
        <w:tc>
          <w:tcPr>
            <w:tcW w:w="8680" w:type="dxa"/>
            <w:vAlign w:val="bottom"/>
            <w:gridSpan w:val="11"/>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Report of Independent Registered Public Accounting Firm</w:t>
              </w:r>
            </w:hyperlink>
          </w:p>
        </w:tc>
        <w:tc>
          <w:tcPr>
            <w:tcW w:w="320" w:type="dxa"/>
            <w:vAlign w:val="bottom"/>
            <w:gridSpan w:val="3"/>
          </w:tcPr>
          <w:p>
            <w:pPr>
              <w:jc w:val="center"/>
              <w:spacing w:after="0"/>
              <w:rPr>
                <w:rFonts w:ascii="Arial" w:cs="Arial" w:eastAsia="Arial" w:hAnsi="Arial"/>
                <w:sz w:val="16"/>
                <w:szCs w:val="16"/>
                <w:color w:val="0000FF"/>
                <w:w w:val="89"/>
              </w:rPr>
            </w:pPr>
            <w:hyperlink w:anchor="page54">
              <w:r>
                <w:rPr>
                  <w:rFonts w:ascii="Arial" w:cs="Arial" w:eastAsia="Arial" w:hAnsi="Arial"/>
                  <w:sz w:val="16"/>
                  <w:szCs w:val="16"/>
                  <w:color w:val="0000FF"/>
                  <w:w w:val="89"/>
                </w:rPr>
                <w:t>51</w:t>
              </w:r>
            </w:hyperlink>
          </w:p>
        </w:tc>
      </w:tr>
      <w:tr>
        <w:trPr>
          <w:trHeight w:val="20"/>
        </w:trPr>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980" w:type="dxa"/>
            <w:vAlign w:val="bottom"/>
            <w:gridSpan w:val="6"/>
          </w:tcPr>
          <w:p>
            <w:pPr>
              <w:spacing w:after="0"/>
              <w:rPr>
                <w:sz w:val="20"/>
                <w:szCs w:val="20"/>
                <w:color w:val="auto"/>
              </w:rPr>
            </w:pPr>
            <w:r>
              <w:rPr>
                <w:rFonts w:ascii="Arial" w:cs="Arial" w:eastAsia="Arial" w:hAnsi="Arial"/>
                <w:sz w:val="16"/>
                <w:szCs w:val="16"/>
                <w:color w:val="0000FF"/>
                <w:w w:val="90"/>
              </w:rPr>
              <w:t>Consolidated Balance Sheets at December 30, 2017 and December 31, 2016</w:t>
            </w:r>
          </w:p>
        </w:tc>
        <w:tc>
          <w:tcPr>
            <w:tcW w:w="3700" w:type="dxa"/>
            <w:vAlign w:val="bottom"/>
            <w:gridSpan w:val="5"/>
          </w:tcPr>
          <w:p>
            <w:pPr>
              <w:spacing w:after="0"/>
              <w:rPr>
                <w:sz w:val="19"/>
                <w:szCs w:val="19"/>
                <w:color w:val="auto"/>
              </w:rPr>
            </w:pPr>
          </w:p>
        </w:tc>
        <w:tc>
          <w:tcPr>
            <w:tcW w:w="320" w:type="dxa"/>
            <w:vAlign w:val="bottom"/>
            <w:gridSpan w:val="3"/>
          </w:tcPr>
          <w:p>
            <w:pPr>
              <w:jc w:val="center"/>
              <w:spacing w:after="0"/>
              <w:rPr>
                <w:rFonts w:ascii="Arial" w:cs="Arial" w:eastAsia="Arial" w:hAnsi="Arial"/>
                <w:sz w:val="16"/>
                <w:szCs w:val="16"/>
                <w:color w:val="0000FF"/>
                <w:w w:val="89"/>
              </w:rPr>
            </w:pPr>
            <w:hyperlink w:anchor="page56">
              <w:r>
                <w:rPr>
                  <w:rFonts w:ascii="Arial" w:cs="Arial" w:eastAsia="Arial" w:hAnsi="Arial"/>
                  <w:sz w:val="16"/>
                  <w:szCs w:val="16"/>
                  <w:color w:val="0000FF"/>
                  <w:w w:val="89"/>
                </w:rPr>
                <w:t>53</w:t>
              </w:r>
            </w:hyperlink>
          </w:p>
        </w:tc>
      </w:tr>
      <w:tr>
        <w:trPr>
          <w:trHeight w:val="20"/>
        </w:trPr>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8680" w:type="dxa"/>
            <w:vAlign w:val="bottom"/>
            <w:gridSpan w:val="11"/>
          </w:tcPr>
          <w:p>
            <w:pPr>
              <w:spacing w:after="0"/>
              <w:rPr>
                <w:sz w:val="20"/>
                <w:szCs w:val="20"/>
                <w:color w:val="auto"/>
              </w:rPr>
            </w:pPr>
            <w:r>
              <w:rPr>
                <w:rFonts w:ascii="Arial" w:cs="Arial" w:eastAsia="Arial" w:hAnsi="Arial"/>
                <w:sz w:val="16"/>
                <w:szCs w:val="16"/>
                <w:color w:val="0000FF"/>
                <w:w w:val="99"/>
              </w:rPr>
              <w:t>Consolidated Statements of Operations for the fiscal years ended December 30, 2017, December 31, 2016, and January 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6"/>
        </w:trPr>
        <w:tc>
          <w:tcPr>
            <w:tcW w:w="340" w:type="dxa"/>
            <w:vAlign w:val="bottom"/>
            <w:tcBorders>
              <w:top w:val="single" w:sz="8" w:color="0000FF"/>
            </w:tcBorders>
          </w:tcPr>
          <w:p>
            <w:pPr>
              <w:spacing w:after="0" w:line="176" w:lineRule="exact"/>
              <w:rPr>
                <w:sz w:val="20"/>
                <w:szCs w:val="20"/>
                <w:color w:val="auto"/>
              </w:rPr>
            </w:pPr>
            <w:r>
              <w:rPr>
                <w:rFonts w:ascii="Arial" w:cs="Arial" w:eastAsia="Arial" w:hAnsi="Arial"/>
                <w:sz w:val="16"/>
                <w:szCs w:val="16"/>
                <w:color w:val="0000FF"/>
                <w:w w:val="89"/>
              </w:rPr>
              <w:t>2016</w:t>
            </w:r>
          </w:p>
        </w:tc>
        <w:tc>
          <w:tcPr>
            <w:tcW w:w="70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1140" w:type="dxa"/>
            <w:vAlign w:val="bottom"/>
            <w:tcBorders>
              <w:top w:val="single" w:sz="8" w:color="0000FF"/>
            </w:tcBorders>
          </w:tcPr>
          <w:p>
            <w:pPr>
              <w:spacing w:after="0"/>
              <w:rPr>
                <w:sz w:val="15"/>
                <w:szCs w:val="15"/>
                <w:color w:val="auto"/>
              </w:rPr>
            </w:pPr>
          </w:p>
        </w:tc>
        <w:tc>
          <w:tcPr>
            <w:tcW w:w="96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29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gridSpan w:val="3"/>
          </w:tcPr>
          <w:p>
            <w:pPr>
              <w:jc w:val="center"/>
              <w:spacing w:after="0" w:line="176" w:lineRule="exact"/>
              <w:rPr>
                <w:rFonts w:ascii="Arial" w:cs="Arial" w:eastAsia="Arial" w:hAnsi="Arial"/>
                <w:sz w:val="16"/>
                <w:szCs w:val="16"/>
                <w:color w:val="0000FF"/>
                <w:w w:val="89"/>
              </w:rPr>
            </w:pPr>
            <w:hyperlink w:anchor="page57">
              <w:r>
                <w:rPr>
                  <w:rFonts w:ascii="Arial" w:cs="Arial" w:eastAsia="Arial" w:hAnsi="Arial"/>
                  <w:sz w:val="16"/>
                  <w:szCs w:val="16"/>
                  <w:color w:val="0000FF"/>
                  <w:w w:val="89"/>
                </w:rPr>
                <w:t>54</w:t>
              </w:r>
            </w:hyperlink>
          </w:p>
        </w:tc>
      </w:tr>
      <w:tr>
        <w:trPr>
          <w:trHeight w:val="20"/>
        </w:trPr>
        <w:tc>
          <w:tcPr>
            <w:tcW w:w="3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808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91"/>
              </w:rPr>
              <w:t>Consolidated Statements of Comprehensive Income for the fiscal years ended December 30, 2017, December 31, 2016, and</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6"/>
        </w:trPr>
        <w:tc>
          <w:tcPr>
            <w:tcW w:w="8680" w:type="dxa"/>
            <w:vAlign w:val="bottom"/>
            <w:gridSpan w:val="11"/>
          </w:tcPr>
          <w:p>
            <w:pPr>
              <w:spacing w:after="0" w:line="176" w:lineRule="exact"/>
              <w:rPr>
                <w:sz w:val="20"/>
                <w:szCs w:val="20"/>
                <w:color w:val="auto"/>
              </w:rPr>
            </w:pPr>
            <w:r>
              <w:rPr>
                <w:rFonts w:ascii="Arial" w:cs="Arial" w:eastAsia="Arial" w:hAnsi="Arial"/>
                <w:sz w:val="16"/>
                <w:szCs w:val="16"/>
                <w:color w:val="0000FF"/>
              </w:rPr>
              <w:t>January 2, 2016</w:t>
            </w:r>
          </w:p>
        </w:tc>
        <w:tc>
          <w:tcPr>
            <w:tcW w:w="320" w:type="dxa"/>
            <w:vAlign w:val="bottom"/>
            <w:gridSpan w:val="3"/>
          </w:tcPr>
          <w:p>
            <w:pPr>
              <w:jc w:val="center"/>
              <w:spacing w:after="0" w:line="176" w:lineRule="exact"/>
              <w:rPr>
                <w:rFonts w:ascii="Arial" w:cs="Arial" w:eastAsia="Arial" w:hAnsi="Arial"/>
                <w:sz w:val="16"/>
                <w:szCs w:val="16"/>
                <w:color w:val="0000FF"/>
                <w:w w:val="89"/>
              </w:rPr>
            </w:pPr>
            <w:hyperlink w:anchor="page58">
              <w:r>
                <w:rPr>
                  <w:rFonts w:ascii="Arial" w:cs="Arial" w:eastAsia="Arial" w:hAnsi="Arial"/>
                  <w:sz w:val="16"/>
                  <w:szCs w:val="16"/>
                  <w:color w:val="0000FF"/>
                  <w:w w:val="89"/>
                </w:rPr>
                <w:t>55</w:t>
              </w:r>
            </w:hyperlink>
          </w:p>
        </w:tc>
      </w:tr>
      <w:tr>
        <w:trPr>
          <w:trHeight w:val="20"/>
        </w:trPr>
        <w:tc>
          <w:tcPr>
            <w:tcW w:w="104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8680" w:type="dxa"/>
            <w:vAlign w:val="bottom"/>
            <w:gridSpan w:val="11"/>
          </w:tcPr>
          <w:p>
            <w:pPr>
              <w:spacing w:after="0"/>
              <w:rPr>
                <w:sz w:val="20"/>
                <w:szCs w:val="20"/>
                <w:color w:val="auto"/>
              </w:rPr>
            </w:pPr>
            <w:r>
              <w:rPr>
                <w:rFonts w:ascii="Arial" w:cs="Arial" w:eastAsia="Arial" w:hAnsi="Arial"/>
                <w:sz w:val="16"/>
                <w:szCs w:val="16"/>
                <w:color w:val="0000FF"/>
                <w:w w:val="98"/>
              </w:rPr>
              <w:t>Consolidated Statements of Cash Flows for the fiscal years ended December 30, 2017, December 31, 2016, and January 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6"/>
        </w:trPr>
        <w:tc>
          <w:tcPr>
            <w:tcW w:w="340" w:type="dxa"/>
            <w:vAlign w:val="bottom"/>
            <w:tcBorders>
              <w:top w:val="single" w:sz="8" w:color="0000FF"/>
            </w:tcBorders>
          </w:tcPr>
          <w:p>
            <w:pPr>
              <w:spacing w:after="0" w:line="176" w:lineRule="exact"/>
              <w:rPr>
                <w:sz w:val="20"/>
                <w:szCs w:val="20"/>
                <w:color w:val="auto"/>
              </w:rPr>
            </w:pPr>
            <w:r>
              <w:rPr>
                <w:rFonts w:ascii="Arial" w:cs="Arial" w:eastAsia="Arial" w:hAnsi="Arial"/>
                <w:sz w:val="16"/>
                <w:szCs w:val="16"/>
                <w:color w:val="0000FF"/>
                <w:w w:val="89"/>
              </w:rPr>
              <w:t>2016</w:t>
            </w:r>
          </w:p>
        </w:tc>
        <w:tc>
          <w:tcPr>
            <w:tcW w:w="70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1140" w:type="dxa"/>
            <w:vAlign w:val="bottom"/>
            <w:tcBorders>
              <w:top w:val="single" w:sz="8" w:color="0000FF"/>
            </w:tcBorders>
          </w:tcPr>
          <w:p>
            <w:pPr>
              <w:spacing w:after="0"/>
              <w:rPr>
                <w:sz w:val="15"/>
                <w:szCs w:val="15"/>
                <w:color w:val="auto"/>
              </w:rPr>
            </w:pPr>
          </w:p>
        </w:tc>
        <w:tc>
          <w:tcPr>
            <w:tcW w:w="96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29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gridSpan w:val="3"/>
          </w:tcPr>
          <w:p>
            <w:pPr>
              <w:jc w:val="center"/>
              <w:spacing w:after="0" w:line="176" w:lineRule="exact"/>
              <w:rPr>
                <w:rFonts w:ascii="Arial" w:cs="Arial" w:eastAsia="Arial" w:hAnsi="Arial"/>
                <w:sz w:val="16"/>
                <w:szCs w:val="16"/>
                <w:color w:val="0000FF"/>
                <w:w w:val="89"/>
              </w:rPr>
            </w:pPr>
            <w:hyperlink w:anchor="page59">
              <w:r>
                <w:rPr>
                  <w:rFonts w:ascii="Arial" w:cs="Arial" w:eastAsia="Arial" w:hAnsi="Arial"/>
                  <w:sz w:val="16"/>
                  <w:szCs w:val="16"/>
                  <w:color w:val="0000FF"/>
                  <w:w w:val="89"/>
                </w:rPr>
                <w:t>56</w:t>
              </w:r>
            </w:hyperlink>
          </w:p>
        </w:tc>
      </w:tr>
      <w:tr>
        <w:trPr>
          <w:trHeight w:val="20"/>
        </w:trPr>
        <w:tc>
          <w:tcPr>
            <w:tcW w:w="34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8680" w:type="dxa"/>
            <w:vAlign w:val="bottom"/>
            <w:gridSpan w:val="11"/>
          </w:tcPr>
          <w:p>
            <w:pPr>
              <w:spacing w:after="0"/>
              <w:rPr>
                <w:sz w:val="20"/>
                <w:szCs w:val="20"/>
                <w:color w:val="auto"/>
              </w:rPr>
            </w:pPr>
            <w:r>
              <w:rPr>
                <w:rFonts w:ascii="Arial" w:cs="Arial" w:eastAsia="Arial" w:hAnsi="Arial"/>
                <w:sz w:val="16"/>
                <w:szCs w:val="16"/>
                <w:color w:val="0000FF"/>
                <w:w w:val="99"/>
              </w:rPr>
              <w:t>Consolidated Statements of Changes in Stockholders' Equity for the fiscal years ended December 30, 2017, December 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6"/>
        </w:trPr>
        <w:tc>
          <w:tcPr>
            <w:tcW w:w="7960" w:type="dxa"/>
            <w:vAlign w:val="bottom"/>
            <w:tcBorders>
              <w:top w:val="single" w:sz="8" w:color="0000FF"/>
            </w:tcBorders>
            <w:gridSpan w:val="8"/>
          </w:tcPr>
          <w:p>
            <w:pPr>
              <w:spacing w:after="0" w:line="176" w:lineRule="exact"/>
              <w:rPr>
                <w:sz w:val="20"/>
                <w:szCs w:val="20"/>
                <w:color w:val="auto"/>
              </w:rPr>
            </w:pPr>
            <w:r>
              <w:rPr>
                <w:rFonts w:ascii="Arial" w:cs="Arial" w:eastAsia="Arial" w:hAnsi="Arial"/>
                <w:sz w:val="16"/>
                <w:szCs w:val="16"/>
                <w:color w:val="0000FF"/>
              </w:rPr>
              <w:t>2016, and January 2, 2016</w:t>
            </w:r>
          </w:p>
        </w:tc>
        <w:tc>
          <w:tcPr>
            <w:tcW w:w="720" w:type="dxa"/>
            <w:vAlign w:val="bottom"/>
            <w:gridSpan w:val="3"/>
          </w:tcPr>
          <w:p>
            <w:pPr>
              <w:spacing w:after="0"/>
              <w:rPr>
                <w:sz w:val="15"/>
                <w:szCs w:val="15"/>
                <w:color w:val="auto"/>
              </w:rPr>
            </w:pPr>
          </w:p>
        </w:tc>
        <w:tc>
          <w:tcPr>
            <w:tcW w:w="320" w:type="dxa"/>
            <w:vAlign w:val="bottom"/>
            <w:gridSpan w:val="3"/>
          </w:tcPr>
          <w:p>
            <w:pPr>
              <w:jc w:val="center"/>
              <w:spacing w:after="0" w:line="176" w:lineRule="exact"/>
              <w:rPr>
                <w:rFonts w:ascii="Arial" w:cs="Arial" w:eastAsia="Arial" w:hAnsi="Arial"/>
                <w:sz w:val="16"/>
                <w:szCs w:val="16"/>
                <w:color w:val="0000FF"/>
                <w:w w:val="89"/>
              </w:rPr>
            </w:pPr>
            <w:hyperlink w:anchor="page60">
              <w:r>
                <w:rPr>
                  <w:rFonts w:ascii="Arial" w:cs="Arial" w:eastAsia="Arial" w:hAnsi="Arial"/>
                  <w:sz w:val="16"/>
                  <w:szCs w:val="16"/>
                  <w:color w:val="0000FF"/>
                  <w:w w:val="89"/>
                </w:rPr>
                <w:t>57</w:t>
              </w:r>
            </w:hyperlink>
          </w:p>
        </w:tc>
      </w:tr>
      <w:tr>
        <w:trPr>
          <w:trHeight w:val="20"/>
        </w:trPr>
        <w:tc>
          <w:tcPr>
            <w:tcW w:w="1720" w:type="dxa"/>
            <w:vAlign w:val="bottom"/>
            <w:gridSpan w:val="3"/>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2860" w:type="dxa"/>
            <w:vAlign w:val="bottom"/>
            <w:gridSpan w:val="4"/>
          </w:tcPr>
          <w:p>
            <w:pPr>
              <w:spacing w:after="0"/>
              <w:rPr>
                <w:rFonts w:ascii="Arial" w:cs="Arial" w:eastAsia="Arial" w:hAnsi="Arial"/>
                <w:sz w:val="16"/>
                <w:szCs w:val="16"/>
                <w:color w:val="0000FF"/>
                <w:w w:val="91"/>
              </w:rPr>
            </w:pPr>
            <w:hyperlink w:anchor="page59">
              <w:r>
                <w:rPr>
                  <w:rFonts w:ascii="Arial" w:cs="Arial" w:eastAsia="Arial" w:hAnsi="Arial"/>
                  <w:sz w:val="16"/>
                  <w:szCs w:val="16"/>
                  <w:color w:val="0000FF"/>
                  <w:w w:val="91"/>
                </w:rPr>
                <w:t>Notes to Consolidated Financial Statements</w:t>
              </w:r>
            </w:hyperlink>
          </w:p>
        </w:tc>
        <w:tc>
          <w:tcPr>
            <w:tcW w:w="5820" w:type="dxa"/>
            <w:vAlign w:val="bottom"/>
            <w:gridSpan w:val="7"/>
          </w:tcPr>
          <w:p>
            <w:pPr>
              <w:spacing w:after="0"/>
              <w:rPr>
                <w:sz w:val="19"/>
                <w:szCs w:val="19"/>
                <w:color w:val="auto"/>
              </w:rPr>
            </w:pPr>
          </w:p>
        </w:tc>
        <w:tc>
          <w:tcPr>
            <w:tcW w:w="320" w:type="dxa"/>
            <w:vAlign w:val="bottom"/>
            <w:gridSpan w:val="3"/>
          </w:tcPr>
          <w:p>
            <w:pPr>
              <w:jc w:val="center"/>
              <w:spacing w:after="0"/>
              <w:rPr>
                <w:rFonts w:ascii="Arial" w:cs="Arial" w:eastAsia="Arial" w:hAnsi="Arial"/>
                <w:sz w:val="16"/>
                <w:szCs w:val="16"/>
                <w:color w:val="0000FF"/>
                <w:w w:val="89"/>
              </w:rPr>
            </w:pPr>
            <w:hyperlink w:anchor="page61">
              <w:r>
                <w:rPr>
                  <w:rFonts w:ascii="Arial" w:cs="Arial" w:eastAsia="Arial" w:hAnsi="Arial"/>
                  <w:sz w:val="16"/>
                  <w:szCs w:val="16"/>
                  <w:color w:val="0000FF"/>
                  <w:w w:val="89"/>
                </w:rPr>
                <w:t>58</w:t>
              </w:r>
            </w:hyperlink>
          </w:p>
        </w:tc>
      </w:tr>
      <w:tr>
        <w:trPr>
          <w:trHeight w:val="20"/>
        </w:trPr>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0219"/>
          </w:cols>
          <w:pgMar w:left="240" w:top="453" w:right="1440"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 Carter’s, Inc.</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207"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 xml:space="preserve">We have audited the accompanying consolidated balance sheets of Carter’s, Inc. and its subsidiaries as of December 30, 2017 and December 31, 2016, and the related consolidated statements of operations, comprehensive income, changes in stockholders’ equity, and cash flows for each of the three years in the period ended December 30, 2017, including the related notes (collectively referred to as the “consolidated financial statements”). We also have audited the Company's internal control over financial reporting as of December 30, 2017,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the Company as of December 30, 2017 and December 31, 2016</w:t>
      </w:r>
      <w:r>
        <w:rPr>
          <w:rFonts w:ascii="Arial" w:cs="Arial" w:eastAsia="Arial" w:hAnsi="Arial"/>
          <w:sz w:val="15"/>
          <w:szCs w:val="15"/>
          <w:b w:val="1"/>
          <w:bCs w:val="1"/>
          <w:color w:val="auto"/>
        </w:rPr>
        <w:t>,</w:t>
      </w:r>
      <w:r>
        <w:rPr>
          <w:rFonts w:ascii="Arial" w:cs="Arial" w:eastAsia="Arial" w:hAnsi="Arial"/>
          <w:sz w:val="15"/>
          <w:szCs w:val="15"/>
          <w:color w:val="auto"/>
        </w:rPr>
        <w:t xml:space="preserve"> and the results of their operations and their cash flows for each of the three years in the period ended December 30, 2017 in conformity with accounting principles generally accepted in the United States of America. Also in our opinion, the Company maintained, in all material respects, effective internal control over financial reporting as of December 30, 2017,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Accounting Principle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2 to the consolidated financial statements, the Company changed the manner in which it presents for deferred income taxes in 2017.</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jc w:val="both"/>
        <w:ind w:right="160"/>
        <w:spacing w:after="0" w:line="270"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6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0"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As described in Management’s Report on Internal Control over Financial Reporting, management has excluded Skip Hop and Carter’s Mexico from its assessment of internal control over financial reporting as of December 30, 2017 because they were acquired by the Company in purchase business combinations during 2017. We have also excluded Skip Hop and Carter’s Mexico from our audit of internal control over financial reporting. Skip Hop and Carter’s Mexico are wholly-owned subsidiaries whose total assets and total net sales excluded from management’s assessment and our audit of internal control</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00"/>
          </w:cols>
          <w:pgMar w:left="240" w:top="710" w:right="259" w:bottom="1440" w:gutter="0" w:footer="0" w:header="0"/>
        </w:sectPr>
      </w:pPr>
    </w:p>
    <w:bookmarkStart w:id="54" w:name="page55"/>
    <w:bookmarkEnd w:id="54"/>
    <w:p>
      <w:pPr>
        <w:ind w:right="260"/>
        <w:spacing w:after="0" w:line="285" w:lineRule="auto"/>
        <w:rPr>
          <w:sz w:val="20"/>
          <w:szCs w:val="20"/>
          <w:color w:val="auto"/>
        </w:rPr>
      </w:pPr>
      <w:r>
        <w:rPr>
          <w:rFonts w:ascii="Arial" w:cs="Arial" w:eastAsia="Arial" w:hAnsi="Arial"/>
          <w:sz w:val="16"/>
          <w:szCs w:val="16"/>
          <w:color w:val="auto"/>
        </w:rPr>
        <w:t>over financial reporting collectively represent approximately 4% and 3%, respectively, of the related consolidated financial statement amounts as of and for the year ended December 30, 2017.</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20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ind w:right="180"/>
        <w:spacing w:after="0" w:line="270"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Atlanta, Georgia</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2018</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at least 1968. We have not determined the specific year we began serving as auditor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543" w:right="25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CONSOLIDATED BALANCE SHEETS</w:t>
      </w:r>
    </w:p>
    <w:p>
      <w:pPr>
        <w:spacing w:after="0" w:line="12" w:lineRule="exact"/>
        <w:rPr>
          <w:sz w:val="20"/>
          <w:szCs w:val="20"/>
          <w:color w:val="auto"/>
        </w:rPr>
      </w:pPr>
    </w:p>
    <w:p>
      <w:pPr>
        <w:ind w:left="3460"/>
        <w:spacing w:after="0"/>
        <w:rPr>
          <w:sz w:val="20"/>
          <w:szCs w:val="20"/>
          <w:color w:val="auto"/>
        </w:rPr>
      </w:pPr>
      <w:r>
        <w:rPr>
          <w:rFonts w:ascii="Arial" w:cs="Arial" w:eastAsia="Arial" w:hAnsi="Arial"/>
          <w:sz w:val="16"/>
          <w:szCs w:val="16"/>
          <w:i w:val="1"/>
          <w:iCs w:val="1"/>
          <w:color w:val="auto"/>
        </w:rPr>
        <w:t>(dollars in thousands, except for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December 30,</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66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2016</w:t>
            </w:r>
          </w:p>
        </w:tc>
      </w:tr>
      <w:tr>
        <w:trPr>
          <w:trHeight w:val="199"/>
        </w:trPr>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38"/>
        </w:trPr>
        <w:tc>
          <w:tcPr>
            <w:tcW w:w="6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2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219"/>
        </w:trPr>
        <w:tc>
          <w:tcPr>
            <w:tcW w:w="668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178,494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299,358</w:t>
            </w:r>
          </w:p>
        </w:tc>
      </w:tr>
      <w:tr>
        <w:trPr>
          <w:trHeight w:val="25"/>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6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receivable, net</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240,561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202,471</w:t>
            </w:r>
          </w:p>
        </w:tc>
      </w:tr>
      <w:tr>
        <w:trPr>
          <w:trHeight w:val="219"/>
        </w:trPr>
        <w:tc>
          <w:tcPr>
            <w:tcW w:w="6680" w:type="dxa"/>
            <w:vAlign w:val="bottom"/>
          </w:tcPr>
          <w:p>
            <w:pPr>
              <w:ind w:left="100"/>
              <w:spacing w:after="0"/>
              <w:rPr>
                <w:sz w:val="20"/>
                <w:szCs w:val="20"/>
                <w:color w:val="auto"/>
              </w:rPr>
            </w:pPr>
            <w:r>
              <w:rPr>
                <w:rFonts w:ascii="Arial" w:cs="Arial" w:eastAsia="Arial" w:hAnsi="Arial"/>
                <w:sz w:val="16"/>
                <w:szCs w:val="16"/>
                <w:color w:val="auto"/>
              </w:rPr>
              <w:t>Finished goods inventories</w:t>
            </w:r>
          </w:p>
        </w:tc>
        <w:tc>
          <w:tcPr>
            <w:tcW w:w="20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548,722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487,591</w:t>
            </w:r>
          </w:p>
        </w:tc>
      </w:tr>
      <w:tr>
        <w:trPr>
          <w:trHeight w:val="25"/>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6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49,892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32,180</w:t>
            </w:r>
          </w:p>
        </w:tc>
      </w:tr>
      <w:tr>
        <w:trPr>
          <w:trHeight w:val="219"/>
        </w:trPr>
        <w:tc>
          <w:tcPr>
            <w:tcW w:w="6680" w:type="dxa"/>
            <w:vAlign w:val="bottom"/>
          </w:tcPr>
          <w:p>
            <w:pPr>
              <w:ind w:left="10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35,486</w:t>
            </w:r>
          </w:p>
        </w:tc>
      </w:tr>
      <w:tr>
        <w:trPr>
          <w:trHeight w:val="25"/>
        </w:trPr>
        <w:tc>
          <w:tcPr>
            <w:tcW w:w="6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1,017,669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1,057,086</w:t>
            </w:r>
          </w:p>
        </w:tc>
      </w:tr>
      <w:tr>
        <w:trPr>
          <w:trHeight w:val="219"/>
        </w:trPr>
        <w:tc>
          <w:tcPr>
            <w:tcW w:w="66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377,924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385,874</w:t>
            </w:r>
          </w:p>
        </w:tc>
      </w:tr>
      <w:tr>
        <w:trPr>
          <w:trHeight w:val="25"/>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Tradenames, net</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365,551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308,928</w:t>
            </w:r>
          </w:p>
        </w:tc>
      </w:tr>
      <w:tr>
        <w:trPr>
          <w:trHeight w:val="219"/>
        </w:trPr>
        <w:tc>
          <w:tcPr>
            <w:tcW w:w="66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230,424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176,009</w:t>
            </w:r>
          </w:p>
        </w:tc>
      </w:tr>
      <w:tr>
        <w:trPr>
          <w:trHeight w:val="25"/>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 net</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47,996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9"/>
        </w:trPr>
        <w:tc>
          <w:tcPr>
            <w:tcW w:w="66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28,435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18,700</w:t>
            </w:r>
          </w:p>
        </w:tc>
      </w:tr>
      <w:tr>
        <w:trPr>
          <w:trHeight w:val="25"/>
        </w:trPr>
        <w:tc>
          <w:tcPr>
            <w:tcW w:w="6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2"/>
        </w:trPr>
        <w:tc>
          <w:tcPr>
            <w:tcW w:w="66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2,067,999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1,946,597</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82"/>
        </w:trPr>
        <w:tc>
          <w:tcPr>
            <w:tcW w:w="6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219"/>
        </w:trPr>
        <w:tc>
          <w:tcPr>
            <w:tcW w:w="66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6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182,114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158,432</w:t>
            </w:r>
          </w:p>
        </w:tc>
      </w:tr>
      <w:tr>
        <w:trPr>
          <w:trHeight w:val="219"/>
        </w:trPr>
        <w:tc>
          <w:tcPr>
            <w:tcW w:w="6680" w:type="dxa"/>
            <w:vAlign w:val="bottom"/>
          </w:tcPr>
          <w:p>
            <w:pPr>
              <w:ind w:left="100"/>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146,510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119,177</w:t>
            </w:r>
          </w:p>
        </w:tc>
      </w:tr>
      <w:tr>
        <w:trPr>
          <w:trHeight w:val="25"/>
        </w:trPr>
        <w:tc>
          <w:tcPr>
            <w:tcW w:w="6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6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328,624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277,609</w:t>
            </w:r>
          </w:p>
        </w:tc>
      </w:tr>
      <w:tr>
        <w:trPr>
          <w:trHeight w:val="257"/>
        </w:trPr>
        <w:tc>
          <w:tcPr>
            <w:tcW w:w="6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617,306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580,376</w:t>
            </w:r>
          </w:p>
        </w:tc>
      </w:tr>
      <w:tr>
        <w:trPr>
          <w:trHeight w:val="219"/>
        </w:trPr>
        <w:tc>
          <w:tcPr>
            <w:tcW w:w="668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84,848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130,656</w:t>
            </w:r>
          </w:p>
        </w:tc>
      </w:tr>
      <w:tr>
        <w:trPr>
          <w:trHeight w:val="25"/>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169,832</w:t>
            </w:r>
          </w:p>
        </w:tc>
      </w:tr>
      <w:tr>
        <w:trPr>
          <w:trHeight w:val="211"/>
        </w:trPr>
        <w:tc>
          <w:tcPr>
            <w:tcW w:w="668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1,210,906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1,158,473</w:t>
            </w:r>
          </w:p>
        </w:tc>
      </w:tr>
      <w:tr>
        <w:trPr>
          <w:trHeight w:val="25"/>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6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19"/>
        </w:trPr>
        <w:tc>
          <w:tcPr>
            <w:tcW w:w="6680" w:type="dxa"/>
            <w:vAlign w:val="bottom"/>
          </w:tcPr>
          <w:p>
            <w:pPr>
              <w:ind w:left="20"/>
              <w:spacing w:after="0"/>
              <w:rPr>
                <w:sz w:val="20"/>
                <w:szCs w:val="20"/>
                <w:color w:val="auto"/>
              </w:rPr>
            </w:pPr>
            <w:r>
              <w:rPr>
                <w:rFonts w:ascii="Arial" w:cs="Arial" w:eastAsia="Arial" w:hAnsi="Arial"/>
                <w:sz w:val="16"/>
                <w:szCs w:val="16"/>
                <w:color w:val="auto"/>
              </w:rPr>
              <w:t>Commitments and contingencies - Note 17</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6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19"/>
        </w:trPr>
        <w:tc>
          <w:tcPr>
            <w:tcW w:w="66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8"/>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Preferred stock; par value $.01 per share; 100,000 shares authorized; none issued or outstanding at</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30, 2017 and December 31, 2016</w:t>
            </w:r>
          </w:p>
        </w:tc>
        <w:tc>
          <w:tcPr>
            <w:tcW w:w="2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8"/>
        </w:trPr>
        <w:tc>
          <w:tcPr>
            <w:tcW w:w="6680" w:type="dxa"/>
            <w:vAlign w:val="bottom"/>
          </w:tcPr>
          <w:p>
            <w:pPr>
              <w:ind w:left="20"/>
              <w:spacing w:after="0"/>
              <w:rPr>
                <w:sz w:val="20"/>
                <w:szCs w:val="20"/>
                <w:color w:val="auto"/>
              </w:rPr>
            </w:pPr>
            <w:r>
              <w:rPr>
                <w:rFonts w:ascii="Arial" w:cs="Arial" w:eastAsia="Arial" w:hAnsi="Arial"/>
                <w:sz w:val="16"/>
                <w:szCs w:val="16"/>
                <w:color w:val="auto"/>
                <w:w w:val="96"/>
              </w:rPr>
              <w:t>Common stock, voting; par value $.01 per share; 150,000,000 shares authorized; 47,178,346 and</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6"/>
        </w:trPr>
        <w:tc>
          <w:tcPr>
            <w:tcW w:w="6680" w:type="dxa"/>
            <w:vAlign w:val="bottom"/>
          </w:tcPr>
          <w:p>
            <w:pPr>
              <w:ind w:left="20"/>
              <w:spacing w:after="0"/>
              <w:rPr>
                <w:sz w:val="20"/>
                <w:szCs w:val="20"/>
                <w:color w:val="auto"/>
              </w:rPr>
            </w:pPr>
            <w:r>
              <w:rPr>
                <w:rFonts w:ascii="Arial" w:cs="Arial" w:eastAsia="Arial" w:hAnsi="Arial"/>
                <w:sz w:val="16"/>
                <w:szCs w:val="16"/>
                <w:color w:val="auto"/>
              </w:rPr>
              <w:t>48,948,670 shares issued and outstanding at December 30, 2017 and December 31, 2016,</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7"/>
        </w:trPr>
        <w:tc>
          <w:tcPr>
            <w:tcW w:w="6680" w:type="dxa"/>
            <w:vAlign w:val="bottom"/>
          </w:tcPr>
          <w:p>
            <w:pPr>
              <w:ind w:left="20"/>
              <w:spacing w:after="0"/>
              <w:rPr>
                <w:sz w:val="20"/>
                <w:szCs w:val="20"/>
                <w:color w:val="auto"/>
              </w:rPr>
            </w:pPr>
            <w:r>
              <w:rPr>
                <w:rFonts w:ascii="Arial" w:cs="Arial" w:eastAsia="Arial" w:hAnsi="Arial"/>
                <w:sz w:val="16"/>
                <w:szCs w:val="16"/>
                <w:color w:val="auto"/>
              </w:rPr>
              <w:t>respectively</w:t>
            </w:r>
          </w:p>
        </w:tc>
        <w:tc>
          <w:tcPr>
            <w:tcW w:w="20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489</w:t>
            </w:r>
          </w:p>
        </w:tc>
      </w:tr>
      <w:tr>
        <w:trPr>
          <w:trHeight w:val="25"/>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66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9"/>
        </w:trPr>
        <w:tc>
          <w:tcPr>
            <w:tcW w:w="6680" w:type="dxa"/>
            <w:vAlign w:val="bottom"/>
          </w:tcPr>
          <w:p>
            <w:pPr>
              <w:ind w:left="6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(29,093)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(34,740)</w:t>
            </w:r>
          </w:p>
        </w:tc>
      </w:tr>
      <w:tr>
        <w:trPr>
          <w:trHeight w:val="25"/>
        </w:trPr>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66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885,714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822,375</w:t>
            </w:r>
          </w:p>
        </w:tc>
      </w:tr>
      <w:tr>
        <w:trPr>
          <w:trHeight w:val="211"/>
        </w:trPr>
        <w:tc>
          <w:tcPr>
            <w:tcW w:w="6680" w:type="dxa"/>
            <w:vAlign w:val="bottom"/>
          </w:tcPr>
          <w:p>
            <w:pPr>
              <w:ind w:left="6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857,093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788,124</w:t>
            </w:r>
          </w:p>
        </w:tc>
      </w:tr>
      <w:tr>
        <w:trPr>
          <w:trHeight w:val="25"/>
        </w:trPr>
        <w:tc>
          <w:tcPr>
            <w:tcW w:w="6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2"/>
        </w:trPr>
        <w:tc>
          <w:tcPr>
            <w:tcW w:w="6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2,067,999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1,946,597</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9840"/>
          </w:cols>
          <w:pgMar w:left="1040" w:top="343" w:right="101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(dollars in thousands, except per share data)</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6"/>
                <w:szCs w:val="16"/>
                <w:b w:val="1"/>
                <w:bCs w:val="1"/>
                <w:color w:val="auto"/>
                <w:w w:val="93"/>
                <w:shd w:val="clear" w:color="auto" w:fill="CCEEFF"/>
              </w:rPr>
              <w:t>For the fiscal year ended</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11"/>
        </w:trPr>
        <w:tc>
          <w:tcPr>
            <w:tcW w:w="59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1"/>
              </w:rPr>
              <w:t>December 30, 2017</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December 31, 2016</w:t>
            </w: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8"/>
              </w:rPr>
              <w:t>January 2, 2016</w:t>
            </w:r>
          </w:p>
        </w:tc>
      </w:tr>
      <w:tr>
        <w:trPr>
          <w:trHeight w:val="25"/>
        </w:trPr>
        <w:tc>
          <w:tcPr>
            <w:tcW w:w="5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3,400,410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3,199,184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3,013,879</w:t>
            </w:r>
          </w:p>
        </w:tc>
      </w:tr>
      <w:tr>
        <w:trPr>
          <w:trHeight w:val="219"/>
        </w:trPr>
        <w:tc>
          <w:tcPr>
            <w:tcW w:w="590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2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1,917,096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1,820,035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1,755,855</w:t>
            </w:r>
          </w:p>
        </w:tc>
      </w:tr>
      <w:tr>
        <w:trPr>
          <w:trHeight w:val="25"/>
        </w:trPr>
        <w:tc>
          <w:tcPr>
            <w:tcW w:w="5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1,483,314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1,379,149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1,258,024</w:t>
            </w:r>
          </w:p>
        </w:tc>
      </w:tr>
      <w:tr>
        <w:trPr>
          <w:trHeight w:val="219"/>
        </w:trPr>
        <w:tc>
          <w:tcPr>
            <w:tcW w:w="590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1,106,927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995,406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909,233</w:t>
            </w:r>
          </w:p>
        </w:tc>
      </w:tr>
      <w:tr>
        <w:trPr>
          <w:trHeight w:val="25"/>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5"/>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Royalty income</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(44,066)</w:t>
            </w:r>
          </w:p>
        </w:tc>
      </w:tr>
      <w:tr>
        <w:trPr>
          <w:trHeight w:val="211"/>
        </w:trPr>
        <w:tc>
          <w:tcPr>
            <w:tcW w:w="59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419,568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426,558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392,857</w:t>
            </w:r>
          </w:p>
        </w:tc>
      </w:tr>
      <w:tr>
        <w:trPr>
          <w:trHeight w:val="25"/>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5"/>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30,044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27,044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27,031</w:t>
            </w:r>
          </w:p>
        </w:tc>
      </w:tr>
      <w:tr>
        <w:trPr>
          <w:trHeight w:val="219"/>
        </w:trPr>
        <w:tc>
          <w:tcPr>
            <w:tcW w:w="59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5"/>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5"/>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(1,862)</w:t>
            </w:r>
          </w:p>
        </w:tc>
      </w:tr>
      <w:tr>
        <w:trPr>
          <w:trHeight w:val="211"/>
        </w:trPr>
        <w:tc>
          <w:tcPr>
            <w:tcW w:w="59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391,032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396,070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368,188</w:t>
            </w:r>
          </w:p>
        </w:tc>
      </w:tr>
      <w:tr>
        <w:trPr>
          <w:trHeight w:val="25"/>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5"/>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88,268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137,964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130,366</w:t>
            </w:r>
          </w:p>
        </w:tc>
      </w:tr>
      <w:tr>
        <w:trPr>
          <w:trHeight w:val="270"/>
        </w:trPr>
        <w:tc>
          <w:tcPr>
            <w:tcW w:w="5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302,764</w:t>
            </w:r>
          </w:p>
        </w:tc>
        <w:tc>
          <w:tcPr>
            <w:tcW w:w="10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258,106</w:t>
            </w:r>
          </w:p>
        </w:tc>
        <w:tc>
          <w:tcPr>
            <w:tcW w:w="120" w:type="dxa"/>
            <w:vAlign w:val="bottom"/>
            <w:tcBorders>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237,822</w:t>
            </w:r>
          </w:p>
        </w:tc>
      </w:tr>
      <w:tr>
        <w:trPr>
          <w:trHeight w:val="252"/>
        </w:trPr>
        <w:tc>
          <w:tcPr>
            <w:tcW w:w="5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19"/>
        </w:trPr>
        <w:tc>
          <w:tcPr>
            <w:tcW w:w="590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6.31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4.55</w:t>
            </w:r>
          </w:p>
        </w:tc>
      </w:tr>
      <w:tr>
        <w:trPr>
          <w:trHeight w:val="25"/>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5"/>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income per common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w:t>
            </w:r>
          </w:p>
        </w:tc>
      </w:tr>
      <w:tr>
        <w:trPr>
          <w:trHeight w:val="219"/>
        </w:trPr>
        <w:tc>
          <w:tcPr>
            <w:tcW w:w="5900" w:type="dxa"/>
            <w:vAlign w:val="bottom"/>
          </w:tcPr>
          <w:p>
            <w:pPr>
              <w:ind w:left="40"/>
              <w:spacing w:after="0"/>
              <w:rPr>
                <w:sz w:val="20"/>
                <w:szCs w:val="20"/>
                <w:color w:val="auto"/>
              </w:rPr>
            </w:pPr>
            <w:r>
              <w:rPr>
                <w:rFonts w:ascii="Arial" w:cs="Arial" w:eastAsia="Arial" w:hAnsi="Arial"/>
                <w:sz w:val="16"/>
                <w:szCs w:val="16"/>
                <w:color w:val="auto"/>
              </w:rPr>
              <w:t>Dividend declared and paid per common share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0.88</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080"/>
          </w:cols>
          <w:pgMar w:left="420" w:top="539" w:right="399" w:bottom="1440" w:gutter="0" w:footer="0" w:header="0"/>
        </w:sectPr>
      </w:pPr>
    </w:p>
    <w:bookmarkStart w:id="57" w:name="page58"/>
    <w:bookmarkEnd w:id="57"/>
    <w:p>
      <w:pPr>
        <w:jc w:val="center"/>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(dollars in thousands)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For the fiscal year ended</w:t>
            </w:r>
          </w:p>
        </w:tc>
        <w:tc>
          <w:tcPr>
            <w:tcW w:w="36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spacing w:after="0"/>
              <w:rPr>
                <w:sz w:val="20"/>
                <w:szCs w:val="20"/>
                <w:color w:val="auto"/>
              </w:rPr>
            </w:pPr>
          </w:p>
        </w:tc>
      </w:tr>
      <w:tr>
        <w:trPr>
          <w:trHeight w:val="202"/>
        </w:trPr>
        <w:tc>
          <w:tcPr>
            <w:tcW w:w="4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30,</w:t>
            </w:r>
          </w:p>
        </w:tc>
        <w:tc>
          <w:tcPr>
            <w:tcW w:w="140" w:type="dxa"/>
            <w:vAlign w:val="bottom"/>
          </w:tcPr>
          <w:p>
            <w:pPr>
              <w:spacing w:after="0"/>
              <w:rPr>
                <w:sz w:val="17"/>
                <w:szCs w:val="17"/>
                <w:color w:val="auto"/>
              </w:rPr>
            </w:pPr>
          </w:p>
        </w:tc>
        <w:tc>
          <w:tcPr>
            <w:tcW w:w="2000" w:type="dxa"/>
            <w:vAlign w:val="bottom"/>
            <w:gridSpan w:val="2"/>
          </w:tcPr>
          <w:p>
            <w:pPr>
              <w:ind w:left="380"/>
              <w:spacing w:after="0"/>
              <w:rPr>
                <w:sz w:val="20"/>
                <w:szCs w:val="20"/>
                <w:color w:val="auto"/>
              </w:rPr>
            </w:pPr>
            <w:r>
              <w:rPr>
                <w:rFonts w:ascii="Arial" w:cs="Arial" w:eastAsia="Arial" w:hAnsi="Arial"/>
                <w:sz w:val="16"/>
                <w:szCs w:val="16"/>
                <w:b w:val="1"/>
                <w:bCs w:val="1"/>
                <w:color w:val="auto"/>
              </w:rPr>
              <w:t>December 31,</w:t>
            </w:r>
          </w:p>
        </w:tc>
        <w:tc>
          <w:tcPr>
            <w:tcW w:w="360" w:type="dxa"/>
            <w:vAlign w:val="bottom"/>
          </w:tcPr>
          <w:p>
            <w:pPr>
              <w:spacing w:after="0"/>
              <w:rPr>
                <w:sz w:val="17"/>
                <w:szCs w:val="17"/>
                <w:color w:val="auto"/>
              </w:rPr>
            </w:pPr>
          </w:p>
        </w:tc>
        <w:tc>
          <w:tcPr>
            <w:tcW w:w="1660" w:type="dxa"/>
            <w:vAlign w:val="bottom"/>
          </w:tcPr>
          <w:p>
            <w:pPr>
              <w:jc w:val="right"/>
              <w:ind w:right="579"/>
              <w:spacing w:after="0"/>
              <w:rPr>
                <w:sz w:val="20"/>
                <w:szCs w:val="20"/>
                <w:color w:val="auto"/>
              </w:rPr>
            </w:pPr>
            <w:r>
              <w:rPr>
                <w:rFonts w:ascii="Arial" w:cs="Arial" w:eastAsia="Arial" w:hAnsi="Arial"/>
                <w:sz w:val="16"/>
                <w:szCs w:val="16"/>
                <w:b w:val="1"/>
                <w:bCs w:val="1"/>
                <w:color w:val="auto"/>
              </w:rPr>
              <w:t>January 2,</w:t>
            </w:r>
          </w:p>
        </w:tc>
      </w:tr>
      <w:tr>
        <w:trPr>
          <w:trHeight w:val="211"/>
        </w:trPr>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ind w:right="7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jc w:val="right"/>
              <w:ind w:right="7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jc w:val="right"/>
              <w:ind w:right="759"/>
              <w:spacing w:after="0"/>
              <w:rPr>
                <w:sz w:val="20"/>
                <w:szCs w:val="20"/>
                <w:color w:val="auto"/>
              </w:rPr>
            </w:pPr>
            <w:r>
              <w:rPr>
                <w:rFonts w:ascii="Arial" w:cs="Arial" w:eastAsia="Arial" w:hAnsi="Arial"/>
                <w:sz w:val="16"/>
                <w:szCs w:val="16"/>
                <w:b w:val="1"/>
                <w:bCs w:val="1"/>
                <w:color w:val="auto"/>
              </w:rPr>
              <w:t>2016</w:t>
            </w:r>
          </w:p>
        </w:tc>
      </w:tr>
      <w:tr>
        <w:trPr>
          <w:trHeight w:val="25"/>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302,764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258,106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237,822</w:t>
            </w:r>
          </w:p>
        </w:tc>
      </w:tr>
      <w:tr>
        <w:trPr>
          <w:trHeight w:val="219"/>
        </w:trPr>
        <w:tc>
          <w:tcPr>
            <w:tcW w:w="498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8"/>
        </w:trPr>
        <w:tc>
          <w:tcPr>
            <w:tcW w:w="49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Unrealized (loss) gain on OshKosh defined benefit plan, net of tax of</w:t>
            </w: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196"/>
        </w:trPr>
        <w:tc>
          <w:tcPr>
            <w:tcW w:w="4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$140, $400, ($470) for the fiscal years 2017, 2016, and 2015,</w:t>
            </w:r>
          </w:p>
        </w:tc>
        <w:tc>
          <w:tcPr>
            <w:tcW w:w="3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13"/>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respectively</w:t>
            </w:r>
          </w:p>
        </w:tc>
        <w:tc>
          <w:tcPr>
            <w:tcW w:w="3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803</w:t>
            </w:r>
          </w:p>
        </w:tc>
      </w:tr>
      <w:tr>
        <w:trPr>
          <w:trHeight w:val="208"/>
        </w:trPr>
        <w:tc>
          <w:tcPr>
            <w:tcW w:w="4980" w:type="dxa"/>
            <w:vAlign w:val="bottom"/>
          </w:tcPr>
          <w:p>
            <w:pPr>
              <w:ind w:left="180"/>
              <w:spacing w:after="0"/>
              <w:rPr>
                <w:sz w:val="20"/>
                <w:szCs w:val="20"/>
                <w:color w:val="auto"/>
              </w:rPr>
            </w:pPr>
            <w:r>
              <w:rPr>
                <w:rFonts w:ascii="Arial" w:cs="Arial" w:eastAsia="Arial" w:hAnsi="Arial"/>
                <w:sz w:val="16"/>
                <w:szCs w:val="16"/>
                <w:color w:val="auto"/>
                <w:w w:val="94"/>
              </w:rPr>
              <w:t>Unrealized gain (loss) on Carter's post-retirement benefit obligation, net</w:t>
            </w: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196"/>
        </w:trPr>
        <w:tc>
          <w:tcPr>
            <w:tcW w:w="4980" w:type="dxa"/>
            <w:vAlign w:val="bottom"/>
          </w:tcPr>
          <w:p>
            <w:pPr>
              <w:ind w:left="180"/>
              <w:spacing w:after="0"/>
              <w:rPr>
                <w:sz w:val="20"/>
                <w:szCs w:val="20"/>
                <w:color w:val="auto"/>
              </w:rPr>
            </w:pPr>
            <w:r>
              <w:rPr>
                <w:rFonts w:ascii="Arial" w:cs="Arial" w:eastAsia="Arial" w:hAnsi="Arial"/>
                <w:sz w:val="16"/>
                <w:szCs w:val="16"/>
                <w:color w:val="auto"/>
                <w:w w:val="96"/>
              </w:rPr>
              <w:t>of (tax) or tax benefit of $70, ($200), ($30) for fiscal years 2017, 2016,</w:t>
            </w: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7"/>
        </w:trPr>
        <w:tc>
          <w:tcPr>
            <w:tcW w:w="4980" w:type="dxa"/>
            <w:vAlign w:val="bottom"/>
          </w:tcPr>
          <w:p>
            <w:pPr>
              <w:ind w:left="180"/>
              <w:spacing w:after="0"/>
              <w:rPr>
                <w:sz w:val="20"/>
                <w:szCs w:val="20"/>
                <w:color w:val="auto"/>
              </w:rPr>
            </w:pPr>
            <w:r>
              <w:rPr>
                <w:rFonts w:ascii="Arial" w:cs="Arial" w:eastAsia="Arial" w:hAnsi="Arial"/>
                <w:sz w:val="16"/>
                <w:szCs w:val="16"/>
                <w:color w:val="auto"/>
              </w:rPr>
              <w:t>and 2015, respectively</w:t>
            </w: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25"/>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(14,189)</w:t>
            </w:r>
          </w:p>
        </w:tc>
      </w:tr>
      <w:tr>
        <w:trPr>
          <w:trHeight w:val="211"/>
        </w:trPr>
        <w:tc>
          <w:tcPr>
            <w:tcW w:w="4980" w:type="dxa"/>
            <w:vAlign w:val="bottom"/>
          </w:tcPr>
          <w:p>
            <w:pPr>
              <w:ind w:left="240"/>
              <w:spacing w:after="0"/>
              <w:rPr>
                <w:sz w:val="20"/>
                <w:szCs w:val="20"/>
                <w:color w:val="auto"/>
              </w:rPr>
            </w:pPr>
            <w:r>
              <w:rPr>
                <w:rFonts w:ascii="Arial" w:cs="Arial" w:eastAsia="Arial" w:hAnsi="Arial"/>
                <w:sz w:val="16"/>
                <w:szCs w:val="16"/>
                <w:color w:val="auto"/>
              </w:rPr>
              <w:t>Total other comprehensive income</w:t>
            </w:r>
          </w:p>
        </w:tc>
        <w:tc>
          <w:tcPr>
            <w:tcW w:w="3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5,647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1,627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(13,330)</w:t>
            </w:r>
          </w:p>
        </w:tc>
      </w:tr>
      <w:tr>
        <w:trPr>
          <w:trHeight w:val="25"/>
        </w:trPr>
        <w:tc>
          <w:tcPr>
            <w:tcW w:w="4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308,411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259,733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224,492</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300"/>
          </w:cols>
          <w:pgMar w:left="300" w:top="539" w:right="29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(dollars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gridSpan w:val="4"/>
            <w:shd w:val="clear" w:color="auto" w:fill="CCEEFF"/>
          </w:tcPr>
          <w:p>
            <w:pPr>
              <w:jc w:val="center"/>
              <w:ind w:right="20"/>
              <w:spacing w:after="0"/>
              <w:rPr>
                <w:sz w:val="20"/>
                <w:szCs w:val="20"/>
                <w:color w:val="auto"/>
              </w:rPr>
            </w:pPr>
            <w:r>
              <w:rPr>
                <w:rFonts w:ascii="Arial" w:cs="Arial" w:eastAsia="Arial" w:hAnsi="Arial"/>
                <w:sz w:val="16"/>
                <w:szCs w:val="16"/>
                <w:b w:val="1"/>
                <w:bCs w:val="1"/>
                <w:color w:val="auto"/>
                <w:w w:val="91"/>
              </w:rPr>
              <w:t>For the fiscal year ended</w:t>
            </w:r>
          </w:p>
        </w:tc>
        <w:tc>
          <w:tcPr>
            <w:tcW w:w="3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r>
      <w:tr>
        <w:trPr>
          <w:trHeight w:val="202"/>
        </w:trPr>
        <w:tc>
          <w:tcPr>
            <w:tcW w:w="5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jc w:val="right"/>
              <w:ind w:right="379"/>
              <w:spacing w:after="0"/>
              <w:rPr>
                <w:sz w:val="20"/>
                <w:szCs w:val="20"/>
                <w:color w:val="auto"/>
              </w:rPr>
            </w:pPr>
            <w:r>
              <w:rPr>
                <w:rFonts w:ascii="Arial" w:cs="Arial" w:eastAsia="Arial" w:hAnsi="Arial"/>
                <w:sz w:val="16"/>
                <w:szCs w:val="16"/>
                <w:b w:val="1"/>
                <w:bCs w:val="1"/>
                <w:color w:val="auto"/>
              </w:rPr>
              <w:t>December 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December 31,</w:t>
            </w:r>
          </w:p>
        </w:tc>
        <w:tc>
          <w:tcPr>
            <w:tcW w:w="300" w:type="dxa"/>
            <w:vAlign w:val="bottom"/>
          </w:tcPr>
          <w:p>
            <w:pPr>
              <w:spacing w:after="0"/>
              <w:rPr>
                <w:sz w:val="17"/>
                <w:szCs w:val="17"/>
                <w:color w:val="auto"/>
              </w:rPr>
            </w:pPr>
          </w:p>
        </w:tc>
        <w:tc>
          <w:tcPr>
            <w:tcW w:w="1500" w:type="dxa"/>
            <w:vAlign w:val="bottom"/>
          </w:tcPr>
          <w:p>
            <w:pPr>
              <w:jc w:val="right"/>
              <w:ind w:right="459"/>
              <w:spacing w:after="0"/>
              <w:rPr>
                <w:sz w:val="20"/>
                <w:szCs w:val="20"/>
                <w:color w:val="auto"/>
              </w:rPr>
            </w:pPr>
            <w:r>
              <w:rPr>
                <w:rFonts w:ascii="Arial" w:cs="Arial" w:eastAsia="Arial" w:hAnsi="Arial"/>
                <w:sz w:val="16"/>
                <w:szCs w:val="16"/>
                <w:b w:val="1"/>
                <w:bCs w:val="1"/>
                <w:color w:val="auto"/>
              </w:rPr>
              <w:t>January 2,</w:t>
            </w:r>
          </w:p>
        </w:tc>
      </w:tr>
      <w:tr>
        <w:trPr>
          <w:trHeight w:val="211"/>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ind w:right="6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659"/>
              <w:spacing w:after="0"/>
              <w:rPr>
                <w:sz w:val="20"/>
                <w:szCs w:val="20"/>
                <w:color w:val="auto"/>
              </w:rPr>
            </w:pPr>
            <w:r>
              <w:rPr>
                <w:rFonts w:ascii="Arial" w:cs="Arial" w:eastAsia="Arial" w:hAnsi="Arial"/>
                <w:sz w:val="16"/>
                <w:szCs w:val="16"/>
                <w:b w:val="1"/>
                <w:bCs w:val="1"/>
                <w:color w:val="auto"/>
              </w:rPr>
              <w:t>2016</w:t>
            </w:r>
          </w:p>
        </w:tc>
      </w:tr>
      <w:tr>
        <w:trPr>
          <w:trHeight w:val="25"/>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19"/>
        </w:trPr>
        <w:tc>
          <w:tcPr>
            <w:tcW w:w="58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302,764</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258,106</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237,822</w:t>
            </w:r>
          </w:p>
        </w:tc>
      </w:tr>
      <w:tr>
        <w:trPr>
          <w:trHeight w:val="25"/>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5"/>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r>
      <w:tr>
        <w:trPr>
          <w:trHeight w:val="219"/>
        </w:trPr>
        <w:tc>
          <w:tcPr>
            <w:tcW w:w="582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81,796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71,522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61,982</w:t>
            </w:r>
          </w:p>
        </w:tc>
      </w:tr>
      <w:tr>
        <w:trPr>
          <w:trHeight w:val="25"/>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5"/>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6,417</w:t>
            </w:r>
          </w:p>
        </w:tc>
      </w:tr>
      <w:tr>
        <w:trPr>
          <w:trHeight w:val="219"/>
        </w:trPr>
        <w:tc>
          <w:tcPr>
            <w:tcW w:w="5820" w:type="dxa"/>
            <w:vAlign w:val="bottom"/>
          </w:tcPr>
          <w:p>
            <w:pPr>
              <w:ind w:left="160"/>
              <w:spacing w:after="0"/>
              <w:rPr>
                <w:sz w:val="20"/>
                <w:szCs w:val="20"/>
                <w:color w:val="auto"/>
              </w:rPr>
            </w:pPr>
            <w:r>
              <w:rPr>
                <w:rFonts w:ascii="Arial" w:cs="Arial" w:eastAsia="Arial" w:hAnsi="Arial"/>
                <w:sz w:val="16"/>
                <w:szCs w:val="16"/>
                <w:color w:val="auto"/>
              </w:rPr>
              <w:t>Adjustment and accretion of contingent considerations</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(3,600)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809</w:t>
            </w:r>
          </w:p>
        </w:tc>
      </w:tr>
      <w:tr>
        <w:trPr>
          <w:trHeight w:val="25"/>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5"/>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1,603</w:t>
            </w:r>
          </w:p>
        </w:tc>
      </w:tr>
      <w:tr>
        <w:trPr>
          <w:trHeight w:val="219"/>
        </w:trPr>
        <w:tc>
          <w:tcPr>
            <w:tcW w:w="5820" w:type="dxa"/>
            <w:vAlign w:val="bottom"/>
          </w:tcPr>
          <w:p>
            <w:pPr>
              <w:ind w:left="160"/>
              <w:spacing w:after="0"/>
              <w:rPr>
                <w:sz w:val="20"/>
                <w:szCs w:val="20"/>
                <w:color w:val="auto"/>
              </w:rPr>
            </w:pPr>
            <w:r>
              <w:rPr>
                <w:rFonts w:ascii="Arial" w:cs="Arial" w:eastAsia="Arial" w:hAnsi="Arial"/>
                <w:sz w:val="16"/>
                <w:szCs w:val="16"/>
                <w:color w:val="auto"/>
              </w:rPr>
              <w:t>Non-cash stock-based compensation expense</w:t>
            </w:r>
          </w:p>
        </w:tc>
        <w:tc>
          <w:tcPr>
            <w:tcW w:w="26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17,549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16,847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17,029</w:t>
            </w:r>
          </w:p>
        </w:tc>
      </w:tr>
      <w:tr>
        <w:trPr>
          <w:trHeight w:val="25"/>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5"/>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Unrealized foreign currency exchange (gain) loss, net</w:t>
            </w:r>
          </w:p>
        </w:tc>
        <w:tc>
          <w:tcPr>
            <w:tcW w:w="2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19"/>
        </w:trPr>
        <w:tc>
          <w:tcPr>
            <w:tcW w:w="5820" w:type="dxa"/>
            <w:vAlign w:val="bottom"/>
          </w:tcPr>
          <w:p>
            <w:pPr>
              <w:ind w:left="160"/>
              <w:spacing w:after="0"/>
              <w:rPr>
                <w:sz w:val="20"/>
                <w:szCs w:val="20"/>
                <w:color w:val="auto"/>
              </w:rPr>
            </w:pPr>
            <w:r>
              <w:rPr>
                <w:rFonts w:ascii="Arial" w:cs="Arial" w:eastAsia="Arial" w:hAnsi="Arial"/>
                <w:sz w:val="16"/>
                <w:szCs w:val="16"/>
                <w:color w:val="auto"/>
              </w:rPr>
              <w:t>Income tax benefit from stock-based compensation</w:t>
            </w:r>
          </w:p>
        </w:tc>
        <w:tc>
          <w:tcPr>
            <w:tcW w:w="26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(4,800)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(8,839)</w:t>
            </w:r>
          </w:p>
        </w:tc>
      </w:tr>
      <w:tr>
        <w:trPr>
          <w:trHeight w:val="25"/>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5"/>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Loss on disposal of property, plant, and equipment</w:t>
            </w:r>
          </w:p>
        </w:tc>
        <w:tc>
          <w:tcPr>
            <w:tcW w:w="2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870</w:t>
            </w:r>
          </w:p>
        </w:tc>
      </w:tr>
      <w:tr>
        <w:trPr>
          <w:trHeight w:val="219"/>
        </w:trPr>
        <w:tc>
          <w:tcPr>
            <w:tcW w:w="5820" w:type="dxa"/>
            <w:vAlign w:val="bottom"/>
          </w:tcPr>
          <w:p>
            <w:pPr>
              <w:ind w:left="16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(54,892)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1,294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8,657</w:t>
            </w:r>
          </w:p>
        </w:tc>
      </w:tr>
      <w:tr>
        <w:trPr>
          <w:trHeight w:val="25"/>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5"/>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Effect of changes in operating assets and liabilities, net of acquisitions:</w:t>
            </w:r>
          </w:p>
        </w:tc>
        <w:tc>
          <w:tcPr>
            <w:tcW w:w="2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r>
      <w:tr>
        <w:trPr>
          <w:trHeight w:val="219"/>
        </w:trPr>
        <w:tc>
          <w:tcPr>
            <w:tcW w:w="5820" w:type="dxa"/>
            <w:vAlign w:val="bottom"/>
          </w:tcPr>
          <w:p>
            <w:pPr>
              <w:ind w:left="48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(18,046)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5,041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(23,837)</w:t>
            </w:r>
          </w:p>
        </w:tc>
      </w:tr>
      <w:tr>
        <w:trPr>
          <w:trHeight w:val="25"/>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5"/>
        </w:trPr>
        <w:tc>
          <w:tcPr>
            <w:tcW w:w="5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Inventories</w:t>
            </w:r>
          </w:p>
        </w:tc>
        <w:tc>
          <w:tcPr>
            <w:tcW w:w="2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(20,922)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(17,482)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(34,352)</w:t>
            </w:r>
          </w:p>
        </w:tc>
      </w:tr>
      <w:tr>
        <w:trPr>
          <w:trHeight w:val="219"/>
        </w:trPr>
        <w:tc>
          <w:tcPr>
            <w:tcW w:w="5820" w:type="dxa"/>
            <w:vAlign w:val="bottom"/>
          </w:tcPr>
          <w:p>
            <w:pPr>
              <w:ind w:left="48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(21,339)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2,060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(3,496)</w:t>
            </w:r>
          </w:p>
        </w:tc>
      </w:tr>
      <w:tr>
        <w:trPr>
          <w:trHeight w:val="25"/>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5"/>
        </w:trPr>
        <w:tc>
          <w:tcPr>
            <w:tcW w:w="5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Accounts payable and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43,318</w:t>
            </w:r>
          </w:p>
        </w:tc>
      </w:tr>
      <w:tr>
        <w:trPr>
          <w:trHeight w:val="211"/>
        </w:trPr>
        <w:tc>
          <w:tcPr>
            <w:tcW w:w="5820" w:type="dxa"/>
            <w:vAlign w:val="bottom"/>
          </w:tcPr>
          <w:p>
            <w:pPr>
              <w:ind w:left="7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329,621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369,229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307,987</w:t>
            </w:r>
          </w:p>
        </w:tc>
      </w:tr>
      <w:tr>
        <w:trPr>
          <w:trHeight w:val="25"/>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19"/>
        </w:trPr>
        <w:tc>
          <w:tcPr>
            <w:tcW w:w="5820" w:type="dxa"/>
            <w:vAlign w:val="bottom"/>
          </w:tcPr>
          <w:p>
            <w:pPr>
              <w:ind w:left="16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(69,473)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(88,556)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(103,497)</w:t>
            </w:r>
          </w:p>
        </w:tc>
      </w:tr>
      <w:tr>
        <w:trPr>
          <w:trHeight w:val="25"/>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5"/>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Acquisitions of businesses, net of cash acquired</w:t>
            </w:r>
          </w:p>
        </w:tc>
        <w:tc>
          <w:tcPr>
            <w:tcW w:w="2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(158,457)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9"/>
        </w:trPr>
        <w:tc>
          <w:tcPr>
            <w:tcW w:w="5820" w:type="dxa"/>
            <w:vAlign w:val="bottom"/>
          </w:tcPr>
          <w:p>
            <w:pPr>
              <w:ind w:left="160"/>
              <w:spacing w:after="0"/>
              <w:rPr>
                <w:sz w:val="20"/>
                <w:szCs w:val="20"/>
                <w:color w:val="auto"/>
              </w:rPr>
            </w:pPr>
            <w:r>
              <w:rPr>
                <w:rFonts w:ascii="Arial" w:cs="Arial" w:eastAsia="Arial" w:hAnsi="Arial"/>
                <w:sz w:val="16"/>
                <w:szCs w:val="16"/>
                <w:color w:val="auto"/>
              </w:rPr>
              <w:t>Disposals of property, plant, and equipment</w:t>
            </w:r>
          </w:p>
        </w:tc>
        <w:tc>
          <w:tcPr>
            <w:tcW w:w="26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72</w:t>
            </w:r>
          </w:p>
        </w:tc>
      </w:tr>
      <w:tr>
        <w:trPr>
          <w:trHeight w:val="25"/>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8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(227,915)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(88,340)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(103,425)</w:t>
            </w:r>
          </w:p>
        </w:tc>
      </w:tr>
      <w:tr>
        <w:trPr>
          <w:trHeight w:val="199"/>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r>
      <w:tr>
        <w:trPr>
          <w:trHeight w:val="38"/>
        </w:trPr>
        <w:tc>
          <w:tcPr>
            <w:tcW w:w="5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5"/>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Payments of debt issuance costs</w:t>
            </w:r>
          </w:p>
        </w:tc>
        <w:tc>
          <w:tcPr>
            <w:tcW w:w="2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(1,628)</w:t>
            </w:r>
          </w:p>
        </w:tc>
      </w:tr>
      <w:tr>
        <w:trPr>
          <w:trHeight w:val="219"/>
        </w:trPr>
        <w:tc>
          <w:tcPr>
            <w:tcW w:w="5820" w:type="dxa"/>
            <w:vAlign w:val="bottom"/>
          </w:tcPr>
          <w:p>
            <w:pPr>
              <w:ind w:left="160"/>
              <w:spacing w:after="0"/>
              <w:rPr>
                <w:sz w:val="20"/>
                <w:szCs w:val="20"/>
                <w:color w:val="auto"/>
              </w:rPr>
            </w:pPr>
            <w:r>
              <w:rPr>
                <w:rFonts w:ascii="Arial" w:cs="Arial" w:eastAsia="Arial" w:hAnsi="Arial"/>
                <w:sz w:val="16"/>
                <w:szCs w:val="16"/>
                <w:color w:val="auto"/>
              </w:rPr>
              <w:t>Borrowings under secured revolving credit facility</w:t>
            </w:r>
          </w:p>
        </w:tc>
        <w:tc>
          <w:tcPr>
            <w:tcW w:w="26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205,586</w:t>
            </w:r>
          </w:p>
        </w:tc>
      </w:tr>
      <w:tr>
        <w:trPr>
          <w:trHeight w:val="25"/>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5"/>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Payments on secured revolving credit facility</w:t>
            </w:r>
          </w:p>
        </w:tc>
        <w:tc>
          <w:tcPr>
            <w:tcW w:w="2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(163,965)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(205,237)</w:t>
            </w:r>
          </w:p>
        </w:tc>
      </w:tr>
      <w:tr>
        <w:trPr>
          <w:trHeight w:val="219"/>
        </w:trPr>
        <w:tc>
          <w:tcPr>
            <w:tcW w:w="5820" w:type="dxa"/>
            <w:vAlign w:val="bottom"/>
          </w:tcPr>
          <w:p>
            <w:pPr>
              <w:ind w:left="160"/>
              <w:spacing w:after="0"/>
              <w:rPr>
                <w:sz w:val="20"/>
                <w:szCs w:val="20"/>
                <w:color w:val="auto"/>
              </w:rPr>
            </w:pPr>
            <w:r>
              <w:rPr>
                <w:rFonts w:ascii="Arial" w:cs="Arial" w:eastAsia="Arial" w:hAnsi="Arial"/>
                <w:sz w:val="16"/>
                <w:szCs w:val="16"/>
                <w:color w:val="auto"/>
              </w:rPr>
              <w:t>Repurchases of common stock</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(188,762)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(300,445)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(110,290)</w:t>
            </w:r>
          </w:p>
        </w:tc>
      </w:tr>
      <w:tr>
        <w:trPr>
          <w:trHeight w:val="25"/>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5"/>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Payment of contingent consideration</w:t>
            </w:r>
          </w:p>
        </w:tc>
        <w:tc>
          <w:tcPr>
            <w:tcW w:w="2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(7,572)</w:t>
            </w:r>
          </w:p>
        </w:tc>
      </w:tr>
      <w:tr>
        <w:trPr>
          <w:trHeight w:val="219"/>
        </w:trPr>
        <w:tc>
          <w:tcPr>
            <w:tcW w:w="5820" w:type="dxa"/>
            <w:vAlign w:val="bottom"/>
          </w:tcPr>
          <w:p>
            <w:pPr>
              <w:ind w:left="16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(70,914)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(66,355)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(46,028)</w:t>
            </w:r>
          </w:p>
        </w:tc>
      </w:tr>
      <w:tr>
        <w:trPr>
          <w:trHeight w:val="25"/>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5"/>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Income tax benefit from stock-based compensation</w:t>
            </w:r>
          </w:p>
        </w:tc>
        <w:tc>
          <w:tcPr>
            <w:tcW w:w="2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8,839</w:t>
            </w:r>
          </w:p>
        </w:tc>
      </w:tr>
      <w:tr>
        <w:trPr>
          <w:trHeight w:val="219"/>
        </w:trPr>
        <w:tc>
          <w:tcPr>
            <w:tcW w:w="5820" w:type="dxa"/>
            <w:vAlign w:val="bottom"/>
          </w:tcPr>
          <w:p>
            <w:pPr>
              <w:ind w:left="160"/>
              <w:spacing w:after="0"/>
              <w:rPr>
                <w:sz w:val="20"/>
                <w:szCs w:val="20"/>
                <w:color w:val="auto"/>
              </w:rPr>
            </w:pPr>
            <w:r>
              <w:rPr>
                <w:rFonts w:ascii="Arial" w:cs="Arial" w:eastAsia="Arial" w:hAnsi="Arial"/>
                <w:sz w:val="16"/>
                <w:szCs w:val="16"/>
                <w:color w:val="auto"/>
              </w:rPr>
              <w:t>Withholdings of taxes from vesting of restricted stock</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(5,753)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(8,673)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(12,651)</w:t>
            </w:r>
          </w:p>
        </w:tc>
      </w:tr>
      <w:tr>
        <w:trPr>
          <w:trHeight w:val="25"/>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5"/>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from exercises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6,976</w:t>
            </w:r>
          </w:p>
        </w:tc>
      </w:tr>
      <w:tr>
        <w:trPr>
          <w:trHeight w:val="211"/>
        </w:trPr>
        <w:tc>
          <w:tcPr>
            <w:tcW w:w="5820" w:type="dxa"/>
            <w:vAlign w:val="bottom"/>
          </w:tcPr>
          <w:p>
            <w:pPr>
              <w:ind w:left="70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(223,075)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(363,507)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(162,005)</w:t>
            </w:r>
          </w:p>
        </w:tc>
      </w:tr>
      <w:tr>
        <w:trPr>
          <w:trHeight w:val="25"/>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effect of exchange rate changes on cash</w:t>
            </w: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(1,986)</w:t>
            </w:r>
          </w:p>
        </w:tc>
      </w:tr>
      <w:tr>
        <w:trPr>
          <w:trHeight w:val="211"/>
        </w:trPr>
        <w:tc>
          <w:tcPr>
            <w:tcW w:w="582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(120,864)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(81,851)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40,571</w:t>
            </w:r>
          </w:p>
        </w:tc>
      </w:tr>
      <w:tr>
        <w:trPr>
          <w:trHeight w:val="25"/>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5"/>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fiscal year</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299,358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381,209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340,638</w:t>
            </w:r>
          </w:p>
        </w:tc>
      </w:tr>
      <w:tr>
        <w:trPr>
          <w:trHeight w:val="211"/>
        </w:trPr>
        <w:tc>
          <w:tcPr>
            <w:tcW w:w="5820" w:type="dxa"/>
            <w:vAlign w:val="bottom"/>
          </w:tcPr>
          <w:p>
            <w:pPr>
              <w:ind w:left="20"/>
              <w:spacing w:after="0"/>
              <w:rPr>
                <w:sz w:val="20"/>
                <w:szCs w:val="20"/>
                <w:color w:val="auto"/>
              </w:rPr>
            </w:pPr>
            <w:r>
              <w:rPr>
                <w:rFonts w:ascii="Arial" w:cs="Arial" w:eastAsia="Arial" w:hAnsi="Arial"/>
                <w:sz w:val="16"/>
                <w:szCs w:val="16"/>
                <w:color w:val="auto"/>
              </w:rPr>
              <w:t>Cash and cash equivalents, end of fiscal year</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178,494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299,358</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381,209</w:t>
            </w:r>
          </w:p>
        </w:tc>
      </w:tr>
      <w:tr>
        <w:trPr>
          <w:trHeight w:val="25"/>
        </w:trPr>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00"/>
          </w:cols>
          <w:pgMar w:left="240" w:top="343" w:right="259" w:bottom="1440" w:gutter="0" w:footer="0" w:header="0"/>
        </w:sectPr>
      </w:pPr>
    </w:p>
    <w:bookmarkStart w:id="59" w:name="page60"/>
    <w:bookmarkEnd w:id="59"/>
    <w:p>
      <w:pPr>
        <w:jc w:val="center"/>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(dollars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88"/>
              </w:rPr>
              <w:t>Accumulated other</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right="280"/>
              <w:spacing w:after="0"/>
              <w:rPr>
                <w:sz w:val="20"/>
                <w:szCs w:val="20"/>
                <w:color w:val="auto"/>
              </w:rPr>
            </w:pPr>
            <w:r>
              <w:rPr>
                <w:rFonts w:ascii="Arial" w:cs="Arial" w:eastAsia="Arial" w:hAnsi="Arial"/>
                <w:sz w:val="15"/>
                <w:szCs w:val="15"/>
                <w:b w:val="1"/>
                <w:bCs w:val="1"/>
                <w:color w:val="auto"/>
                <w:w w:val="92"/>
              </w:rPr>
              <w:t>Additional</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b w:val="1"/>
                <w:bCs w:val="1"/>
                <w:color w:val="auto"/>
                <w:w w:val="85"/>
              </w:rPr>
              <w:t>comprehensive</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right="107"/>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b w:val="1"/>
                <w:bCs w:val="1"/>
                <w:color w:val="auto"/>
                <w:w w:val="89"/>
              </w:rPr>
              <w:t>Common</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5"/>
                <w:szCs w:val="15"/>
                <w:b w:val="1"/>
                <w:bCs w:val="1"/>
                <w:color w:val="auto"/>
                <w:w w:val="89"/>
              </w:rPr>
              <w:t>Common</w:t>
            </w: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center"/>
              <w:ind w:right="280"/>
              <w:spacing w:after="0"/>
              <w:rPr>
                <w:sz w:val="20"/>
                <w:szCs w:val="20"/>
                <w:color w:val="auto"/>
              </w:rPr>
            </w:pPr>
            <w:r>
              <w:rPr>
                <w:rFonts w:ascii="Arial" w:cs="Arial" w:eastAsia="Arial" w:hAnsi="Arial"/>
                <w:sz w:val="15"/>
                <w:szCs w:val="15"/>
                <w:b w:val="1"/>
                <w:bCs w:val="1"/>
                <w:color w:val="auto"/>
                <w:w w:val="89"/>
              </w:rPr>
              <w:t>paid-in</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b w:val="1"/>
                <w:bCs w:val="1"/>
                <w:color w:val="auto"/>
                <w:w w:val="84"/>
              </w:rPr>
              <w:t>(loss)</w:t>
            </w: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5"/>
                <w:szCs w:val="15"/>
                <w:b w:val="1"/>
                <w:bCs w:val="1"/>
                <w:color w:val="auto"/>
              </w:rPr>
              <w:t>Retained</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right="107"/>
              <w:spacing w:after="0"/>
              <w:rPr>
                <w:sz w:val="20"/>
                <w:szCs w:val="20"/>
                <w:color w:val="auto"/>
              </w:rPr>
            </w:pPr>
            <w:r>
              <w:rPr>
                <w:rFonts w:ascii="Arial" w:cs="Arial" w:eastAsia="Arial" w:hAnsi="Arial"/>
                <w:sz w:val="15"/>
                <w:szCs w:val="15"/>
                <w:b w:val="1"/>
                <w:bCs w:val="1"/>
                <w:color w:val="auto"/>
                <w:w w:val="86"/>
              </w:rPr>
              <w:t>stockholders’</w:t>
            </w:r>
          </w:p>
        </w:tc>
        <w:tc>
          <w:tcPr>
            <w:tcW w:w="0" w:type="dxa"/>
            <w:vAlign w:val="bottom"/>
          </w:tcPr>
          <w:p>
            <w:pPr>
              <w:spacing w:after="0"/>
              <w:rPr>
                <w:sz w:val="1"/>
                <w:szCs w:val="1"/>
                <w:color w:val="auto"/>
              </w:rPr>
            </w:pPr>
          </w:p>
        </w:tc>
      </w:tr>
      <w:tr>
        <w:trPr>
          <w:trHeight w:val="220"/>
        </w:trPr>
        <w:tc>
          <w:tcPr>
            <w:tcW w:w="26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5"/>
                <w:szCs w:val="15"/>
                <w:b w:val="1"/>
                <w:bCs w:val="1"/>
                <w:color w:val="auto"/>
                <w:w w:val="83"/>
              </w:rPr>
              <w:t>stock - shares</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5"/>
                <w:szCs w:val="15"/>
                <w:b w:val="1"/>
                <w:bCs w:val="1"/>
                <w:color w:val="auto"/>
                <w:w w:val="85"/>
              </w:rPr>
              <w:t>stock - $</w:t>
            </w: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5"/>
                <w:szCs w:val="15"/>
                <w:b w:val="1"/>
                <w:bCs w:val="1"/>
                <w:color w:val="auto"/>
                <w:w w:val="88"/>
              </w:rPr>
              <w:t>capital</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5"/>
                <w:szCs w:val="15"/>
                <w:b w:val="1"/>
                <w:bCs w:val="1"/>
                <w:color w:val="auto"/>
                <w:w w:val="87"/>
              </w:rPr>
              <w:t>income</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b w:val="1"/>
                <w:bCs w:val="1"/>
                <w:color w:val="auto"/>
              </w:rPr>
              <w:t>earnings</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center"/>
              <w:ind w:right="107"/>
              <w:spacing w:after="0"/>
              <w:rPr>
                <w:sz w:val="20"/>
                <w:szCs w:val="20"/>
                <w:color w:val="auto"/>
              </w:rPr>
            </w:pPr>
            <w:r>
              <w:rPr>
                <w:rFonts w:ascii="Arial" w:cs="Arial" w:eastAsia="Arial" w:hAnsi="Arial"/>
                <w:sz w:val="15"/>
                <w:szCs w:val="15"/>
                <w:b w:val="1"/>
                <w:bCs w:val="1"/>
                <w:color w:val="auto"/>
                <w:w w:val="90"/>
              </w:rPr>
              <w:t>equity</w:t>
            </w:r>
          </w:p>
        </w:tc>
        <w:tc>
          <w:tcPr>
            <w:tcW w:w="0" w:type="dxa"/>
            <w:vAlign w:val="bottom"/>
          </w:tcPr>
          <w:p>
            <w:pPr>
              <w:spacing w:after="0"/>
              <w:rPr>
                <w:sz w:val="1"/>
                <w:szCs w:val="1"/>
                <w:color w:val="auto"/>
              </w:rPr>
            </w:pPr>
          </w:p>
        </w:tc>
      </w:tr>
      <w:tr>
        <w:trPr>
          <w:trHeight w:val="220"/>
        </w:trPr>
        <w:tc>
          <w:tcPr>
            <w:tcW w:w="2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at January 3, 2015</w:t>
            </w:r>
          </w:p>
        </w:tc>
        <w:tc>
          <w:tcPr>
            <w:tcW w:w="1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52,712,193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527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(23,037)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809,194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786,684</w:t>
            </w:r>
          </w:p>
        </w:tc>
        <w:tc>
          <w:tcPr>
            <w:tcW w:w="0" w:type="dxa"/>
            <w:vAlign w:val="bottom"/>
          </w:tcPr>
          <w:p>
            <w:pPr>
              <w:spacing w:after="0"/>
              <w:rPr>
                <w:sz w:val="1"/>
                <w:szCs w:val="1"/>
                <w:color w:val="auto"/>
              </w:rPr>
            </w:pPr>
          </w:p>
        </w:tc>
      </w:tr>
      <w:tr>
        <w:trPr>
          <w:trHeight w:val="184"/>
        </w:trPr>
        <w:tc>
          <w:tcPr>
            <w:tcW w:w="26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Income tax benefit from stock-based</w:t>
            </w: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compensation</w:t>
            </w:r>
          </w:p>
        </w:tc>
        <w:tc>
          <w:tcPr>
            <w:tcW w:w="1280" w:type="dxa"/>
            <w:vAlign w:val="bottom"/>
            <w:tcBorders>
              <w:bottom w:val="single" w:sz="8" w:color="CCEEFF"/>
            </w:tcBorders>
            <w:gridSpan w:val="2"/>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8,839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8,839</w:t>
            </w:r>
          </w:p>
        </w:tc>
        <w:tc>
          <w:tcPr>
            <w:tcW w:w="0" w:type="dxa"/>
            <w:vAlign w:val="bottom"/>
          </w:tcPr>
          <w:p>
            <w:pPr>
              <w:spacing w:after="0"/>
              <w:rPr>
                <w:sz w:val="1"/>
                <w:szCs w:val="1"/>
                <w:color w:val="auto"/>
              </w:rPr>
            </w:pPr>
          </w:p>
        </w:tc>
      </w:tr>
      <w:tr>
        <w:trPr>
          <w:trHeight w:val="215"/>
        </w:trPr>
        <w:tc>
          <w:tcPr>
            <w:tcW w:w="2660" w:type="dxa"/>
            <w:vAlign w:val="bottom"/>
          </w:tcPr>
          <w:p>
            <w:pPr>
              <w:ind w:left="20"/>
              <w:spacing w:after="0"/>
              <w:rPr>
                <w:sz w:val="20"/>
                <w:szCs w:val="20"/>
                <w:color w:val="auto"/>
              </w:rPr>
            </w:pPr>
            <w:r>
              <w:rPr>
                <w:rFonts w:ascii="Arial" w:cs="Arial" w:eastAsia="Arial" w:hAnsi="Arial"/>
                <w:sz w:val="15"/>
                <w:szCs w:val="15"/>
                <w:color w:val="auto"/>
              </w:rPr>
              <w:t>Exercise of stock options</w:t>
            </w:r>
          </w:p>
        </w:tc>
        <w:tc>
          <w:tcPr>
            <w:tcW w:w="1180" w:type="dxa"/>
            <w:vAlign w:val="bottom"/>
          </w:tcPr>
          <w:p>
            <w:pPr>
              <w:jc w:val="right"/>
              <w:ind w:right="46"/>
              <w:spacing w:after="0"/>
              <w:rPr>
                <w:sz w:val="20"/>
                <w:szCs w:val="20"/>
                <w:color w:val="auto"/>
              </w:rPr>
            </w:pPr>
            <w:r>
              <w:rPr>
                <w:rFonts w:ascii="Arial" w:cs="Arial" w:eastAsia="Arial" w:hAnsi="Arial"/>
                <w:sz w:val="15"/>
                <w:szCs w:val="15"/>
                <w:color w:val="auto"/>
              </w:rPr>
              <w:t>214,420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6,974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6,976</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Withholdings from vesting of restricted</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stock</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(147,339)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(12,650)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(12,651)</w:t>
            </w:r>
          </w:p>
        </w:tc>
        <w:tc>
          <w:tcPr>
            <w:tcW w:w="0" w:type="dxa"/>
            <w:vAlign w:val="bottom"/>
          </w:tcPr>
          <w:p>
            <w:pPr>
              <w:spacing w:after="0"/>
              <w:rPr>
                <w:sz w:val="1"/>
                <w:szCs w:val="1"/>
                <w:color w:val="auto"/>
              </w:rPr>
            </w:pPr>
          </w:p>
        </w:tc>
      </w:tr>
      <w:tr>
        <w:trPr>
          <w:trHeight w:val="215"/>
        </w:trPr>
        <w:tc>
          <w:tcPr>
            <w:tcW w:w="2660" w:type="dxa"/>
            <w:vAlign w:val="bottom"/>
          </w:tcPr>
          <w:p>
            <w:pPr>
              <w:ind w:left="40"/>
              <w:spacing w:after="0"/>
              <w:rPr>
                <w:sz w:val="20"/>
                <w:szCs w:val="20"/>
                <w:color w:val="auto"/>
              </w:rPr>
            </w:pPr>
            <w:r>
              <w:rPr>
                <w:rFonts w:ascii="Arial" w:cs="Arial" w:eastAsia="Arial" w:hAnsi="Arial"/>
                <w:sz w:val="15"/>
                <w:szCs w:val="15"/>
                <w:color w:val="auto"/>
              </w:rPr>
              <w:t>Restricted stock activity</w:t>
            </w:r>
          </w:p>
        </w:tc>
        <w:tc>
          <w:tcPr>
            <w:tcW w:w="1180" w:type="dxa"/>
            <w:vAlign w:val="bottom"/>
          </w:tcPr>
          <w:p>
            <w:pPr>
              <w:jc w:val="right"/>
              <w:ind w:right="46"/>
              <w:spacing w:after="0"/>
              <w:rPr>
                <w:sz w:val="20"/>
                <w:szCs w:val="20"/>
                <w:color w:val="auto"/>
              </w:rPr>
            </w:pPr>
            <w:r>
              <w:rPr>
                <w:rFonts w:ascii="Arial" w:cs="Arial" w:eastAsia="Arial" w:hAnsi="Arial"/>
                <w:sz w:val="15"/>
                <w:szCs w:val="15"/>
                <w:color w:val="auto"/>
              </w:rPr>
              <w:t>128,390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Stock-based compensation expense</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15,934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15,934</w:t>
            </w:r>
          </w:p>
        </w:tc>
        <w:tc>
          <w:tcPr>
            <w:tcW w:w="0" w:type="dxa"/>
            <w:vAlign w:val="bottom"/>
          </w:tcPr>
          <w:p>
            <w:pPr>
              <w:spacing w:after="0"/>
              <w:rPr>
                <w:sz w:val="1"/>
                <w:szCs w:val="1"/>
                <w:color w:val="auto"/>
              </w:rPr>
            </w:pPr>
          </w:p>
        </w:tc>
      </w:tr>
      <w:tr>
        <w:trPr>
          <w:trHeight w:val="215"/>
        </w:trPr>
        <w:tc>
          <w:tcPr>
            <w:tcW w:w="2660" w:type="dxa"/>
            <w:vAlign w:val="bottom"/>
          </w:tcPr>
          <w:p>
            <w:pPr>
              <w:ind w:left="20"/>
              <w:spacing w:after="0"/>
              <w:rPr>
                <w:sz w:val="20"/>
                <w:szCs w:val="20"/>
                <w:color w:val="auto"/>
              </w:rPr>
            </w:pPr>
            <w:r>
              <w:rPr>
                <w:rFonts w:ascii="Arial" w:cs="Arial" w:eastAsia="Arial" w:hAnsi="Arial"/>
                <w:sz w:val="15"/>
                <w:szCs w:val="15"/>
                <w:color w:val="auto"/>
              </w:rPr>
              <w:t>Issuance of common stock</w:t>
            </w:r>
          </w:p>
        </w:tc>
        <w:tc>
          <w:tcPr>
            <w:tcW w:w="1180" w:type="dxa"/>
            <w:vAlign w:val="bottom"/>
          </w:tcPr>
          <w:p>
            <w:pPr>
              <w:jc w:val="right"/>
              <w:ind w:right="46"/>
              <w:spacing w:after="0"/>
              <w:rPr>
                <w:sz w:val="20"/>
                <w:szCs w:val="20"/>
                <w:color w:val="auto"/>
              </w:rPr>
            </w:pPr>
            <w:r>
              <w:rPr>
                <w:rFonts w:ascii="Arial" w:cs="Arial" w:eastAsia="Arial" w:hAnsi="Arial"/>
                <w:sz w:val="15"/>
                <w:szCs w:val="15"/>
                <w:color w:val="auto"/>
              </w:rPr>
              <w:t>10,933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1,095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1,095</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Repurchase of common stock</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(1,154,288)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(20,191)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(90,088)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(110,290)</w:t>
            </w:r>
          </w:p>
        </w:tc>
        <w:tc>
          <w:tcPr>
            <w:tcW w:w="0" w:type="dxa"/>
            <w:vAlign w:val="bottom"/>
          </w:tcPr>
          <w:p>
            <w:pPr>
              <w:spacing w:after="0"/>
              <w:rPr>
                <w:sz w:val="1"/>
                <w:szCs w:val="1"/>
                <w:color w:val="auto"/>
              </w:rPr>
            </w:pPr>
          </w:p>
        </w:tc>
      </w:tr>
      <w:tr>
        <w:trPr>
          <w:trHeight w:val="215"/>
        </w:trPr>
        <w:tc>
          <w:tcPr>
            <w:tcW w:w="2660" w:type="dxa"/>
            <w:vAlign w:val="bottom"/>
          </w:tcPr>
          <w:p>
            <w:pPr>
              <w:ind w:left="20"/>
              <w:spacing w:after="0"/>
              <w:rPr>
                <w:sz w:val="20"/>
                <w:szCs w:val="20"/>
                <w:color w:val="auto"/>
              </w:rPr>
            </w:pPr>
            <w:r>
              <w:rPr>
                <w:rFonts w:ascii="Arial" w:cs="Arial" w:eastAsia="Arial" w:hAnsi="Arial"/>
                <w:sz w:val="15"/>
                <w:szCs w:val="15"/>
                <w:color w:val="auto"/>
              </w:rPr>
              <w:t>Cash dividends declared and paid</w:t>
            </w: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(46,028)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(46,028)</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Comprehensive income</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237,822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224,492</w:t>
            </w:r>
          </w:p>
        </w:tc>
        <w:tc>
          <w:tcPr>
            <w:tcW w:w="0" w:type="dxa"/>
            <w:vAlign w:val="bottom"/>
          </w:tcPr>
          <w:p>
            <w:pPr>
              <w:spacing w:after="0"/>
              <w:rPr>
                <w:sz w:val="1"/>
                <w:szCs w:val="1"/>
                <w:color w:val="auto"/>
              </w:rPr>
            </w:pPr>
          </w:p>
        </w:tc>
      </w:tr>
      <w:tr>
        <w:trPr>
          <w:trHeight w:val="220"/>
        </w:trPr>
        <w:tc>
          <w:tcPr>
            <w:tcW w:w="2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at January 2, 2016</w:t>
            </w:r>
          </w:p>
        </w:tc>
        <w:tc>
          <w:tcPr>
            <w:tcW w:w="1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rPr>
              <w:t>51,764,309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rPr>
              <w:t>518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(36,367)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910,900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rPr>
              <w:t>875,051</w:t>
            </w:r>
          </w:p>
        </w:tc>
        <w:tc>
          <w:tcPr>
            <w:tcW w:w="0" w:type="dxa"/>
            <w:vAlign w:val="bottom"/>
          </w:tcPr>
          <w:p>
            <w:pPr>
              <w:spacing w:after="0"/>
              <w:rPr>
                <w:sz w:val="1"/>
                <w:szCs w:val="1"/>
                <w:color w:val="auto"/>
              </w:rPr>
            </w:pPr>
          </w:p>
        </w:tc>
      </w:tr>
      <w:tr>
        <w:trPr>
          <w:trHeight w:val="184"/>
        </w:trPr>
        <w:tc>
          <w:tcPr>
            <w:tcW w:w="2660" w:type="dxa"/>
            <w:vAlign w:val="bottom"/>
            <w:shd w:val="clear" w:color="auto" w:fill="CCEEFF"/>
          </w:tcPr>
          <w:p>
            <w:pPr>
              <w:spacing w:after="0"/>
              <w:rPr>
                <w:sz w:val="20"/>
                <w:szCs w:val="20"/>
                <w:color w:val="auto"/>
              </w:rPr>
            </w:pPr>
            <w:r>
              <w:rPr>
                <w:rFonts w:ascii="Arial" w:cs="Arial" w:eastAsia="Arial" w:hAnsi="Arial"/>
                <w:sz w:val="15"/>
                <w:szCs w:val="15"/>
                <w:color w:val="auto"/>
              </w:rPr>
              <w:t>Income tax benefit from stock-based</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compensation</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4,800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4,800</w:t>
            </w:r>
          </w:p>
        </w:tc>
        <w:tc>
          <w:tcPr>
            <w:tcW w:w="0" w:type="dxa"/>
            <w:vAlign w:val="bottom"/>
          </w:tcPr>
          <w:p>
            <w:pPr>
              <w:spacing w:after="0"/>
              <w:rPr>
                <w:sz w:val="1"/>
                <w:szCs w:val="1"/>
                <w:color w:val="auto"/>
              </w:rPr>
            </w:pPr>
          </w:p>
        </w:tc>
      </w:tr>
      <w:tr>
        <w:trPr>
          <w:trHeight w:val="215"/>
        </w:trPr>
        <w:tc>
          <w:tcPr>
            <w:tcW w:w="2660" w:type="dxa"/>
            <w:vAlign w:val="bottom"/>
          </w:tcPr>
          <w:p>
            <w:pPr>
              <w:spacing w:after="0"/>
              <w:rPr>
                <w:sz w:val="20"/>
                <w:szCs w:val="20"/>
                <w:color w:val="auto"/>
              </w:rPr>
            </w:pPr>
            <w:r>
              <w:rPr>
                <w:rFonts w:ascii="Arial" w:cs="Arial" w:eastAsia="Arial" w:hAnsi="Arial"/>
                <w:sz w:val="15"/>
                <w:szCs w:val="15"/>
                <w:color w:val="auto"/>
              </w:rPr>
              <w:t>Exercise of stock options</w:t>
            </w:r>
          </w:p>
        </w:tc>
        <w:tc>
          <w:tcPr>
            <w:tcW w:w="1180" w:type="dxa"/>
            <w:vAlign w:val="bottom"/>
          </w:tcPr>
          <w:p>
            <w:pPr>
              <w:jc w:val="right"/>
              <w:ind w:right="46"/>
              <w:spacing w:after="0"/>
              <w:rPr>
                <w:sz w:val="20"/>
                <w:szCs w:val="20"/>
                <w:color w:val="auto"/>
              </w:rPr>
            </w:pPr>
            <w:r>
              <w:rPr>
                <w:rFonts w:ascii="Arial" w:cs="Arial" w:eastAsia="Arial" w:hAnsi="Arial"/>
                <w:sz w:val="15"/>
                <w:szCs w:val="15"/>
                <w:color w:val="auto"/>
              </w:rPr>
              <w:t>160,200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7,164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7,166</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660" w:type="dxa"/>
            <w:vAlign w:val="bottom"/>
            <w:shd w:val="clear" w:color="auto" w:fill="CCEEFF"/>
          </w:tcPr>
          <w:p>
            <w:pPr>
              <w:ind w:left="40"/>
              <w:spacing w:after="0"/>
              <w:rPr>
                <w:sz w:val="20"/>
                <w:szCs w:val="20"/>
                <w:color w:val="auto"/>
              </w:rPr>
            </w:pPr>
            <w:r>
              <w:rPr>
                <w:rFonts w:ascii="Arial" w:cs="Arial" w:eastAsia="Arial" w:hAnsi="Arial"/>
                <w:sz w:val="15"/>
                <w:szCs w:val="15"/>
                <w:color w:val="auto"/>
              </w:rPr>
              <w:t>Withholdings from vesting of restricted</w:t>
            </w: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stock</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(91,629)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(8,672)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(8,673)</w:t>
            </w:r>
          </w:p>
        </w:tc>
        <w:tc>
          <w:tcPr>
            <w:tcW w:w="0" w:type="dxa"/>
            <w:vAlign w:val="bottom"/>
          </w:tcPr>
          <w:p>
            <w:pPr>
              <w:spacing w:after="0"/>
              <w:rPr>
                <w:sz w:val="1"/>
                <w:szCs w:val="1"/>
                <w:color w:val="auto"/>
              </w:rPr>
            </w:pPr>
          </w:p>
        </w:tc>
      </w:tr>
      <w:tr>
        <w:trPr>
          <w:trHeight w:val="215"/>
        </w:trPr>
        <w:tc>
          <w:tcPr>
            <w:tcW w:w="2660" w:type="dxa"/>
            <w:vAlign w:val="bottom"/>
          </w:tcPr>
          <w:p>
            <w:pPr>
              <w:ind w:left="40"/>
              <w:spacing w:after="0"/>
              <w:rPr>
                <w:sz w:val="20"/>
                <w:szCs w:val="20"/>
                <w:color w:val="auto"/>
              </w:rPr>
            </w:pPr>
            <w:r>
              <w:rPr>
                <w:rFonts w:ascii="Arial" w:cs="Arial" w:eastAsia="Arial" w:hAnsi="Arial"/>
                <w:sz w:val="15"/>
                <w:szCs w:val="15"/>
                <w:color w:val="auto"/>
              </w:rPr>
              <w:t>Restricted stock activity</w:t>
            </w:r>
          </w:p>
        </w:tc>
        <w:tc>
          <w:tcPr>
            <w:tcW w:w="1180" w:type="dxa"/>
            <w:vAlign w:val="bottom"/>
          </w:tcPr>
          <w:p>
            <w:pPr>
              <w:jc w:val="right"/>
              <w:ind w:right="46"/>
              <w:spacing w:after="0"/>
              <w:rPr>
                <w:sz w:val="20"/>
                <w:szCs w:val="20"/>
                <w:color w:val="auto"/>
              </w:rPr>
            </w:pPr>
            <w:r>
              <w:rPr>
                <w:rFonts w:ascii="Arial" w:cs="Arial" w:eastAsia="Arial" w:hAnsi="Arial"/>
                <w:sz w:val="15"/>
                <w:szCs w:val="15"/>
                <w:color w:val="auto"/>
              </w:rPr>
              <w:t>152,413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Stock-based compensation expense</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15,662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15,662</w:t>
            </w:r>
          </w:p>
        </w:tc>
        <w:tc>
          <w:tcPr>
            <w:tcW w:w="0" w:type="dxa"/>
            <w:vAlign w:val="bottom"/>
          </w:tcPr>
          <w:p>
            <w:pPr>
              <w:spacing w:after="0"/>
              <w:rPr>
                <w:sz w:val="1"/>
                <w:szCs w:val="1"/>
                <w:color w:val="auto"/>
              </w:rPr>
            </w:pPr>
          </w:p>
        </w:tc>
      </w:tr>
      <w:tr>
        <w:trPr>
          <w:trHeight w:val="215"/>
        </w:trPr>
        <w:tc>
          <w:tcPr>
            <w:tcW w:w="2660" w:type="dxa"/>
            <w:vAlign w:val="bottom"/>
          </w:tcPr>
          <w:p>
            <w:pPr>
              <w:ind w:left="40"/>
              <w:spacing w:after="0"/>
              <w:rPr>
                <w:sz w:val="20"/>
                <w:szCs w:val="20"/>
                <w:color w:val="auto"/>
              </w:rPr>
            </w:pPr>
            <w:r>
              <w:rPr>
                <w:rFonts w:ascii="Arial" w:cs="Arial" w:eastAsia="Arial" w:hAnsi="Arial"/>
                <w:sz w:val="15"/>
                <w:szCs w:val="15"/>
                <w:color w:val="auto"/>
              </w:rPr>
              <w:t>Issuance of common stock</w:t>
            </w:r>
          </w:p>
        </w:tc>
        <w:tc>
          <w:tcPr>
            <w:tcW w:w="1180" w:type="dxa"/>
            <w:vAlign w:val="bottom"/>
          </w:tcPr>
          <w:p>
            <w:pPr>
              <w:jc w:val="right"/>
              <w:ind w:right="46"/>
              <w:spacing w:after="0"/>
              <w:rPr>
                <w:sz w:val="20"/>
                <w:szCs w:val="20"/>
                <w:color w:val="auto"/>
              </w:rPr>
            </w:pPr>
            <w:r>
              <w:rPr>
                <w:rFonts w:ascii="Arial" w:cs="Arial" w:eastAsia="Arial" w:hAnsi="Arial"/>
                <w:sz w:val="15"/>
                <w:szCs w:val="15"/>
                <w:color w:val="auto"/>
              </w:rPr>
              <w:t>12,758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1,185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1,185</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Repurchases of common stock</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(3,049,381)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(20,138)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(280,276)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(300,445)</w:t>
            </w:r>
          </w:p>
        </w:tc>
        <w:tc>
          <w:tcPr>
            <w:tcW w:w="0" w:type="dxa"/>
            <w:vAlign w:val="bottom"/>
          </w:tcPr>
          <w:p>
            <w:pPr>
              <w:spacing w:after="0"/>
              <w:rPr>
                <w:sz w:val="1"/>
                <w:szCs w:val="1"/>
                <w:color w:val="auto"/>
              </w:rPr>
            </w:pPr>
          </w:p>
        </w:tc>
      </w:tr>
      <w:tr>
        <w:trPr>
          <w:trHeight w:val="215"/>
        </w:trPr>
        <w:tc>
          <w:tcPr>
            <w:tcW w:w="2660" w:type="dxa"/>
            <w:vAlign w:val="bottom"/>
          </w:tcPr>
          <w:p>
            <w:pPr>
              <w:ind w:left="40"/>
              <w:spacing w:after="0"/>
              <w:rPr>
                <w:sz w:val="20"/>
                <w:szCs w:val="20"/>
                <w:color w:val="auto"/>
              </w:rPr>
            </w:pPr>
            <w:r>
              <w:rPr>
                <w:rFonts w:ascii="Arial" w:cs="Arial" w:eastAsia="Arial" w:hAnsi="Arial"/>
                <w:sz w:val="15"/>
                <w:szCs w:val="15"/>
                <w:color w:val="auto"/>
              </w:rPr>
              <w:t>Cash dividends declared and paid</w:t>
            </w: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(66,355)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(66,355)</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Comprehensive income</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258,106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259,733</w:t>
            </w:r>
          </w:p>
        </w:tc>
        <w:tc>
          <w:tcPr>
            <w:tcW w:w="0" w:type="dxa"/>
            <w:vAlign w:val="bottom"/>
          </w:tcPr>
          <w:p>
            <w:pPr>
              <w:spacing w:after="0"/>
              <w:rPr>
                <w:sz w:val="1"/>
                <w:szCs w:val="1"/>
                <w:color w:val="auto"/>
              </w:rPr>
            </w:pPr>
          </w:p>
        </w:tc>
      </w:tr>
      <w:tr>
        <w:trPr>
          <w:trHeight w:val="220"/>
        </w:trPr>
        <w:tc>
          <w:tcPr>
            <w:tcW w:w="2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1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48,948,670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489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(34,740)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822,375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788,124</w:t>
            </w:r>
          </w:p>
        </w:tc>
        <w:tc>
          <w:tcPr>
            <w:tcW w:w="0" w:type="dxa"/>
            <w:vAlign w:val="bottom"/>
          </w:tcPr>
          <w:p>
            <w:pPr>
              <w:spacing w:after="0"/>
              <w:rPr>
                <w:sz w:val="1"/>
                <w:szCs w:val="1"/>
                <w:color w:val="auto"/>
              </w:rPr>
            </w:pPr>
          </w:p>
        </w:tc>
      </w:tr>
      <w:tr>
        <w:trPr>
          <w:trHeight w:val="209"/>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Exercise of stock options</w:t>
            </w:r>
          </w:p>
        </w:tc>
        <w:tc>
          <w:tcPr>
            <w:tcW w:w="1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240,850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8,436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8,438</w:t>
            </w:r>
          </w:p>
        </w:tc>
        <w:tc>
          <w:tcPr>
            <w:tcW w:w="0" w:type="dxa"/>
            <w:vAlign w:val="bottom"/>
          </w:tcPr>
          <w:p>
            <w:pPr>
              <w:spacing w:after="0"/>
              <w:rPr>
                <w:sz w:val="1"/>
                <w:szCs w:val="1"/>
                <w:color w:val="auto"/>
              </w:rPr>
            </w:pPr>
          </w:p>
        </w:tc>
      </w:tr>
      <w:tr>
        <w:trPr>
          <w:trHeight w:val="200"/>
        </w:trPr>
        <w:tc>
          <w:tcPr>
            <w:tcW w:w="2660" w:type="dxa"/>
            <w:vAlign w:val="bottom"/>
          </w:tcPr>
          <w:p>
            <w:pPr>
              <w:ind w:left="40"/>
              <w:spacing w:after="0"/>
              <w:rPr>
                <w:sz w:val="20"/>
                <w:szCs w:val="20"/>
                <w:color w:val="auto"/>
              </w:rPr>
            </w:pPr>
            <w:r>
              <w:rPr>
                <w:rFonts w:ascii="Arial" w:cs="Arial" w:eastAsia="Arial" w:hAnsi="Arial"/>
                <w:sz w:val="15"/>
                <w:szCs w:val="15"/>
                <w:color w:val="auto"/>
              </w:rPr>
              <w:t>Withholdings from vesting of restricted</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660" w:type="dxa"/>
            <w:vAlign w:val="bottom"/>
          </w:tcPr>
          <w:p>
            <w:pPr>
              <w:ind w:left="40"/>
              <w:spacing w:after="0"/>
              <w:rPr>
                <w:sz w:val="20"/>
                <w:szCs w:val="20"/>
                <w:color w:val="auto"/>
              </w:rPr>
            </w:pPr>
            <w:r>
              <w:rPr>
                <w:rFonts w:ascii="Arial" w:cs="Arial" w:eastAsia="Arial" w:hAnsi="Arial"/>
                <w:sz w:val="15"/>
                <w:szCs w:val="15"/>
                <w:color w:val="auto"/>
              </w:rPr>
              <w:t>stock</w:t>
            </w:r>
          </w:p>
        </w:tc>
        <w:tc>
          <w:tcPr>
            <w:tcW w:w="1180" w:type="dxa"/>
            <w:vAlign w:val="bottom"/>
          </w:tcPr>
          <w:p>
            <w:pPr>
              <w:jc w:val="right"/>
              <w:spacing w:after="0"/>
              <w:rPr>
                <w:sz w:val="20"/>
                <w:szCs w:val="20"/>
                <w:color w:val="auto"/>
              </w:rPr>
            </w:pPr>
            <w:r>
              <w:rPr>
                <w:rFonts w:ascii="Arial" w:cs="Arial" w:eastAsia="Arial" w:hAnsi="Arial"/>
                <w:sz w:val="15"/>
                <w:szCs w:val="15"/>
                <w:color w:val="auto"/>
              </w:rPr>
              <w:t>(67,546)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(5,752)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(5,753)</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Restricted stock activity</w:t>
            </w:r>
          </w:p>
        </w:tc>
        <w:tc>
          <w:tcPr>
            <w:tcW w:w="1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145,913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2660" w:type="dxa"/>
            <w:vAlign w:val="bottom"/>
          </w:tcPr>
          <w:p>
            <w:pPr>
              <w:ind w:left="40"/>
              <w:spacing w:after="0"/>
              <w:rPr>
                <w:sz w:val="20"/>
                <w:szCs w:val="20"/>
                <w:color w:val="auto"/>
              </w:rPr>
            </w:pPr>
            <w:r>
              <w:rPr>
                <w:rFonts w:ascii="Arial" w:cs="Arial" w:eastAsia="Arial" w:hAnsi="Arial"/>
                <w:sz w:val="15"/>
                <w:szCs w:val="15"/>
                <w:color w:val="auto"/>
              </w:rPr>
              <w:t>Stock-based compensation expense</w:t>
            </w: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16,378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16,378</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Issuance of common stock</w:t>
            </w:r>
          </w:p>
        </w:tc>
        <w:tc>
          <w:tcPr>
            <w:tcW w:w="1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13,860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1,170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1,171</w:t>
            </w:r>
          </w:p>
        </w:tc>
        <w:tc>
          <w:tcPr>
            <w:tcW w:w="0" w:type="dxa"/>
            <w:vAlign w:val="bottom"/>
          </w:tcPr>
          <w:p>
            <w:pPr>
              <w:spacing w:after="0"/>
              <w:rPr>
                <w:sz w:val="1"/>
                <w:szCs w:val="1"/>
                <w:color w:val="auto"/>
              </w:rPr>
            </w:pPr>
          </w:p>
        </w:tc>
      </w:tr>
      <w:tr>
        <w:trPr>
          <w:trHeight w:val="215"/>
        </w:trPr>
        <w:tc>
          <w:tcPr>
            <w:tcW w:w="2660" w:type="dxa"/>
            <w:vAlign w:val="bottom"/>
          </w:tcPr>
          <w:p>
            <w:pPr>
              <w:ind w:left="40"/>
              <w:spacing w:after="0"/>
              <w:rPr>
                <w:sz w:val="20"/>
                <w:szCs w:val="20"/>
                <w:color w:val="auto"/>
              </w:rPr>
            </w:pPr>
            <w:r>
              <w:rPr>
                <w:rFonts w:ascii="Arial" w:cs="Arial" w:eastAsia="Arial" w:hAnsi="Arial"/>
                <w:sz w:val="15"/>
                <w:szCs w:val="15"/>
                <w:color w:val="auto"/>
              </w:rPr>
              <w:t>Repurchases of common stock</w:t>
            </w:r>
          </w:p>
        </w:tc>
        <w:tc>
          <w:tcPr>
            <w:tcW w:w="1180" w:type="dxa"/>
            <w:vAlign w:val="bottom"/>
          </w:tcPr>
          <w:p>
            <w:pPr>
              <w:jc w:val="right"/>
              <w:spacing w:after="0"/>
              <w:rPr>
                <w:sz w:val="20"/>
                <w:szCs w:val="20"/>
                <w:color w:val="auto"/>
              </w:rPr>
            </w:pPr>
            <w:r>
              <w:rPr>
                <w:rFonts w:ascii="Arial" w:cs="Arial" w:eastAsia="Arial" w:hAnsi="Arial"/>
                <w:sz w:val="15"/>
                <w:szCs w:val="15"/>
                <w:color w:val="auto"/>
              </w:rPr>
              <w:t>(2,103,401)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(20,230)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(168,511)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(188,762)</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dividends declared and paid</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(70,914)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(70,914)</w:t>
            </w:r>
          </w:p>
        </w:tc>
        <w:tc>
          <w:tcPr>
            <w:tcW w:w="0" w:type="dxa"/>
            <w:vAlign w:val="bottom"/>
          </w:tcPr>
          <w:p>
            <w:pPr>
              <w:spacing w:after="0"/>
              <w:rPr>
                <w:sz w:val="1"/>
                <w:szCs w:val="1"/>
                <w:color w:val="auto"/>
              </w:rPr>
            </w:pPr>
          </w:p>
        </w:tc>
      </w:tr>
      <w:tr>
        <w:trPr>
          <w:trHeight w:val="215"/>
        </w:trPr>
        <w:tc>
          <w:tcPr>
            <w:tcW w:w="2660" w:type="dxa"/>
            <w:vAlign w:val="bottom"/>
          </w:tcPr>
          <w:p>
            <w:pPr>
              <w:ind w:left="40"/>
              <w:spacing w:after="0"/>
              <w:rPr>
                <w:sz w:val="20"/>
                <w:szCs w:val="20"/>
                <w:color w:val="auto"/>
              </w:rPr>
            </w:pPr>
            <w:r>
              <w:rPr>
                <w:rFonts w:ascii="Arial" w:cs="Arial" w:eastAsia="Arial" w:hAnsi="Arial"/>
                <w:sz w:val="15"/>
                <w:szCs w:val="15"/>
                <w:color w:val="auto"/>
              </w:rPr>
              <w:t>Comprehensive income</w:t>
            </w: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360" w:type="dxa"/>
            <w:vAlign w:val="bottom"/>
          </w:tcPr>
          <w:p>
            <w:pPr>
              <w:jc w:val="right"/>
              <w:ind w:right="27"/>
              <w:spacing w:after="0"/>
              <w:rPr>
                <w:sz w:val="20"/>
                <w:szCs w:val="20"/>
                <w:color w:val="auto"/>
              </w:rPr>
            </w:pPr>
            <w:r>
              <w:rPr>
                <w:rFonts w:ascii="Arial" w:cs="Arial" w:eastAsia="Arial" w:hAnsi="Arial"/>
                <w:sz w:val="15"/>
                <w:szCs w:val="15"/>
                <w:color w:val="auto"/>
              </w:rPr>
              <w:t>5,647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302,764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7"/>
              <w:spacing w:after="0"/>
              <w:rPr>
                <w:sz w:val="20"/>
                <w:szCs w:val="20"/>
                <w:color w:val="auto"/>
              </w:rPr>
            </w:pPr>
            <w:r>
              <w:rPr>
                <w:rFonts w:ascii="Arial" w:cs="Arial" w:eastAsia="Arial" w:hAnsi="Arial"/>
                <w:sz w:val="15"/>
                <w:szCs w:val="15"/>
                <w:color w:val="auto"/>
              </w:rPr>
              <w:t>308,411</w:t>
            </w:r>
          </w:p>
        </w:tc>
        <w:tc>
          <w:tcPr>
            <w:tcW w:w="0" w:type="dxa"/>
            <w:vAlign w:val="bottom"/>
          </w:tcPr>
          <w:p>
            <w:pPr>
              <w:spacing w:after="0"/>
              <w:rPr>
                <w:sz w:val="1"/>
                <w:szCs w:val="1"/>
                <w:color w:val="auto"/>
              </w:rPr>
            </w:pPr>
          </w:p>
        </w:tc>
      </w:tr>
      <w:tr>
        <w:trPr>
          <w:trHeight w:val="29"/>
        </w:trPr>
        <w:tc>
          <w:tcPr>
            <w:tcW w:w="2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30, 2017</w:t>
            </w:r>
          </w:p>
        </w:tc>
        <w:tc>
          <w:tcPr>
            <w:tcW w:w="118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47,178,346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9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rPr>
              <w:t>472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(29,093)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rPr>
              <w:t>885,714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95"/>
              </w:rPr>
              <w:t>$</w:t>
            </w:r>
          </w:p>
        </w:tc>
        <w:tc>
          <w:tcPr>
            <w:tcW w:w="1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rPr>
              <w:t>857,093</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0580"/>
          </w:cols>
          <w:pgMar w:left="660" w:top="343" w:right="65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THE COMPANY</w:t>
      </w:r>
    </w:p>
    <w:p>
      <w:pPr>
        <w:spacing w:after="0" w:line="211"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 xml:space="preserve">Carter's, Inc. and its wholly owned subsidiaries (collectively, the "Company") design, source, and market branded childrenswear under the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w:t>
      </w:r>
      <w:r>
        <w:rPr>
          <w:rFonts w:ascii="Arial" w:cs="Arial" w:eastAsia="Arial" w:hAnsi="Arial"/>
          <w:sz w:val="16"/>
          <w:szCs w:val="16"/>
          <w:i w:val="1"/>
          <w:iCs w:val="1"/>
          <w:color w:val="auto"/>
        </w:rPr>
        <w:t>Child of Mine</w:t>
      </w:r>
      <w:r>
        <w:rPr>
          <w:rFonts w:ascii="Arial" w:cs="Arial" w:eastAsia="Arial" w:hAnsi="Arial"/>
          <w:sz w:val="16"/>
          <w:szCs w:val="16"/>
          <w:color w:val="auto"/>
        </w:rPr>
        <w:t xml:space="preserve">, </w:t>
      </w:r>
      <w:r>
        <w:rPr>
          <w:rFonts w:ascii="Arial" w:cs="Arial" w:eastAsia="Arial" w:hAnsi="Arial"/>
          <w:sz w:val="16"/>
          <w:szCs w:val="16"/>
          <w:i w:val="1"/>
          <w:iCs w:val="1"/>
          <w:color w:val="auto"/>
        </w:rPr>
        <w:t>Just One</w:t>
      </w:r>
      <w:r>
        <w:rPr>
          <w:rFonts w:ascii="Arial" w:cs="Arial" w:eastAsia="Arial" w:hAnsi="Arial"/>
          <w:sz w:val="16"/>
          <w:szCs w:val="16"/>
          <w:color w:val="auto"/>
        </w:rPr>
        <w:t xml:space="preserve"> </w:t>
      </w:r>
      <w:r>
        <w:rPr>
          <w:rFonts w:ascii="Arial" w:cs="Arial" w:eastAsia="Arial" w:hAnsi="Arial"/>
          <w:sz w:val="16"/>
          <w:szCs w:val="16"/>
          <w:i w:val="1"/>
          <w:iCs w:val="1"/>
          <w:color w:val="auto"/>
        </w:rPr>
        <w:t>You</w:t>
      </w:r>
      <w:r>
        <w:rPr>
          <w:rFonts w:ascii="Arial" w:cs="Arial" w:eastAsia="Arial" w:hAnsi="Arial"/>
          <w:sz w:val="16"/>
          <w:szCs w:val="16"/>
          <w:color w:val="auto"/>
        </w:rPr>
        <w:t>,</w:t>
      </w:r>
      <w:r>
        <w:rPr>
          <w:rFonts w:ascii="Arial" w:cs="Arial" w:eastAsia="Arial" w:hAnsi="Arial"/>
          <w:sz w:val="16"/>
          <w:szCs w:val="16"/>
          <w:i w:val="1"/>
          <w:iCs w:val="1"/>
          <w:color w:val="auto"/>
        </w:rPr>
        <w:t xml:space="preserve"> Precious Firsts</w:t>
      </w:r>
      <w:r>
        <w:rPr>
          <w:rFonts w:ascii="Arial" w:cs="Arial" w:eastAsia="Arial" w:hAnsi="Arial"/>
          <w:sz w:val="16"/>
          <w:szCs w:val="16"/>
          <w:color w:val="auto"/>
        </w:rPr>
        <w:t>,</w:t>
      </w:r>
      <w:r>
        <w:rPr>
          <w:rFonts w:ascii="Arial" w:cs="Arial" w:eastAsia="Arial" w:hAnsi="Arial"/>
          <w:sz w:val="16"/>
          <w:szCs w:val="16"/>
          <w:i w:val="1"/>
          <w:iCs w:val="1"/>
          <w:color w:val="auto"/>
        </w:rPr>
        <w:t xml:space="preserve"> Simple Joys</w:t>
      </w:r>
      <w:r>
        <w:rPr>
          <w:rFonts w:ascii="Arial" w:cs="Arial" w:eastAsia="Arial" w:hAnsi="Arial"/>
          <w:sz w:val="16"/>
          <w:szCs w:val="16"/>
          <w:color w:val="auto"/>
        </w:rPr>
        <w:t>,</w:t>
      </w:r>
      <w:r>
        <w:rPr>
          <w:rFonts w:ascii="Arial" w:cs="Arial" w:eastAsia="Arial" w:hAnsi="Arial"/>
          <w:sz w:val="16"/>
          <w:szCs w:val="16"/>
          <w:i w:val="1"/>
          <w:iCs w:val="1"/>
          <w:color w:val="auto"/>
        </w:rPr>
        <w:t xml:space="preserve"> OshKosh B'gosh </w:t>
      </w:r>
      <w:r>
        <w:rPr>
          <w:rFonts w:ascii="Arial" w:cs="Arial" w:eastAsia="Arial" w:hAnsi="Arial"/>
          <w:sz w:val="16"/>
          <w:szCs w:val="16"/>
          <w:color w:val="auto"/>
        </w:rPr>
        <w:t>("</w:t>
      </w:r>
      <w:r>
        <w:rPr>
          <w:rFonts w:ascii="Arial" w:cs="Arial" w:eastAsia="Arial" w:hAnsi="Arial"/>
          <w:sz w:val="16"/>
          <w:szCs w:val="16"/>
          <w:i w:val="1"/>
          <w:iCs w:val="1"/>
          <w:color w:val="auto"/>
        </w:rPr>
        <w:t>OshKosh</w:t>
      </w:r>
      <w:r>
        <w:rPr>
          <w:rFonts w:ascii="Arial" w:cs="Arial" w:eastAsia="Arial" w:hAnsi="Arial"/>
          <w:sz w:val="16"/>
          <w:szCs w:val="16"/>
          <w:color w:val="auto"/>
        </w:rPr>
        <w:t>"),</w:t>
      </w:r>
      <w:r>
        <w:rPr>
          <w:rFonts w:ascii="Arial" w:cs="Arial" w:eastAsia="Arial" w:hAnsi="Arial"/>
          <w:sz w:val="16"/>
          <w:szCs w:val="16"/>
          <w:i w:val="1"/>
          <w:iCs w:val="1"/>
          <w:color w:val="auto"/>
        </w:rPr>
        <w:t xml:space="preserve"> Skip Hop, </w:t>
      </w:r>
      <w:r>
        <w:rPr>
          <w:rFonts w:ascii="Arial" w:cs="Arial" w:eastAsia="Arial" w:hAnsi="Arial"/>
          <w:sz w:val="16"/>
          <w:szCs w:val="16"/>
          <w:color w:val="auto"/>
        </w:rPr>
        <w:t>and other brands. The Company's products are sourced through contractual arrangements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worldwide for: 1) wholesale distribution to leading department stores, national chains, and specialty retailers domestically and internationally and 2) distribution to the Company's own retail stores and eCommerce sites that market its brand name merchandise and other licensed products manufactured by other companies. As of December 30, 2017, the Company operated 1,050 retail stores in North America.</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SUMMARY OF SIGNIFICANT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PRINCIPLES OF CONSOLIDATION</w:t>
      </w:r>
    </w:p>
    <w:p>
      <w:pPr>
        <w:spacing w:after="0" w:line="20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accompanying consolidated financial statements include the accounts of Carter's, Inc. and its wholly owned subsidiaries. All intercompany transactions and balances have been eliminated in consolidation.</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w:t>
      </w:r>
    </w:p>
    <w:p>
      <w:pPr>
        <w:spacing w:after="0" w:line="207" w:lineRule="exact"/>
        <w:rPr>
          <w:sz w:val="20"/>
          <w:szCs w:val="20"/>
          <w:color w:val="auto"/>
        </w:rPr>
      </w:pPr>
    </w:p>
    <w:p>
      <w:pPr>
        <w:ind w:right="180"/>
        <w:spacing w:after="0" w:line="270" w:lineRule="auto"/>
        <w:rPr>
          <w:sz w:val="20"/>
          <w:szCs w:val="20"/>
          <w:color w:val="auto"/>
        </w:rPr>
      </w:pPr>
      <w:r>
        <w:rPr>
          <w:rFonts w:ascii="Arial" w:cs="Arial" w:eastAsia="Arial" w:hAnsi="Arial"/>
          <w:sz w:val="16"/>
          <w:szCs w:val="16"/>
          <w:color w:val="auto"/>
        </w:rPr>
        <w:t>The Company's fiscal year ends on the Saturday in December or January nearest the last day of December, resulting in an additional week of results every five or six fiscal years. Fiscal 2017, which ended on December 30, 2017, fiscal 2016, which ended on December 31, 2016, and fiscal 2015, which ended on January 2, 2016, all contained 52 weeks.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USE OF ESTIMATES IN THE PREPARATION OF THE CONSOLIDATED FINANCIAL STATEMENTS</w:t>
      </w:r>
    </w:p>
    <w:p>
      <w:pPr>
        <w:spacing w:after="0" w:line="207" w:lineRule="exact"/>
        <w:rPr>
          <w:sz w:val="20"/>
          <w:szCs w:val="20"/>
          <w:color w:val="auto"/>
        </w:rPr>
      </w:pPr>
    </w:p>
    <w:p>
      <w:pPr>
        <w:jc w:val="both"/>
        <w:ind w:right="220"/>
        <w:spacing w:after="0" w:line="296" w:lineRule="auto"/>
        <w:rPr>
          <w:sz w:val="20"/>
          <w:szCs w:val="20"/>
          <w:color w:val="auto"/>
        </w:rPr>
      </w:pPr>
      <w:r>
        <w:rPr>
          <w:rFonts w:ascii="Arial" w:cs="Arial" w:eastAsia="Arial" w:hAnsi="Arial"/>
          <w:sz w:val="15"/>
          <w:szCs w:val="15"/>
          <w:color w:val="auto"/>
        </w:rPr>
        <w:t>The preparation of these consolidated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TRANSLATION AND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Translation adjustments</w:t>
      </w:r>
    </w:p>
    <w:p>
      <w:pPr>
        <w:spacing w:after="0" w:line="220"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The functional currency of substantially all of the Company's foreign operations is the local currency. Assets and liabilities are translated into U.S. dollars using the current exchange rates in effect at the balance sheet date, while revenues and expenses are translated at the average exchange rates for the period. The resulting translation adjustments are recorded as a component of accumulated other comprehensive income (loss) within the accompanying consolidated balance sheet.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 adjustments</w:t>
      </w:r>
    </w:p>
    <w:p>
      <w:pPr>
        <w:spacing w:after="0" w:line="207"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The Company also recognizes gains and losses on transactions that are denominated in a currency other than the respective entity's functional currency. Foreign currency transaction gains and losses also include intercompany loans with foreign subsidiaries that are of a short-term investment nature. Foreign currency transaction gains and losses are recognized in earnings, as a separate component of other expense, net, within the consolidated statements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Contracts</w:t>
      </w:r>
    </w:p>
    <w:p>
      <w:pPr>
        <w:spacing w:after="0" w:line="207"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As part of the Company's overall strategy to manage the level of exposure to the risk of foreign currency exchange rate fluctuations, primarily between the U.S. dollar and the currencies of Canada and Mexico, the Company may use foreign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343" w:right="239" w:bottom="1440" w:gutter="0" w:footer="0" w:header="0"/>
        </w:sectPr>
      </w:pPr>
    </w:p>
    <w:bookmarkStart w:id="61" w:name="page62"/>
    <w:bookmarkEnd w:id="61"/>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currency forward contracts to hedge purchases that are made in U.S. dollars, primarily for inventory purchases in its Canadian and Mexican operations. As part of this hedging strategy, the Company may use foreign currency forward exchange contracts with maturities of less than 12 months to provide continuing coverage throughout the hedging period. Historically, these contracts were not designated for hedge accounting treatment, and therefore changes in the fair value of these contracts have been recorded in Other (income) expense, net in the Company's consolidated statement of operations. Such foreign currency gains and losses typically include the mark-to-market fair value adjustments at the end of each reporting period related to open contracts, as well as any realized gains and losses on contracts settled during the reporting period. The fair values of any unsettled currency contracts are included in other current assets or other current liabilities on the Company's consolidated balance sheet. On the consolidated statement of cash flows, the Company includes all activity, including cash settlement of any contracts, as a component of cash flows from operations.</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AND CASH EQUIVALENTS</w:t>
      </w:r>
    </w:p>
    <w:p>
      <w:pPr>
        <w:spacing w:after="0" w:line="207" w:lineRule="exact"/>
        <w:rPr>
          <w:sz w:val="20"/>
          <w:szCs w:val="20"/>
          <w:color w:val="auto"/>
        </w:rPr>
      </w:pPr>
    </w:p>
    <w:p>
      <w:pPr>
        <w:ind w:right="60"/>
        <w:spacing w:after="0" w:line="296" w:lineRule="auto"/>
        <w:rPr>
          <w:sz w:val="20"/>
          <w:szCs w:val="20"/>
          <w:color w:val="auto"/>
        </w:rPr>
      </w:pPr>
      <w:r>
        <w:rPr>
          <w:rFonts w:ascii="Arial" w:cs="Arial" w:eastAsia="Arial" w:hAnsi="Arial"/>
          <w:sz w:val="15"/>
          <w:szCs w:val="15"/>
          <w:color w:val="auto"/>
        </w:rPr>
        <w:t>The Company considers all highly liquid investments that have original maturities of three months or less to be cash equivalents. Cash and cash equivalents consist of deposit accounts and cash management funds invested in U. S. government instruments. These investments are stated at cost, which approximates fair value. Cash equivalents also include amounts due from third-party financial institutions for credit and debit card transactions; these amounts typically settle in less than five days.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 of cash deposits risk</w:t>
      </w:r>
    </w:p>
    <w:p>
      <w:pPr>
        <w:spacing w:after="0" w:line="207"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As of December 30, 2017, the Company had approximately $178.5 million of cash and cash equivalents in major financial institutions, including approximately $39.0 million in financial institutions located outside of the United States. The Company maintains cash deposits with major financial institutions that exceed the insurance coverage limits provided by the Federal Deposit Insurance Corporation in the U.S. and by similar insurers for deposits located outside the U.S. To mitigate this risk, the Company utilizes a policy of allocating cash deposits among major financial institutions that have been evaluated by the Company and third-party rating agencies.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ACCOUNTS RECEIVABLE</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accounts receivable, net, as of December 30, 2017 and December 31, 2016 were as follows:</w:t>
      </w:r>
    </w:p>
    <w:p>
      <w:pPr>
        <w:spacing w:after="0" w:line="342" w:lineRule="exact"/>
        <w:rPr>
          <w:sz w:val="20"/>
          <w:szCs w:val="20"/>
          <w:color w:val="auto"/>
        </w:rPr>
      </w:pPr>
    </w:p>
    <w:tbl>
      <w:tblPr>
        <w:tblLayout w:type="fixed"/>
        <w:tblInd w:w="1260" w:type="dxa"/>
        <w:tblCellMar>
          <w:top w:w="0" w:type="dxa"/>
          <w:left w:w="0" w:type="dxa"/>
          <w:bottom w:w="0" w:type="dxa"/>
          <w:right w:w="0" w:type="dxa"/>
        </w:tblCellMar>
      </w:tblPr>
      <w:tr>
        <w:trPr>
          <w:trHeight w:val="204"/>
        </w:trPr>
        <w:tc>
          <w:tcPr>
            <w:tcW w:w="5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December 30,</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2016</w:t>
            </w:r>
          </w:p>
        </w:tc>
      </w:tr>
      <w:tr>
        <w:trPr>
          <w:trHeight w:val="211"/>
        </w:trPr>
        <w:tc>
          <w:tcPr>
            <w:tcW w:w="5660" w:type="dxa"/>
            <w:vAlign w:val="bottom"/>
          </w:tcPr>
          <w:p>
            <w:pPr>
              <w:ind w:left="40"/>
              <w:spacing w:after="0"/>
              <w:rPr>
                <w:sz w:val="20"/>
                <w:szCs w:val="20"/>
                <w:color w:val="auto"/>
              </w:rPr>
            </w:pPr>
            <w:r>
              <w:rPr>
                <w:rFonts w:ascii="Arial" w:cs="Arial" w:eastAsia="Arial" w:hAnsi="Arial"/>
                <w:sz w:val="16"/>
                <w:szCs w:val="16"/>
                <w:color w:val="auto"/>
              </w:rPr>
              <w:t>Trade receivables from wholesale customers, net</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229,968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182,195</w:t>
            </w:r>
          </w:p>
        </w:tc>
      </w:tr>
      <w:tr>
        <w:trPr>
          <w:trHeight w:val="25"/>
        </w:trPr>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5"/>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Royalties receivable</w:t>
            </w:r>
          </w:p>
        </w:tc>
        <w:tc>
          <w:tcPr>
            <w:tcW w:w="2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9,818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9,218</w:t>
            </w:r>
          </w:p>
        </w:tc>
      </w:tr>
      <w:tr>
        <w:trPr>
          <w:trHeight w:val="219"/>
        </w:trPr>
        <w:tc>
          <w:tcPr>
            <w:tcW w:w="5660" w:type="dxa"/>
            <w:vAlign w:val="bottom"/>
          </w:tcPr>
          <w:p>
            <w:pPr>
              <w:ind w:left="40"/>
              <w:spacing w:after="0"/>
              <w:rPr>
                <w:sz w:val="20"/>
                <w:szCs w:val="20"/>
                <w:color w:val="auto"/>
              </w:rPr>
            </w:pPr>
            <w:r>
              <w:rPr>
                <w:rFonts w:ascii="Arial" w:cs="Arial" w:eastAsia="Arial" w:hAnsi="Arial"/>
                <w:sz w:val="16"/>
                <w:szCs w:val="16"/>
                <w:color w:val="auto"/>
              </w:rPr>
              <w:t>Tenant allowances and other receivables</w:t>
            </w:r>
          </w:p>
        </w:tc>
        <w:tc>
          <w:tcPr>
            <w:tcW w:w="20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14,511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19,810</w:t>
            </w:r>
          </w:p>
        </w:tc>
      </w:tr>
      <w:tr>
        <w:trPr>
          <w:trHeight w:val="25"/>
        </w:trPr>
        <w:tc>
          <w:tcPr>
            <w:tcW w:w="5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gross receivables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254,297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211,223</w:t>
            </w:r>
          </w:p>
        </w:tc>
      </w:tr>
      <w:tr>
        <w:trPr>
          <w:trHeight w:val="211"/>
        </w:trPr>
        <w:tc>
          <w:tcPr>
            <w:tcW w:w="5660" w:type="dxa"/>
            <w:vAlign w:val="bottom"/>
          </w:tcPr>
          <w:p>
            <w:pPr>
              <w:ind w:left="40"/>
              <w:spacing w:after="0"/>
              <w:rPr>
                <w:sz w:val="20"/>
                <w:szCs w:val="20"/>
                <w:color w:val="auto"/>
              </w:rPr>
            </w:pPr>
            <w:r>
              <w:rPr>
                <w:rFonts w:ascii="Arial" w:cs="Arial" w:eastAsia="Arial" w:hAnsi="Arial"/>
                <w:sz w:val="16"/>
                <w:szCs w:val="16"/>
                <w:color w:val="auto"/>
              </w:rPr>
              <w:t>Less: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5"/>
        </w:trPr>
        <w:tc>
          <w:tcPr>
            <w:tcW w:w="5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5"/>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Wholesale accounts receivable reserves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(8,752)</w:t>
            </w:r>
          </w:p>
        </w:tc>
      </w:tr>
      <w:tr>
        <w:trPr>
          <w:trHeight w:val="230"/>
        </w:trPr>
        <w:tc>
          <w:tcPr>
            <w:tcW w:w="5660" w:type="dxa"/>
            <w:vAlign w:val="bottom"/>
          </w:tcPr>
          <w:p>
            <w:pPr>
              <w:ind w:left="40"/>
              <w:spacing w:after="0"/>
              <w:rPr>
                <w:sz w:val="20"/>
                <w:szCs w:val="20"/>
                <w:color w:val="auto"/>
              </w:rPr>
            </w:pPr>
            <w:r>
              <w:rPr>
                <w:rFonts w:ascii="Arial" w:cs="Arial" w:eastAsia="Arial" w:hAnsi="Arial"/>
                <w:sz w:val="16"/>
                <w:szCs w:val="16"/>
                <w:color w:val="auto"/>
              </w:rPr>
              <w:t>Accounts receivable, net</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240,561</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202,471</w:t>
            </w:r>
          </w:p>
        </w:tc>
      </w:tr>
      <w:tr>
        <w:trPr>
          <w:trHeight w:val="20"/>
        </w:trPr>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 of credit risk</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In fiscal 2017, 2016, and 2015, no one customer accounted for 10% or more of the Company's consolidated net sales.</w:t>
      </w:r>
    </w:p>
    <w:p>
      <w:pPr>
        <w:spacing w:after="0" w:line="20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At December 30, 2017, two wholesale customers each had individual receivable balances in excess of 10% of gross accounts receivable, and the total receivable balances due from these two wholesale customers in the aggregate equaled approximately 28% of total gross trade receivables outstanding. At December 31, 2016, two wholesale customers each had individual receivable balances in excess of 10% of gross accounts receivable, and the total receivable balances due from these two wholesale customers in the aggregate equaled approximately 30% of total gross accounts receivable outstanding.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00"/>
          </w:cols>
          <w:pgMar w:left="240" w:top="123" w:right="259" w:bottom="1440" w:gutter="0" w:footer="0" w:header="0"/>
        </w:sectPr>
      </w:pPr>
    </w:p>
    <w:bookmarkStart w:id="62" w:name="page63"/>
    <w:bookmarkEnd w:id="62"/>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ACCOUNTS FOR WHOLESALE ACCOUNTS RECEIVABLE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Accounts receivable reserves</w:t>
      </w:r>
    </w:p>
    <w:p>
      <w:pPr>
        <w:spacing w:after="0" w:line="207" w:lineRule="exact"/>
        <w:rPr>
          <w:sz w:val="20"/>
          <w:szCs w:val="20"/>
          <w:color w:val="auto"/>
        </w:rPr>
      </w:pPr>
    </w:p>
    <w:p>
      <w:pPr>
        <w:ind w:right="380"/>
        <w:spacing w:after="0" w:line="305" w:lineRule="auto"/>
        <w:rPr>
          <w:sz w:val="20"/>
          <w:szCs w:val="20"/>
          <w:color w:val="auto"/>
        </w:rPr>
      </w:pPr>
      <w:r>
        <w:rPr>
          <w:rFonts w:ascii="Arial" w:cs="Arial" w:eastAsia="Arial" w:hAnsi="Arial"/>
          <w:sz w:val="14"/>
          <w:szCs w:val="14"/>
          <w:color w:val="auto"/>
        </w:rPr>
        <w:t>The Company's accounts receivable reserves for wholesale customers include an allowance for doubtful accounts and an allowance for chargebacks. The allowance for doubtful accounts includes estimated losses resulting from the inability of its customers to make payments. If the financial condition of a customer were to deteriorate, resulting in an impairment of its ability to make payments, an additional allowance could be required. Past due balances over 90 days are reviewed individually for collectibility. The Company's credit and collections department reviews all other balances regularly. Account balances are charged off against the allowance when it is probable that the receivable will not be recovered. Provisions for the allowance for doubtful accounts are reflected in Selling, general and administrative expenses on the consolidated statement of operations and provisions for chargebacks are reflected as a reduction in Net sales on the consolidated statement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returns reserves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Except in very limited instances, the Company does not allow its wholesale customers to return goods to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INVENTORIES</w:t>
      </w:r>
    </w:p>
    <w:p>
      <w:pPr>
        <w:spacing w:after="0" w:line="207"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Inventories, which consist primarily of finished goods, are stated approximately at the lower of cost (first-in, first-out basis for wholesale inventory and average cost for retail inventories) or net realizable value. Obsolete, damaged, and excess inventory is carried at net realizable value by establishing reserves after assessing historical recovery rates, current market conditions, and future marketing and sales plans. Rebates, discounts, and other cash consideration received from a vendor related to inventory purchases are reflected as reductions in the cost of the related inventory item, and are therefore reflected in cost of sales when the related inventory item is sold.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PROPERTY, PLANT, AND EQUIPMENT</w:t>
      </w:r>
    </w:p>
    <w:p>
      <w:pPr>
        <w:spacing w:after="0" w:line="20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Property, plant, and equipment are stated at cost, less accumulated depreciation and amortization. When fixed assets are sold or otherwise disposed of, the accounts are relieved of the original cost of the assets and the related accumulated depreciation or amortization and any resulting profit or loss is credited or charged to income. For financial reporting purposes, depreciation and amortization are computed on the straight-line method over the estimated useful lives of the assets as follows: buildings and improvements from 15 to 26 years, retail store fixtures, equipment, and computers from 3 to 10 years. Leasehold improvements and fixed assets purchased under capital lease are amortized over the lesser of the asset life or related lease term. The Company capitalizes the cost of its fixtures designed and purchased for use at major wholesale accounts. The cost of these fixtures is amortized over 3 years.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INTERNAL-USE SOFTWARE</w:t>
      </w:r>
    </w:p>
    <w:p>
      <w:pPr>
        <w:spacing w:after="0" w:line="207" w:lineRule="exact"/>
        <w:rPr>
          <w:sz w:val="20"/>
          <w:szCs w:val="20"/>
          <w:color w:val="auto"/>
        </w:rPr>
      </w:pPr>
    </w:p>
    <w:p>
      <w:pPr>
        <w:jc w:val="both"/>
        <w:ind w:right="160"/>
        <w:spacing w:after="0" w:line="288" w:lineRule="auto"/>
        <w:rPr>
          <w:sz w:val="20"/>
          <w:szCs w:val="20"/>
          <w:color w:val="auto"/>
        </w:rPr>
      </w:pPr>
      <w:r>
        <w:rPr>
          <w:rFonts w:ascii="Arial" w:cs="Arial" w:eastAsia="Arial" w:hAnsi="Arial"/>
          <w:sz w:val="15"/>
          <w:szCs w:val="15"/>
          <w:color w:val="auto"/>
        </w:rPr>
        <w:t>The Company purchases software licenses from external vendors and also develops software internally using Company employees and consultants. Software license costs, including certain costs to internally develop software, that meet the applicable criteria are capitalized while all other costs are expensed as incurred. Capitalized software is depreciated or amortized on the straight-line method over its estimated useful lives, from 3 to 10 years. If a software application does not include a purchased license for the software, such as a cloud-based software application, the arrangement is accounted for as a service contract.</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AND OTHER INTANGIBLE ASSETS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impairment reviews</w:t>
      </w:r>
    </w:p>
    <w:p>
      <w:pPr>
        <w:spacing w:after="0" w:line="207" w:lineRule="exact"/>
        <w:rPr>
          <w:sz w:val="20"/>
          <w:szCs w:val="20"/>
          <w:color w:val="auto"/>
        </w:rPr>
      </w:pPr>
    </w:p>
    <w:p>
      <w:pPr>
        <w:jc w:val="both"/>
        <w:ind w:right="40"/>
        <w:spacing w:after="0" w:line="296" w:lineRule="auto"/>
        <w:rPr>
          <w:sz w:val="20"/>
          <w:szCs w:val="20"/>
          <w:color w:val="auto"/>
        </w:rPr>
      </w:pPr>
      <w:r>
        <w:rPr>
          <w:rFonts w:ascii="Arial" w:cs="Arial" w:eastAsia="Arial" w:hAnsi="Arial"/>
          <w:sz w:val="15"/>
          <w:szCs w:val="15"/>
          <w:color w:val="auto"/>
        </w:rPr>
        <w:t>The carrying values of the goodwill and indefinite-lived tradename assets are subject to annual impairment reviews which are performed as of the last day of each fiscal year. Additionally, a review for potential impairment is performed whenever significant events or changes in circumstances indicate that the carrying value of the assets may not be recoverable. Significant assumptions in the impairment models include estimates of future cash flows, discount rates, and, in the case of tradenames,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380"/>
          </w:cols>
          <w:pgMar w:left="240" w:top="123" w:right="279" w:bottom="1440" w:gutter="0" w:footer="0" w:header="0"/>
        </w:sectPr>
      </w:pPr>
    </w:p>
    <w:bookmarkStart w:id="63" w:name="page64"/>
    <w:bookmarkEnd w:id="63"/>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royalty rates. Based upon the Company's most recent assessment, performed as of December 30, 2017, there were no impairments in the values of goodwill or indefinite-lived tradename assets and no reporting units were at risk of an impairment.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w:t>
      </w:r>
    </w:p>
    <w:p>
      <w:pPr>
        <w:spacing w:after="0" w:line="20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performs impairment tests of its goodwill at the reporting unit level. Qualitative and quantitative methods are used to assess for impairment, including the use of discounted cash flows ("income approach") and relevant data from guideline public companies ("market approach").</w:t>
      </w:r>
    </w:p>
    <w:p>
      <w:pPr>
        <w:spacing w:after="0" w:line="150"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Under a qualitative assessment, the Company determines if it is "more likely than not" that the fair value of the reporting unit is less than its carrying value. Qualitative factors may include, but are not limited to: macroeconomic conditions, industry and market considerations, cost factors that may have a negative effect on earnings, overall financial performance, and other relevant entity-specific events. If the Company determines that it is "more likely than not" that the fair value of the reporting unit is less than its carrying value, then the Company performs the two-step goodwill impairment test as required. If it is determined that it is "not likely" that the fair value of the reporting unit is less than its carrying value, then no further testing is required and the Company documents the relevant qualitative factors that support the strength in the fair value.</w:t>
      </w:r>
    </w:p>
    <w:p>
      <w:pPr>
        <w:spacing w:after="0" w:line="153" w:lineRule="exact"/>
        <w:rPr>
          <w:sz w:val="20"/>
          <w:szCs w:val="20"/>
          <w:color w:val="auto"/>
        </w:rPr>
      </w:pPr>
    </w:p>
    <w:p>
      <w:pPr>
        <w:jc w:val="both"/>
        <w:ind w:right="20"/>
        <w:spacing w:after="0" w:line="288" w:lineRule="auto"/>
        <w:rPr>
          <w:sz w:val="20"/>
          <w:szCs w:val="20"/>
          <w:color w:val="auto"/>
        </w:rPr>
      </w:pPr>
      <w:r>
        <w:rPr>
          <w:rFonts w:ascii="Arial" w:cs="Arial" w:eastAsia="Arial" w:hAnsi="Arial"/>
          <w:sz w:val="15"/>
          <w:szCs w:val="15"/>
          <w:color w:val="auto"/>
        </w:rPr>
        <w:t>The first step of a quantitative assessment is to compare the fair value of the reporting unit to its carrying value, including goodwill. The Company uses a discounted cash flow model to determine the fair value, using assumptions consistent with those of hypothetical marketplace participants. If the fair value of a reporting unit is less than its carrying value, the second step of the impairment test must be performed. The second step compares the implied fair value of the reporting unit goodwill with the carrying value of that goodwill, in order to determine the amount of the impairment loss and charge to the consolidated statement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Indefinite-lived tradenames</w:t>
      </w:r>
    </w:p>
    <w:p>
      <w:pPr>
        <w:spacing w:after="0" w:line="207" w:lineRule="exact"/>
        <w:rPr>
          <w:sz w:val="20"/>
          <w:szCs w:val="20"/>
          <w:color w:val="auto"/>
        </w:rPr>
      </w:pPr>
    </w:p>
    <w:p>
      <w:pPr>
        <w:ind w:right="140"/>
        <w:spacing w:after="0" w:line="296" w:lineRule="auto"/>
        <w:rPr>
          <w:sz w:val="20"/>
          <w:szCs w:val="20"/>
          <w:color w:val="auto"/>
        </w:rPr>
      </w:pPr>
      <w:r>
        <w:rPr>
          <w:rFonts w:ascii="Arial" w:cs="Arial" w:eastAsia="Arial" w:hAnsi="Arial"/>
          <w:sz w:val="15"/>
          <w:szCs w:val="15"/>
          <w:color w:val="auto"/>
        </w:rPr>
        <w:t>For indefinite-lived tradenames, the Company may utilize a qualitative assessment, as described above, to determine whether the fair value of an indefinite-lived asset is less than its carrying value. If a quantitative assessment is necessary, the Company determines fair value using a discounted cash flow model that uses the relief-from-royalty method. If the carrying amount exceeds the fair value of the tradename, an impairment charge is recognized in the amount of the excess.</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OF OTHER LONG-LIVED ASSETS</w:t>
      </w:r>
    </w:p>
    <w:p>
      <w:pPr>
        <w:spacing w:after="0" w:line="207"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The Company reviews other long-lived assets, including property, plant, and equipment, and licensing agreements, for impairment whenever events or changes in circumstances indicate that the carrying amount of such an asset may not be recoverable. Management will determine whether there has been a permanent impairment on such assets held for use in the business by comparing anticipated undiscounted future cash flows from the use and eventual disposition of the asset or asset group to the carrying value of the asset. The amount of any resulting impairment will be calculated by comparing the carrying value to fair value, which may be estimated using the present value of the same cash flows. Long-lived assets that meet the definition of held for sale will be valued at the lower of carrying amount or fair value, less costs to sell.</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DEBT ISSUANCE COSTS</w:t>
      </w:r>
    </w:p>
    <w:p>
      <w:pPr>
        <w:spacing w:after="0" w:line="207" w:lineRule="exact"/>
        <w:rPr>
          <w:sz w:val="20"/>
          <w:szCs w:val="20"/>
          <w:color w:val="auto"/>
        </w:rPr>
      </w:pPr>
    </w:p>
    <w:p>
      <w:pPr>
        <w:ind w:right="180"/>
        <w:spacing w:after="0" w:line="314" w:lineRule="auto"/>
        <w:rPr>
          <w:sz w:val="20"/>
          <w:szCs w:val="20"/>
          <w:color w:val="auto"/>
        </w:rPr>
      </w:pPr>
      <w:r>
        <w:rPr>
          <w:rFonts w:ascii="Arial" w:cs="Arial" w:eastAsia="Arial" w:hAnsi="Arial"/>
          <w:sz w:val="14"/>
          <w:szCs w:val="14"/>
          <w:color w:val="auto"/>
        </w:rPr>
        <w:t>Debt issuance costs associated with the Company's secured revolving credit facility and senior term notes are deferred and amortized to interest expense over the term of the related debt using the effective interest method. Debt issuance costs associated with Company's senior notes are presented on the Company's consolidated balance sheet as a direct reduction in the carrying value of the associated debt liability. Fees paid to lenders by the Company to obtain its secured revolving credit facility are included within Other assets on the Company's consolidated balance sheet and classified as either current or non-current based on the expiration date of the credit facility.</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MEASUREMENTS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framework requires the Company to categorize certain assets and liabilities into three levels, based upon the assumptions used to price those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three levels are defined as follows: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3" w:right="239" w:bottom="1440" w:gutter="0" w:footer="0" w:header="0"/>
        </w:sectPr>
      </w:pPr>
    </w:p>
    <w:bookmarkStart w:id="64" w:name="page65"/>
    <w:bookmarkEnd w:id="64"/>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6"/>
          <w:szCs w:val="16"/>
          <w:b w:val="1"/>
          <w:bCs w:val="1"/>
          <w:color w:val="auto"/>
        </w:rPr>
        <w:t>Level 1:</w:t>
      </w:r>
      <w:r>
        <w:rPr>
          <w:sz w:val="20"/>
          <w:szCs w:val="20"/>
          <w:color w:val="auto"/>
        </w:rPr>
        <w:tab/>
      </w:r>
      <w:r>
        <w:rPr>
          <w:rFonts w:ascii="Arial" w:cs="Arial" w:eastAsia="Arial" w:hAnsi="Arial"/>
          <w:sz w:val="14"/>
          <w:szCs w:val="14"/>
          <w:color w:val="auto"/>
        </w:rPr>
        <w:t>Quoted prices in active markets for identical assets or liabilities.</w:t>
      </w:r>
    </w:p>
    <w:p>
      <w:pPr>
        <w:spacing w:after="0" w:line="61"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6"/>
          <w:szCs w:val="16"/>
          <w:b w:val="1"/>
          <w:bCs w:val="1"/>
          <w:color w:val="auto"/>
        </w:rPr>
        <w:t>Level 2:</w:t>
      </w:r>
      <w:r>
        <w:rPr>
          <w:sz w:val="20"/>
          <w:szCs w:val="20"/>
          <w:color w:val="auto"/>
        </w:rPr>
        <w:tab/>
      </w:r>
      <w:r>
        <w:rPr>
          <w:rFonts w:ascii="Arial" w:cs="Arial" w:eastAsia="Arial" w:hAnsi="Arial"/>
          <w:sz w:val="14"/>
          <w:szCs w:val="14"/>
          <w:color w:val="auto"/>
        </w:rPr>
        <w:t>Quoted prices for similar assets and liabilities in active markets or inputs that are observable.</w:t>
      </w:r>
    </w:p>
    <w:p>
      <w:pPr>
        <w:spacing w:after="0" w:line="61"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6"/>
          <w:szCs w:val="16"/>
          <w:b w:val="1"/>
          <w:bCs w:val="1"/>
          <w:color w:val="auto"/>
        </w:rPr>
        <w:t>Level 3:</w:t>
      </w:r>
      <w:r>
        <w:rPr>
          <w:sz w:val="20"/>
          <w:szCs w:val="20"/>
          <w:color w:val="auto"/>
        </w:rPr>
        <w:tab/>
      </w:r>
      <w:r>
        <w:rPr>
          <w:rFonts w:ascii="Arial" w:cs="Arial" w:eastAsia="Arial" w:hAnsi="Arial"/>
          <w:sz w:val="14"/>
          <w:szCs w:val="14"/>
          <w:color w:val="auto"/>
        </w:rPr>
        <w:t>Unobservable inputs reflecting management's own assumptions about the inputs used in pricing the asset or liability.</w:t>
      </w:r>
    </w:p>
    <w:p>
      <w:pPr>
        <w:spacing w:after="0" w:line="236" w:lineRule="exact"/>
        <w:rPr>
          <w:sz w:val="20"/>
          <w:szCs w:val="20"/>
          <w:color w:val="auto"/>
        </w:rPr>
      </w:pPr>
    </w:p>
    <w:p>
      <w:pPr>
        <w:ind w:right="140"/>
        <w:spacing w:after="0" w:line="320" w:lineRule="auto"/>
        <w:rPr>
          <w:sz w:val="20"/>
          <w:szCs w:val="20"/>
          <w:color w:val="auto"/>
        </w:rPr>
      </w:pPr>
      <w:r>
        <w:rPr>
          <w:rFonts w:ascii="Arial" w:cs="Arial" w:eastAsia="Arial" w:hAnsi="Arial"/>
          <w:sz w:val="15"/>
          <w:szCs w:val="15"/>
          <w:color w:val="auto"/>
        </w:rPr>
        <w:t>The Company measures its pension assets, deferred compensation plan investment assets, and any unsettled foreign currency forward contracts at fair value. The Company's cash and cash equivalents, accounts receivable, and accounts payable are short-term in nature. As such, their carrying value approximates fair value.</w:t>
      </w:r>
    </w:p>
    <w:p>
      <w:pPr>
        <w:spacing w:after="0" w:line="127" w:lineRule="exact"/>
        <w:rPr>
          <w:sz w:val="20"/>
          <w:szCs w:val="20"/>
          <w:color w:val="auto"/>
        </w:rPr>
      </w:pPr>
    </w:p>
    <w:p>
      <w:pPr>
        <w:jc w:val="both"/>
        <w:ind w:right="380"/>
        <w:spacing w:after="0" w:line="288" w:lineRule="auto"/>
        <w:rPr>
          <w:sz w:val="20"/>
          <w:szCs w:val="20"/>
          <w:color w:val="auto"/>
        </w:rPr>
      </w:pPr>
      <w:r>
        <w:rPr>
          <w:rFonts w:ascii="Arial" w:cs="Arial" w:eastAsia="Arial" w:hAnsi="Arial"/>
          <w:sz w:val="15"/>
          <w:szCs w:val="15"/>
          <w:color w:val="auto"/>
        </w:rPr>
        <w:t xml:space="preserve">The carrying values of the Company’s outstanding borrowings are not required to be remeasured and adjusted to the then-current fair values at the end of each reporting period. Instead, the fair values of the Company's outstanding borrowings are disclosed at the end of each reporting period in Note 7, </w:t>
      </w:r>
      <w:r>
        <w:rPr>
          <w:rFonts w:ascii="Arial" w:cs="Arial" w:eastAsia="Arial" w:hAnsi="Arial"/>
          <w:sz w:val="15"/>
          <w:szCs w:val="15"/>
          <w:i w:val="1"/>
          <w:iCs w:val="1"/>
          <w:color w:val="auto"/>
        </w:rPr>
        <w:t>Long-Term Debt</w:t>
      </w:r>
      <w:r>
        <w:rPr>
          <w:rFonts w:ascii="Arial" w:cs="Arial" w:eastAsia="Arial" w:hAnsi="Arial"/>
          <w:sz w:val="15"/>
          <w:szCs w:val="15"/>
          <w:color w:val="auto"/>
        </w:rPr>
        <w:t>, to the consolidated financial statements. Had the Company been required to remeasure and adjust the carrying values of its outstanding borrowings to fair value at the end of each reporting period, such fair value measurements would have been disclosed as a Level 2 liability in the fair value hierarchy.</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07"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Revenues consist of sales to customers, net of returns, discounts, chargebacks, and cooperative advertising. The Company considers revenue realized or realizable and earned when the product has been shipped, when title passes, when all risks and rewards of ownership have transferred, the sales price is fixed or determinable, and collectibility is reasonably assured. In certain cases, in which the Company retains the risk of loss during shipment, revenue recognition does not occur until the goods have reached the specified customer.</w:t>
      </w:r>
    </w:p>
    <w:p>
      <w:pPr>
        <w:spacing w:after="0" w:line="166" w:lineRule="exact"/>
        <w:rPr>
          <w:sz w:val="20"/>
          <w:szCs w:val="20"/>
          <w:color w:val="auto"/>
        </w:rPr>
      </w:pPr>
    </w:p>
    <w:p>
      <w:pPr>
        <w:jc w:val="both"/>
        <w:ind w:right="40"/>
        <w:spacing w:after="0" w:line="314" w:lineRule="auto"/>
        <w:rPr>
          <w:sz w:val="20"/>
          <w:szCs w:val="20"/>
          <w:color w:val="auto"/>
        </w:rPr>
      </w:pPr>
      <w:r>
        <w:rPr>
          <w:rFonts w:ascii="Arial" w:cs="Arial" w:eastAsia="Arial" w:hAnsi="Arial"/>
          <w:sz w:val="14"/>
          <w:szCs w:val="14"/>
          <w:color w:val="auto"/>
        </w:rPr>
        <w:t>The Company records its cooperative advertising arrangements with certain of its major wholesale customers at fair value. Fair value is determined based upon, among other factors, comparable market analysis for similar advertisements. The Company has included the fair value of these arrangements of approximately $3.1 million for fiscal 2017, $3.7 million for fiscal 2016, and $3.9 million for fiscal 2015 as a component of Selling, general, and administrative expenses on the accompanying consolidated statements of operations, rather than as a reduction of net sales. Amounts determined to be in excess of the fair value of these arrangements are recorded as a reduction of Net sales.</w:t>
      </w:r>
    </w:p>
    <w:p>
      <w:pPr>
        <w:spacing w:after="0" w:line="13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Retail store revenues are recognized at the point of sale. Retail sales through the Company's on-line channels are recognized at time of delivery to the customer. The Company recognizes retail sales returns at the time of transaction by recording adjustments to both revenue and cost of goods sold. Additionally, the Company maintains a liability for retail sales returns in Other current liabilities on its consolidated balance sheet for estimated future returns. There are no accounts receivable associated with the Company's retail customers.</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COSTS OF GOODS SOLD</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Cost of goods sold (CoGS) consists mainly of the cost of merchandise, inventory provisions, and certain costs associated with our sourcing and distribution centers operations.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SHIPPING AND HANDLING FEES AND COSTS</w:t>
      </w:r>
    </w:p>
    <w:p>
      <w:pPr>
        <w:spacing w:after="0" w:line="207"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Shipping costs consist of payments to third-party shippers and handling costs, which consist of labor costs, shipping supplies, and certain distribution overhead. Such costs for our domestic and international wholesale businesses totaled $71.3 million, $66.4 million, and $67.2 million for fiscal years 2017, 2016, and 2015, respectively. Such costs for our domestic and international retail businesses totaled $102.2 million, $87.3 million, $75.4 million for fiscal years 2017, 2016, and 2015, respectively. The Company recognizes shipping and handling costs in the "Selling, general, and administrative expenses" line on its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00"/>
          </w:cols>
          <w:pgMar w:left="240" w:top="123" w:right="259" w:bottom="1440" w:gutter="0" w:footer="0" w:header="0"/>
        </w:sectPr>
      </w:pPr>
    </w:p>
    <w:bookmarkStart w:id="65" w:name="page66"/>
    <w:bookmarkEnd w:id="65"/>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FROM ROYALTIES AND LICENSE FEES</w:t>
      </w:r>
    </w:p>
    <w:p>
      <w:pPr>
        <w:spacing w:after="0" w:line="207"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 xml:space="preserve">The Company licenses the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w:t>
      </w:r>
      <w:r>
        <w:rPr>
          <w:rFonts w:ascii="Arial" w:cs="Arial" w:eastAsia="Arial" w:hAnsi="Arial"/>
          <w:sz w:val="16"/>
          <w:szCs w:val="16"/>
          <w:i w:val="1"/>
          <w:iCs w:val="1"/>
          <w:color w:val="auto"/>
        </w:rPr>
        <w:t>Just One You</w:t>
      </w:r>
      <w:r>
        <w:rPr>
          <w:rFonts w:ascii="Arial" w:cs="Arial" w:eastAsia="Arial" w:hAnsi="Arial"/>
          <w:sz w:val="16"/>
          <w:szCs w:val="16"/>
          <w:color w:val="auto"/>
        </w:rPr>
        <w:t xml:space="preserve">, </w:t>
      </w:r>
      <w:r>
        <w:rPr>
          <w:rFonts w:ascii="Arial" w:cs="Arial" w:eastAsia="Arial" w:hAnsi="Arial"/>
          <w:sz w:val="16"/>
          <w:szCs w:val="16"/>
          <w:i w:val="1"/>
          <w:iCs w:val="1"/>
          <w:color w:val="auto"/>
        </w:rPr>
        <w:t>Precious Firsts</w:t>
      </w:r>
      <w:r>
        <w:rPr>
          <w:rFonts w:ascii="Arial" w:cs="Arial" w:eastAsia="Arial" w:hAnsi="Arial"/>
          <w:sz w:val="16"/>
          <w:szCs w:val="16"/>
          <w:color w:val="auto"/>
        </w:rPr>
        <w:t xml:space="preserve">, </w:t>
      </w:r>
      <w:r>
        <w:rPr>
          <w:rFonts w:ascii="Arial" w:cs="Arial" w:eastAsia="Arial" w:hAnsi="Arial"/>
          <w:sz w:val="16"/>
          <w:szCs w:val="16"/>
          <w:i w:val="1"/>
          <w:iCs w:val="1"/>
          <w:color w:val="auto"/>
        </w:rPr>
        <w:t>Child of Mine</w:t>
      </w:r>
      <w:r>
        <w:rPr>
          <w:rFonts w:ascii="Arial" w:cs="Arial" w:eastAsia="Arial" w:hAnsi="Arial"/>
          <w:sz w:val="16"/>
          <w:szCs w:val="16"/>
          <w:color w:val="auto"/>
        </w:rPr>
        <w:t xml:space="preserve">, </w:t>
      </w:r>
      <w:r>
        <w:rPr>
          <w:rFonts w:ascii="Arial" w:cs="Arial" w:eastAsia="Arial" w:hAnsi="Arial"/>
          <w:sz w:val="16"/>
          <w:szCs w:val="16"/>
          <w:i w:val="1"/>
          <w:iCs w:val="1"/>
          <w:color w:val="auto"/>
        </w:rPr>
        <w:t>Simple Joys</w:t>
      </w:r>
      <w:r>
        <w:rPr>
          <w:rFonts w:ascii="Arial" w:cs="Arial" w:eastAsia="Arial" w:hAnsi="Arial"/>
          <w:sz w:val="16"/>
          <w:szCs w:val="16"/>
          <w:color w:val="auto"/>
        </w:rPr>
        <w:t xml:space="preserve">, </w:t>
      </w:r>
      <w:r>
        <w:rPr>
          <w:rFonts w:ascii="Arial" w:cs="Arial" w:eastAsia="Arial" w:hAnsi="Arial"/>
          <w:sz w:val="16"/>
          <w:szCs w:val="16"/>
          <w:i w:val="1"/>
          <w:iCs w:val="1"/>
          <w:color w:val="auto"/>
        </w:rPr>
        <w:t>OshKosh B'gosh</w:t>
      </w:r>
      <w:r>
        <w:rPr>
          <w:rFonts w:ascii="Arial" w:cs="Arial" w:eastAsia="Arial" w:hAnsi="Arial"/>
          <w:sz w:val="16"/>
          <w:szCs w:val="16"/>
          <w:color w:val="auto"/>
        </w:rPr>
        <w:t xml:space="preserve">, </w:t>
      </w:r>
      <w:r>
        <w:rPr>
          <w:rFonts w:ascii="Arial" w:cs="Arial" w:eastAsia="Arial" w:hAnsi="Arial"/>
          <w:sz w:val="16"/>
          <w:szCs w:val="16"/>
          <w:i w:val="1"/>
          <w:iCs w:val="1"/>
          <w:color w:val="auto"/>
        </w:rPr>
        <w:t>OshKosh</w:t>
      </w:r>
      <w:r>
        <w:rPr>
          <w:rFonts w:ascii="Arial" w:cs="Arial" w:eastAsia="Arial" w:hAnsi="Arial"/>
          <w:sz w:val="16"/>
          <w:szCs w:val="16"/>
          <w:color w:val="auto"/>
        </w:rPr>
        <w:t xml:space="preserve">, </w:t>
      </w:r>
      <w:r>
        <w:rPr>
          <w:rFonts w:ascii="Arial" w:cs="Arial" w:eastAsia="Arial" w:hAnsi="Arial"/>
          <w:sz w:val="16"/>
          <w:szCs w:val="16"/>
          <w:i w:val="1"/>
          <w:iCs w:val="1"/>
          <w:color w:val="auto"/>
        </w:rPr>
        <w:t>Baby B'gosh,</w:t>
      </w:r>
      <w:r>
        <w:rPr>
          <w:rFonts w:ascii="Arial" w:cs="Arial" w:eastAsia="Arial" w:hAnsi="Arial"/>
          <w:sz w:val="16"/>
          <w:szCs w:val="16"/>
          <w:color w:val="auto"/>
        </w:rPr>
        <w:t xml:space="preserve"> and </w:t>
      </w:r>
      <w:r>
        <w:rPr>
          <w:rFonts w:ascii="Arial" w:cs="Arial" w:eastAsia="Arial" w:hAnsi="Arial"/>
          <w:sz w:val="16"/>
          <w:szCs w:val="16"/>
          <w:i w:val="1"/>
          <w:iCs w:val="1"/>
          <w:color w:val="auto"/>
        </w:rPr>
        <w:t>Genuine Kids from OshKosh</w:t>
      </w:r>
      <w:r>
        <w:rPr>
          <w:rFonts w:ascii="Arial" w:cs="Arial" w:eastAsia="Arial" w:hAnsi="Arial"/>
          <w:sz w:val="16"/>
          <w:szCs w:val="16"/>
          <w:color w:val="auto"/>
        </w:rPr>
        <w:t xml:space="preserve"> trademarks to other companies for use on baby and young children's products, including bedding, outerwear, sleepwear, shoes, underwear, socks, room décor, toys, stationery, hair accessories, furniture, and related products. These royalties are recorded as earned, based upon the sales of licensed products by licensees and reported as royalty income in the statements of operations.</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ADVERTISING EXPENSES</w:t>
      </w:r>
    </w:p>
    <w:p>
      <w:pPr>
        <w:spacing w:after="0" w:line="207" w:lineRule="exact"/>
        <w:rPr>
          <w:sz w:val="20"/>
          <w:szCs w:val="20"/>
          <w:color w:val="auto"/>
        </w:rPr>
      </w:pPr>
    </w:p>
    <w:p>
      <w:pPr>
        <w:ind w:right="760"/>
        <w:spacing w:after="0" w:line="360" w:lineRule="auto"/>
        <w:rPr>
          <w:sz w:val="20"/>
          <w:szCs w:val="20"/>
          <w:color w:val="auto"/>
        </w:rPr>
      </w:pPr>
      <w:r>
        <w:rPr>
          <w:rFonts w:ascii="Arial" w:cs="Arial" w:eastAsia="Arial" w:hAnsi="Arial"/>
          <w:sz w:val="14"/>
          <w:szCs w:val="14"/>
          <w:color w:val="auto"/>
        </w:rPr>
        <w:t>Costs associated with the production of advertising, such as writing, copy, printing, and other costs, are expensed as incurred. Costs associated with communicating advertising that has been produced, such as magazine costs and eCommerce site banners, are expensed when the advertising event takes place.</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ARRANGEMENTS</w:t>
      </w:r>
    </w:p>
    <w:p>
      <w:pPr>
        <w:spacing w:after="0" w:line="207"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The Company recognizes the cost resulting from all stock-based payment transactions in the financial statements at grant date fair value. Stock-based compensation expense is recognized over the requisite service period, net of estimated forfeitures. During the requisite service period, the Company also recognizes a deferred income tax benefit for the expense recognized for U.S. GAAP. At time of subsequent vesting, exercise, forfeiture, or expiration of an award, the difference between the Company's actual income tax deduction, if any, and the previously accrued income tax benefit is recognized in income tax expense/benefit during the current period.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The Company determines the fair value of stock options using the Black-Scholes option pricing model, which requires the use of the following subjective assumptions:</w:t>
      </w:r>
    </w:p>
    <w:p>
      <w:pPr>
        <w:spacing w:after="0" w:line="219" w:lineRule="exact"/>
        <w:rPr>
          <w:sz w:val="20"/>
          <w:szCs w:val="20"/>
          <w:color w:val="auto"/>
        </w:rPr>
      </w:pPr>
    </w:p>
    <w:p>
      <w:pPr>
        <w:jc w:val="both"/>
        <w:ind w:left="580" w:right="120"/>
        <w:spacing w:after="0" w:line="270" w:lineRule="auto"/>
        <w:rPr>
          <w:sz w:val="20"/>
          <w:szCs w:val="20"/>
          <w:color w:val="auto"/>
        </w:rPr>
      </w:pPr>
      <w:r>
        <w:rPr>
          <w:rFonts w:ascii="Arial" w:cs="Arial" w:eastAsia="Arial" w:hAnsi="Arial"/>
          <w:sz w:val="16"/>
          <w:szCs w:val="16"/>
          <w:i w:val="1"/>
          <w:iCs w:val="1"/>
          <w:color w:val="auto"/>
        </w:rPr>
        <w:t xml:space="preserve">Volatility </w:t>
      </w:r>
      <w:r>
        <w:rPr>
          <w:rFonts w:ascii="Arial" w:cs="Arial" w:eastAsia="Arial" w:hAnsi="Arial"/>
          <w:sz w:val="16"/>
          <w:szCs w:val="16"/>
          <w:color w:val="auto"/>
        </w:rPr>
        <w:t>- This is a measure of the amount by which a stock price has fluctuated or is expected to fluctuate. The Company uses actual monthly historical changes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market value of its stock covering the expected life of options being valued. An increase in the expected volatility will increase the fair value of the stock option and related compensation expense.</w:t>
      </w:r>
    </w:p>
    <w:p>
      <w:pPr>
        <w:spacing w:after="0" w:line="162" w:lineRule="exact"/>
        <w:rPr>
          <w:sz w:val="20"/>
          <w:szCs w:val="20"/>
          <w:color w:val="auto"/>
        </w:rPr>
      </w:pPr>
    </w:p>
    <w:p>
      <w:pPr>
        <w:ind w:left="580" w:right="300"/>
        <w:spacing w:after="0" w:line="285"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 This is the U.S. Treasury rate as of the grant date having a term equal to the expected term of the stock option. An increase in the risk-free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rate will increase the fair value of the stock option and related compensation expense.</w:t>
      </w:r>
    </w:p>
    <w:p>
      <w:pPr>
        <w:spacing w:after="0" w:line="150" w:lineRule="exact"/>
        <w:rPr>
          <w:sz w:val="20"/>
          <w:szCs w:val="20"/>
          <w:color w:val="auto"/>
        </w:rPr>
      </w:pPr>
    </w:p>
    <w:p>
      <w:pPr>
        <w:ind w:left="580" w:right="140"/>
        <w:spacing w:after="0" w:line="296" w:lineRule="auto"/>
        <w:rPr>
          <w:sz w:val="20"/>
          <w:szCs w:val="20"/>
          <w:color w:val="auto"/>
        </w:rPr>
      </w:pPr>
      <w:r>
        <w:rPr>
          <w:rFonts w:ascii="Arial" w:cs="Arial" w:eastAsia="Arial" w:hAnsi="Arial"/>
          <w:sz w:val="15"/>
          <w:szCs w:val="15"/>
          <w:i w:val="1"/>
          <w:iCs w:val="1"/>
          <w:color w:val="auto"/>
        </w:rPr>
        <w:t xml:space="preserve">Expected term </w:t>
      </w:r>
      <w:r>
        <w:rPr>
          <w:rFonts w:ascii="Arial" w:cs="Arial" w:eastAsia="Arial" w:hAnsi="Arial"/>
          <w:sz w:val="15"/>
          <w:szCs w:val="15"/>
          <w:color w:val="auto"/>
        </w:rPr>
        <w:t>- This is the period of time over which the stock options granted are expected to remain outstanding and is based on historical experience and</w:t>
      </w:r>
      <w:r>
        <w:rPr>
          <w:rFonts w:ascii="Arial" w:cs="Arial" w:eastAsia="Arial" w:hAnsi="Arial"/>
          <w:sz w:val="15"/>
          <w:szCs w:val="15"/>
          <w:i w:val="1"/>
          <w:iCs w:val="1"/>
          <w:color w:val="auto"/>
        </w:rPr>
        <w:t xml:space="preserve"> </w:t>
      </w:r>
      <w:r>
        <w:rPr>
          <w:rFonts w:ascii="Arial" w:cs="Arial" w:eastAsia="Arial" w:hAnsi="Arial"/>
          <w:sz w:val="15"/>
          <w:szCs w:val="15"/>
          <w:color w:val="auto"/>
        </w:rPr>
        <w:t>estimated future exercise behavior. Separate groups of employees that have similar historical exercise behavior are considered separately for valuation purposes. An increase in the expected term will increase the fair value of the stock option and the related compensation expense.</w:t>
      </w:r>
    </w:p>
    <w:p>
      <w:pPr>
        <w:spacing w:after="0" w:line="144" w:lineRule="exact"/>
        <w:rPr>
          <w:sz w:val="20"/>
          <w:szCs w:val="20"/>
          <w:color w:val="auto"/>
        </w:rPr>
      </w:pPr>
    </w:p>
    <w:p>
      <w:pPr>
        <w:ind w:left="580"/>
        <w:spacing w:after="0" w:line="285" w:lineRule="auto"/>
        <w:rPr>
          <w:sz w:val="20"/>
          <w:szCs w:val="20"/>
          <w:color w:val="auto"/>
        </w:rPr>
      </w:pPr>
      <w:r>
        <w:rPr>
          <w:rFonts w:ascii="Arial" w:cs="Arial" w:eastAsia="Arial" w:hAnsi="Arial"/>
          <w:sz w:val="16"/>
          <w:szCs w:val="16"/>
          <w:i w:val="1"/>
          <w:iCs w:val="1"/>
          <w:color w:val="auto"/>
        </w:rPr>
        <w:t xml:space="preserve">Dividend yield </w:t>
      </w:r>
      <w:r>
        <w:rPr>
          <w:rFonts w:ascii="Arial" w:cs="Arial" w:eastAsia="Arial" w:hAnsi="Arial"/>
          <w:sz w:val="16"/>
          <w:szCs w:val="16"/>
          <w:color w:val="auto"/>
        </w:rPr>
        <w:t>- The Company estimates a dividend yield based on the current dividend amount as a percentage of the current stock price. An increase in the dividend</w:t>
      </w:r>
      <w:r>
        <w:rPr>
          <w:rFonts w:ascii="Arial" w:cs="Arial" w:eastAsia="Arial" w:hAnsi="Arial"/>
          <w:sz w:val="16"/>
          <w:szCs w:val="16"/>
          <w:i w:val="1"/>
          <w:iCs w:val="1"/>
          <w:color w:val="auto"/>
        </w:rPr>
        <w:t xml:space="preserve"> </w:t>
      </w:r>
      <w:r>
        <w:rPr>
          <w:rFonts w:ascii="Arial" w:cs="Arial" w:eastAsia="Arial" w:hAnsi="Arial"/>
          <w:sz w:val="16"/>
          <w:szCs w:val="16"/>
          <w:color w:val="auto"/>
        </w:rPr>
        <w:t>yield will decrease the fair value of the stock option and the related compensation expenses.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 xml:space="preserve">Forfeitures </w:t>
      </w:r>
      <w:r>
        <w:rPr>
          <w:rFonts w:ascii="Arial" w:cs="Arial" w:eastAsia="Arial" w:hAnsi="Arial"/>
          <w:sz w:val="16"/>
          <w:szCs w:val="16"/>
          <w:color w:val="auto"/>
        </w:rPr>
        <w:t>- The Company estimates forfeitures of stock-based awards based on historical experience and expected future activity.</w:t>
      </w:r>
    </w:p>
    <w:p>
      <w:pPr>
        <w:spacing w:after="0" w:line="207" w:lineRule="exact"/>
        <w:rPr>
          <w:sz w:val="20"/>
          <w:szCs w:val="20"/>
          <w:color w:val="auto"/>
        </w:rPr>
      </w:pPr>
    </w:p>
    <w:p>
      <w:pPr>
        <w:ind w:right="540"/>
        <w:spacing w:after="0" w:line="285" w:lineRule="auto"/>
        <w:rPr>
          <w:sz w:val="20"/>
          <w:szCs w:val="20"/>
          <w:color w:val="auto"/>
        </w:rPr>
      </w:pPr>
      <w:r>
        <w:rPr>
          <w:rFonts w:ascii="Arial" w:cs="Arial" w:eastAsia="Arial" w:hAnsi="Arial"/>
          <w:sz w:val="16"/>
          <w:szCs w:val="16"/>
          <w:color w:val="auto"/>
        </w:rPr>
        <w:t>Changes in these subjective assumptions can materially affect the estimate of fair value of stock-based compensation expense and the related amount recognized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3" w:right="239" w:bottom="1440" w:gutter="0" w:footer="0" w:header="0"/>
        </w:sectPr>
      </w:pPr>
    </w:p>
    <w:bookmarkStart w:id="66" w:name="page67"/>
    <w:bookmarkEnd w:id="66"/>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Time-Based Restricted Stock Awards</w:t>
      </w:r>
    </w:p>
    <w:p>
      <w:pPr>
        <w:spacing w:after="0" w:line="20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fair value of time-based restricted stock awards is determined based on the quoted closing price of the Company's common stock on the date of grant and is recognized as compensation expense over the vesting term of the awards, net of estimated forfeitures.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Restricted Stock Awards</w:t>
      </w:r>
    </w:p>
    <w:p>
      <w:pPr>
        <w:spacing w:after="0" w:line="207" w:lineRule="exact"/>
        <w:rPr>
          <w:sz w:val="20"/>
          <w:szCs w:val="20"/>
          <w:color w:val="auto"/>
        </w:rPr>
      </w:pPr>
    </w:p>
    <w:p>
      <w:pPr>
        <w:ind w:right="20"/>
        <w:spacing w:after="0" w:line="326" w:lineRule="auto"/>
        <w:rPr>
          <w:sz w:val="20"/>
          <w:szCs w:val="20"/>
          <w:color w:val="auto"/>
        </w:rPr>
      </w:pPr>
      <w:r>
        <w:rPr>
          <w:rFonts w:ascii="Arial" w:cs="Arial" w:eastAsia="Arial" w:hAnsi="Arial"/>
          <w:sz w:val="14"/>
          <w:szCs w:val="14"/>
          <w:color w:val="auto"/>
        </w:rPr>
        <w:t>The Company accounts for its performance-based restricted stock awards based on the quoted closing price of the Company's common stock on the date of grant and records stock-based compensation expense over the vesting term of the awards based on the probability that the performance criteria will be achieved, net of estimated forfeitures. The Company reassesses the probability of vesting at each reporting period and prospectively adjusts stock-based compensation expense based on its probability assessment.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Awards</w:t>
      </w:r>
    </w:p>
    <w:p>
      <w:pPr>
        <w:spacing w:after="0" w:line="20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fair value of stock granted to non-management board members is determined based on the quoted closing price of the Company's common stock on the date of grant. The Company records the stock-based compensation expense immediately as there are no vesting terms.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07" w:lineRule="exact"/>
        <w:rPr>
          <w:sz w:val="20"/>
          <w:szCs w:val="20"/>
          <w:color w:val="auto"/>
        </w:rPr>
      </w:pPr>
    </w:p>
    <w:p>
      <w:pPr>
        <w:ind w:right="200"/>
        <w:spacing w:after="0" w:line="284" w:lineRule="auto"/>
        <w:rPr>
          <w:sz w:val="20"/>
          <w:szCs w:val="20"/>
          <w:color w:val="auto"/>
        </w:rPr>
      </w:pPr>
      <w:r>
        <w:rPr>
          <w:rFonts w:ascii="Arial" w:cs="Arial" w:eastAsia="Arial" w:hAnsi="Arial"/>
          <w:sz w:val="15"/>
          <w:szCs w:val="15"/>
          <w:color w:val="auto"/>
        </w:rPr>
        <w:t xml:space="preserve">The accompanying consolidated financial statements reflect current and deferred tax provisions, in accordance with ASC 740, </w:t>
      </w:r>
      <w:r>
        <w:rPr>
          <w:rFonts w:ascii="Arial" w:cs="Arial" w:eastAsia="Arial" w:hAnsi="Arial"/>
          <w:sz w:val="15"/>
          <w:szCs w:val="15"/>
          <w:i w:val="1"/>
          <w:iCs w:val="1"/>
          <w:color w:val="auto"/>
        </w:rPr>
        <w:t>Income Taxes</w:t>
      </w:r>
      <w:r>
        <w:rPr>
          <w:rFonts w:ascii="Arial" w:cs="Arial" w:eastAsia="Arial" w:hAnsi="Arial"/>
          <w:sz w:val="15"/>
          <w:szCs w:val="15"/>
          <w:color w:val="auto"/>
        </w:rPr>
        <w:t>. The deferred tax provision is determined under the liability method. Deferred tax assets and liabilities are recognized based on differences between the book and tax bases of assets and liabilities using presently enacted tax rates. Valuation allowances are established when it is "more likely than not" that a deferred tax asset will not be recovered. The provision for income taxes is the sum of the amount of income taxes paid or payable for the year as determined by applying the provisions of enacted tax laws to the taxable income for that year, the net change during the year in deferred tax assets and liabilities, and the net change during the year in any valuation allowances.</w:t>
      </w:r>
    </w:p>
    <w:p>
      <w:pPr>
        <w:spacing w:after="0" w:line="153"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Company assesses its income tax positions and records tax benefits for all years subject to examination based upon management's evaluation of the facts, circumstances, and information available at the reporting dates.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Where applicable, associated interest and penalties are also recorded. Interest is recorded as a component of interest expense and penalties, if any, are recorded within the provision for incomes taxes in the consolidated statements of operations and are classified on the consolidated balance sheets with the related liability for uncertain tax contingency liabilities.</w:t>
      </w:r>
    </w:p>
    <w:p>
      <w:pPr>
        <w:spacing w:after="0" w:line="169"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 xml:space="preserve">For current and deferred tax provisions, ASC 740 requires an entity to account for the effects of new income tax legislation in the same reporting period that the tax legislation is enacted. Recent tax law changes known as the U.S. Tax Cuts and Jobs Act of 2017 (the "2017 Act") were enacted in the United States on December 22, 2017. The 2017 Act, among other things, reduces the United States federal corporate tax rate from 35% to 21%, requires companies to pay a one-time transition tax ("toll tax") on earnings of certain foreign subsidiaries that were previously tax deferred, and creates new taxes on certain foreign sourced earnings. For the 2017 Act, SEC Staff Accounting Bulletin No. 118, </w:t>
      </w:r>
      <w:r>
        <w:rPr>
          <w:rFonts w:ascii="Arial" w:cs="Arial" w:eastAsia="Arial" w:hAnsi="Arial"/>
          <w:sz w:val="15"/>
          <w:szCs w:val="15"/>
          <w:i w:val="1"/>
          <w:iCs w:val="1"/>
          <w:color w:val="auto"/>
        </w:rPr>
        <w:t>Income Tax Accounting Implications of the Tax Cuts and Jobs Act</w:t>
      </w:r>
      <w:r>
        <w:rPr>
          <w:rFonts w:ascii="Arial" w:cs="Arial" w:eastAsia="Arial" w:hAnsi="Arial"/>
          <w:sz w:val="15"/>
          <w:szCs w:val="15"/>
          <w:color w:val="auto"/>
        </w:rPr>
        <w:t xml:space="preserve">, permits the Company to calculate and recognize provisional estimates during the period of enactment (fourth quarter of fiscal 2017) for the accounting of the 2017 Act. Any subsequent adjustments to provisional estimates will be reflected in the Company's income tax provisions/benefits during one or more periods in fiscal 2018. See Note 11, </w:t>
      </w:r>
      <w:r>
        <w:rPr>
          <w:rFonts w:ascii="Arial" w:cs="Arial" w:eastAsia="Arial" w:hAnsi="Arial"/>
          <w:sz w:val="15"/>
          <w:szCs w:val="15"/>
          <w:i w:val="1"/>
          <w:iCs w:val="1"/>
          <w:color w:val="auto"/>
        </w:rPr>
        <w:t>Income Taxes</w:t>
      </w:r>
      <w:r>
        <w:rPr>
          <w:rFonts w:ascii="Arial" w:cs="Arial" w:eastAsia="Arial" w:hAnsi="Arial"/>
          <w:sz w:val="15"/>
          <w:szCs w:val="15"/>
          <w:color w:val="auto"/>
        </w:rPr>
        <w:t>, to the consolidated financial statements.</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SUPPLEMENTAL CASH FLOW INFORMATION</w:t>
      </w:r>
    </w:p>
    <w:p>
      <w:pPr>
        <w:spacing w:after="0" w:line="20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Interest paid in cash approximated $28.3 million, $25.4 million, and $25.1 million for fiscal years 2017, 2016, and 2015, respectively. Income taxes paid in cash approximated $132.9 million, $120.6 million and $108.4 million for fiscal years 2017, 2016, and 2015,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3" w:right="239" w:bottom="1440" w:gutter="0" w:footer="0" w:header="0"/>
        </w:sectPr>
      </w:pPr>
    </w:p>
    <w:bookmarkStart w:id="67" w:name="page68"/>
    <w:bookmarkEnd w:id="67"/>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00"/>
        <w:spacing w:after="0" w:line="270" w:lineRule="auto"/>
        <w:rPr>
          <w:sz w:val="20"/>
          <w:szCs w:val="20"/>
          <w:color w:val="auto"/>
        </w:rPr>
      </w:pPr>
      <w:r>
        <w:rPr>
          <w:rFonts w:ascii="Arial" w:cs="Arial" w:eastAsia="Arial" w:hAnsi="Arial"/>
          <w:sz w:val="16"/>
          <w:szCs w:val="16"/>
          <w:color w:val="auto"/>
        </w:rPr>
        <w:t>Additions to property, plant and equipment of approximately $1.9 million, $2.6 million, and $6.1 million were excluded from capital expenditures on the Company's consolidated statements of cash flows for fiscal years 2017, 2016, and 2015, respectively, since these amounts were accrued and unpaid at the end of each respective fiscal year.</w:t>
      </w:r>
    </w:p>
    <w:p>
      <w:pPr>
        <w:spacing w:after="0" w:line="162" w:lineRule="exact"/>
        <w:rPr>
          <w:sz w:val="20"/>
          <w:szCs w:val="20"/>
          <w:color w:val="auto"/>
        </w:rPr>
      </w:pPr>
    </w:p>
    <w:p>
      <w:pPr>
        <w:ind w:right="200"/>
        <w:spacing w:after="0" w:line="284" w:lineRule="auto"/>
        <w:rPr>
          <w:sz w:val="20"/>
          <w:szCs w:val="20"/>
          <w:color w:val="auto"/>
        </w:rPr>
      </w:pPr>
      <w:r>
        <w:rPr>
          <w:rFonts w:ascii="Arial" w:cs="Arial" w:eastAsia="Arial" w:hAnsi="Arial"/>
          <w:sz w:val="15"/>
          <w:szCs w:val="15"/>
          <w:color w:val="auto"/>
        </w:rPr>
        <w:t>The Company's consolidated statement of cash flows shows the following sources and uses of financing cash flows related to the Company's revolving credit facility during fiscal 2015. In the first quarter of fiscal 2015, the Company replaced $20.0 million of outstanding borrowings under the then-existing amended revolving credit facility with CAD 25.5 million of borrowings, which approximated $20.3 million. Additionally, because of a change in the lead administrative agent and certain changes in commitment amounts among the lenders in the syndication, the third quarter amendment to the Company's secured revolving credit facility led to the repayment and simultaneous re-borrowing of the then-outstanding balance on the secured revolving credit agreement of approximately $185.2 million.</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EARNINGS PER SHARE</w:t>
      </w:r>
    </w:p>
    <w:p>
      <w:pPr>
        <w:spacing w:after="0" w:line="207" w:lineRule="exact"/>
        <w:rPr>
          <w:sz w:val="20"/>
          <w:szCs w:val="20"/>
          <w:color w:val="auto"/>
        </w:rPr>
      </w:pPr>
    </w:p>
    <w:p>
      <w:pPr>
        <w:ind w:right="380"/>
        <w:spacing w:after="0" w:line="285" w:lineRule="auto"/>
        <w:rPr>
          <w:sz w:val="20"/>
          <w:szCs w:val="20"/>
          <w:color w:val="auto"/>
        </w:rPr>
      </w:pPr>
      <w:r>
        <w:rPr>
          <w:rFonts w:ascii="Arial" w:cs="Arial" w:eastAsia="Arial" w:hAnsi="Arial"/>
          <w:sz w:val="16"/>
          <w:szCs w:val="16"/>
          <w:color w:val="auto"/>
        </w:rPr>
        <w:t>The Company calculates basic and diluted net income per common share under the two-class method for unvested share-based payment awards that contain participating rights to dividends or dividend equivalents (whether paid or unpaid).</w:t>
      </w:r>
    </w:p>
    <w:p>
      <w:pPr>
        <w:spacing w:after="0" w:line="150" w:lineRule="exact"/>
        <w:rPr>
          <w:sz w:val="20"/>
          <w:szCs w:val="20"/>
          <w:color w:val="auto"/>
        </w:rPr>
      </w:pPr>
    </w:p>
    <w:p>
      <w:pPr>
        <w:ind w:right="340"/>
        <w:spacing w:after="0" w:line="270" w:lineRule="auto"/>
        <w:rPr>
          <w:sz w:val="20"/>
          <w:szCs w:val="20"/>
          <w:color w:val="auto"/>
        </w:rPr>
      </w:pPr>
      <w:r>
        <w:rPr>
          <w:rFonts w:ascii="Arial" w:cs="Arial" w:eastAsia="Arial" w:hAnsi="Arial"/>
          <w:sz w:val="16"/>
          <w:szCs w:val="16"/>
          <w:color w:val="auto"/>
        </w:rPr>
        <w:t>Basic net income per share is calculated by dividing net income for the period by the weighted-average common shares outstanding for the period. Diluted net income per share includes the effect of dilutive instruments and uses the average share price for the period in determining the number of shares that are to be added to the weighted-average number of shares outstanding.</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OPEN MARKET REPURCHASES OF COMMON STOCK</w:t>
      </w:r>
    </w:p>
    <w:p>
      <w:pPr>
        <w:spacing w:after="0" w:line="207"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color w:val="auto"/>
        </w:rPr>
        <w:t>Shares of the Company's common stock that are repurchased by the Company through open market transactions are retired. Through the end of fiscal 2017, all such open market repurchases have been at prices that exceeded the par value of the repurchased common stock, and the amounts of the purchase prices that exceeded par value were charged to additional paid-in capital or to retained earnings if the balance in additional paid-in capital was not sufficient.</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BENEFIT PLANS</w:t>
      </w:r>
    </w:p>
    <w:p>
      <w:pPr>
        <w:spacing w:after="0" w:line="20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 xml:space="preserve">The Company has several defined benefit plans. Various actuarial methods and assumptions are used in determining net pension and post-retirement costs and obligations. Key assumptions include the discount rate used to determine the present value of future benefits and the expected long-term rate of return on plan assets. The over-funded or under-funded status of the defined benefit plans is recorded as an asset or liability on the consolidated balance sheet. The gains or losses that arise during the period are recognized as a component of comprehensive income, net of tax. These costs are then subsequently recognized as components of net periodic benefit cost in the consolidated statements of operations. Under the provisions of ASU No. 2015-04, </w:t>
      </w:r>
      <w:r>
        <w:rPr>
          <w:rFonts w:ascii="Arial" w:cs="Arial" w:eastAsia="Arial" w:hAnsi="Arial"/>
          <w:sz w:val="16"/>
          <w:szCs w:val="16"/>
          <w:i w:val="1"/>
          <w:iCs w:val="1"/>
          <w:color w:val="auto"/>
        </w:rPr>
        <w:t>Practical Expedient for the Measurement Date of an Employer's Defined Benefit Obligation and Plan Assets</w:t>
      </w:r>
      <w:r>
        <w:rPr>
          <w:rFonts w:ascii="Arial" w:cs="Arial" w:eastAsia="Arial" w:hAnsi="Arial"/>
          <w:sz w:val="16"/>
          <w:szCs w:val="16"/>
          <w:color w:val="auto"/>
        </w:rPr>
        <w:t>, the Company is permitted to use December 31 of each year, as opposed to the Company's last day of each fiscal year, as an alternate measurement date for its defined benefit plans.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FACILITY CLOSURE AND SEVERANCE COSTS</w:t>
      </w:r>
    </w:p>
    <w:p>
      <w:pPr>
        <w:spacing w:after="0" w:line="207" w:lineRule="exact"/>
        <w:rPr>
          <w:sz w:val="20"/>
          <w:szCs w:val="20"/>
          <w:color w:val="auto"/>
        </w:rPr>
      </w:pPr>
    </w:p>
    <w:p>
      <w:pPr>
        <w:ind w:right="140"/>
        <w:spacing w:after="0" w:line="284" w:lineRule="auto"/>
        <w:rPr>
          <w:sz w:val="20"/>
          <w:szCs w:val="20"/>
          <w:color w:val="auto"/>
        </w:rPr>
      </w:pPr>
      <w:r>
        <w:rPr>
          <w:rFonts w:ascii="Arial" w:cs="Arial" w:eastAsia="Arial" w:hAnsi="Arial"/>
          <w:sz w:val="15"/>
          <w:szCs w:val="15"/>
          <w:color w:val="auto"/>
        </w:rPr>
        <w:t>The Company records severance costs when the appropriate notifications have been made to affected employees or when the decision is made, if the benefits are contractual. When employees are required to work for a period before termination, the severance costs are recognized over the required service period. Relocation and recruitment costs are expensed as incurred. For operating leases, lease termination costs are recognized at fair value at the date the Company ceases to use the leased property, and adjusted for the effects of deferred items recognized under the lease and reduced by estimated sub-lease rental income. Useful lives assigned to fixed assets at the facility to be closed are revised based on the specifics of the exit plan, resulting in accelerated depreciation expense.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3" w:right="239" w:bottom="1440" w:gutter="0" w:footer="0" w:header="0"/>
        </w:sectPr>
      </w:pPr>
    </w:p>
    <w:bookmarkStart w:id="68" w:name="page69"/>
    <w:bookmarkEnd w:id="68"/>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LEASES AND DEFERRED RENT</w:t>
      </w:r>
    </w:p>
    <w:p>
      <w:pPr>
        <w:spacing w:after="0" w:line="207"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The Company enters into a significant number of lease transactions related to properties for its retail stores in addition to leases for offices, distribution facilities, and other uses. The lease agreements may contain provisions related to allowances for property improvements, rent escalation, and free rent periods. Substantially all of these leases are classified as operating leases for accounting purposes.</w:t>
      </w:r>
    </w:p>
    <w:p>
      <w:pPr>
        <w:spacing w:after="0" w:line="162"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For property improvement allowances, the Company records a deferred lease credit on the consolidated balance sheet and amortizes the deferred lease credit as a reduction of rent expense over the terms of the applicable lease. For scheduled rent escalation clauses during the lease term, the Company records rent expense on a straight-line basis over the term of the lease. The difference between the rent expense and the amount payable under the lease is included within the Company's liabilities on the consolidated balance sheet. The term of the lease over which the Company amortizes allowances and minimum rental expenses on a straight-line basis begins on the date of initial possession, which is generally when the Company enters the space and/or begins construction.</w:t>
      </w:r>
    </w:p>
    <w:p>
      <w:pPr>
        <w:spacing w:after="0" w:line="243"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Where leases provide for contingent rents, which are generally determined as a percentage of gross sales, the Company records additional rent expense when management determines that achieving the specified level of revenue during the fiscal year is probable. Amounts accrued for contingent rent are included within the Company's liabilities on the consolidated balance sheet.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SEASONALITY</w:t>
      </w:r>
    </w:p>
    <w:p>
      <w:pPr>
        <w:spacing w:after="0" w:line="207" w:lineRule="exact"/>
        <w:rPr>
          <w:sz w:val="20"/>
          <w:szCs w:val="20"/>
          <w:color w:val="auto"/>
        </w:rPr>
      </w:pPr>
    </w:p>
    <w:p>
      <w:pPr>
        <w:jc w:val="both"/>
        <w:ind w:right="80"/>
        <w:spacing w:after="0" w:line="270" w:lineRule="auto"/>
        <w:rPr>
          <w:sz w:val="20"/>
          <w:szCs w:val="20"/>
          <w:color w:val="auto"/>
        </w:rPr>
      </w:pPr>
      <w:r>
        <w:rPr>
          <w:rFonts w:ascii="Arial" w:cs="Arial" w:eastAsia="Arial" w:hAnsi="Arial"/>
          <w:sz w:val="16"/>
          <w:szCs w:val="16"/>
          <w:color w:val="auto"/>
        </w:rPr>
        <w:t>The Company experiences seasonal fluctuations in its sales and profitability due to the timing of certain holidays and key retail shopping periods, typically resulting in lower sales and gross profit in the first half of its fiscal year. Accordingly, the Company's results of operations during the first half of the year may not be indicative of the results for the full year.</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Adopted in Fiscal 2017</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for Share-Based Payments to Employees (ASU 2016-09)</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At the beginning of its first quarter of fiscal 2017, the Company adopted the provisions of Financial Accounting Standards Board ("FASB") ASU No. 2016-09, </w:t>
      </w:r>
      <w:r>
        <w:rPr>
          <w:rFonts w:ascii="Arial" w:cs="Arial" w:eastAsia="Arial" w:hAnsi="Arial"/>
          <w:sz w:val="16"/>
          <w:szCs w:val="16"/>
          <w:i w:val="1"/>
          <w:iCs w:val="1"/>
          <w:color w:val="auto"/>
        </w:rPr>
        <w:t>Improvements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 Employee Share-Based Payment Accounting </w:t>
      </w:r>
      <w:r>
        <w:rPr>
          <w:rFonts w:ascii="Arial" w:cs="Arial" w:eastAsia="Arial" w:hAnsi="Arial"/>
          <w:sz w:val="16"/>
          <w:szCs w:val="16"/>
          <w:color w:val="auto"/>
        </w:rPr>
        <w:t>("ASU 2016-09"), which amended ASC Topic 718,</w:t>
      </w:r>
      <w:r>
        <w:rPr>
          <w:rFonts w:ascii="Arial" w:cs="Arial" w:eastAsia="Arial" w:hAnsi="Arial"/>
          <w:sz w:val="16"/>
          <w:szCs w:val="16"/>
          <w:i w:val="1"/>
          <w:iCs w:val="1"/>
          <w:color w:val="auto"/>
        </w:rPr>
        <w:t xml:space="preserve"> Stock Compensation</w:t>
      </w:r>
      <w:r>
        <w:rPr>
          <w:rFonts w:ascii="Arial" w:cs="Arial" w:eastAsia="Arial" w:hAnsi="Arial"/>
          <w:sz w:val="16"/>
          <w:szCs w:val="16"/>
          <w:color w:val="auto"/>
        </w:rPr>
        <w:t>. The adoption of this ASU affected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statements as follows.</w:t>
      </w:r>
    </w:p>
    <w:p>
      <w:pPr>
        <w:spacing w:after="0" w:line="162"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Consolidated Statement of Operations - ASU 2016-09 imposes a new requirement to record all of the excess income tax benefits and deficiencies (that result from an increase or decrease in the value of an award from grant date to settlement date) related to share-based payments at settlement through the statement of operations instead of the former requirement to record income tax benefits in excess of compensation cost ("windfalls") in equity, and income tax deficiencies ("shortfalls") in equity to the extent of previous windfalls, and then to operations. This change is required to be applied prospectively upon adoption of ASU 2016-09 to all excess income tax benefits and deficiencies resulting from settlements of share-based payments after the date of adoption. For fiscal 2017, the Company’s provision for income taxes on its consolidated statement of operations includes a benefit of approximately $5.3 million, related to net excess income tax benefits for settlements of share-based payments during the period. For fiscal 2016, the Company recognized net excess income tax benefits of approximately $4.8 million, for share-based payments settled during the period. These net tax benefits for fiscal 2016 were recorded directly to the Company’s consolidated statement of stockholders’ equity and have not been reclassified to the Company’s consolidated statement of operations, in accordance with adoption and transition provisions of ASU 2016-09.</w:t>
      </w:r>
    </w:p>
    <w:p>
      <w:pPr>
        <w:spacing w:after="0" w:line="15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Consolidated Statement of Cash Flows - ASU 2016-09 requires that all income tax-related cash flows resulting from share-based payments, such as excess income tax benefits, are to be reported as operating activities on the statement of cash flows, a change from the prior requirement to present windfall income tax benefits as an inflow from financing activities and an offsetting outflow from operating activities. As permitted, the Company elected to apply these provisions prospectively to its consolidated statement of cash flows, and accordingly, periods prior to fiscal 2017 have not been adjusted.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40"/>
          </w:cols>
          <w:pgMar w:left="240" w:top="123" w:right="219" w:bottom="1440" w:gutter="0" w:footer="0" w:header="0"/>
        </w:sectPr>
      </w:pPr>
    </w:p>
    <w:bookmarkStart w:id="69" w:name="page70"/>
    <w:bookmarkEnd w:id="69"/>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Additionally, ASU 2016-09 clarifies that all cash payments made to taxing authorities on the employees' behalf for withheld shares at settlement are presented as financing activities on the statement of cash flows. This change must be applied retrospectively. The presentation requirements did not result in reclassification for any prior periods since such cash flows have historically been presented as a financing activity by the Company on its consolidated statement of cash flows.</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Company elected to continue to estimate forfeitures expected to occur to determine the amount of share-based compensation cost to recognize in each period, as permitted by ASU 2016-09. Accordingly, no cumulative effect was recorded in retained earnings on the Company’s consolidated statement of stockholders’ equity at the beginning of fiscal 2017 upon the adoption of ASU 2016-09.</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Simplified Subsequent Measurement of Inventory (ASU 2015-11)</w:t>
      </w:r>
    </w:p>
    <w:p>
      <w:pPr>
        <w:spacing w:after="0" w:line="207"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 xml:space="preserve">At the beginning of its first quarter of fiscal 2017, the Company adopted the provisions of ASU No. 2015-11, </w:t>
      </w:r>
      <w:r>
        <w:rPr>
          <w:rFonts w:ascii="Arial" w:cs="Arial" w:eastAsia="Arial" w:hAnsi="Arial"/>
          <w:sz w:val="15"/>
          <w:szCs w:val="15"/>
          <w:i w:val="1"/>
          <w:iCs w:val="1"/>
          <w:color w:val="auto"/>
        </w:rPr>
        <w:t>Inventory (Topic 330): Simplifying the Measurement of Inventory</w:t>
      </w:r>
      <w:r>
        <w:rPr>
          <w:rFonts w:ascii="Arial" w:cs="Arial" w:eastAsia="Arial" w:hAnsi="Arial"/>
          <w:sz w:val="15"/>
          <w:szCs w:val="15"/>
          <w:color w:val="auto"/>
        </w:rPr>
        <w:t xml:space="preserve"> ("ASU 2015-11"). ASU 2015-11 simplifies subsequent measurements of inventory by replacing the lower of cost or market test, required under prior guidance, with a lower of cost and net realizable value test. ASU 2015-11 applies only to inventories for which cost is determined by methods other than last-in-first-out (LIFO) and the retail inventory method. For inventory within the scope of ASU 2015-11, entities are required to compare the cost of inventory to only one measure, its net realizable value, and not the three measures required by prior guidance ("market," "subject to a floor," and a "ceiling"). When evidence exists that the net realizable value of inventory is less than its cost (due to damage, physical deterioration, obsolescence, changes in price levels or other causes), entities recognize the difference as a loss in earnings in the period in which it occurs. The adoption of ASU 2015-11 was not material to the Company's consolidated financial condition, results of operations, or cash flows.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Balance Sheet Classification of Deferred Taxes (ASU 2015-17)</w:t>
      </w:r>
    </w:p>
    <w:p>
      <w:pPr>
        <w:spacing w:after="0" w:line="207"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 xml:space="preserve">At the beginning of the first quarter of fiscal 2017, the Company prospectively adopted the provisions of ASU No.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xml:space="preserve"> ("ASU 2015-17"). ASU 2015-17 simplifies the balance sheet presentation of deferred income taxes by reporting the net amount of deferred tax assets and liabilities for each tax-paying jurisdiction as non-current on the balance sheet. Prior guidance required the deferred taxes for each tax-paying jurisdiction to be presented as a net current asset or liability and net non-current asset or liability. The Company's prospective adoption of ASU 2015-17 impacts the classification of deferred tax assets and liabilities on any balance sheet that reports the Company's financial position for any date after December 31, 2016. Balance sheets for prior periods have not been adjusted. The adoption of ASU 2015-17 has no impact on the Company's results of operations or cash flows.</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 Be Adopted After Fiscal 2017</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 (ASC 606)</w:t>
      </w:r>
    </w:p>
    <w:p>
      <w:pPr>
        <w:spacing w:after="0" w:line="207" w:lineRule="exact"/>
        <w:rPr>
          <w:sz w:val="20"/>
          <w:szCs w:val="20"/>
          <w:color w:val="auto"/>
        </w:rPr>
      </w:pPr>
    </w:p>
    <w:p>
      <w:pPr>
        <w:ind w:right="100"/>
        <w:spacing w:after="0" w:line="280" w:lineRule="auto"/>
        <w:rPr>
          <w:sz w:val="20"/>
          <w:szCs w:val="20"/>
          <w:color w:val="auto"/>
        </w:rPr>
      </w:pPr>
      <w:r>
        <w:rPr>
          <w:rFonts w:ascii="Arial" w:cs="Arial" w:eastAsia="Arial" w:hAnsi="Arial"/>
          <w:sz w:val="15"/>
          <w:szCs w:val="15"/>
          <w:color w:val="auto"/>
        </w:rPr>
        <w:t xml:space="preserve">Accounting Standards Codification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("ASC 606"), was effective for the Company at the beginning of its fiscal 2018. ASC 606 clarifies the principles for recognizing revenue and is applicable to all contracts with customers regardless of industry-specific or transaction-specific fact patterns. Further, the guidance requires improved disclosures as well as additional disclosures to help users of financial statements better understand the nature, amount, timing, and uncertainty of revenue that is recognized. Beginning in the first quarter of fiscal 2018, the Company applied the provisions of ASC 606 retrospectively to each prior reporting period presented for fiscal 2017 and fiscal 2016. For all periods prior to fiscal 2016, the adoption of ASC 606 is reported as an adjustment to opening retained earnings at the beginning of fiscal 2016 for approximately $0.6 million. The adoption of ASC 606, including any of the policy elections required or permitted by ASC 606, had no material effect on the Company's consolidated financial position, results of operations, cash flows, processes, systems, or controls.</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Leases (ASU 2016-02)</w:t>
      </w:r>
    </w:p>
    <w:p>
      <w:pPr>
        <w:spacing w:after="0" w:line="20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 xml:space="preserve">In February 2016, the FASB issued new lease accounting guidance in ASU No. 2016-02, </w:t>
      </w:r>
      <w:r>
        <w:rPr>
          <w:rFonts w:ascii="Arial" w:cs="Arial" w:eastAsia="Arial" w:hAnsi="Arial"/>
          <w:sz w:val="16"/>
          <w:szCs w:val="16"/>
          <w:i w:val="1"/>
          <w:iCs w:val="1"/>
          <w:color w:val="auto"/>
        </w:rPr>
        <w:t>Leases-Topic 842,</w:t>
      </w:r>
      <w:r>
        <w:rPr>
          <w:rFonts w:ascii="Arial" w:cs="Arial" w:eastAsia="Arial" w:hAnsi="Arial"/>
          <w:sz w:val="16"/>
          <w:szCs w:val="16"/>
          <w:color w:val="auto"/>
        </w:rPr>
        <w:t xml:space="preserve"> which has been codified in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The new standard will be effective for the Company at the beginning of fiscal 2019,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3" w:right="239" w:bottom="1440" w:gutter="0" w:footer="0" w:header="0"/>
        </w:sectPr>
      </w:pPr>
    </w:p>
    <w:bookmarkStart w:id="70" w:name="page71"/>
    <w:bookmarkEnd w:id="70"/>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including interim periods within the year of adoption. The new standard requires a modified retrospective basis, and early adoption is permitted. The Company is still evaluating the potential effects of ASC 842. However, based on the Company's lease obligations, the adoption of ASC 842 will require the Company to recognize material assets and liabilities for right-of-use assets and operating lease liabilities on its consolidated balance sheet. ASC 842 will also require additional footnote disclosures to the Company's consolidated financial statements.</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Losses (ASU 2016-13)</w:t>
      </w:r>
    </w:p>
    <w:p>
      <w:pPr>
        <w:spacing w:after="0" w:line="207" w:lineRule="exact"/>
        <w:rPr>
          <w:sz w:val="20"/>
          <w:szCs w:val="20"/>
          <w:color w:val="auto"/>
        </w:rPr>
      </w:pPr>
    </w:p>
    <w:p>
      <w:pPr>
        <w:ind w:right="20"/>
        <w:spacing w:after="0" w:line="277" w:lineRule="auto"/>
        <w:rPr>
          <w:sz w:val="20"/>
          <w:szCs w:val="20"/>
          <w:color w:val="auto"/>
        </w:rPr>
      </w:pPr>
      <w:r>
        <w:rPr>
          <w:rFonts w:ascii="Arial" w:cs="Arial" w:eastAsia="Arial" w:hAnsi="Arial"/>
          <w:sz w:val="15"/>
          <w:szCs w:val="15"/>
          <w:color w:val="auto"/>
        </w:rPr>
        <w:t xml:space="preserve">In June 2016, the FASB issued ASU No. 2016-13, </w:t>
      </w:r>
      <w:r>
        <w:rPr>
          <w:rFonts w:ascii="Arial" w:cs="Arial" w:eastAsia="Arial" w:hAnsi="Arial"/>
          <w:sz w:val="15"/>
          <w:szCs w:val="15"/>
          <w:i w:val="1"/>
          <w:iCs w:val="1"/>
          <w:color w:val="auto"/>
        </w:rPr>
        <w:t>Financial Instruments-Credit Losses (Topic 326): Measurement of Credit Losses on Financial Instruments</w:t>
      </w:r>
      <w:r>
        <w:rPr>
          <w:rFonts w:ascii="Arial" w:cs="Arial" w:eastAsia="Arial" w:hAnsi="Arial"/>
          <w:sz w:val="15"/>
          <w:szCs w:val="15"/>
          <w:color w:val="auto"/>
        </w:rPr>
        <w:t xml:space="preserve"> ("ASU 2016-13")</w:t>
      </w:r>
      <w:r>
        <w:rPr>
          <w:rFonts w:ascii="Arial" w:cs="Arial" w:eastAsia="Arial" w:hAnsi="Arial"/>
          <w:sz w:val="15"/>
          <w:szCs w:val="15"/>
          <w:i w:val="1"/>
          <w:iCs w:val="1"/>
          <w:color w:val="auto"/>
        </w:rPr>
        <w:t>.</w:t>
      </w:r>
      <w:r>
        <w:rPr>
          <w:rFonts w:ascii="Arial" w:cs="Arial" w:eastAsia="Arial" w:hAnsi="Arial"/>
          <w:sz w:val="15"/>
          <w:szCs w:val="15"/>
          <w:color w:val="auto"/>
        </w:rPr>
        <w:t xml:space="preserve">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an entity will recognize a loss (or allowance) upon initial recognition of the asset that reflects all future events that will lead to a loss being realized, regardless of whether it is probable that the future event will occur. The "incurred loss" model considers past events and current conditions, while the "expected loss" model includes expectations for the future which have yet to occur. ASU 2016-13 is effective for public companies for fiscal years beginning after December 15, 2019 with early adoption permitted for fiscal years beginning after December 15, 2018, including interim periods therein. The standard will 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Classification of Costs Related to Defined Benefit Pension and Other Post-retirement Benefit Plans </w:t>
      </w:r>
      <w:r>
        <w:rPr>
          <w:rFonts w:ascii="Arial" w:cs="Arial" w:eastAsia="Arial" w:hAnsi="Arial"/>
          <w:sz w:val="16"/>
          <w:szCs w:val="16"/>
          <w:color w:val="auto"/>
        </w:rPr>
        <w:t>(ASU 2017-07)</w:t>
      </w:r>
    </w:p>
    <w:p>
      <w:pPr>
        <w:spacing w:after="0" w:line="207" w:lineRule="exact"/>
        <w:rPr>
          <w:sz w:val="20"/>
          <w:szCs w:val="20"/>
          <w:color w:val="auto"/>
        </w:rPr>
      </w:pPr>
    </w:p>
    <w:p>
      <w:pPr>
        <w:ind w:right="100"/>
        <w:spacing w:after="0" w:line="300" w:lineRule="auto"/>
        <w:rPr>
          <w:sz w:val="20"/>
          <w:szCs w:val="20"/>
          <w:color w:val="auto"/>
        </w:rPr>
      </w:pPr>
      <w:r>
        <w:rPr>
          <w:rFonts w:ascii="Arial" w:cs="Arial" w:eastAsia="Arial" w:hAnsi="Arial"/>
          <w:sz w:val="14"/>
          <w:szCs w:val="14"/>
          <w:color w:val="auto"/>
        </w:rPr>
        <w:t xml:space="preserve">In March 2017, the FASB issued ASU No. 2017-07, </w:t>
      </w:r>
      <w:r>
        <w:rPr>
          <w:rFonts w:ascii="Arial" w:cs="Arial" w:eastAsia="Arial" w:hAnsi="Arial"/>
          <w:sz w:val="14"/>
          <w:szCs w:val="14"/>
          <w:i w:val="1"/>
          <w:iCs w:val="1"/>
          <w:color w:val="auto"/>
        </w:rPr>
        <w:t>Compensation - Retirement Benefits (Topic 715: Improving the Presentation of Net Periodic Pension Cost and Net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Periodic Post-retirement Benefit Cost </w:t>
      </w:r>
      <w:r>
        <w:rPr>
          <w:rFonts w:ascii="Arial" w:cs="Arial" w:eastAsia="Arial" w:hAnsi="Arial"/>
          <w:sz w:val="14"/>
          <w:szCs w:val="14"/>
          <w:color w:val="auto"/>
        </w:rPr>
        <w:t>("ASU 2017-07")</w:t>
      </w:r>
      <w:r>
        <w:rPr>
          <w:rFonts w:ascii="Arial" w:cs="Arial" w:eastAsia="Arial" w:hAnsi="Arial"/>
          <w:sz w:val="14"/>
          <w:szCs w:val="14"/>
          <w:i w:val="1"/>
          <w:iCs w:val="1"/>
          <w:color w:val="auto"/>
        </w:rPr>
        <w:t xml:space="preserve">. </w:t>
      </w:r>
      <w:r>
        <w:rPr>
          <w:rFonts w:ascii="Arial" w:cs="Arial" w:eastAsia="Arial" w:hAnsi="Arial"/>
          <w:sz w:val="14"/>
          <w:szCs w:val="14"/>
          <w:color w:val="auto"/>
        </w:rPr>
        <w:t>ASU 2017-07 will change how employers that sponsor defined benefit pension and/or other post-retirement benefit</w:t>
      </w:r>
      <w:r>
        <w:rPr>
          <w:rFonts w:ascii="Arial" w:cs="Arial" w:eastAsia="Arial" w:hAnsi="Arial"/>
          <w:sz w:val="14"/>
          <w:szCs w:val="14"/>
          <w:i w:val="1"/>
          <w:iCs w:val="1"/>
          <w:color w:val="auto"/>
        </w:rPr>
        <w:t xml:space="preserve"> </w:t>
      </w:r>
      <w:r>
        <w:rPr>
          <w:rFonts w:ascii="Arial" w:cs="Arial" w:eastAsia="Arial" w:hAnsi="Arial"/>
          <w:sz w:val="14"/>
          <w:szCs w:val="14"/>
          <w:color w:val="auto"/>
        </w:rPr>
        <w:t>plans present the net periodic benefit costs in the statement of operations. Under this new guidance, an employer's statement of operations will present service cost arising in the current period in the same income statement line item as other employee compensation. However, all other components of current period costs related to defined benefit plans, such as prior service costs and actuarial gains and losses, will be presented on the income statement on a line item outside (or below) operating income. For public companies, the guidance is effective for fiscal years beginning after December 15, 2017, and interim periods within those years. Early adoption is permitted. Presentation of the components of net periodic benefit cost on the income statement will be applied retrospectively. The impact that ASU 2017-07 will have on the Company's operating income will depend on future periodic pension costs related to the Company's current frozen defined benefit pension plan and post-retirement medical benefit plan. However, based on these costs in recent annual and interim reporting periods, the adoption of ASU 2017-07 is not expected to be material to the Company's operating income.</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Goodwill Impairment Testing </w:t>
      </w:r>
      <w:r>
        <w:rPr>
          <w:rFonts w:ascii="Arial" w:cs="Arial" w:eastAsia="Arial" w:hAnsi="Arial"/>
          <w:sz w:val="16"/>
          <w:szCs w:val="16"/>
          <w:color w:val="auto"/>
        </w:rPr>
        <w:t>(ASU 2017-04)</w:t>
      </w:r>
    </w:p>
    <w:p>
      <w:pPr>
        <w:spacing w:after="0" w:line="20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xml:space="preserve"> ("ASU 2017-04")</w:t>
      </w:r>
      <w:r>
        <w:rPr>
          <w:rFonts w:ascii="Arial" w:cs="Arial" w:eastAsia="Arial" w:hAnsi="Arial"/>
          <w:sz w:val="16"/>
          <w:szCs w:val="16"/>
          <w:i w:val="1"/>
          <w:iCs w:val="1"/>
          <w:color w:val="auto"/>
        </w:rPr>
        <w:t>.</w:t>
      </w:r>
      <w:r>
        <w:rPr>
          <w:rFonts w:ascii="Arial" w:cs="Arial" w:eastAsia="Arial" w:hAnsi="Arial"/>
          <w:sz w:val="16"/>
          <w:szCs w:val="16"/>
          <w:color w:val="auto"/>
        </w:rPr>
        <w:t xml:space="preserve"> ASU 2017-04 will eliminate the requirement to calculate the implied fair value of goodwill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ASU 2017-04 will be applied prospectively. Adoption for public companies is effective for annual and interim impairment test performed in periods after December 15, 2019. Early adoption is permitted for annual and interim goodwill impairment testing dates after January 1, 2017. The impact that ASU 2017-04 may have on the Company's financial condition or results of operations will depend on the circumstances of any goodwill impairment event that may occur after adoption.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3" w:right="239" w:bottom="1440" w:gutter="0" w:footer="0" w:header="0"/>
        </w:sectPr>
      </w:pPr>
    </w:p>
    <w:bookmarkStart w:id="71" w:name="page72"/>
    <w:bookmarkEnd w:id="71"/>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Modifications to Share-based Compensation Awards (ASU 2017-09)</w:t>
      </w:r>
    </w:p>
    <w:p>
      <w:pPr>
        <w:spacing w:after="0" w:line="207"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718-Scope of Modification Accounting</w:t>
      </w:r>
      <w:r>
        <w:rPr>
          <w:rFonts w:ascii="Arial" w:cs="Arial" w:eastAsia="Arial" w:hAnsi="Arial"/>
          <w:sz w:val="16"/>
          <w:szCs w:val="16"/>
          <w:color w:val="auto"/>
        </w:rPr>
        <w:t xml:space="preserve"> ("ASU 2017-09"). This guidance will clarify when changes to the terms and conditions of share-based payment awards must be accounted for as modifications. Entities will apply the modification accounting guidance if the value, vesting conditions, or classification of an award changes. ASU 2017-07 is effective for the Company at the beginning of fiscal 2018, including interim periods within fiscal 2018. Early adoption is permitted. The guidance will be applied prospectively to awards modified on or after adoption. The impact that ASU 2017-09 may have on the Company's results of operations, financial condition, or cash flows subsequent to adoption will be dependent on the terms and conditions of any modifications made to share-based awards after fiscal 2017.</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Definition of a Business (ASU 2017-01)</w:t>
      </w:r>
    </w:p>
    <w:p>
      <w:pPr>
        <w:spacing w:after="0" w:line="20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("ASU 2017-01"). This guidance will assist entities in determining if acquired assets constitute the acquisition of a business or the acquisition of assets for accounting and reporting purposes. This distinction is important because only a business can recognize goodwill. In practice prior to ASU 2017-01, if revenues were generated immediately before and after a transaction, the acquisition was typically considered a business. Under ASU 2017-01, requiring entities to further assess the substance of the processes they acquire will likely reduce the number of transactions accounted for as business acquisitions. ASU 2017-01 is effective prospectively for the Company at the beginning of fiscal 2018, including interim periods within fiscal 2018. Early adoption is permitted, including for interim or annual periods in which the financial statements have not been issued or made available for issuance. The impact that ASU 2017-01 may have on the Company's financial position, results of operations or cash flows will depend on the nature of any acquisition commencing after the Company's adoption of this ASU.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3" w:right="239" w:bottom="1440" w:gutter="0" w:footer="0" w:header="0"/>
        </w:sectPr>
      </w:pPr>
    </w:p>
    <w:bookmarkStart w:id="72" w:name="page73"/>
    <w:bookmarkEnd w:id="72"/>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BUSINESS ACQUISITIONS</w:t>
      </w:r>
    </w:p>
    <w:p>
      <w:pPr>
        <w:spacing w:after="0" w:line="211"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 xml:space="preserve">The Company completed two separate business acquisitions, "Skip Hop" and "Carter's Mexico," during fiscal 2017. Each acquisition was deemed to be the acquisition of a business under the provisions of Accounting Standards Codification ("ASC") No.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w:t>
      </w:r>
    </w:p>
    <w:p>
      <w:pPr>
        <w:spacing w:after="0" w:line="150" w:lineRule="exact"/>
        <w:rPr>
          <w:sz w:val="20"/>
          <w:szCs w:val="20"/>
          <w:color w:val="auto"/>
        </w:rPr>
      </w:pPr>
    </w:p>
    <w:p>
      <w:pPr>
        <w:ind w:right="700"/>
        <w:spacing w:after="0" w:line="285" w:lineRule="auto"/>
        <w:rPr>
          <w:sz w:val="20"/>
          <w:szCs w:val="20"/>
          <w:color w:val="auto"/>
        </w:rPr>
      </w:pPr>
      <w:r>
        <w:rPr>
          <w:rFonts w:ascii="Arial" w:cs="Arial" w:eastAsia="Arial" w:hAnsi="Arial"/>
          <w:sz w:val="16"/>
          <w:szCs w:val="16"/>
          <w:color w:val="auto"/>
        </w:rPr>
        <w:t>Based on their purchase prices and pre-acquisition operating results and assets, neither of the businesses acquired in fiscal 2017 met the materiality requirements for preparation and presentation of pro forma financial information, either individually or in the aggregate.</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Mexican Licensee</w:t>
      </w:r>
    </w:p>
    <w:p>
      <w:pPr>
        <w:spacing w:after="0" w:line="21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On August 1, 2017, the Company, through certain of its wholly-owned subsidiaries, acquired the outstanding equity of the Company's licensee in Mexico and a related entity (collectively "Carter's Mexico"). Both entities are incorporated under Mexican law. Prior to the acquisition, Carter's Mexico was primarily a licensee and wholesale customer of the Company. Through this acquisition, the Company obtained a network of retail stores in Mexico and control of wholesale business relationships in Mexico. The acquisition is expected to strengthen the Company's operations in Mexico and further increase its overall market share in the North American market for children's apparel and accessories. Upon acquisition, Carter's Mexico became part of the Company's International operating and reportable segment. At the acquisition date, all of the goodwill from the Carter's Mexico acquisition was assigned to the International reportable segment.</w:t>
      </w:r>
    </w:p>
    <w:p>
      <w:pPr>
        <w:spacing w:after="0" w:line="16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The Company's consolidated financial statements reflect the consolidation of the financial position, results of operations and cash flows of Carter's Mexico beginning August 1, 2017.</w:t>
      </w:r>
    </w:p>
    <w:p>
      <w:pPr>
        <w:spacing w:after="0" w:line="15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measurement period, as defined under the provisions of ASC 805, is still open for this acquisition. Adjustments related to a working capital settlement, settlements of certain pre-acquisition tax matters, and the finalizations of fair value estimates for certain assets and liabilities may be made. Included among the assets acquired, and the preliminary fair values assigned to them as of December 30, 2017, were inventories of approximately $8.3 million, a customer relationships intangible asset of approximately $3.5 million, and goodwill of approximately $6.2 million. In addition, the Company paid approximately $1.4 million in acquisition-related costs during fiscal 2017 for Carter's Mexico.</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Skip Hop</w:t>
      </w:r>
    </w:p>
    <w:p>
      <w:pPr>
        <w:spacing w:after="0" w:line="211" w:lineRule="exact"/>
        <w:rPr>
          <w:sz w:val="20"/>
          <w:szCs w:val="20"/>
          <w:color w:val="auto"/>
        </w:rPr>
      </w:pPr>
    </w:p>
    <w:p>
      <w:pPr>
        <w:ind w:right="60"/>
        <w:spacing w:after="0" w:line="281" w:lineRule="auto"/>
        <w:rPr>
          <w:sz w:val="20"/>
          <w:szCs w:val="20"/>
          <w:color w:val="auto"/>
        </w:rPr>
      </w:pPr>
      <w:r>
        <w:rPr>
          <w:rFonts w:ascii="Arial" w:cs="Arial" w:eastAsia="Arial" w:hAnsi="Arial"/>
          <w:sz w:val="15"/>
          <w:szCs w:val="15"/>
          <w:color w:val="auto"/>
        </w:rPr>
        <w:t xml:space="preserve">Carter's, Inc.'s wholly-owned subsidiary, The William Carter Company ("TWCC"), acquired 100% of the voting equity interests of privately-owned Skip Hop Holdings, Inc. and subsidiaries ("Skip Hop") after the close of business on February 22, 2017. The Company's consolidated financial statements and accompanying notes include Skip Hop results beginning on February 23, 2017. The acquisition expanded the Company’s product offerings to include complementary essential core products for families with young children. The </w:t>
      </w:r>
      <w:r>
        <w:rPr>
          <w:rFonts w:ascii="Arial" w:cs="Arial" w:eastAsia="Arial" w:hAnsi="Arial"/>
          <w:sz w:val="15"/>
          <w:szCs w:val="15"/>
          <w:i w:val="1"/>
          <w:iCs w:val="1"/>
          <w:color w:val="auto"/>
        </w:rPr>
        <w:t>Skip Hop</w:t>
      </w:r>
      <w:r>
        <w:rPr>
          <w:rFonts w:ascii="Arial" w:cs="Arial" w:eastAsia="Arial" w:hAnsi="Arial"/>
          <w:sz w:val="15"/>
          <w:szCs w:val="15"/>
          <w:color w:val="auto"/>
        </w:rPr>
        <w:t xml:space="preserve"> branded product line includes diaper bags, kid’s backpacks, travel accessories, home gear, and hardline goods for playtime, mealtime, and bath time. </w:t>
      </w:r>
      <w:r>
        <w:rPr>
          <w:rFonts w:ascii="Arial" w:cs="Arial" w:eastAsia="Arial" w:hAnsi="Arial"/>
          <w:sz w:val="15"/>
          <w:szCs w:val="15"/>
          <w:i w:val="1"/>
          <w:iCs w:val="1"/>
          <w:color w:val="auto"/>
        </w:rPr>
        <w:t xml:space="preserve">Skip Hop </w:t>
      </w:r>
      <w:r>
        <w:rPr>
          <w:rFonts w:ascii="Arial" w:cs="Arial" w:eastAsia="Arial" w:hAnsi="Arial"/>
          <w:sz w:val="15"/>
          <w:szCs w:val="15"/>
          <w:color w:val="auto"/>
        </w:rPr>
        <w:t>branded products are now sold through the Company's wholesale, retail store, and eCommerce channels. At acquisition date, Skip Hop's goodwill was assigned to</w:t>
      </w:r>
      <w:r>
        <w:rPr>
          <w:rFonts w:ascii="Arial" w:cs="Arial" w:eastAsia="Arial" w:hAnsi="Arial"/>
          <w:sz w:val="15"/>
          <w:szCs w:val="15"/>
          <w:i w:val="1"/>
          <w:iCs w:val="1"/>
          <w:color w:val="auto"/>
        </w:rPr>
        <w:t xml:space="preserve"> </w:t>
      </w:r>
      <w:r>
        <w:rPr>
          <w:rFonts w:ascii="Arial" w:cs="Arial" w:eastAsia="Arial" w:hAnsi="Arial"/>
          <w:sz w:val="15"/>
          <w:szCs w:val="15"/>
          <w:color w:val="auto"/>
        </w:rPr>
        <w:t>reportable segments as follows: 62% to U.S. Wholesale, 34% to International, and 4% to U.S. Retail.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measurement period is no longer open for the Skip Hop acquisition.</w:t>
      </w:r>
    </w:p>
    <w:p>
      <w:pPr>
        <w:spacing w:after="0" w:line="207" w:lineRule="exact"/>
        <w:rPr>
          <w:sz w:val="20"/>
          <w:szCs w:val="20"/>
          <w:color w:val="auto"/>
        </w:rPr>
      </w:pPr>
    </w:p>
    <w:p>
      <w:pPr>
        <w:ind w:right="380"/>
        <w:spacing w:after="0" w:line="285" w:lineRule="auto"/>
        <w:rPr>
          <w:sz w:val="20"/>
          <w:szCs w:val="20"/>
          <w:color w:val="auto"/>
        </w:rPr>
      </w:pPr>
      <w:r>
        <w:rPr>
          <w:rFonts w:ascii="Arial" w:cs="Arial" w:eastAsia="Arial" w:hAnsi="Arial"/>
          <w:sz w:val="16"/>
          <w:szCs w:val="16"/>
          <w:color w:val="auto"/>
        </w:rPr>
        <w:t xml:space="preserve">During fiscal 2017, </w:t>
      </w:r>
      <w:r>
        <w:rPr>
          <w:rFonts w:ascii="Arial" w:cs="Arial" w:eastAsia="Arial" w:hAnsi="Arial"/>
          <w:sz w:val="16"/>
          <w:szCs w:val="16"/>
          <w:i w:val="1"/>
          <w:iCs w:val="1"/>
          <w:color w:val="auto"/>
        </w:rPr>
        <w:t>Skip Hop</w:t>
      </w:r>
      <w:r>
        <w:rPr>
          <w:rFonts w:ascii="Arial" w:cs="Arial" w:eastAsia="Arial" w:hAnsi="Arial"/>
          <w:sz w:val="16"/>
          <w:szCs w:val="16"/>
          <w:color w:val="auto"/>
        </w:rPr>
        <w:t xml:space="preserve"> branded products contributed approximately $96.3 million to the Company's consolidated net sales. The Company paid approximately $2.0 million and $2.4 million in acquisition-related costs for Skip Hop in fiscal 2017 and fiscal 2016,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Assets acquired and liabilities assumed, including all measurement period adjustments, were as follows: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00"/>
          </w:cols>
          <w:pgMar w:left="240" w:top="123" w:right="259" w:bottom="1440" w:gutter="0" w:footer="0" w:header="0"/>
        </w:sectPr>
      </w:pPr>
    </w:p>
    <w:bookmarkStart w:id="73" w:name="page74"/>
    <w:bookmarkEnd w:id="73"/>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349885</wp:posOffset>
            </wp:positionV>
            <wp:extent cx="3943985" cy="155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43985" cy="15557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2640"/>
        <w:spacing w:after="0"/>
        <w:rPr>
          <w:sz w:val="20"/>
          <w:szCs w:val="20"/>
          <w:color w:val="auto"/>
        </w:rPr>
      </w:pPr>
      <w:r>
        <w:rPr>
          <w:rFonts w:ascii="Arial" w:cs="Arial" w:eastAsia="Arial" w:hAnsi="Arial"/>
          <w:sz w:val="15"/>
          <w:szCs w:val="15"/>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167640</wp:posOffset>
            </wp:positionV>
            <wp:extent cx="3943985" cy="155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43985" cy="155575"/>
                    </a:xfrm>
                    <a:prstGeom prst="rect">
                      <a:avLst/>
                    </a:prstGeom>
                    <a:noFill/>
                  </pic:spPr>
                </pic:pic>
              </a:graphicData>
            </a:graphic>
          </wp:anchor>
        </w:drawing>
      </w:r>
    </w:p>
    <w:p>
      <w:pPr>
        <w:spacing w:after="0" w:line="272" w:lineRule="exact"/>
        <w:rPr>
          <w:sz w:val="20"/>
          <w:szCs w:val="20"/>
          <w:color w:val="auto"/>
        </w:rPr>
      </w:pPr>
    </w:p>
    <w:p>
      <w:pPr>
        <w:ind w:left="2640"/>
        <w:spacing w:after="0"/>
        <w:rPr>
          <w:sz w:val="20"/>
          <w:szCs w:val="20"/>
          <w:color w:val="auto"/>
        </w:rPr>
      </w:pPr>
      <w:r>
        <w:rPr>
          <w:rFonts w:ascii="Arial" w:cs="Arial" w:eastAsia="Arial" w:hAnsi="Arial"/>
          <w:sz w:val="15"/>
          <w:szCs w:val="15"/>
          <w:color w:val="auto"/>
        </w:rPr>
        <w:t>Assets acquired:</w:t>
      </w:r>
    </w:p>
    <w:p>
      <w:pPr>
        <w:spacing w:after="0" w:line="72" w:lineRule="exact"/>
        <w:rPr>
          <w:sz w:val="20"/>
          <w:szCs w:val="20"/>
          <w:color w:val="auto"/>
        </w:rPr>
      </w:pPr>
    </w:p>
    <w:tbl>
      <w:tblPr>
        <w:tblLayout w:type="fixed"/>
        <w:tblInd w:w="2620" w:type="dxa"/>
        <w:tblCellMar>
          <w:top w:w="0" w:type="dxa"/>
          <w:left w:w="0" w:type="dxa"/>
          <w:bottom w:w="0" w:type="dxa"/>
          <w:right w:w="0" w:type="dxa"/>
        </w:tblCellMar>
      </w:tblPr>
      <w:tr>
        <w:trPr>
          <w:trHeight w:val="187"/>
        </w:trPr>
        <w:tc>
          <w:tcPr>
            <w:tcW w:w="5040" w:type="dxa"/>
            <w:vAlign w:val="bottom"/>
          </w:tcPr>
          <w:p>
            <w:pPr>
              <w:ind w:left="120"/>
              <w:spacing w:after="0"/>
              <w:rPr>
                <w:sz w:val="20"/>
                <w:szCs w:val="20"/>
                <w:color w:val="auto"/>
              </w:rPr>
            </w:pPr>
            <w:r>
              <w:rPr>
                <w:rFonts w:ascii="Arial" w:cs="Arial" w:eastAsia="Arial" w:hAnsi="Arial"/>
                <w:sz w:val="15"/>
                <w:szCs w:val="15"/>
                <w:color w:val="auto"/>
              </w:rPr>
              <w:t>Current assets, including cash acquired of $0.8 million</w:t>
            </w:r>
          </w:p>
        </w:tc>
        <w:tc>
          <w:tcPr>
            <w:tcW w:w="420" w:type="dxa"/>
            <w:vAlign w:val="bottom"/>
          </w:tcPr>
          <w:p>
            <w:pPr>
              <w:ind w:left="2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7"/>
              <w:spacing w:after="0"/>
              <w:rPr>
                <w:sz w:val="20"/>
                <w:szCs w:val="20"/>
                <w:color w:val="auto"/>
              </w:rPr>
            </w:pPr>
            <w:r>
              <w:rPr>
                <w:rFonts w:ascii="Arial" w:cs="Arial" w:eastAsia="Arial" w:hAnsi="Arial"/>
                <w:sz w:val="15"/>
                <w:szCs w:val="15"/>
                <w:color w:val="auto"/>
              </w:rPr>
              <w:t>50.0</w:t>
            </w:r>
          </w:p>
        </w:tc>
      </w:tr>
      <w:tr>
        <w:trPr>
          <w:trHeight w:val="29"/>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5"/>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Goodwill *</w:t>
            </w:r>
          </w:p>
        </w:tc>
        <w:tc>
          <w:tcPr>
            <w:tcW w:w="4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46.0</w:t>
            </w:r>
          </w:p>
        </w:tc>
      </w:tr>
      <w:tr>
        <w:trPr>
          <w:trHeight w:val="215"/>
        </w:trPr>
        <w:tc>
          <w:tcPr>
            <w:tcW w:w="5040" w:type="dxa"/>
            <w:vAlign w:val="bottom"/>
          </w:tcPr>
          <w:p>
            <w:pPr>
              <w:ind w:left="120"/>
              <w:spacing w:after="0"/>
              <w:rPr>
                <w:sz w:val="20"/>
                <w:szCs w:val="20"/>
                <w:color w:val="auto"/>
              </w:rPr>
            </w:pPr>
            <w:r>
              <w:rPr>
                <w:rFonts w:ascii="Arial" w:cs="Arial" w:eastAsia="Arial" w:hAnsi="Arial"/>
                <w:sz w:val="15"/>
                <w:szCs w:val="15"/>
                <w:color w:val="auto"/>
              </w:rPr>
              <w:t>Tradename</w:t>
            </w:r>
          </w:p>
        </w:tc>
        <w:tc>
          <w:tcPr>
            <w:tcW w:w="420" w:type="dxa"/>
            <w:vAlign w:val="bottom"/>
          </w:tcPr>
          <w:p>
            <w:pPr>
              <w:spacing w:after="0"/>
              <w:rPr>
                <w:sz w:val="18"/>
                <w:szCs w:val="18"/>
                <w:color w:val="auto"/>
              </w:rPr>
            </w:pPr>
          </w:p>
        </w:tc>
        <w:tc>
          <w:tcPr>
            <w:tcW w:w="740" w:type="dxa"/>
            <w:vAlign w:val="bottom"/>
          </w:tcPr>
          <w:p>
            <w:pPr>
              <w:jc w:val="right"/>
              <w:ind w:right="7"/>
              <w:spacing w:after="0"/>
              <w:rPr>
                <w:sz w:val="20"/>
                <w:szCs w:val="20"/>
                <w:color w:val="auto"/>
              </w:rPr>
            </w:pPr>
            <w:r>
              <w:rPr>
                <w:rFonts w:ascii="Arial" w:cs="Arial" w:eastAsia="Arial" w:hAnsi="Arial"/>
                <w:sz w:val="15"/>
                <w:szCs w:val="15"/>
                <w:color w:val="auto"/>
              </w:rPr>
              <w:t>56.8</w:t>
            </w:r>
          </w:p>
        </w:tc>
      </w:tr>
      <w:tr>
        <w:trPr>
          <w:trHeight w:val="29"/>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5"/>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Customer relationships</w:t>
            </w:r>
          </w:p>
        </w:tc>
        <w:tc>
          <w:tcPr>
            <w:tcW w:w="4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47.3</w:t>
            </w:r>
          </w:p>
        </w:tc>
      </w:tr>
      <w:tr>
        <w:trPr>
          <w:trHeight w:val="215"/>
        </w:trPr>
        <w:tc>
          <w:tcPr>
            <w:tcW w:w="5040" w:type="dxa"/>
            <w:vAlign w:val="bottom"/>
          </w:tcPr>
          <w:p>
            <w:pPr>
              <w:ind w:left="120"/>
              <w:spacing w:after="0"/>
              <w:rPr>
                <w:sz w:val="20"/>
                <w:szCs w:val="20"/>
                <w:color w:val="auto"/>
              </w:rPr>
            </w:pPr>
            <w:r>
              <w:rPr>
                <w:rFonts w:ascii="Arial" w:cs="Arial" w:eastAsia="Arial" w:hAnsi="Arial"/>
                <w:sz w:val="15"/>
                <w:szCs w:val="15"/>
                <w:color w:val="auto"/>
              </w:rPr>
              <w:t>Other non-current assets</w:t>
            </w:r>
          </w:p>
        </w:tc>
        <w:tc>
          <w:tcPr>
            <w:tcW w:w="420" w:type="dxa"/>
            <w:vAlign w:val="bottom"/>
          </w:tcPr>
          <w:p>
            <w:pPr>
              <w:spacing w:after="0"/>
              <w:rPr>
                <w:sz w:val="18"/>
                <w:szCs w:val="18"/>
                <w:color w:val="auto"/>
              </w:rPr>
            </w:pPr>
          </w:p>
        </w:tc>
        <w:tc>
          <w:tcPr>
            <w:tcW w:w="740" w:type="dxa"/>
            <w:vAlign w:val="bottom"/>
          </w:tcPr>
          <w:p>
            <w:pPr>
              <w:jc w:val="right"/>
              <w:ind w:right="7"/>
              <w:spacing w:after="0"/>
              <w:rPr>
                <w:sz w:val="20"/>
                <w:szCs w:val="20"/>
                <w:color w:val="auto"/>
              </w:rPr>
            </w:pPr>
            <w:r>
              <w:rPr>
                <w:rFonts w:ascii="Arial" w:cs="Arial" w:eastAsia="Arial" w:hAnsi="Arial"/>
                <w:sz w:val="15"/>
                <w:szCs w:val="15"/>
                <w:color w:val="auto"/>
              </w:rPr>
              <w:t>3.9</w:t>
            </w:r>
          </w:p>
        </w:tc>
      </w:tr>
      <w:tr>
        <w:trPr>
          <w:trHeight w:val="29"/>
        </w:trPr>
        <w:tc>
          <w:tcPr>
            <w:tcW w:w="5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5"/>
        </w:trPr>
        <w:tc>
          <w:tcPr>
            <w:tcW w:w="50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assets acquired</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204.0</w:t>
            </w:r>
          </w:p>
        </w:tc>
      </w:tr>
      <w:tr>
        <w:trPr>
          <w:trHeight w:val="245"/>
        </w:trPr>
        <w:tc>
          <w:tcPr>
            <w:tcW w:w="5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25"/>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Liabilities assumed:</w:t>
            </w:r>
          </w:p>
        </w:tc>
        <w:tc>
          <w:tcPr>
            <w:tcW w:w="4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r>
      <w:tr>
        <w:trPr>
          <w:trHeight w:val="215"/>
        </w:trPr>
        <w:tc>
          <w:tcPr>
            <w:tcW w:w="5040" w:type="dxa"/>
            <w:vAlign w:val="bottom"/>
          </w:tcPr>
          <w:p>
            <w:pPr>
              <w:ind w:left="120"/>
              <w:spacing w:after="0"/>
              <w:rPr>
                <w:sz w:val="20"/>
                <w:szCs w:val="20"/>
                <w:color w:val="auto"/>
              </w:rPr>
            </w:pPr>
            <w:r>
              <w:rPr>
                <w:rFonts w:ascii="Arial" w:cs="Arial" w:eastAsia="Arial" w:hAnsi="Arial"/>
                <w:sz w:val="15"/>
                <w:szCs w:val="15"/>
                <w:color w:val="auto"/>
              </w:rPr>
              <w:t>Current liabilities</w:t>
            </w:r>
          </w:p>
        </w:tc>
        <w:tc>
          <w:tcPr>
            <w:tcW w:w="420" w:type="dxa"/>
            <w:vAlign w:val="bottom"/>
          </w:tcPr>
          <w:p>
            <w:pPr>
              <w:ind w:left="2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7"/>
              <w:spacing w:after="0"/>
              <w:rPr>
                <w:sz w:val="20"/>
                <w:szCs w:val="20"/>
                <w:color w:val="auto"/>
              </w:rPr>
            </w:pPr>
            <w:r>
              <w:rPr>
                <w:rFonts w:ascii="Arial" w:cs="Arial" w:eastAsia="Arial" w:hAnsi="Arial"/>
                <w:sz w:val="15"/>
                <w:szCs w:val="15"/>
                <w:color w:val="auto"/>
              </w:rPr>
              <w:t>20.8</w:t>
            </w:r>
          </w:p>
        </w:tc>
      </w:tr>
      <w:tr>
        <w:trPr>
          <w:trHeight w:val="29"/>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5"/>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Deferred income tax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36.3</w:t>
            </w:r>
          </w:p>
        </w:tc>
      </w:tr>
      <w:tr>
        <w:trPr>
          <w:trHeight w:val="195"/>
        </w:trPr>
        <w:tc>
          <w:tcPr>
            <w:tcW w:w="5040" w:type="dxa"/>
            <w:vAlign w:val="bottom"/>
          </w:tcPr>
          <w:p>
            <w:pPr>
              <w:ind w:left="240"/>
              <w:spacing w:after="0"/>
              <w:rPr>
                <w:sz w:val="20"/>
                <w:szCs w:val="20"/>
                <w:color w:val="auto"/>
              </w:rPr>
            </w:pPr>
            <w:r>
              <w:rPr>
                <w:rFonts w:ascii="Arial" w:cs="Arial" w:eastAsia="Arial" w:hAnsi="Arial"/>
                <w:sz w:val="15"/>
                <w:szCs w:val="15"/>
                <w:color w:val="auto"/>
              </w:rPr>
              <w:t>Total liabilities assumed</w:t>
            </w: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7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57.1</w:t>
            </w:r>
          </w:p>
        </w:tc>
      </w:tr>
      <w:tr>
        <w:trPr>
          <w:trHeight w:val="29"/>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5"/>
        </w:trPr>
        <w:tc>
          <w:tcPr>
            <w:tcW w:w="50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CCEEFF"/>
            </w:tcBorders>
            <w:shd w:val="clear" w:color="auto" w:fill="CCEEFF"/>
          </w:tcPr>
          <w:p>
            <w:pPr>
              <w:spacing w:after="0"/>
              <w:rPr>
                <w:sz w:val="19"/>
                <w:szCs w:val="19"/>
                <w:color w:val="auto"/>
              </w:rPr>
            </w:pPr>
          </w:p>
        </w:tc>
      </w:tr>
      <w:tr>
        <w:trPr>
          <w:trHeight w:val="215"/>
        </w:trPr>
        <w:tc>
          <w:tcPr>
            <w:tcW w:w="5040" w:type="dxa"/>
            <w:vAlign w:val="bottom"/>
          </w:tcPr>
          <w:p>
            <w:pPr>
              <w:ind w:left="20"/>
              <w:spacing w:after="0"/>
              <w:rPr>
                <w:sz w:val="20"/>
                <w:szCs w:val="20"/>
                <w:color w:val="auto"/>
              </w:rPr>
            </w:pPr>
            <w:r>
              <w:rPr>
                <w:rFonts w:ascii="Arial" w:cs="Arial" w:eastAsia="Arial" w:hAnsi="Arial"/>
                <w:sz w:val="15"/>
                <w:szCs w:val="15"/>
                <w:color w:val="auto"/>
              </w:rPr>
              <w:t>Net assets acquired</w:t>
            </w:r>
          </w:p>
        </w:tc>
        <w:tc>
          <w:tcPr>
            <w:tcW w:w="420" w:type="dxa"/>
            <w:vAlign w:val="bottom"/>
          </w:tcPr>
          <w:p>
            <w:pPr>
              <w:ind w:left="2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7"/>
              <w:spacing w:after="0"/>
              <w:rPr>
                <w:sz w:val="20"/>
                <w:szCs w:val="20"/>
                <w:color w:val="auto"/>
              </w:rPr>
            </w:pPr>
            <w:r>
              <w:rPr>
                <w:rFonts w:ascii="Arial" w:cs="Arial" w:eastAsia="Arial" w:hAnsi="Arial"/>
                <w:sz w:val="15"/>
                <w:szCs w:val="15"/>
                <w:color w:val="auto"/>
              </w:rPr>
              <w:t>146.9</w:t>
            </w:r>
          </w:p>
        </w:tc>
      </w:tr>
      <w:tr>
        <w:trPr>
          <w:trHeight w:val="29"/>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5"/>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Less cash acquired at acquisition</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(0.8)</w:t>
            </w:r>
          </w:p>
        </w:tc>
      </w:tr>
      <w:tr>
        <w:trPr>
          <w:trHeight w:val="215"/>
        </w:trPr>
        <w:tc>
          <w:tcPr>
            <w:tcW w:w="5040" w:type="dxa"/>
            <w:vAlign w:val="bottom"/>
          </w:tcPr>
          <w:p>
            <w:pPr>
              <w:ind w:left="20"/>
              <w:spacing w:after="0"/>
              <w:rPr>
                <w:sz w:val="20"/>
                <w:szCs w:val="20"/>
                <w:color w:val="auto"/>
              </w:rPr>
            </w:pPr>
            <w:r>
              <w:rPr>
                <w:rFonts w:ascii="Arial" w:cs="Arial" w:eastAsia="Arial" w:hAnsi="Arial"/>
                <w:sz w:val="15"/>
                <w:szCs w:val="15"/>
                <w:color w:val="auto"/>
              </w:rPr>
              <w:t>Less estimated contingent consideration (1)</w:t>
            </w:r>
          </w:p>
        </w:tc>
        <w:tc>
          <w:tcPr>
            <w:tcW w:w="420" w:type="dxa"/>
            <w:vAlign w:val="bottom"/>
          </w:tcPr>
          <w:p>
            <w:pPr>
              <w:ind w:lef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9"/>
        </w:trPr>
        <w:tc>
          <w:tcPr>
            <w:tcW w:w="5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purchase price (2)</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142.5</w:t>
            </w:r>
          </w:p>
        </w:tc>
      </w:tr>
      <w:tr>
        <w:trPr>
          <w:trHeight w:val="20"/>
        </w:trPr>
        <w:tc>
          <w:tcPr>
            <w:tcW w:w="5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139700</wp:posOffset>
            </wp:positionV>
            <wp:extent cx="3943985" cy="155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43985" cy="155575"/>
                    </a:xfrm>
                    <a:prstGeom prst="rect">
                      <a:avLst/>
                    </a:prstGeom>
                    <a:noFill/>
                  </pic:spPr>
                </pic:pic>
              </a:graphicData>
            </a:graphic>
          </wp:anchor>
        </w:drawing>
      </w:r>
    </w:p>
    <w:p>
      <w:pPr>
        <w:spacing w:after="0" w:line="270" w:lineRule="exact"/>
        <w:rPr>
          <w:sz w:val="20"/>
          <w:szCs w:val="20"/>
          <w:color w:val="auto"/>
        </w:rPr>
      </w:pPr>
    </w:p>
    <w:p>
      <w:pPr>
        <w:ind w:left="2740" w:hanging="107"/>
        <w:spacing w:after="0"/>
        <w:tabs>
          <w:tab w:leader="none" w:pos="2740" w:val="left"/>
        </w:tabs>
        <w:numPr>
          <w:ilvl w:val="1"/>
          <w:numId w:val="33"/>
        </w:numPr>
        <w:rPr>
          <w:rFonts w:ascii="Arial" w:cs="Arial" w:eastAsia="Arial" w:hAnsi="Arial"/>
          <w:sz w:val="13"/>
          <w:szCs w:val="13"/>
          <w:i w:val="1"/>
          <w:iCs w:val="1"/>
          <w:color w:val="auto"/>
        </w:rPr>
      </w:pPr>
      <w:r>
        <w:rPr>
          <w:rFonts w:ascii="Arial" w:cs="Arial" w:eastAsia="Arial" w:hAnsi="Arial"/>
          <w:sz w:val="13"/>
          <w:szCs w:val="13"/>
          <w:i w:val="1"/>
          <w:iCs w:val="1"/>
          <w:color w:val="auto"/>
        </w:rPr>
        <w:t>Not deductible for income taxes</w:t>
      </w:r>
    </w:p>
    <w:p>
      <w:pPr>
        <w:spacing w:after="0" w:line="212" w:lineRule="exact"/>
        <w:rPr>
          <w:rFonts w:ascii="Arial" w:cs="Arial" w:eastAsia="Arial" w:hAnsi="Arial"/>
          <w:sz w:val="13"/>
          <w:szCs w:val="13"/>
          <w:i w:val="1"/>
          <w:iCs w:val="1"/>
          <w:color w:val="auto"/>
        </w:rPr>
      </w:pPr>
    </w:p>
    <w:p>
      <w:pPr>
        <w:ind w:left="580" w:right="80" w:firstLine="5"/>
        <w:spacing w:after="0" w:line="243" w:lineRule="auto"/>
        <w:tabs>
          <w:tab w:leader="none" w:pos="788"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This amount represented the estimated fair value of the contingent earn out liability based on facts and circumstances known and existing on acquisition date concerning the expected achievement of certain financial performance targets for fiscal 2017 as described in the stock purchase agreement. Facts and circumstances that occurred subsequent to the acquisition during fiscal 2017 indicated that this contingent earn out arrangement would not be achieved, and therefore approximately $3.6 million was credited to the Company's earnings during the third quarter of fiscal 2017. This credit has no related income tax provision and has been classified entirely as a credit to corporate Selling, General &amp; Administrative (SG&amp;A) expenses.</w:t>
      </w:r>
    </w:p>
    <w:p>
      <w:pPr>
        <w:spacing w:after="0" w:line="153" w:lineRule="exact"/>
        <w:rPr>
          <w:rFonts w:ascii="Arial" w:cs="Arial" w:eastAsia="Arial" w:hAnsi="Arial"/>
          <w:sz w:val="15"/>
          <w:szCs w:val="15"/>
          <w:color w:val="auto"/>
        </w:rPr>
      </w:pPr>
    </w:p>
    <w:p>
      <w:pPr>
        <w:ind w:left="800" w:hanging="215"/>
        <w:spacing w:after="0"/>
        <w:tabs>
          <w:tab w:leader="none" w:pos="8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Reflects a working capital settlement of approximately $1.3 million.</w:t>
      </w:r>
    </w:p>
    <w:p>
      <w:pPr>
        <w:spacing w:after="0" w:line="386"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For both business acquisitions made in fiscal 2017, the fair value of customer relationships was based on the excess earnings method while the fair value of tradenames was based on the relief from royalty method. The categorization of the fair value framework used for these methods are considered Level 3 due to the subjective nature of the unobservable inputs used to determine the fair value.</w:t>
      </w:r>
    </w:p>
    <w:p>
      <w:pPr>
        <w:spacing w:after="0" w:line="162" w:lineRule="exact"/>
        <w:rPr>
          <w:sz w:val="20"/>
          <w:szCs w:val="20"/>
          <w:color w:val="auto"/>
        </w:rPr>
      </w:pPr>
    </w:p>
    <w:p>
      <w:pPr>
        <w:spacing w:after="0" w:line="360" w:lineRule="auto"/>
        <w:rPr>
          <w:sz w:val="20"/>
          <w:szCs w:val="20"/>
          <w:color w:val="auto"/>
        </w:rPr>
      </w:pPr>
      <w:r>
        <w:rPr>
          <w:rFonts w:ascii="Arial" w:cs="Arial" w:eastAsia="Arial" w:hAnsi="Arial"/>
          <w:sz w:val="14"/>
          <w:szCs w:val="14"/>
          <w:color w:val="auto"/>
        </w:rPr>
        <w:t>The goodwill represents the intangible assets that do not qualify for separate recognition and is primarily the result of expected synergies, vertical integration as a market for selling inventory, and the acquired workforce. Goodwill related to acquisitions made in fiscal 2017 is generally not deductible by the Company for income tax purposes.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PROPERTY, PLANT, AND EQUIPMENT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 consists of the following:</w:t>
      </w:r>
    </w:p>
    <w:p>
      <w:pPr>
        <w:spacing w:after="0" w:line="23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40"/>
          </w:cols>
          <w:pgMar w:left="240" w:top="123" w:right="419" w:bottom="1440" w:gutter="0" w:footer="0" w:header="0"/>
        </w:sectPr>
      </w:pPr>
    </w:p>
    <w:bookmarkStart w:id="74" w:name="page75"/>
    <w:bookmarkEnd w:id="74"/>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35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5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December 30,</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99"/>
              </w:rPr>
              <w:t>December 31,</w:t>
            </w:r>
          </w:p>
        </w:tc>
      </w:tr>
      <w:tr>
        <w:trPr>
          <w:trHeight w:val="23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2016</w:t>
            </w:r>
          </w:p>
        </w:tc>
      </w:tr>
      <w:tr>
        <w:trPr>
          <w:trHeight w:val="211"/>
        </w:trPr>
        <w:tc>
          <w:tcPr>
            <w:tcW w:w="5460" w:type="dxa"/>
            <w:vAlign w:val="bottom"/>
          </w:tcPr>
          <w:p>
            <w:pPr>
              <w:ind w:left="20"/>
              <w:spacing w:after="0"/>
              <w:rPr>
                <w:sz w:val="20"/>
                <w:szCs w:val="20"/>
                <w:color w:val="auto"/>
              </w:rPr>
            </w:pPr>
            <w:r>
              <w:rPr>
                <w:rFonts w:ascii="Arial" w:cs="Arial" w:eastAsia="Arial" w:hAnsi="Arial"/>
                <w:sz w:val="16"/>
                <w:szCs w:val="16"/>
                <w:color w:val="auto"/>
              </w:rPr>
              <w:t>Fixtures, equipment, computer hardware and software</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430,156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398,536</w:t>
            </w:r>
          </w:p>
        </w:tc>
      </w:tr>
      <w:tr>
        <w:trPr>
          <w:trHeight w:val="25"/>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5"/>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 building, and leasehold improvements</w:t>
            </w:r>
          </w:p>
        </w:tc>
        <w:tc>
          <w:tcPr>
            <w:tcW w:w="2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336,981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305,844</w:t>
            </w:r>
          </w:p>
        </w:tc>
      </w:tr>
      <w:tr>
        <w:trPr>
          <w:trHeight w:val="219"/>
        </w:trPr>
        <w:tc>
          <w:tcPr>
            <w:tcW w:w="5460" w:type="dxa"/>
            <w:vAlign w:val="bottom"/>
          </w:tcPr>
          <w:p>
            <w:pPr>
              <w:ind w:left="20"/>
              <w:spacing w:after="0"/>
              <w:rPr>
                <w:sz w:val="20"/>
                <w:szCs w:val="20"/>
                <w:color w:val="auto"/>
              </w:rPr>
            </w:pPr>
            <w:r>
              <w:rPr>
                <w:rFonts w:ascii="Arial" w:cs="Arial" w:eastAsia="Arial" w:hAnsi="Arial"/>
                <w:sz w:val="16"/>
                <w:szCs w:val="16"/>
                <w:color w:val="auto"/>
              </w:rPr>
              <w:t>Marketing fixtures</w:t>
            </w: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7,602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7,015</w:t>
            </w:r>
          </w:p>
        </w:tc>
      </w:tr>
      <w:tr>
        <w:trPr>
          <w:trHeight w:val="25"/>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5"/>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20,386</w:t>
            </w:r>
          </w:p>
        </w:tc>
      </w:tr>
      <w:tr>
        <w:trPr>
          <w:trHeight w:val="211"/>
        </w:trPr>
        <w:tc>
          <w:tcPr>
            <w:tcW w:w="5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782,097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731,781</w:t>
            </w:r>
          </w:p>
        </w:tc>
      </w:tr>
      <w:tr>
        <w:trPr>
          <w:trHeight w:val="25"/>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5"/>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(345,907)</w:t>
            </w:r>
          </w:p>
        </w:tc>
      </w:tr>
      <w:tr>
        <w:trPr>
          <w:trHeight w:val="230"/>
        </w:trPr>
        <w:tc>
          <w:tcPr>
            <w:tcW w:w="546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377,924</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385,874</w:t>
            </w:r>
          </w:p>
        </w:tc>
      </w:tr>
      <w:tr>
        <w:trPr>
          <w:trHeight w:val="20"/>
        </w:trPr>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360"/>
        <w:spacing w:after="0" w:line="285" w:lineRule="auto"/>
        <w:rPr>
          <w:sz w:val="20"/>
          <w:szCs w:val="20"/>
          <w:color w:val="auto"/>
        </w:rPr>
      </w:pPr>
      <w:r>
        <w:rPr>
          <w:rFonts w:ascii="Arial" w:cs="Arial" w:eastAsia="Arial" w:hAnsi="Arial"/>
          <w:sz w:val="16"/>
          <w:szCs w:val="16"/>
          <w:color w:val="auto"/>
        </w:rPr>
        <w:t>Depreciation and amortization expense related to property, plant, and equipment was approximately $81.8 million, $71.5 million, and $62.0 million for fiscal years 2017, 2016, and 2015,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GOODWILL AND OTHER INTANGIBLE ASSETS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goodwill and other intangible assets at the end of the fiscal year:</w:t>
      </w:r>
    </w:p>
    <w:p>
      <w:pPr>
        <w:spacing w:after="0" w:line="146" w:lineRule="exact"/>
        <w:rPr>
          <w:sz w:val="20"/>
          <w:szCs w:val="20"/>
          <w:color w:val="auto"/>
        </w:rPr>
      </w:pPr>
    </w:p>
    <w:tbl>
      <w:tblPr>
        <w:tblLayout w:type="fixed"/>
        <w:tblInd w:w="1520" w:type="dxa"/>
        <w:tblCellMar>
          <w:top w:w="0" w:type="dxa"/>
          <w:left w:w="0" w:type="dxa"/>
          <w:bottom w:w="0" w:type="dxa"/>
          <w:right w:w="0" w:type="dxa"/>
        </w:tblCellMar>
      </w:tblPr>
      <w:tr>
        <w:trPr>
          <w:trHeight w:val="245"/>
        </w:trPr>
        <w:tc>
          <w:tcPr>
            <w:tcW w:w="1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5"/>
                <w:szCs w:val="15"/>
                <w:b w:val="1"/>
                <w:bCs w:val="1"/>
                <w:color w:val="auto"/>
                <w:w w:val="87"/>
              </w:rPr>
              <w:t>December 30, 2017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5"/>
                <w:szCs w:val="15"/>
                <w:b w:val="1"/>
                <w:bCs w:val="1"/>
                <w:color w:val="auto"/>
                <w:w w:val="87"/>
              </w:rPr>
              <w:t>December 31, 2016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8"/>
              </w:rPr>
              <w:t>Weighted-</w:t>
            </w: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5"/>
              </w:rPr>
              <w:t>average useful</w:t>
            </w:r>
          </w:p>
        </w:tc>
        <w:tc>
          <w:tcPr>
            <w:tcW w:w="120" w:type="dxa"/>
            <w:vAlign w:val="bottom"/>
          </w:tcPr>
          <w:p>
            <w:pPr>
              <w:spacing w:after="0"/>
              <w:rPr>
                <w:sz w:val="15"/>
                <w:szCs w:val="15"/>
                <w:color w:val="auto"/>
              </w:rPr>
            </w:pPr>
          </w:p>
        </w:tc>
        <w:tc>
          <w:tcPr>
            <w:tcW w:w="640" w:type="dxa"/>
            <w:vAlign w:val="bottom"/>
          </w:tcPr>
          <w:p>
            <w:pPr>
              <w:jc w:val="right"/>
              <w:ind w:right="127"/>
              <w:spacing w:after="0"/>
              <w:rPr>
                <w:sz w:val="20"/>
                <w:szCs w:val="20"/>
                <w:color w:val="auto"/>
              </w:rPr>
            </w:pPr>
            <w:r>
              <w:rPr>
                <w:rFonts w:ascii="Arial" w:cs="Arial" w:eastAsia="Arial" w:hAnsi="Arial"/>
                <w:sz w:val="15"/>
                <w:szCs w:val="15"/>
                <w:b w:val="1"/>
                <w:bCs w:val="1"/>
                <w:color w:val="auto"/>
                <w:w w:val="96"/>
              </w:rPr>
              <w:t>Gross</w:t>
            </w:r>
          </w:p>
        </w:tc>
        <w:tc>
          <w:tcPr>
            <w:tcW w:w="100" w:type="dxa"/>
            <w:vAlign w:val="bottom"/>
          </w:tcPr>
          <w:p>
            <w:pPr>
              <w:spacing w:after="0"/>
              <w:rPr>
                <w:sz w:val="15"/>
                <w:szCs w:val="15"/>
                <w:color w:val="auto"/>
              </w:rPr>
            </w:pPr>
          </w:p>
        </w:tc>
        <w:tc>
          <w:tcPr>
            <w:tcW w:w="1120" w:type="dxa"/>
            <w:vAlign w:val="bottom"/>
            <w:gridSpan w:val="4"/>
          </w:tcPr>
          <w:p>
            <w:pPr>
              <w:jc w:val="center"/>
              <w:ind w:right="120"/>
              <w:spacing w:after="0"/>
              <w:rPr>
                <w:sz w:val="20"/>
                <w:szCs w:val="20"/>
                <w:color w:val="auto"/>
              </w:rPr>
            </w:pPr>
            <w:r>
              <w:rPr>
                <w:rFonts w:ascii="Arial" w:cs="Arial" w:eastAsia="Arial" w:hAnsi="Arial"/>
                <w:sz w:val="15"/>
                <w:szCs w:val="15"/>
                <w:b w:val="1"/>
                <w:bCs w:val="1"/>
                <w:color w:val="auto"/>
                <w:w w:val="89"/>
              </w:rPr>
              <w:t>Accumulated</w:t>
            </w:r>
          </w:p>
        </w:tc>
        <w:tc>
          <w:tcPr>
            <w:tcW w:w="100" w:type="dxa"/>
            <w:vAlign w:val="bottom"/>
          </w:tcPr>
          <w:p>
            <w:pPr>
              <w:spacing w:after="0"/>
              <w:rPr>
                <w:sz w:val="15"/>
                <w:szCs w:val="15"/>
                <w:color w:val="auto"/>
              </w:rPr>
            </w:pPr>
          </w:p>
        </w:tc>
        <w:tc>
          <w:tcPr>
            <w:tcW w:w="78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0"/>
              </w:rPr>
              <w:t>Net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27"/>
              <w:spacing w:after="0"/>
              <w:rPr>
                <w:sz w:val="20"/>
                <w:szCs w:val="20"/>
                <w:color w:val="auto"/>
              </w:rPr>
            </w:pPr>
            <w:r>
              <w:rPr>
                <w:rFonts w:ascii="Arial" w:cs="Arial" w:eastAsia="Arial" w:hAnsi="Arial"/>
                <w:sz w:val="15"/>
                <w:szCs w:val="15"/>
                <w:b w:val="1"/>
                <w:bCs w:val="1"/>
                <w:color w:val="auto"/>
              </w:rPr>
              <w:t>Gross</w:t>
            </w:r>
          </w:p>
        </w:tc>
        <w:tc>
          <w:tcPr>
            <w:tcW w:w="100" w:type="dxa"/>
            <w:vAlign w:val="bottom"/>
          </w:tcPr>
          <w:p>
            <w:pPr>
              <w:spacing w:after="0"/>
              <w:rPr>
                <w:sz w:val="15"/>
                <w:szCs w:val="15"/>
                <w:color w:val="auto"/>
              </w:rPr>
            </w:pPr>
          </w:p>
        </w:tc>
        <w:tc>
          <w:tcPr>
            <w:tcW w:w="1120" w:type="dxa"/>
            <w:vAlign w:val="bottom"/>
            <w:gridSpan w:val="4"/>
          </w:tcPr>
          <w:p>
            <w:pPr>
              <w:ind w:left="80"/>
              <w:spacing w:after="0"/>
              <w:rPr>
                <w:sz w:val="20"/>
                <w:szCs w:val="20"/>
                <w:color w:val="auto"/>
              </w:rPr>
            </w:pPr>
            <w:r>
              <w:rPr>
                <w:rFonts w:ascii="Arial" w:cs="Arial" w:eastAsia="Arial" w:hAnsi="Arial"/>
                <w:sz w:val="15"/>
                <w:szCs w:val="15"/>
                <w:b w:val="1"/>
                <w:bCs w:val="1"/>
                <w:color w:val="auto"/>
              </w:rPr>
              <w:t>Accumulated</w:t>
            </w:r>
          </w:p>
        </w:tc>
        <w:tc>
          <w:tcPr>
            <w:tcW w:w="100" w:type="dxa"/>
            <w:vAlign w:val="bottom"/>
          </w:tcPr>
          <w:p>
            <w:pPr>
              <w:spacing w:after="0"/>
              <w:rPr>
                <w:sz w:val="15"/>
                <w:szCs w:val="15"/>
                <w:color w:val="auto"/>
              </w:rPr>
            </w:pPr>
          </w:p>
        </w:tc>
        <w:tc>
          <w:tcPr>
            <w:tcW w:w="640" w:type="dxa"/>
            <w:vAlign w:val="bottom"/>
          </w:tcPr>
          <w:p>
            <w:pPr>
              <w:jc w:val="right"/>
              <w:ind w:right="207"/>
              <w:spacing w:after="0"/>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191"/>
        </w:trPr>
        <w:tc>
          <w:tcPr>
            <w:tcW w:w="1540" w:type="dxa"/>
            <w:vAlign w:val="bottom"/>
          </w:tcPr>
          <w:p>
            <w:pPr>
              <w:ind w:left="40"/>
              <w:spacing w:after="0"/>
              <w:rPr>
                <w:sz w:val="20"/>
                <w:szCs w:val="20"/>
                <w:color w:val="auto"/>
              </w:rPr>
            </w:pPr>
            <w:r>
              <w:rPr>
                <w:rFonts w:ascii="Arial" w:cs="Arial" w:eastAsia="Arial" w:hAnsi="Arial"/>
                <w:sz w:val="15"/>
                <w:szCs w:val="15"/>
                <w:i w:val="1"/>
                <w:iCs w:val="1"/>
                <w:color w:val="auto"/>
              </w:rPr>
              <w:t>(dollars in thousands)</w:t>
            </w:r>
          </w:p>
        </w:tc>
        <w:tc>
          <w:tcPr>
            <w:tcW w:w="11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2"/>
              </w:rPr>
              <w:t>life</w:t>
            </w:r>
          </w:p>
        </w:tc>
        <w:tc>
          <w:tcPr>
            <w:tcW w:w="120" w:type="dxa"/>
            <w:vAlign w:val="bottom"/>
          </w:tcPr>
          <w:p>
            <w:pPr>
              <w:spacing w:after="0"/>
              <w:rPr>
                <w:sz w:val="16"/>
                <w:szCs w:val="16"/>
                <w:color w:val="auto"/>
              </w:rPr>
            </w:pPr>
          </w:p>
        </w:tc>
        <w:tc>
          <w:tcPr>
            <w:tcW w:w="640" w:type="dxa"/>
            <w:vAlign w:val="bottom"/>
          </w:tcPr>
          <w:p>
            <w:pPr>
              <w:jc w:val="right"/>
              <w:ind w:right="67"/>
              <w:spacing w:after="0"/>
              <w:rPr>
                <w:sz w:val="20"/>
                <w:szCs w:val="20"/>
                <w:color w:val="auto"/>
              </w:rPr>
            </w:pPr>
            <w:r>
              <w:rPr>
                <w:rFonts w:ascii="Arial" w:cs="Arial" w:eastAsia="Arial" w:hAnsi="Arial"/>
                <w:sz w:val="15"/>
                <w:szCs w:val="15"/>
                <w:b w:val="1"/>
                <w:bCs w:val="1"/>
                <w:color w:val="auto"/>
                <w:w w:val="88"/>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89"/>
              </w:rPr>
              <w:t>amortization</w:t>
            </w:r>
          </w:p>
        </w:tc>
        <w:tc>
          <w:tcPr>
            <w:tcW w:w="100" w:type="dxa"/>
            <w:vAlign w:val="bottom"/>
          </w:tcPr>
          <w:p>
            <w:pPr>
              <w:spacing w:after="0"/>
              <w:rPr>
                <w:sz w:val="16"/>
                <w:szCs w:val="16"/>
                <w:color w:val="auto"/>
              </w:rPr>
            </w:pPr>
          </w:p>
        </w:tc>
        <w:tc>
          <w:tcPr>
            <w:tcW w:w="78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2"/>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7"/>
              <w:spacing w:after="0"/>
              <w:rPr>
                <w:sz w:val="20"/>
                <w:szCs w:val="20"/>
                <w:color w:val="auto"/>
              </w:rPr>
            </w:pPr>
            <w:r>
              <w:rPr>
                <w:rFonts w:ascii="Arial" w:cs="Arial" w:eastAsia="Arial" w:hAnsi="Arial"/>
                <w:sz w:val="15"/>
                <w:szCs w:val="15"/>
                <w:b w:val="1"/>
                <w:bCs w:val="1"/>
                <w:color w:val="auto"/>
                <w:w w:val="88"/>
              </w:rPr>
              <w:t>amount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Arial" w:cs="Arial" w:eastAsia="Arial" w:hAnsi="Arial"/>
                <w:sz w:val="15"/>
                <w:szCs w:val="15"/>
                <w:b w:val="1"/>
                <w:bCs w:val="1"/>
                <w:color w:val="auto"/>
              </w:rPr>
              <w:t>amortization</w:t>
            </w:r>
          </w:p>
        </w:tc>
        <w:tc>
          <w:tcPr>
            <w:tcW w:w="100" w:type="dxa"/>
            <w:vAlign w:val="bottom"/>
          </w:tcPr>
          <w:p>
            <w:pPr>
              <w:spacing w:after="0"/>
              <w:rPr>
                <w:sz w:val="16"/>
                <w:szCs w:val="16"/>
                <w:color w:val="auto"/>
              </w:rPr>
            </w:pPr>
          </w:p>
        </w:tc>
        <w:tc>
          <w:tcPr>
            <w:tcW w:w="640" w:type="dxa"/>
            <w:vAlign w:val="bottom"/>
          </w:tcPr>
          <w:p>
            <w:pPr>
              <w:jc w:val="right"/>
              <w:ind w:right="67"/>
              <w:spacing w:after="0"/>
              <w:rPr>
                <w:sz w:val="20"/>
                <w:szCs w:val="20"/>
                <w:color w:val="auto"/>
              </w:rPr>
            </w:pPr>
            <w:r>
              <w:rPr>
                <w:rFonts w:ascii="Arial" w:cs="Arial" w:eastAsia="Arial" w:hAnsi="Arial"/>
                <w:sz w:val="15"/>
                <w:szCs w:val="15"/>
                <w:b w:val="1"/>
                <w:bCs w:val="1"/>
                <w:color w:val="auto"/>
                <w:w w:val="88"/>
              </w:rPr>
              <w:t>amount</w:t>
            </w:r>
          </w:p>
        </w:tc>
        <w:tc>
          <w:tcPr>
            <w:tcW w:w="0" w:type="dxa"/>
            <w:vAlign w:val="bottom"/>
          </w:tcPr>
          <w:p>
            <w:pPr>
              <w:spacing w:after="0"/>
              <w:rPr>
                <w:sz w:val="1"/>
                <w:szCs w:val="1"/>
                <w:color w:val="auto"/>
              </w:rPr>
            </w:pPr>
          </w:p>
        </w:tc>
      </w:tr>
      <w:tr>
        <w:trPr>
          <w:trHeight w:val="29"/>
        </w:trPr>
        <w:tc>
          <w:tcPr>
            <w:tcW w:w="15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5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540" w:type="dxa"/>
            <w:vAlign w:val="bottom"/>
          </w:tcPr>
          <w:p>
            <w:pPr>
              <w:ind w:left="60"/>
              <w:spacing w:after="0"/>
              <w:rPr>
                <w:sz w:val="20"/>
                <w:szCs w:val="20"/>
                <w:color w:val="auto"/>
              </w:rPr>
            </w:pPr>
            <w:r>
              <w:rPr>
                <w:rFonts w:ascii="Arial" w:cs="Arial" w:eastAsia="Arial" w:hAnsi="Arial"/>
                <w:sz w:val="15"/>
                <w:szCs w:val="15"/>
                <w:color w:val="auto"/>
              </w:rPr>
              <w:t>Carter’s goodwill (1)</w:t>
            </w:r>
          </w:p>
        </w:tc>
        <w:tc>
          <w:tcPr>
            <w:tcW w:w="1160" w:type="dxa"/>
            <w:vAlign w:val="bottom"/>
            <w:gridSpan w:val="2"/>
          </w:tcPr>
          <w:p>
            <w:pPr>
              <w:jc w:val="center"/>
              <w:ind w:right="100"/>
              <w:spacing w:after="0"/>
              <w:rPr>
                <w:sz w:val="20"/>
                <w:szCs w:val="20"/>
                <w:color w:val="auto"/>
              </w:rPr>
            </w:pPr>
            <w:r>
              <w:rPr>
                <w:rFonts w:ascii="Arial" w:cs="Arial" w:eastAsia="Arial" w:hAnsi="Arial"/>
                <w:sz w:val="15"/>
                <w:szCs w:val="15"/>
                <w:color w:val="auto"/>
                <w:w w:val="95"/>
              </w:rPr>
              <w:t>Indefinite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136,570</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136,570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136,570</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136,570</w:t>
            </w:r>
          </w:p>
        </w:tc>
        <w:tc>
          <w:tcPr>
            <w:tcW w:w="0" w:type="dxa"/>
            <w:vAlign w:val="bottom"/>
          </w:tcPr>
          <w:p>
            <w:pPr>
              <w:spacing w:after="0"/>
              <w:rPr>
                <w:sz w:val="1"/>
                <w:szCs w:val="1"/>
                <w:color w:val="auto"/>
              </w:rPr>
            </w:pPr>
          </w:p>
        </w:tc>
      </w:tr>
      <w:tr>
        <w:trPr>
          <w:trHeight w:val="29"/>
        </w:trPr>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color w:val="auto"/>
              </w:rPr>
              <w:t>Canada goodwill (2)</w:t>
            </w:r>
          </w:p>
        </w:tc>
        <w:tc>
          <w:tcPr>
            <w:tcW w:w="1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5"/>
              </w:rPr>
              <w:t>Indefinite</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42,223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42,223</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39,439</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39,439</w:t>
            </w:r>
          </w:p>
        </w:tc>
        <w:tc>
          <w:tcPr>
            <w:tcW w:w="0" w:type="dxa"/>
            <w:vAlign w:val="bottom"/>
          </w:tcPr>
          <w:p>
            <w:pPr>
              <w:spacing w:after="0"/>
              <w:rPr>
                <w:sz w:val="1"/>
                <w:szCs w:val="1"/>
                <w:color w:val="auto"/>
              </w:rPr>
            </w:pPr>
          </w:p>
        </w:tc>
      </w:tr>
      <w:tr>
        <w:trPr>
          <w:trHeight w:val="215"/>
        </w:trPr>
        <w:tc>
          <w:tcPr>
            <w:tcW w:w="1540" w:type="dxa"/>
            <w:vAlign w:val="bottom"/>
          </w:tcPr>
          <w:p>
            <w:pPr>
              <w:ind w:left="60"/>
              <w:spacing w:after="0"/>
              <w:rPr>
                <w:sz w:val="20"/>
                <w:szCs w:val="20"/>
                <w:color w:val="auto"/>
              </w:rPr>
            </w:pPr>
            <w:r>
              <w:rPr>
                <w:rFonts w:ascii="Arial" w:cs="Arial" w:eastAsia="Arial" w:hAnsi="Arial"/>
                <w:sz w:val="15"/>
                <w:szCs w:val="15"/>
                <w:color w:val="auto"/>
              </w:rPr>
              <w:t>Skip Hop goodwill (3)</w:t>
            </w:r>
          </w:p>
        </w:tc>
        <w:tc>
          <w:tcPr>
            <w:tcW w:w="1160" w:type="dxa"/>
            <w:vAlign w:val="bottom"/>
            <w:gridSpan w:val="2"/>
          </w:tcPr>
          <w:p>
            <w:pPr>
              <w:jc w:val="center"/>
              <w:ind w:right="100"/>
              <w:spacing w:after="0"/>
              <w:rPr>
                <w:sz w:val="20"/>
                <w:szCs w:val="20"/>
                <w:color w:val="auto"/>
              </w:rPr>
            </w:pPr>
            <w:r>
              <w:rPr>
                <w:rFonts w:ascii="Arial" w:cs="Arial" w:eastAsia="Arial" w:hAnsi="Arial"/>
                <w:sz w:val="15"/>
                <w:szCs w:val="15"/>
                <w:color w:val="auto"/>
                <w:w w:val="95"/>
              </w:rPr>
              <w:t>Indefinite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45,997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45,997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540" w:type="dxa"/>
            <w:vAlign w:val="bottom"/>
            <w:shd w:val="clear" w:color="auto" w:fill="CCEEFF"/>
          </w:tcPr>
          <w:p>
            <w:pPr>
              <w:ind w:left="60"/>
              <w:spacing w:after="0"/>
              <w:rPr>
                <w:sz w:val="20"/>
                <w:szCs w:val="20"/>
                <w:color w:val="auto"/>
              </w:rPr>
            </w:pPr>
            <w:r>
              <w:rPr>
                <w:rFonts w:ascii="Arial" w:cs="Arial" w:eastAsia="Arial" w:hAnsi="Arial"/>
                <w:sz w:val="15"/>
                <w:szCs w:val="15"/>
                <w:color w:val="auto"/>
              </w:rPr>
              <w:t>Carter's Mexico</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goodwill (4)</w:t>
            </w:r>
          </w:p>
        </w:tc>
        <w:tc>
          <w:tcPr>
            <w:tcW w:w="1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5"/>
              </w:rPr>
              <w:t>Indefinite</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5,634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5,634</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7"/>
        </w:trPr>
        <w:tc>
          <w:tcPr>
            <w:tcW w:w="15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Total goodwill</w:t>
            </w: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230,424</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230,424</w:t>
            </w:r>
          </w:p>
        </w:tc>
        <w:tc>
          <w:tcPr>
            <w:tcW w:w="120" w:type="dxa"/>
            <w:vAlign w:val="bottom"/>
            <w:tcBorders>
              <w:bottom w:val="single" w:sz="8" w:color="CCEEFF"/>
              <w:right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176,009</w:t>
            </w:r>
          </w:p>
        </w:tc>
        <w:tc>
          <w:tcPr>
            <w:tcW w:w="10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176,009</w:t>
            </w:r>
          </w:p>
        </w:tc>
        <w:tc>
          <w:tcPr>
            <w:tcW w:w="0" w:type="dxa"/>
            <w:vAlign w:val="bottom"/>
          </w:tcPr>
          <w:p>
            <w:pPr>
              <w:spacing w:after="0"/>
              <w:rPr>
                <w:sz w:val="1"/>
                <w:szCs w:val="1"/>
                <w:color w:val="auto"/>
              </w:rPr>
            </w:pPr>
          </w:p>
        </w:tc>
      </w:tr>
      <w:tr>
        <w:trPr>
          <w:trHeight w:val="143"/>
        </w:trPr>
        <w:tc>
          <w:tcPr>
            <w:tcW w:w="15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540" w:type="dxa"/>
            <w:vAlign w:val="bottom"/>
          </w:tcPr>
          <w:p>
            <w:pPr>
              <w:ind w:left="60"/>
              <w:spacing w:after="0"/>
              <w:rPr>
                <w:sz w:val="20"/>
                <w:szCs w:val="20"/>
                <w:color w:val="auto"/>
              </w:rPr>
            </w:pPr>
            <w:r>
              <w:rPr>
                <w:rFonts w:ascii="Arial" w:cs="Arial" w:eastAsia="Arial" w:hAnsi="Arial"/>
                <w:sz w:val="15"/>
                <w:szCs w:val="15"/>
                <w:i w:val="1"/>
                <w:iCs w:val="1"/>
                <w:color w:val="auto"/>
              </w:rPr>
              <w:t xml:space="preserve">Carter’s </w:t>
            </w:r>
            <w:r>
              <w:rPr>
                <w:rFonts w:ascii="Arial" w:cs="Arial" w:eastAsia="Arial" w:hAnsi="Arial"/>
                <w:sz w:val="15"/>
                <w:szCs w:val="15"/>
                <w:color w:val="auto"/>
              </w:rPr>
              <w:t>tradename</w:t>
            </w:r>
          </w:p>
        </w:tc>
        <w:tc>
          <w:tcPr>
            <w:tcW w:w="1160" w:type="dxa"/>
            <w:vAlign w:val="bottom"/>
            <w:gridSpan w:val="2"/>
          </w:tcPr>
          <w:p>
            <w:pPr>
              <w:jc w:val="center"/>
              <w:ind w:right="100"/>
              <w:spacing w:after="0"/>
              <w:rPr>
                <w:sz w:val="20"/>
                <w:szCs w:val="20"/>
                <w:color w:val="auto"/>
              </w:rPr>
            </w:pPr>
            <w:r>
              <w:rPr>
                <w:rFonts w:ascii="Arial" w:cs="Arial" w:eastAsia="Arial" w:hAnsi="Arial"/>
                <w:sz w:val="15"/>
                <w:szCs w:val="15"/>
                <w:color w:val="auto"/>
                <w:w w:val="95"/>
              </w:rPr>
              <w:t>Indefinite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220,233</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220,233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220,233</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220,233</w:t>
            </w:r>
          </w:p>
        </w:tc>
        <w:tc>
          <w:tcPr>
            <w:tcW w:w="0" w:type="dxa"/>
            <w:vAlign w:val="bottom"/>
          </w:tcPr>
          <w:p>
            <w:pPr>
              <w:spacing w:after="0"/>
              <w:rPr>
                <w:sz w:val="1"/>
                <w:szCs w:val="1"/>
                <w:color w:val="auto"/>
              </w:rPr>
            </w:pPr>
          </w:p>
        </w:tc>
      </w:tr>
      <w:tr>
        <w:trPr>
          <w:trHeight w:val="29"/>
        </w:trPr>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5"/>
                <w:szCs w:val="15"/>
                <w:i w:val="1"/>
                <w:iCs w:val="1"/>
                <w:color w:val="auto"/>
              </w:rPr>
              <w:t xml:space="preserve">OshKosh </w:t>
            </w:r>
            <w:r>
              <w:rPr>
                <w:rFonts w:ascii="Arial" w:cs="Arial" w:eastAsia="Arial" w:hAnsi="Arial"/>
                <w:sz w:val="15"/>
                <w:szCs w:val="15"/>
                <w:color w:val="auto"/>
              </w:rPr>
              <w:t>tradename</w:t>
            </w:r>
          </w:p>
        </w:tc>
        <w:tc>
          <w:tcPr>
            <w:tcW w:w="1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5"/>
              </w:rPr>
              <w:t>Indefinite</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85,500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85,500</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85,500</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85,500</w:t>
            </w:r>
          </w:p>
        </w:tc>
        <w:tc>
          <w:tcPr>
            <w:tcW w:w="0" w:type="dxa"/>
            <w:vAlign w:val="bottom"/>
          </w:tcPr>
          <w:p>
            <w:pPr>
              <w:spacing w:after="0"/>
              <w:rPr>
                <w:sz w:val="1"/>
                <w:szCs w:val="1"/>
                <w:color w:val="auto"/>
              </w:rPr>
            </w:pPr>
          </w:p>
        </w:tc>
      </w:tr>
      <w:tr>
        <w:trPr>
          <w:trHeight w:val="215"/>
        </w:trPr>
        <w:tc>
          <w:tcPr>
            <w:tcW w:w="1540" w:type="dxa"/>
            <w:vAlign w:val="bottom"/>
          </w:tcPr>
          <w:p>
            <w:pPr>
              <w:ind w:left="60"/>
              <w:spacing w:after="0"/>
              <w:rPr>
                <w:sz w:val="20"/>
                <w:szCs w:val="20"/>
                <w:color w:val="auto"/>
              </w:rPr>
            </w:pPr>
            <w:r>
              <w:rPr>
                <w:rFonts w:ascii="Arial" w:cs="Arial" w:eastAsia="Arial" w:hAnsi="Arial"/>
                <w:sz w:val="15"/>
                <w:szCs w:val="15"/>
                <w:i w:val="1"/>
                <w:iCs w:val="1"/>
                <w:color w:val="auto"/>
              </w:rPr>
              <w:t xml:space="preserve">Skip Hop </w:t>
            </w:r>
            <w:r>
              <w:rPr>
                <w:rFonts w:ascii="Arial" w:cs="Arial" w:eastAsia="Arial" w:hAnsi="Arial"/>
                <w:sz w:val="15"/>
                <w:szCs w:val="15"/>
                <w:color w:val="auto"/>
              </w:rPr>
              <w:t>tradename</w:t>
            </w:r>
          </w:p>
        </w:tc>
        <w:tc>
          <w:tcPr>
            <w:tcW w:w="1160" w:type="dxa"/>
            <w:vAlign w:val="bottom"/>
            <w:gridSpan w:val="2"/>
          </w:tcPr>
          <w:p>
            <w:pPr>
              <w:jc w:val="center"/>
              <w:ind w:right="100"/>
              <w:spacing w:after="0"/>
              <w:rPr>
                <w:sz w:val="20"/>
                <w:szCs w:val="20"/>
                <w:color w:val="auto"/>
              </w:rPr>
            </w:pPr>
            <w:r>
              <w:rPr>
                <w:rFonts w:ascii="Arial" w:cs="Arial" w:eastAsia="Arial" w:hAnsi="Arial"/>
                <w:sz w:val="15"/>
                <w:szCs w:val="15"/>
                <w:color w:val="auto"/>
                <w:w w:val="95"/>
              </w:rPr>
              <w:t>Indefinite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56,800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56,800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540" w:type="dxa"/>
            <w:vAlign w:val="bottom"/>
            <w:shd w:val="clear" w:color="auto" w:fill="CCEEFF"/>
          </w:tcPr>
          <w:p>
            <w:pPr>
              <w:ind w:left="60"/>
              <w:spacing w:after="0"/>
              <w:rPr>
                <w:sz w:val="20"/>
                <w:szCs w:val="20"/>
                <w:color w:val="auto"/>
              </w:rPr>
            </w:pPr>
            <w:r>
              <w:rPr>
                <w:rFonts w:ascii="Arial" w:cs="Arial" w:eastAsia="Arial" w:hAnsi="Arial"/>
                <w:sz w:val="15"/>
                <w:szCs w:val="15"/>
                <w:color w:val="auto"/>
              </w:rPr>
              <w:t>Finite-life tradenames</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(5)</w:t>
            </w:r>
          </w:p>
        </w:tc>
        <w:tc>
          <w:tcPr>
            <w:tcW w:w="1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8"/>
              </w:rPr>
              <w:t>2 - 20 years</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3,550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532</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3,018</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42,005</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38,810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3,195</w:t>
            </w:r>
          </w:p>
        </w:tc>
        <w:tc>
          <w:tcPr>
            <w:tcW w:w="0" w:type="dxa"/>
            <w:vAlign w:val="bottom"/>
          </w:tcPr>
          <w:p>
            <w:pPr>
              <w:spacing w:after="0"/>
              <w:rPr>
                <w:sz w:val="1"/>
                <w:szCs w:val="1"/>
                <w:color w:val="auto"/>
              </w:rPr>
            </w:pPr>
          </w:p>
        </w:tc>
      </w:tr>
      <w:tr>
        <w:trPr>
          <w:trHeight w:val="257"/>
        </w:trPr>
        <w:tc>
          <w:tcPr>
            <w:tcW w:w="15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Total tradenames, net</w:t>
            </w: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366,083</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532</w:t>
            </w:r>
          </w:p>
        </w:tc>
        <w:tc>
          <w:tcPr>
            <w:tcW w:w="10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365,551</w:t>
            </w:r>
          </w:p>
        </w:tc>
        <w:tc>
          <w:tcPr>
            <w:tcW w:w="120" w:type="dxa"/>
            <w:vAlign w:val="bottom"/>
            <w:tcBorders>
              <w:bottom w:val="single" w:sz="8" w:color="CCEEFF"/>
              <w:right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347,738</w:t>
            </w:r>
          </w:p>
        </w:tc>
        <w:tc>
          <w:tcPr>
            <w:tcW w:w="10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38,810</w:t>
            </w:r>
          </w:p>
        </w:tc>
        <w:tc>
          <w:tcPr>
            <w:tcW w:w="10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308,928</w:t>
            </w:r>
          </w:p>
        </w:tc>
        <w:tc>
          <w:tcPr>
            <w:tcW w:w="0" w:type="dxa"/>
            <w:vAlign w:val="bottom"/>
          </w:tcPr>
          <w:p>
            <w:pPr>
              <w:spacing w:after="0"/>
              <w:rPr>
                <w:sz w:val="1"/>
                <w:szCs w:val="1"/>
                <w:color w:val="auto"/>
              </w:rPr>
            </w:pPr>
          </w:p>
        </w:tc>
      </w:tr>
      <w:tr>
        <w:trPr>
          <w:trHeight w:val="143"/>
        </w:trPr>
        <w:tc>
          <w:tcPr>
            <w:tcW w:w="15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540" w:type="dxa"/>
            <w:vAlign w:val="bottom"/>
          </w:tcPr>
          <w:p>
            <w:pPr>
              <w:ind w:left="40"/>
              <w:spacing w:after="0"/>
              <w:rPr>
                <w:sz w:val="20"/>
                <w:szCs w:val="20"/>
                <w:color w:val="auto"/>
              </w:rPr>
            </w:pPr>
            <w:r>
              <w:rPr>
                <w:rFonts w:ascii="Arial" w:cs="Arial" w:eastAsia="Arial" w:hAnsi="Arial"/>
                <w:sz w:val="15"/>
                <w:szCs w:val="15"/>
                <w:color w:val="auto"/>
              </w:rPr>
              <w:t>Skip Hop customer</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540" w:type="dxa"/>
            <w:vAlign w:val="bottom"/>
          </w:tcPr>
          <w:p>
            <w:pPr>
              <w:ind w:left="40"/>
              <w:spacing w:after="0"/>
              <w:rPr>
                <w:sz w:val="20"/>
                <w:szCs w:val="20"/>
                <w:color w:val="auto"/>
              </w:rPr>
            </w:pPr>
            <w:r>
              <w:rPr>
                <w:rFonts w:ascii="Arial" w:cs="Arial" w:eastAsia="Arial" w:hAnsi="Arial"/>
                <w:sz w:val="15"/>
                <w:szCs w:val="15"/>
                <w:color w:val="auto"/>
              </w:rPr>
              <w:t>relationships</w:t>
            </w:r>
          </w:p>
        </w:tc>
        <w:tc>
          <w:tcPr>
            <w:tcW w:w="1160" w:type="dxa"/>
            <w:vAlign w:val="bottom"/>
            <w:gridSpan w:val="2"/>
          </w:tcPr>
          <w:p>
            <w:pPr>
              <w:jc w:val="center"/>
              <w:ind w:right="100"/>
              <w:spacing w:after="0"/>
              <w:rPr>
                <w:sz w:val="20"/>
                <w:szCs w:val="20"/>
                <w:color w:val="auto"/>
              </w:rPr>
            </w:pPr>
            <w:r>
              <w:rPr>
                <w:rFonts w:ascii="Arial" w:cs="Arial" w:eastAsia="Arial" w:hAnsi="Arial"/>
                <w:sz w:val="15"/>
                <w:szCs w:val="15"/>
                <w:color w:val="auto"/>
                <w:w w:val="86"/>
              </w:rPr>
              <w:t>15 years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47,300</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2,304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44,996</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5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Carter's Mexico</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98"/>
              </w:rPr>
              <w:t>customer relationships</w:t>
            </w:r>
          </w:p>
        </w:tc>
        <w:tc>
          <w:tcPr>
            <w:tcW w:w="1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6"/>
              </w:rPr>
              <w:t>10 years</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3,135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135</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3,000</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1540" w:type="dxa"/>
            <w:vAlign w:val="bottom"/>
          </w:tcPr>
          <w:p>
            <w:pPr>
              <w:ind w:left="40"/>
              <w:spacing w:after="0"/>
              <w:rPr>
                <w:sz w:val="20"/>
                <w:szCs w:val="20"/>
                <w:color w:val="auto"/>
              </w:rPr>
            </w:pPr>
            <w:r>
              <w:rPr>
                <w:rFonts w:ascii="Arial" w:cs="Arial" w:eastAsia="Arial" w:hAnsi="Arial"/>
                <w:sz w:val="15"/>
                <w:szCs w:val="15"/>
                <w:color w:val="auto"/>
              </w:rPr>
              <w:t>Total customer</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50,435</w:t>
            </w:r>
          </w:p>
        </w:tc>
        <w:tc>
          <w:tcPr>
            <w:tcW w:w="100" w:type="dxa"/>
            <w:vAlign w:val="bottom"/>
            <w:vMerge w:val="restart"/>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2,439</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47,996</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spacing w:after="0"/>
              <w:rPr>
                <w:sz w:val="15"/>
                <w:szCs w:val="15"/>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spacing w:after="0"/>
              <w:rPr>
                <w:sz w:val="15"/>
                <w:szCs w:val="15"/>
                <w:color w:val="auto"/>
              </w:rPr>
            </w:pPr>
          </w:p>
        </w:tc>
        <w:tc>
          <w:tcPr>
            <w:tcW w:w="20" w:type="dxa"/>
            <w:vAlign w:val="bottom"/>
            <w:tcBorders>
              <w:top w:val="single" w:sz="8" w:color="auto"/>
            </w:tcBorders>
            <w:vMerge w:val="restart"/>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1540" w:type="dxa"/>
            <w:vAlign w:val="bottom"/>
          </w:tcPr>
          <w:p>
            <w:pPr>
              <w:ind w:left="40"/>
              <w:spacing w:after="0"/>
              <w:rPr>
                <w:sz w:val="20"/>
                <w:szCs w:val="20"/>
                <w:color w:val="auto"/>
              </w:rPr>
            </w:pPr>
            <w:r>
              <w:rPr>
                <w:rFonts w:ascii="Arial" w:cs="Arial" w:eastAsia="Arial" w:hAnsi="Arial"/>
                <w:sz w:val="15"/>
                <w:szCs w:val="15"/>
                <w:color w:val="auto"/>
              </w:rPr>
              <w:t>relationships, net</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580" w:right="480" w:hanging="289"/>
        <w:spacing w:after="0" w:line="262" w:lineRule="auto"/>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$45.9 million is assigned to the U.S. Wholesale segment, $82.0 million is assigned to the U.S. Retail segment, and $8.6 million is assigned to the International segment.</w:t>
      </w:r>
    </w:p>
    <w:p>
      <w:pPr>
        <w:spacing w:after="0" w:line="1" w:lineRule="exact"/>
        <w:rPr>
          <w:rFonts w:ascii="Arial" w:cs="Arial" w:eastAsia="Arial" w:hAnsi="Arial"/>
          <w:sz w:val="16"/>
          <w:szCs w:val="16"/>
          <w:color w:val="auto"/>
        </w:rPr>
      </w:pPr>
    </w:p>
    <w:p>
      <w:pPr>
        <w:ind w:left="580" w:hanging="289"/>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Goodwill for Canada (Bonnie Togs) is assigned to the International segment.</w:t>
      </w:r>
    </w:p>
    <w:p>
      <w:pPr>
        <w:spacing w:after="0" w:line="11" w:lineRule="exact"/>
        <w:rPr>
          <w:rFonts w:ascii="Arial" w:cs="Arial" w:eastAsia="Arial" w:hAnsi="Arial"/>
          <w:sz w:val="16"/>
          <w:szCs w:val="16"/>
          <w:color w:val="auto"/>
        </w:rPr>
      </w:pPr>
    </w:p>
    <w:p>
      <w:pPr>
        <w:ind w:left="880" w:right="480" w:hanging="589"/>
        <w:spacing w:after="0" w:line="255" w:lineRule="auto"/>
        <w:tabs>
          <w:tab w:leader="none" w:pos="5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$28.6 million is assigned to the U.S. Wholesale segment, $15.5 million is assigned to the International segment, and $1.9 million is assigned to the U.S. Retail segment.</w:t>
      </w:r>
    </w:p>
    <w:p>
      <w:pPr>
        <w:ind w:left="580" w:hanging="289"/>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Goodwill for Carter's Mexico is assigned to the International segment.</w:t>
      </w:r>
    </w:p>
    <w:p>
      <w:pPr>
        <w:spacing w:after="0" w:line="11" w:lineRule="exact"/>
        <w:rPr>
          <w:rFonts w:ascii="Arial" w:cs="Arial" w:eastAsia="Arial" w:hAnsi="Arial"/>
          <w:sz w:val="16"/>
          <w:szCs w:val="16"/>
          <w:color w:val="auto"/>
        </w:rPr>
      </w:pPr>
    </w:p>
    <w:p>
      <w:pPr>
        <w:ind w:left="880" w:hanging="589"/>
        <w:spacing w:after="0" w:line="262" w:lineRule="auto"/>
        <w:tabs>
          <w:tab w:leader="none" w:pos="5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Relates to the acquisition of rights to the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in Chile in December 2014. The Company acquired these rights in order to freely operate in Chile by offering products and service under the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Amounts at December 31, 2016 also include the former </w:t>
      </w:r>
      <w:r>
        <w:rPr>
          <w:rFonts w:ascii="Arial" w:cs="Arial" w:eastAsia="Arial" w:hAnsi="Arial"/>
          <w:sz w:val="16"/>
          <w:szCs w:val="16"/>
          <w:i w:val="1"/>
          <w:iCs w:val="1"/>
          <w:color w:val="auto"/>
        </w:rPr>
        <w:t>Bonnie Togs</w:t>
      </w:r>
      <w:r>
        <w:rPr>
          <w:rFonts w:ascii="Arial" w:cs="Arial" w:eastAsia="Arial" w:hAnsi="Arial"/>
          <w:sz w:val="16"/>
          <w:szCs w:val="16"/>
          <w:color w:val="auto"/>
        </w:rPr>
        <w:t xml:space="preserve"> (Canada) tradename and the </w:t>
      </w:r>
      <w:r>
        <w:rPr>
          <w:rFonts w:ascii="Arial" w:cs="Arial" w:eastAsia="Arial" w:hAnsi="Arial"/>
          <w:sz w:val="16"/>
          <w:szCs w:val="16"/>
          <w:i w:val="1"/>
          <w:iCs w:val="1"/>
          <w:color w:val="auto"/>
        </w:rPr>
        <w:t>H.W. Carter &amp;</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Sons </w:t>
      </w:r>
      <w:r>
        <w:rPr>
          <w:rFonts w:ascii="Arial" w:cs="Arial" w:eastAsia="Arial" w:hAnsi="Arial"/>
          <w:sz w:val="16"/>
          <w:szCs w:val="16"/>
          <w:color w:val="auto"/>
        </w:rPr>
        <w:t>brands, which are all fully amortized.</w:t>
      </w:r>
    </w:p>
    <w:p>
      <w:pPr>
        <w:spacing w:after="0" w:line="168" w:lineRule="exact"/>
        <w:rPr>
          <w:sz w:val="20"/>
          <w:szCs w:val="20"/>
          <w:color w:val="auto"/>
        </w:rPr>
      </w:pPr>
    </w:p>
    <w:p>
      <w:pPr>
        <w:ind w:right="420"/>
        <w:spacing w:after="0" w:line="326" w:lineRule="auto"/>
        <w:rPr>
          <w:sz w:val="20"/>
          <w:szCs w:val="20"/>
          <w:color w:val="auto"/>
        </w:rPr>
      </w:pPr>
      <w:r>
        <w:rPr>
          <w:rFonts w:ascii="Arial" w:cs="Arial" w:eastAsia="Arial" w:hAnsi="Arial"/>
          <w:sz w:val="14"/>
          <w:szCs w:val="14"/>
          <w:color w:val="auto"/>
        </w:rPr>
        <w:t>Changes in the carrying values between comparative periods for goodwill related to the Company's 2011 acquisition of its Canadian business (Bonnie Togs) were due to fluctuations in the foreign currency exchange rates between the Canadian and U.S. dollar that were used in the remeasurement process for preparing the Company's consolidated financial statements. The changes in the carrying values of customer relationships and tradename intangible assets for Skip Hop and Carter's Mexico,</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00"/>
          </w:cols>
          <w:pgMar w:left="240" w:top="123" w:right="259" w:bottom="1440" w:gutter="0" w:footer="0" w:header="0"/>
        </w:sectPr>
      </w:pPr>
    </w:p>
    <w:bookmarkStart w:id="75" w:name="page76"/>
    <w:bookmarkEnd w:id="75"/>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including the related accumulated amortization, that were not attributable to amortization expense was also impacted by foreign currency exchange rate fluctuations.</w:t>
      </w:r>
    </w:p>
    <w:p>
      <w:pPr>
        <w:spacing w:after="0" w:line="219" w:lineRule="exact"/>
        <w:rPr>
          <w:sz w:val="20"/>
          <w:szCs w:val="20"/>
          <w:color w:val="auto"/>
        </w:rPr>
      </w:pPr>
    </w:p>
    <w:p>
      <w:pPr>
        <w:ind w:right="460"/>
        <w:spacing w:after="0" w:line="285" w:lineRule="auto"/>
        <w:rPr>
          <w:sz w:val="20"/>
          <w:szCs w:val="20"/>
          <w:color w:val="auto"/>
        </w:rPr>
      </w:pPr>
      <w:r>
        <w:rPr>
          <w:rFonts w:ascii="Arial" w:cs="Arial" w:eastAsia="Arial" w:hAnsi="Arial"/>
          <w:sz w:val="16"/>
          <w:szCs w:val="16"/>
          <w:color w:val="auto"/>
        </w:rPr>
        <w:t>Amortization expense for intangible assets subject to amortization was approximately $2.6 million, $1.9 million, and $6.4 million for fiscal years 2017, 2016, and 2015, respectively. Future amortization expense is estimated to be approximately $3.7 million for each of the next five fiscal years.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ACCUMULATED OTHER COMPREHENSIVE (LOSS) INCOME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Accumulated other comprehensive (loss) income is summarized as follows:</w:t>
      </w:r>
    </w:p>
    <w:p>
      <w:pPr>
        <w:spacing w:after="0" w:line="159"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3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center"/>
              <w:ind w:right="340"/>
              <w:spacing w:after="0"/>
              <w:rPr>
                <w:sz w:val="20"/>
                <w:szCs w:val="20"/>
                <w:color w:val="auto"/>
              </w:rPr>
            </w:pPr>
            <w:r>
              <w:rPr>
                <w:rFonts w:ascii="Arial" w:cs="Arial" w:eastAsia="Arial" w:hAnsi="Arial"/>
                <w:sz w:val="16"/>
                <w:szCs w:val="16"/>
                <w:b w:val="1"/>
                <w:bCs w:val="1"/>
                <w:color w:val="auto"/>
                <w:w w:val="95"/>
              </w:rPr>
              <w:t>Cumulative</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center"/>
              <w:ind w:right="39"/>
              <w:spacing w:after="0"/>
              <w:rPr>
                <w:sz w:val="20"/>
                <w:szCs w:val="20"/>
                <w:color w:val="auto"/>
              </w:rPr>
            </w:pPr>
            <w:r>
              <w:rPr>
                <w:rFonts w:ascii="Arial" w:cs="Arial" w:eastAsia="Arial" w:hAnsi="Arial"/>
                <w:sz w:val="16"/>
                <w:szCs w:val="16"/>
                <w:b w:val="1"/>
                <w:bCs w:val="1"/>
                <w:color w:val="auto"/>
                <w:w w:val="92"/>
              </w:rPr>
              <w:t>Accumulated other</w:t>
            </w:r>
          </w:p>
        </w:tc>
      </w:tr>
      <w:tr>
        <w:trPr>
          <w:trHeight w:val="196"/>
        </w:trPr>
        <w:tc>
          <w:tcPr>
            <w:tcW w:w="3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91"/>
              </w:rPr>
              <w:t>Pension liability</w:t>
            </w: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92"/>
              </w:rPr>
              <w:t>Post-retirement</w:t>
            </w:r>
          </w:p>
        </w:tc>
        <w:tc>
          <w:tcPr>
            <w:tcW w:w="2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center"/>
              <w:ind w:right="360"/>
              <w:spacing w:after="0"/>
              <w:rPr>
                <w:sz w:val="20"/>
                <w:szCs w:val="20"/>
                <w:color w:val="auto"/>
              </w:rPr>
            </w:pPr>
            <w:r>
              <w:rPr>
                <w:rFonts w:ascii="Arial" w:cs="Arial" w:eastAsia="Arial" w:hAnsi="Arial"/>
                <w:sz w:val="16"/>
                <w:szCs w:val="16"/>
                <w:b w:val="1"/>
                <w:bCs w:val="1"/>
                <w:color w:val="auto"/>
                <w:w w:val="92"/>
              </w:rPr>
              <w:t>translation</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center"/>
              <w:ind w:right="19"/>
              <w:spacing w:after="0"/>
              <w:rPr>
                <w:sz w:val="20"/>
                <w:szCs w:val="20"/>
                <w:color w:val="auto"/>
              </w:rPr>
            </w:pPr>
            <w:r>
              <w:rPr>
                <w:rFonts w:ascii="Arial" w:cs="Arial" w:eastAsia="Arial" w:hAnsi="Arial"/>
                <w:sz w:val="16"/>
                <w:szCs w:val="16"/>
                <w:b w:val="1"/>
                <w:bCs w:val="1"/>
                <w:color w:val="auto"/>
                <w:w w:val="87"/>
              </w:rPr>
              <w:t>comprehensive (loss)</w:t>
            </w: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9"/>
              </w:rPr>
              <w:t>adjustments</w:t>
            </w:r>
          </w:p>
        </w:tc>
        <w:tc>
          <w:tcPr>
            <w:tcW w:w="168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2"/>
              </w:rPr>
              <w:t>liability adjustments</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6"/>
                <w:szCs w:val="16"/>
                <w:b w:val="1"/>
                <w:bCs w:val="1"/>
                <w:color w:val="auto"/>
                <w:w w:val="91"/>
              </w:rPr>
              <w:t>adjustments</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b w:val="1"/>
                <w:bCs w:val="1"/>
                <w:color w:val="auto"/>
                <w:w w:val="89"/>
              </w:rPr>
              <w:t>income</w:t>
            </w:r>
          </w:p>
        </w:tc>
      </w:tr>
      <w:tr>
        <w:trPr>
          <w:trHeight w:val="211"/>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Balance at January 3, 2015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(8,988)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1,348</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(15,397)</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(23,037)</w:t>
            </w:r>
          </w:p>
        </w:tc>
      </w:tr>
      <w:tr>
        <w:trPr>
          <w:trHeight w:val="25"/>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5"/>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 2015 change</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(13,330)</w:t>
            </w:r>
          </w:p>
        </w:tc>
      </w:tr>
      <w:tr>
        <w:trPr>
          <w:trHeight w:val="211"/>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Balance at January 2, 2016</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(8,185)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(29,586)</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(36,367)</w:t>
            </w:r>
          </w:p>
        </w:tc>
      </w:tr>
      <w:tr>
        <w:trPr>
          <w:trHeight w:val="25"/>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5"/>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 2016 change</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1,627</w:t>
            </w:r>
          </w:p>
        </w:tc>
      </w:tr>
      <w:tr>
        <w:trPr>
          <w:trHeight w:val="211"/>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2016</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(8,851)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1,735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(27,624)</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(34,740)</w:t>
            </w:r>
          </w:p>
        </w:tc>
      </w:tr>
      <w:tr>
        <w:trPr>
          <w:trHeight w:val="25"/>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5"/>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 2017 change</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5,647</w:t>
            </w:r>
          </w:p>
        </w:tc>
      </w:tr>
      <w:tr>
        <w:trPr>
          <w:trHeight w:val="230"/>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30,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(9,281)</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1,473</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(21,285)</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(29,093)</w:t>
            </w: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440"/>
        <w:spacing w:after="0" w:line="320" w:lineRule="auto"/>
        <w:rPr>
          <w:sz w:val="20"/>
          <w:szCs w:val="20"/>
          <w:color w:val="auto"/>
        </w:rPr>
      </w:pPr>
      <w:r>
        <w:rPr>
          <w:rFonts w:ascii="Arial" w:cs="Arial" w:eastAsia="Arial" w:hAnsi="Arial"/>
          <w:sz w:val="15"/>
          <w:szCs w:val="15"/>
          <w:color w:val="auto"/>
        </w:rPr>
        <w:t>As of December 30, 2017 and December 31, 2016, the cumulative pension liability adjustments were, net of tax effect, $5.3 million and $5.2 million, respectively. As of December 30, 2017 and December 31, 2016, the cumulative post-retirement liability adjustments were, net of tax effect, approximately $1.0 million for both years.</w:t>
      </w:r>
    </w:p>
    <w:p>
      <w:pPr>
        <w:spacing w:after="0" w:line="12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For the fiscal years ended December 30, 2017 and December 31, 2016, amounts reclassified from accumulated other comprehensive loss to the consolidated statements of operations consisted of amortization of actuarial gains and losses related to the Company's defined benefit retirement plans. Such amortization amounts are included in the net periodic cost or benefit recognized for these plans during the respective fiscal year. For additional information, see Note 10</w:t>
      </w:r>
      <w:r>
        <w:rPr>
          <w:rFonts w:ascii="Arial" w:cs="Arial" w:eastAsia="Arial" w:hAnsi="Arial"/>
          <w:sz w:val="16"/>
          <w:szCs w:val="16"/>
          <w:i w:val="1"/>
          <w:iCs w:val="1"/>
          <w:color w:val="auto"/>
        </w:rPr>
        <w:t>, Employee Benefit Plans</w:t>
      </w:r>
      <w:r>
        <w:rPr>
          <w:rFonts w:ascii="Arial" w:cs="Arial" w:eastAsia="Arial" w:hAnsi="Arial"/>
          <w:sz w:val="16"/>
          <w:szCs w:val="16"/>
          <w:color w:val="auto"/>
        </w:rPr>
        <w:t>, to the consolidated financial statements.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LONG-TERM DEBT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Long-term debt consisted of the following:</w:t>
      </w:r>
    </w:p>
    <w:p>
      <w:pPr>
        <w:spacing w:after="0" w:line="146" w:lineRule="exact"/>
        <w:rPr>
          <w:sz w:val="20"/>
          <w:szCs w:val="20"/>
          <w:color w:val="auto"/>
        </w:rPr>
      </w:pPr>
    </w:p>
    <w:tbl>
      <w:tblPr>
        <w:tblLayout w:type="fixed"/>
        <w:tblInd w:w="2720" w:type="dxa"/>
        <w:tblCellMar>
          <w:top w:w="0" w:type="dxa"/>
          <w:left w:w="0" w:type="dxa"/>
          <w:bottom w:w="0" w:type="dxa"/>
          <w:right w:w="0" w:type="dxa"/>
        </w:tblCellMar>
      </w:tblPr>
      <w:tr>
        <w:trPr>
          <w:trHeight w:val="204"/>
        </w:trPr>
        <w:tc>
          <w:tcPr>
            <w:tcW w:w="4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December 30,</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92"/>
              </w:rPr>
              <w:t>December 31,</w:t>
            </w:r>
          </w:p>
        </w:tc>
      </w:tr>
      <w:tr>
        <w:trPr>
          <w:trHeight w:val="237"/>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2016</w:t>
            </w:r>
          </w:p>
        </w:tc>
      </w:tr>
      <w:tr>
        <w:trPr>
          <w:trHeight w:val="211"/>
        </w:trPr>
        <w:tc>
          <w:tcPr>
            <w:tcW w:w="4020" w:type="dxa"/>
            <w:vAlign w:val="bottom"/>
          </w:tcPr>
          <w:p>
            <w:pPr>
              <w:ind w:left="20"/>
              <w:spacing w:after="0"/>
              <w:rPr>
                <w:sz w:val="20"/>
                <w:szCs w:val="20"/>
                <w:color w:val="auto"/>
              </w:rPr>
            </w:pPr>
            <w:r>
              <w:rPr>
                <w:rFonts w:ascii="Arial" w:cs="Arial" w:eastAsia="Arial" w:hAnsi="Arial"/>
                <w:sz w:val="16"/>
                <w:szCs w:val="16"/>
                <w:color w:val="auto"/>
              </w:rPr>
              <w:t>Senior notes at amounts repayable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400,000</w:t>
            </w:r>
          </w:p>
        </w:tc>
      </w:tr>
      <w:tr>
        <w:trPr>
          <w:trHeight w:val="25"/>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Less: unamortized issuance-related costs for senior notes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(4,601)</w:t>
            </w:r>
          </w:p>
        </w:tc>
      </w:tr>
      <w:tr>
        <w:trPr>
          <w:trHeight w:val="211"/>
        </w:trPr>
        <w:tc>
          <w:tcPr>
            <w:tcW w:w="4020" w:type="dxa"/>
            <w:vAlign w:val="bottom"/>
          </w:tcPr>
          <w:p>
            <w:pPr>
              <w:ind w:left="280"/>
              <w:spacing w:after="0"/>
              <w:rPr>
                <w:sz w:val="20"/>
                <w:szCs w:val="20"/>
                <w:color w:val="auto"/>
              </w:rPr>
            </w:pPr>
            <w:r>
              <w:rPr>
                <w:rFonts w:ascii="Arial" w:cs="Arial" w:eastAsia="Arial" w:hAnsi="Arial"/>
                <w:sz w:val="16"/>
                <w:szCs w:val="16"/>
                <w:color w:val="auto"/>
              </w:rPr>
              <w:t>Senior notes, net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396,306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395,399</w:t>
            </w:r>
          </w:p>
        </w:tc>
      </w:tr>
      <w:tr>
        <w:trPr>
          <w:trHeight w:val="25"/>
        </w:trPr>
        <w:tc>
          <w:tcPr>
            <w:tcW w:w="4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Secured revolving credit facility</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184,977</w:t>
            </w:r>
          </w:p>
        </w:tc>
      </w:tr>
      <w:tr>
        <w:trPr>
          <w:trHeight w:val="211"/>
        </w:trPr>
        <w:tc>
          <w:tcPr>
            <w:tcW w:w="4020" w:type="dxa"/>
            <w:vAlign w:val="bottom"/>
          </w:tcPr>
          <w:p>
            <w:pPr>
              <w:ind w:left="500"/>
              <w:spacing w:after="0"/>
              <w:rPr>
                <w:sz w:val="20"/>
                <w:szCs w:val="20"/>
                <w:color w:val="auto"/>
              </w:rPr>
            </w:pPr>
            <w:r>
              <w:rPr>
                <w:rFonts w:ascii="Arial" w:cs="Arial" w:eastAsia="Arial" w:hAnsi="Arial"/>
                <w:sz w:val="16"/>
                <w:szCs w:val="16"/>
                <w:color w:val="auto"/>
              </w:rPr>
              <w:t>Total long-term debt, net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617,306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580,376</w:t>
            </w:r>
          </w:p>
        </w:tc>
      </w:tr>
      <w:tr>
        <w:trPr>
          <w:trHeight w:val="25"/>
        </w:trPr>
        <w:tc>
          <w:tcPr>
            <w:tcW w:w="4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NOTES</w:t>
      </w:r>
    </w:p>
    <w:p>
      <w:pPr>
        <w:spacing w:after="0" w:line="207"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During fiscal 2013, the Company's 100% owned subsidiary, TWCC issued $400 million principal amount of senior notes (the "senior notes") at par, bearing interest at a rate of 5.25% per annum, and maturing on August 15, 2021, all of which were outstanding as of December 30, 2017. At issuance, TWCC received net proceeds from the offering of the senior notes of approximately $394.2 million, after deducting bank fees and other related fees. Approximately $7.0 million, including both bank</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3" w:right="239" w:bottom="1440" w:gutter="0" w:footer="0" w:header="0"/>
        </w:sectPr>
      </w:pPr>
    </w:p>
    <w:bookmarkStart w:id="76" w:name="page77"/>
    <w:bookmarkEnd w:id="76"/>
    <w:p>
      <w:pPr>
        <w:ind w:left="5242"/>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left="2"/>
        <w:spacing w:after="0"/>
        <w:rPr>
          <w:sz w:val="20"/>
          <w:szCs w:val="20"/>
          <w:color w:val="auto"/>
        </w:rPr>
      </w:pPr>
      <w:r>
        <w:rPr>
          <w:rFonts w:ascii="Arial" w:cs="Arial" w:eastAsia="Arial" w:hAnsi="Arial"/>
          <w:sz w:val="16"/>
          <w:szCs w:val="16"/>
          <w:color w:val="auto"/>
        </w:rPr>
        <w:t>fees and other third party expenses, was capitalized in connection with the issuance and is being amortized over the term of the senior notes.</w:t>
      </w:r>
    </w:p>
    <w:p>
      <w:pPr>
        <w:spacing w:after="0" w:line="171" w:lineRule="exact"/>
        <w:rPr>
          <w:sz w:val="20"/>
          <w:szCs w:val="20"/>
          <w:color w:val="auto"/>
        </w:rPr>
      </w:pPr>
    </w:p>
    <w:p>
      <w:pPr>
        <w:ind w:left="2" w:right="20"/>
        <w:spacing w:after="0" w:line="285" w:lineRule="auto"/>
        <w:rPr>
          <w:sz w:val="20"/>
          <w:szCs w:val="20"/>
          <w:color w:val="auto"/>
        </w:rPr>
      </w:pPr>
      <w:r>
        <w:rPr>
          <w:rFonts w:ascii="Arial" w:cs="Arial" w:eastAsia="Arial" w:hAnsi="Arial"/>
          <w:sz w:val="16"/>
          <w:szCs w:val="16"/>
          <w:color w:val="auto"/>
        </w:rPr>
        <w:t>The senior notes are unsecured and are fully and unconditionally guaranteed by Carter's, Inc. and certain domestic subsidiaries of TWCC. The guarantor subsidiaries are 100% owned directly or indirectly by Carter's, Inc. and all guarantees are joint, several and unconditional.</w:t>
      </w:r>
    </w:p>
    <w:p>
      <w:pPr>
        <w:spacing w:after="0" w:line="150" w:lineRule="exact"/>
        <w:rPr>
          <w:sz w:val="20"/>
          <w:szCs w:val="20"/>
          <w:color w:val="auto"/>
        </w:rPr>
      </w:pPr>
    </w:p>
    <w:p>
      <w:pPr>
        <w:jc w:val="both"/>
        <w:ind w:left="2" w:right="100"/>
        <w:spacing w:after="0" w:line="270" w:lineRule="auto"/>
        <w:rPr>
          <w:sz w:val="20"/>
          <w:szCs w:val="20"/>
          <w:color w:val="auto"/>
        </w:rPr>
      </w:pPr>
      <w:r>
        <w:rPr>
          <w:rFonts w:ascii="Arial" w:cs="Arial" w:eastAsia="Arial" w:hAnsi="Arial"/>
          <w:sz w:val="16"/>
          <w:szCs w:val="16"/>
          <w:color w:val="auto"/>
        </w:rPr>
        <w:t>On and after August 15, 2017, TWCC may redeem all or part of the senior notes at the redemption prices (expressed as percentages of principal amount of the senior notes to be redeemed) set forth below, plus accrued and unpaid interest. The redemption price is applicable when the redemption occurs during the twelve-month period beginning on August 15 of each of the years indicated is as follows:</w:t>
      </w:r>
    </w:p>
    <w:p>
      <w:pPr>
        <w:spacing w:after="0" w:line="101" w:lineRule="exact"/>
        <w:rPr>
          <w:sz w:val="20"/>
          <w:szCs w:val="20"/>
          <w:color w:val="auto"/>
        </w:rPr>
      </w:pPr>
    </w:p>
    <w:tbl>
      <w:tblPr>
        <w:tblLayout w:type="fixed"/>
        <w:tblInd w:w="4322" w:type="dxa"/>
        <w:tblCellMar>
          <w:top w:w="0" w:type="dxa"/>
          <w:left w:w="0" w:type="dxa"/>
          <w:bottom w:w="0" w:type="dxa"/>
          <w:right w:w="0" w:type="dxa"/>
        </w:tblCellMar>
      </w:tblPr>
      <w:tr>
        <w:trPr>
          <w:trHeight w:val="238"/>
        </w:trPr>
        <w:tc>
          <w:tcPr>
            <w:tcW w:w="1540" w:type="dxa"/>
            <w:vAlign w:val="bottom"/>
            <w:tcBorders>
              <w:bottom w:val="single" w:sz="8" w:color="auto"/>
            </w:tcBorders>
            <w:shd w:val="clear" w:color="auto" w:fill="CCEEFF"/>
          </w:tcPr>
          <w:p>
            <w:pPr>
              <w:jc w:val="center"/>
              <w:ind w:right="79"/>
              <w:spacing w:after="0"/>
              <w:rPr>
                <w:sz w:val="20"/>
                <w:szCs w:val="20"/>
                <w:color w:val="auto"/>
              </w:rPr>
            </w:pPr>
            <w:r>
              <w:rPr>
                <w:rFonts w:ascii="Arial" w:cs="Arial" w:eastAsia="Arial" w:hAnsi="Arial"/>
                <w:sz w:val="16"/>
                <w:szCs w:val="16"/>
                <w:b w:val="1"/>
                <w:bCs w:val="1"/>
                <w:color w:val="auto"/>
                <w:w w:val="97"/>
              </w:rPr>
              <w:t>Year</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Percentage</w:t>
            </w:r>
          </w:p>
        </w:tc>
      </w:tr>
      <w:tr>
        <w:trPr>
          <w:trHeight w:val="218"/>
        </w:trPr>
        <w:tc>
          <w:tcPr>
            <w:tcW w:w="1540" w:type="dxa"/>
            <w:vAlign w:val="bottom"/>
          </w:tcPr>
          <w:p>
            <w:pPr>
              <w:jc w:val="center"/>
              <w:ind w:right="79"/>
              <w:spacing w:after="0"/>
              <w:rPr>
                <w:sz w:val="20"/>
                <w:szCs w:val="20"/>
                <w:color w:val="auto"/>
              </w:rPr>
            </w:pPr>
            <w:r>
              <w:rPr>
                <w:rFonts w:ascii="Arial" w:cs="Arial" w:eastAsia="Arial" w:hAnsi="Arial"/>
                <w:sz w:val="16"/>
                <w:szCs w:val="16"/>
                <w:color w:val="auto"/>
                <w:w w:val="95"/>
              </w:rPr>
              <w:t>2017</w:t>
            </w:r>
          </w:p>
        </w:tc>
        <w:tc>
          <w:tcPr>
            <w:tcW w:w="1260" w:type="dxa"/>
            <w:vAlign w:val="bottom"/>
          </w:tcPr>
          <w:p>
            <w:pPr>
              <w:jc w:val="right"/>
              <w:spacing w:after="0"/>
              <w:rPr>
                <w:sz w:val="20"/>
                <w:szCs w:val="20"/>
                <w:color w:val="auto"/>
              </w:rPr>
            </w:pPr>
            <w:r>
              <w:rPr>
                <w:rFonts w:ascii="Arial" w:cs="Arial" w:eastAsia="Arial" w:hAnsi="Arial"/>
                <w:sz w:val="16"/>
                <w:szCs w:val="16"/>
                <w:color w:val="auto"/>
              </w:rPr>
              <w:t>102.63%</w:t>
            </w:r>
          </w:p>
        </w:tc>
      </w:tr>
      <w:tr>
        <w:trPr>
          <w:trHeight w:val="25"/>
        </w:trPr>
        <w:tc>
          <w:tcPr>
            <w:tcW w:w="1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5"/>
        </w:trPr>
        <w:tc>
          <w:tcPr>
            <w:tcW w:w="154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5"/>
              </w:rPr>
              <w:t>2018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101.31%</w:t>
            </w:r>
          </w:p>
        </w:tc>
      </w:tr>
      <w:tr>
        <w:trPr>
          <w:trHeight w:val="219"/>
        </w:trPr>
        <w:tc>
          <w:tcPr>
            <w:tcW w:w="1540" w:type="dxa"/>
            <w:vAlign w:val="bottom"/>
          </w:tcPr>
          <w:p>
            <w:pPr>
              <w:jc w:val="center"/>
              <w:ind w:right="79"/>
              <w:spacing w:after="0"/>
              <w:rPr>
                <w:sz w:val="20"/>
                <w:szCs w:val="20"/>
                <w:color w:val="auto"/>
              </w:rPr>
            </w:pPr>
            <w:r>
              <w:rPr>
                <w:rFonts w:ascii="Arial" w:cs="Arial" w:eastAsia="Arial" w:hAnsi="Arial"/>
                <w:sz w:val="16"/>
                <w:szCs w:val="16"/>
                <w:color w:val="auto"/>
                <w:w w:val="90"/>
              </w:rPr>
              <w:t>2019 and thereafter</w:t>
            </w:r>
          </w:p>
        </w:tc>
        <w:tc>
          <w:tcPr>
            <w:tcW w:w="1260" w:type="dxa"/>
            <w:vAlign w:val="bottom"/>
          </w:tcPr>
          <w:p>
            <w:pPr>
              <w:jc w:val="right"/>
              <w:spacing w:after="0"/>
              <w:rPr>
                <w:sz w:val="20"/>
                <w:szCs w:val="20"/>
                <w:color w:val="auto"/>
              </w:rPr>
            </w:pPr>
            <w:r>
              <w:rPr>
                <w:rFonts w:ascii="Arial" w:cs="Arial" w:eastAsia="Arial" w:hAnsi="Arial"/>
                <w:sz w:val="16"/>
                <w:szCs w:val="16"/>
                <w:color w:val="auto"/>
              </w:rPr>
              <w:t>100.00%</w:t>
            </w:r>
          </w:p>
        </w:tc>
      </w:tr>
    </w:tbl>
    <w:p>
      <w:pPr>
        <w:spacing w:after="0" w:line="208" w:lineRule="exact"/>
        <w:rPr>
          <w:sz w:val="20"/>
          <w:szCs w:val="20"/>
          <w:color w:val="auto"/>
        </w:rPr>
      </w:pPr>
    </w:p>
    <w:p>
      <w:pPr>
        <w:ind w:left="2"/>
        <w:spacing w:after="0" w:line="265" w:lineRule="auto"/>
        <w:rPr>
          <w:sz w:val="20"/>
          <w:szCs w:val="20"/>
          <w:color w:val="auto"/>
        </w:rPr>
      </w:pPr>
      <w:r>
        <w:rPr>
          <w:rFonts w:ascii="Arial" w:cs="Arial" w:eastAsia="Arial" w:hAnsi="Arial"/>
          <w:sz w:val="16"/>
          <w:szCs w:val="16"/>
          <w:color w:val="auto"/>
        </w:rPr>
        <w:t>Upon the occurrence of specific kinds of changes of control, unless a redemption notice with respect to all the outstanding senior notes has previously or concurrently been mailed or delivered, TWCC will be required to make an offer to purchase the senior notes at 101% of their principal amount. In addition, if TWCC or any of its restricted subsidiaries engages in certain asset sales, under certain circumstances TWCC will be required to use the net proceeds to make an offer to purchase the senior notes at 100% of their principal amount.</w:t>
      </w:r>
    </w:p>
    <w:p>
      <w:pPr>
        <w:spacing w:after="0" w:line="166" w:lineRule="exact"/>
        <w:rPr>
          <w:sz w:val="20"/>
          <w:szCs w:val="20"/>
          <w:color w:val="auto"/>
        </w:rPr>
      </w:pPr>
    </w:p>
    <w:p>
      <w:pPr>
        <w:ind w:left="2" w:right="20"/>
        <w:spacing w:after="0" w:line="295" w:lineRule="auto"/>
        <w:rPr>
          <w:sz w:val="20"/>
          <w:szCs w:val="20"/>
          <w:color w:val="auto"/>
        </w:rPr>
      </w:pPr>
      <w:r>
        <w:rPr>
          <w:rFonts w:ascii="Arial" w:cs="Arial" w:eastAsia="Arial" w:hAnsi="Arial"/>
          <w:sz w:val="14"/>
          <w:szCs w:val="14"/>
          <w:color w:val="auto"/>
        </w:rPr>
        <w:t>The indenture governing the senior notes includes a number of covenants, that, among other things and subject to certain exceptions, restrict TWCC's ability and the ability of certain of its subsidiaries to: (a) incur, assume or guarantee additional indebtedness; (b) issue disqualified stock and preferred stock; (c) pay dividends or make distributions or other restricted payments; (d) prepay, redeem or repurchase certain debt; (e) make loans and investments (including joint ventures); (f) incur liens; (g) create restrictions on the payment of dividends or other amounts from restricted subsidiaries that are not guarantors of the notes; (h) sell or otherwise dispose of assets, including capital stock of subsidiaries; (i) consolidate or merge with or into, or sell substantially all of TWCC's assets to, another person; (j) designate subsidiaries as unrestricted subsidiaries; and</w:t>
      </w:r>
    </w:p>
    <w:p>
      <w:pPr>
        <w:ind w:left="2" w:hanging="2"/>
        <w:spacing w:after="0" w:line="258" w:lineRule="auto"/>
        <w:tabs>
          <w:tab w:leader="none" w:pos="233" w:val="left"/>
        </w:tabs>
        <w:numPr>
          <w:ilvl w:val="0"/>
          <w:numId w:val="35"/>
        </w:numPr>
        <w:rPr>
          <w:rFonts w:ascii="Arial" w:cs="Arial" w:eastAsia="Arial" w:hAnsi="Arial"/>
          <w:sz w:val="16"/>
          <w:szCs w:val="16"/>
          <w:color w:val="auto"/>
        </w:rPr>
      </w:pPr>
      <w:r>
        <w:rPr>
          <w:rFonts w:ascii="Arial" w:cs="Arial" w:eastAsia="Arial" w:hAnsi="Arial"/>
          <w:sz w:val="16"/>
          <w:szCs w:val="16"/>
          <w:color w:val="auto"/>
        </w:rPr>
        <w:t>enter into transactions with affiliates. Specific provisions restrict the ability of the Company's operating subsidiary, TWCC, from paying cash dividends to Carter’s, Inc. in excess of $100.0 million plus an additional amount that builds based on 50% of our consolidated net income on a cumulative basis beginning with the third fiscal quarter of 2013 and subject to certain conditions, unless TWCC and its consolidated subsidiaries meet a leverage ratio requirement under the indenture, which could restrict Carter's, Inc. from paying cash dividends on our common stock. Additionally, the terms of the notes contain customary affirmative covenants and provide for events of default which, if certain of them occur, would permit the trustee or the holders of at least 25% in principal amount of the then total outstanding senior notes to declare all amounts owning under the notes to be due and payable. Carter's, Inc. is not subject to these covenants.</w:t>
      </w:r>
    </w:p>
    <w:p>
      <w:pPr>
        <w:spacing w:after="0" w:line="355"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SECURED REVOLVING CREDIT FACILITY</w:t>
      </w:r>
    </w:p>
    <w:p>
      <w:pPr>
        <w:spacing w:after="0" w:line="281" w:lineRule="exact"/>
        <w:rPr>
          <w:sz w:val="20"/>
          <w:szCs w:val="20"/>
          <w:color w:val="auto"/>
        </w:rPr>
      </w:pPr>
    </w:p>
    <w:p>
      <w:pPr>
        <w:ind w:left="2" w:right="80"/>
        <w:spacing w:after="0" w:line="285" w:lineRule="auto"/>
        <w:rPr>
          <w:sz w:val="20"/>
          <w:szCs w:val="20"/>
          <w:color w:val="auto"/>
        </w:rPr>
      </w:pPr>
      <w:r>
        <w:rPr>
          <w:rFonts w:ascii="Arial" w:cs="Arial" w:eastAsia="Arial" w:hAnsi="Arial"/>
          <w:sz w:val="16"/>
          <w:szCs w:val="16"/>
          <w:color w:val="auto"/>
        </w:rPr>
        <w:t>On October 15, 2010, The William Carter Company ("TWCC"), a wholly-owned subsidiary of the Company, entered into a $375 million ($130 million sub-limit for letters of credit and a swing line sub-limit of $40 million) secured revolving credit facility with a syndicate of lenders.</w:t>
      </w:r>
    </w:p>
    <w:p>
      <w:pPr>
        <w:spacing w:after="0" w:line="150" w:lineRule="exact"/>
        <w:rPr>
          <w:sz w:val="20"/>
          <w:szCs w:val="20"/>
          <w:color w:val="auto"/>
        </w:rPr>
      </w:pPr>
    </w:p>
    <w:p>
      <w:pPr>
        <w:ind w:left="2" w:right="40"/>
        <w:spacing w:after="0" w:line="265" w:lineRule="auto"/>
        <w:rPr>
          <w:sz w:val="20"/>
          <w:szCs w:val="20"/>
          <w:color w:val="auto"/>
        </w:rPr>
      </w:pPr>
      <w:r>
        <w:rPr>
          <w:rFonts w:ascii="Arial" w:cs="Arial" w:eastAsia="Arial" w:hAnsi="Arial"/>
          <w:sz w:val="16"/>
          <w:szCs w:val="16"/>
          <w:color w:val="auto"/>
        </w:rPr>
        <w:t>On December 22, 2011, TWCC amended and restated the secured revolving credit facility to, among other things, provide a U.S. dollar secured revolving facility of $340 million (including a $130 million sub-limit for letters of credit and a swing line sub-limit of $40 million) and a $35 million multicurrency secured revolving facility (including a $15 million sub-limit for letters of credit and a swing line sub-limit of $5 million), which was available for borrowings by either TWCC or its Canadian subsidiary, in U.S. dollars or Canadian dollars.</w:t>
      </w:r>
    </w:p>
    <w:p>
      <w:pPr>
        <w:spacing w:after="0" w:line="166" w:lineRule="exact"/>
        <w:rPr>
          <w:sz w:val="20"/>
          <w:szCs w:val="20"/>
          <w:color w:val="auto"/>
        </w:rPr>
      </w:pPr>
    </w:p>
    <w:p>
      <w:pPr>
        <w:ind w:left="2" w:right="280"/>
        <w:spacing w:after="0" w:line="288" w:lineRule="auto"/>
        <w:rPr>
          <w:sz w:val="20"/>
          <w:szCs w:val="20"/>
          <w:color w:val="auto"/>
        </w:rPr>
      </w:pPr>
      <w:r>
        <w:rPr>
          <w:rFonts w:ascii="Arial" w:cs="Arial" w:eastAsia="Arial" w:hAnsi="Arial"/>
          <w:sz w:val="15"/>
          <w:szCs w:val="15"/>
          <w:color w:val="auto"/>
        </w:rPr>
        <w:t>On August 31, 2012, TWCC and the lenders amended and restated the secured revolving credit facility to, among other things, improve interest rates applicable to pricing, extend the maturity of the facility, and allow borrowings in currencies other than U.S. dollars or Canadian dollars subject to the consent of all multicurrency lenders. The aggregate principal amount of the facility remained unchanged at $375 million consisting of a $340 million U.S. dollar secured revolving credit facility and a $35 million multicurrency secured revolving credit facility (although the sub-limit for U.S. dollar letters of credit was increased to $175 million).</w:t>
      </w:r>
    </w:p>
    <w:p>
      <w:pPr>
        <w:spacing w:after="0" w:line="17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2"/>
          </w:cols>
          <w:pgMar w:left="238" w:top="123" w:right="239" w:bottom="1440" w:gutter="0" w:footer="0" w:header="0"/>
        </w:sectPr>
      </w:pPr>
    </w:p>
    <w:bookmarkStart w:id="77" w:name="page78"/>
    <w:bookmarkEnd w:id="77"/>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On September 16, 2015, TWCC and the lenders amended and restated the secured revolving credit facility to, among other things: (a) refinance the Company's existing credit facility in order to achieve better pricing terms and (b) provide additional liquidity to be used for ongoing working capital purposes and for general corporate purposes. The aggregate principal amount of the amended revolving credit facility was increased from $375 million to $500 million to provide for (a) a $400 million U.S. dollar revolving facility (including a $175 million sub-limit for letters of credit and a swing line sub-limit of $50 million) available for borrowings by TWCC and (b) a $100 million multicurrency revolving facility (including a $40 million sub-limit for letters of credit and a swing line sub-limit of $15 million), available for borrowing by TWCC and certain other subsidiaries of TWCC, in U.S. dollars, Canadian dollars, Euros, Pounds Sterling, or other currencies agreed to by the applicable lenders. In connection with this amendment, the Company paid approximately $1.6 million in debt issuance costs in connection with the amended and restated secured revolving credit agreement in fiscal 2015.</w:t>
      </w:r>
    </w:p>
    <w:p>
      <w:pPr>
        <w:spacing w:after="0" w:line="172"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color w:val="auto"/>
        </w:rPr>
        <w:t>On August 25, 2017, TWCC and the syndicate of lenders entered into a fourth amended and restated secured revolving credit agreement. This amendment to the secured revolving credit facility provides: (a) an extension of the term of the facility to August 25, 2022 and (b) an increase in the aggregate credit line to $750 million which includes a $650 million U.S. dollar facility and a $100 million multicurrency facility denominated in U.S. dollars, Canadian dollars, Euros, Pounds Sterling, or other currencies agreed to by the applicable lenders. The $650 million U.S. dollar facility is inclusive of a $100 million sub-limit for letters of credit and a swing line sub-limit of $70 million. The $100 million multicurrency facility is inclusive of a $40 million sub-limit for letters of credit and a swing line sub-limit of $15 million. In addition, the secured revolving credit facility provides for incremental borrowing facilities up to $425 million, which are comprised of an incremental $350 million U.S. dollar revolving credit facility and an incremental $75 million multicurrency revolving credit facility. The incremental U.S. dollar revolving credit facility can increase to an unlimited borrowing amount so long as the consolidated first lien leverage ratio (as defined in the secured revolving credit facility) does not exceed 2.25:1.00. In connection with the amendment, the Company paid approximately $2.1 million in debt issuance costs. These newly-incurred debt issuance costs, together with existing unamortized debt issuance costs, are being amortized over the five-year remaining term of the secured revolving credit facility.</w:t>
      </w:r>
    </w:p>
    <w:p>
      <w:pPr>
        <w:spacing w:after="0" w:line="161"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As of December 30, 2017, the Company had approximately $221.0 million in outstanding borrowings under its secured revolving credit facility, exclusive of $4.5 million of outstanding letters of credit. As of December 30, 2017, there was approximately $524.5 million available for future borrowing.</w:t>
      </w:r>
    </w:p>
    <w:p>
      <w:pPr>
        <w:spacing w:after="0" w:line="150"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As of December 30, 2017, the interest rate margins applicable to the amended revolving credit facility were 1.375% for LIBOR (London Interbank Offered Rate) rate loans (which may be adjusted based on a leverage-based pricing grid ranging from 1.125% to 1.875%) and 0.375% for base rate loans (which may be adjusted based on a leverage-based pricing grid ranging from 0.125% to 0.875%).</w:t>
      </w:r>
    </w:p>
    <w:p>
      <w:pPr>
        <w:spacing w:after="0" w:line="223"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At December 30, 2017, U.S. dollar borrowings outstanding under the secured revolving credit facility accrued interest at a LIBOR rate plus the applicable base rate, which was 2.93% on that date. There were no Canadian borrowings outstanding on December 30, 2017.</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Covenants</w:t>
      </w:r>
    </w:p>
    <w:p>
      <w:pPr>
        <w:spacing w:after="0" w:line="85" w:lineRule="exact"/>
        <w:rPr>
          <w:sz w:val="20"/>
          <w:szCs w:val="20"/>
          <w:color w:val="auto"/>
        </w:rPr>
      </w:pPr>
    </w:p>
    <w:p>
      <w:pPr>
        <w:ind w:right="80"/>
        <w:spacing w:after="0" w:line="326" w:lineRule="auto"/>
        <w:rPr>
          <w:sz w:val="20"/>
          <w:szCs w:val="20"/>
          <w:color w:val="auto"/>
        </w:rPr>
      </w:pPr>
      <w:r>
        <w:rPr>
          <w:rFonts w:ascii="Arial" w:cs="Arial" w:eastAsia="Arial" w:hAnsi="Arial"/>
          <w:sz w:val="14"/>
          <w:szCs w:val="14"/>
          <w:color w:val="auto"/>
        </w:rPr>
        <w:t>Subject to certain customary exceptions, the amended revolving credit facility contains covenants that restrict the Company's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spacing w:after="0" w:line="126" w:lineRule="exact"/>
        <w:rPr>
          <w:sz w:val="20"/>
          <w:szCs w:val="20"/>
          <w:color w:val="auto"/>
        </w:rPr>
      </w:pPr>
    </w:p>
    <w:p>
      <w:pPr>
        <w:spacing w:after="0" w:line="300" w:lineRule="auto"/>
        <w:rPr>
          <w:sz w:val="20"/>
          <w:szCs w:val="20"/>
          <w:color w:val="auto"/>
        </w:rPr>
      </w:pPr>
      <w:r>
        <w:rPr>
          <w:rFonts w:ascii="Arial" w:cs="Arial" w:eastAsia="Arial" w:hAnsi="Arial"/>
          <w:sz w:val="14"/>
          <w:szCs w:val="14"/>
          <w:color w:val="auto"/>
        </w:rPr>
        <w:t>The amended revolving credit facility also contains financial covenants. Specifically, TWCC and its subsidiaries will not (i) permit at the end of any four consecutive fiscal quarters the Lease Adjusted Leverage Ratio (defined as, with certain adjustments, the ratio of the Company's consolidated indebtedness plus six times rent expense, as defined, to consolidated net income before interest, taxes, depreciation, amortization, and rent expense ("EBITDAR")) to exceed 4.00:1.00 (provided, however, that if any "Material Acquisition" occurs and the Lease Adjusted Leverage Ratio on a pro forma basis giving effect to the consummation of the Material Acquisition is less than 4.00:1.00, then the maximum Lease Adjusted Leverage Ratio may be increased to 4.50:1.00 for the fiscal quarter in which such Material Acquisition is consummated and the three fiscal quarters immediately following the fiscal quarter in which such Material Acquisition occurs) or (ii) permit at the end of any four consecutive fiscal quarters the Consolidated Fixed Charge Coverage Ratio (defined as, with certain adjustments, the ratio of consolidated EBITDAR to consolidated fixed charges (defined as interest plus rent expense)), for any such period to be less than 2.25:1.00 (provided, however, that if any Material Acquisition occurs and the Consolidated Fixed Charge Coverage Ratio on a pro forma basis giving effect to the consummation of the Material Acquisition is at least 2.25:1.00, then the minimum Consolidated Fixed Charge Coverage Ratio may be decreased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3" w:right="239" w:bottom="1440" w:gutter="0" w:footer="0" w:header="0"/>
        </w:sectPr>
      </w:pPr>
    </w:p>
    <w:bookmarkStart w:id="78" w:name="page79"/>
    <w:bookmarkEnd w:id="78"/>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right="520"/>
        <w:spacing w:after="0" w:line="285" w:lineRule="auto"/>
        <w:rPr>
          <w:sz w:val="20"/>
          <w:szCs w:val="20"/>
          <w:color w:val="auto"/>
        </w:rPr>
      </w:pPr>
      <w:r>
        <w:rPr>
          <w:rFonts w:ascii="Arial" w:cs="Arial" w:eastAsia="Arial" w:hAnsi="Arial"/>
          <w:sz w:val="16"/>
          <w:szCs w:val="16"/>
          <w:color w:val="auto"/>
        </w:rPr>
        <w:t>2.00:1.00 for the fiscal quarter in which such Material Acquisition is consummated and the three fiscal quarters immediately following the fiscal quarter in which such Material Acquisition occurs).</w:t>
      </w:r>
    </w:p>
    <w:p>
      <w:pPr>
        <w:spacing w:after="0" w:line="150" w:lineRule="exact"/>
        <w:rPr>
          <w:sz w:val="20"/>
          <w:szCs w:val="20"/>
          <w:color w:val="auto"/>
        </w:rPr>
      </w:pPr>
    </w:p>
    <w:p>
      <w:pPr>
        <w:ind w:right="440"/>
        <w:spacing w:after="0" w:line="270" w:lineRule="auto"/>
        <w:rPr>
          <w:sz w:val="20"/>
          <w:szCs w:val="20"/>
          <w:color w:val="auto"/>
        </w:rPr>
      </w:pPr>
      <w:r>
        <w:rPr>
          <w:rFonts w:ascii="Arial" w:cs="Arial" w:eastAsia="Arial" w:hAnsi="Arial"/>
          <w:sz w:val="16"/>
          <w:szCs w:val="16"/>
          <w:color w:val="auto"/>
        </w:rPr>
        <w:t>The amended revolving credit facility also provides that certain covenants fall away and that the liens over the collateral securing each of the Company and certain subsidiaries' collective obligations are released following, among other things, the achievement of, and during the maintenance of, investment grade ratings by Moody's Investor Services, Inc. and Standard &amp; Poor's Ratings Services.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30, 2017, the Company was in compliance with its financial debt covenants under the secured revolving credit facility.</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REPURCHASES</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 fiscal years prior to 2015, the Company's Board of Directors authorized the repurchase of shares of the Company's common stock in amounts up to $462.5 million. On both February 24, 2016 and February 22, 2018, the Company's Board of Directors authorized an additional $500 million of share repurchases, thereby authorizing repurchase amounts up to $1.46 billion.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Open-market repurchases of our common stock during fiscal years 2017, 2016 and 2015 were as follows:</w:t>
      </w:r>
    </w:p>
    <w:p>
      <w:pPr>
        <w:spacing w:after="0" w:line="146" w:lineRule="exact"/>
        <w:rPr>
          <w:sz w:val="20"/>
          <w:szCs w:val="20"/>
          <w:color w:val="auto"/>
        </w:rPr>
      </w:pPr>
    </w:p>
    <w:tbl>
      <w:tblPr>
        <w:tblLayout w:type="fixed"/>
        <w:tblInd w:w="1280" w:type="dxa"/>
        <w:tblCellMar>
          <w:top w:w="0" w:type="dxa"/>
          <w:left w:w="0" w:type="dxa"/>
          <w:bottom w:w="0" w:type="dxa"/>
          <w:right w:w="0" w:type="dxa"/>
        </w:tblCellMar>
      </w:tblPr>
      <w:tr>
        <w:trPr>
          <w:trHeight w:val="245"/>
        </w:trPr>
        <w:tc>
          <w:tcPr>
            <w:tcW w:w="3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47"/>
              <w:spacing w:after="0"/>
              <w:rPr>
                <w:sz w:val="20"/>
                <w:szCs w:val="20"/>
                <w:color w:val="auto"/>
              </w:rPr>
            </w:pPr>
            <w:r>
              <w:rPr>
                <w:rFonts w:ascii="Arial" w:cs="Arial" w:eastAsia="Arial" w:hAnsi="Arial"/>
                <w:sz w:val="15"/>
                <w:szCs w:val="15"/>
                <w:b w:val="1"/>
                <w:bCs w:val="1"/>
                <w:color w:val="auto"/>
                <w:w w:val="96"/>
                <w:shd w:val="clear" w:color="auto" w:fill="CCEEFF"/>
              </w:rPr>
              <w:t>Fiscal year ended</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07"/>
        </w:trPr>
        <w:tc>
          <w:tcPr>
            <w:tcW w:w="30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December 30, 2017</w:t>
            </w: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267"/>
              <w:spacing w:after="0"/>
              <w:rPr>
                <w:sz w:val="20"/>
                <w:szCs w:val="20"/>
                <w:color w:val="auto"/>
              </w:rPr>
            </w:pPr>
            <w:r>
              <w:rPr>
                <w:rFonts w:ascii="Arial" w:cs="Arial" w:eastAsia="Arial" w:hAnsi="Arial"/>
                <w:sz w:val="15"/>
                <w:szCs w:val="15"/>
                <w:b w:val="1"/>
                <w:bCs w:val="1"/>
                <w:color w:val="auto"/>
                <w:w w:val="96"/>
              </w:rPr>
              <w:t>December 31, 2016</w:t>
            </w:r>
          </w:p>
        </w:tc>
        <w:tc>
          <w:tcPr>
            <w:tcW w:w="3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January 2, 2016</w:t>
            </w:r>
          </w:p>
        </w:tc>
      </w:tr>
      <w:tr>
        <w:trPr>
          <w:trHeight w:val="29"/>
        </w:trPr>
        <w:tc>
          <w:tcPr>
            <w:tcW w:w="3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Number of shares repurchased</w:t>
            </w:r>
          </w:p>
        </w:tc>
        <w:tc>
          <w:tcPr>
            <w:tcW w:w="2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2,103,401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3,049,381</w:t>
            </w:r>
          </w:p>
        </w:tc>
        <w:tc>
          <w:tcPr>
            <w:tcW w:w="3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1,154,288</w:t>
            </w:r>
          </w:p>
        </w:tc>
      </w:tr>
      <w:tr>
        <w:trPr>
          <w:trHeight w:val="200"/>
        </w:trPr>
        <w:tc>
          <w:tcPr>
            <w:tcW w:w="3000" w:type="dxa"/>
            <w:vAlign w:val="bottom"/>
          </w:tcPr>
          <w:p>
            <w:pPr>
              <w:ind w:left="20"/>
              <w:spacing w:after="0"/>
              <w:rPr>
                <w:sz w:val="20"/>
                <w:szCs w:val="20"/>
                <w:color w:val="auto"/>
              </w:rPr>
            </w:pPr>
            <w:r>
              <w:rPr>
                <w:rFonts w:ascii="Arial" w:cs="Arial" w:eastAsia="Arial" w:hAnsi="Arial"/>
                <w:sz w:val="15"/>
                <w:szCs w:val="15"/>
                <w:color w:val="auto"/>
                <w:w w:val="91"/>
              </w:rPr>
              <w:t xml:space="preserve">Aggregate cost of shares repurchased </w:t>
            </w:r>
            <w:r>
              <w:rPr>
                <w:rFonts w:ascii="Arial" w:cs="Arial" w:eastAsia="Arial" w:hAnsi="Arial"/>
                <w:sz w:val="15"/>
                <w:szCs w:val="15"/>
                <w:i w:val="1"/>
                <w:iCs w:val="1"/>
                <w:color w:val="auto"/>
                <w:w w:val="91"/>
              </w:rPr>
              <w:t>(dollars in</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87"/>
        </w:trPr>
        <w:tc>
          <w:tcPr>
            <w:tcW w:w="3000" w:type="dxa"/>
            <w:vAlign w:val="bottom"/>
          </w:tcPr>
          <w:p>
            <w:pPr>
              <w:ind w:left="20"/>
              <w:spacing w:after="0"/>
              <w:rPr>
                <w:sz w:val="20"/>
                <w:szCs w:val="20"/>
                <w:color w:val="auto"/>
              </w:rPr>
            </w:pPr>
            <w:r>
              <w:rPr>
                <w:rFonts w:ascii="Arial" w:cs="Arial" w:eastAsia="Arial" w:hAnsi="Arial"/>
                <w:sz w:val="15"/>
                <w:szCs w:val="15"/>
                <w:i w:val="1"/>
                <w:iCs w:val="1"/>
                <w:color w:val="auto"/>
              </w:rPr>
              <w:t>thousands)</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27"/>
              <w:spacing w:after="0"/>
              <w:rPr>
                <w:sz w:val="20"/>
                <w:szCs w:val="20"/>
                <w:color w:val="auto"/>
              </w:rPr>
            </w:pPr>
            <w:r>
              <w:rPr>
                <w:rFonts w:ascii="Arial" w:cs="Arial" w:eastAsia="Arial" w:hAnsi="Arial"/>
                <w:sz w:val="15"/>
                <w:szCs w:val="15"/>
                <w:color w:val="auto"/>
              </w:rPr>
              <w:t>188,762</w:t>
            </w:r>
          </w:p>
        </w:tc>
        <w:tc>
          <w:tcPr>
            <w:tcW w:w="10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ind w:right="27"/>
              <w:spacing w:after="0"/>
              <w:rPr>
                <w:sz w:val="20"/>
                <w:szCs w:val="20"/>
                <w:color w:val="auto"/>
              </w:rPr>
            </w:pPr>
            <w:r>
              <w:rPr>
                <w:rFonts w:ascii="Arial" w:cs="Arial" w:eastAsia="Arial" w:hAnsi="Arial"/>
                <w:sz w:val="15"/>
                <w:szCs w:val="15"/>
                <w:color w:val="auto"/>
              </w:rPr>
              <w:t>300,445</w:t>
            </w:r>
          </w:p>
        </w:tc>
        <w:tc>
          <w:tcPr>
            <w:tcW w:w="36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1580" w:type="dxa"/>
            <w:vAlign w:val="bottom"/>
          </w:tcPr>
          <w:p>
            <w:pPr>
              <w:jc w:val="right"/>
              <w:ind w:right="7"/>
              <w:spacing w:after="0"/>
              <w:rPr>
                <w:sz w:val="20"/>
                <w:szCs w:val="20"/>
                <w:color w:val="auto"/>
              </w:rPr>
            </w:pPr>
            <w:r>
              <w:rPr>
                <w:rFonts w:ascii="Arial" w:cs="Arial" w:eastAsia="Arial" w:hAnsi="Arial"/>
                <w:sz w:val="15"/>
                <w:szCs w:val="15"/>
                <w:color w:val="auto"/>
              </w:rPr>
              <w:t>110,290</w:t>
            </w:r>
          </w:p>
        </w:tc>
      </w:tr>
      <w:tr>
        <w:trPr>
          <w:trHeight w:val="29"/>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5"/>
        </w:trPr>
        <w:tc>
          <w:tcPr>
            <w:tcW w:w="3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Average price per share</w:t>
            </w: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89.74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98.53</w:t>
            </w:r>
          </w:p>
        </w:tc>
        <w:tc>
          <w:tcPr>
            <w:tcW w:w="3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95.55</w:t>
            </w:r>
          </w:p>
        </w:tc>
      </w:tr>
      <w:tr>
        <w:trPr>
          <w:trHeight w:val="29"/>
        </w:trPr>
        <w:tc>
          <w:tcPr>
            <w:tcW w:w="3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379" w:lineRule="exact"/>
        <w:rPr>
          <w:sz w:val="20"/>
          <w:szCs w:val="20"/>
          <w:color w:val="auto"/>
        </w:rPr>
      </w:pPr>
    </w:p>
    <w:p>
      <w:pPr>
        <w:ind w:right="920"/>
        <w:spacing w:after="0" w:line="285" w:lineRule="auto"/>
        <w:rPr>
          <w:sz w:val="20"/>
          <w:szCs w:val="20"/>
          <w:color w:val="auto"/>
        </w:rPr>
      </w:pPr>
      <w:r>
        <w:rPr>
          <w:rFonts w:ascii="Arial" w:cs="Arial" w:eastAsia="Arial" w:hAnsi="Arial"/>
          <w:sz w:val="16"/>
          <w:szCs w:val="16"/>
          <w:color w:val="auto"/>
        </w:rPr>
        <w:t>In addition to the open-market repurchases completed in fiscal years 2017, 2016 and 2015, the Company completed additional open-market repurchases totaling approximately $277.4 million in fiscal year priors to 2015.</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total remaining capacity under the repurchase authorizations as of December 30, 2017 was $85.6 million.</w:t>
      </w:r>
    </w:p>
    <w:p>
      <w:pPr>
        <w:spacing w:after="0" w:line="256"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Future share repurchases may occur from time to time in the open market, in negotiated transactions, or otherwise. The timing and amount of any repurchases will be determined by the Company based on its evaluation of market conditions, share price, other investment priorities, and other factors. The share repurchase authorizations have no expiration dates.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DIVIDENDS</w:t>
      </w:r>
    </w:p>
    <w:p>
      <w:pPr>
        <w:spacing w:after="0" w:line="207"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In fiscal 2017, the Company's Board of Directors declared and paid quarterly cash dividends of $0.37 per share during all four quarters. In fiscal 2016, the Company's Board of Directors paid quarterly cash dividends of $0.33 per share during all four quarters.</w:t>
      </w:r>
    </w:p>
    <w:p>
      <w:pPr>
        <w:spacing w:after="0" w:line="150" w:lineRule="exact"/>
        <w:rPr>
          <w:sz w:val="20"/>
          <w:szCs w:val="20"/>
          <w:color w:val="auto"/>
        </w:rPr>
      </w:pPr>
    </w:p>
    <w:p>
      <w:pPr>
        <w:ind w:right="760"/>
        <w:spacing w:after="0" w:line="285" w:lineRule="auto"/>
        <w:rPr>
          <w:sz w:val="20"/>
          <w:szCs w:val="20"/>
          <w:color w:val="auto"/>
        </w:rPr>
      </w:pPr>
      <w:r>
        <w:rPr>
          <w:rFonts w:ascii="Arial" w:cs="Arial" w:eastAsia="Arial" w:hAnsi="Arial"/>
          <w:sz w:val="16"/>
          <w:szCs w:val="16"/>
          <w:color w:val="auto"/>
        </w:rPr>
        <w:t>On February 22, 2018, the Company's Board of Directors authorized a quarterly cash dividend payment of $0.45 per common share, payable on March 23, 2018 to shareholders of record at the close of business on March 12, 2018.</w:t>
      </w:r>
    </w:p>
    <w:p>
      <w:pPr>
        <w:spacing w:after="0" w:line="150"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color w:val="auto"/>
        </w:rPr>
        <w:t>Future declarations of dividends and the establishment of future record and payment dates are at the discretion of the Company's Board of Directors based on a number of factors, including the Company's future financial performance and other investment priorities.</w:t>
      </w:r>
    </w:p>
    <w:p>
      <w:pPr>
        <w:spacing w:after="0" w:line="150" w:lineRule="exact"/>
        <w:rPr>
          <w:sz w:val="20"/>
          <w:szCs w:val="20"/>
          <w:color w:val="auto"/>
        </w:rPr>
      </w:pPr>
    </w:p>
    <w:p>
      <w:pPr>
        <w:ind w:right="120"/>
        <w:spacing w:after="0" w:line="320" w:lineRule="auto"/>
        <w:rPr>
          <w:sz w:val="20"/>
          <w:szCs w:val="20"/>
          <w:color w:val="auto"/>
        </w:rPr>
      </w:pPr>
      <w:r>
        <w:rPr>
          <w:rFonts w:ascii="Arial" w:cs="Arial" w:eastAsia="Arial" w:hAnsi="Arial"/>
          <w:sz w:val="15"/>
          <w:szCs w:val="15"/>
          <w:color w:val="auto"/>
        </w:rPr>
        <w:t>Provisions in the Company's secured revolving credit facility and indenture governing its senior notes could have the effect of restricting the Company’s ability to pay future cash dividends on or make future repurchases of its common stock, as further described in Note 7</w:t>
      </w:r>
      <w:r>
        <w:rPr>
          <w:rFonts w:ascii="Arial" w:cs="Arial" w:eastAsia="Arial" w:hAnsi="Arial"/>
          <w:sz w:val="15"/>
          <w:szCs w:val="15"/>
          <w:i w:val="1"/>
          <w:iCs w:val="1"/>
          <w:color w:val="auto"/>
        </w:rPr>
        <w:t>, Long-Term Debt,</w:t>
      </w:r>
      <w:r>
        <w:rPr>
          <w:rFonts w:ascii="Arial" w:cs="Arial" w:eastAsia="Arial" w:hAnsi="Arial"/>
          <w:sz w:val="15"/>
          <w:szCs w:val="15"/>
          <w:color w:val="auto"/>
        </w:rPr>
        <w:t xml:space="preserve"> to the consolidated financial statements.</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380"/>
          </w:cols>
          <w:pgMar w:left="240" w:top="123" w:right="279" w:bottom="1440" w:gutter="0" w:footer="0" w:header="0"/>
        </w:sectPr>
      </w:pPr>
    </w:p>
    <w:bookmarkStart w:id="79" w:name="page80"/>
    <w:bookmarkEnd w:id="79"/>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STOCK-BASED COMPENSATION</w:t>
      </w:r>
    </w:p>
    <w:p>
      <w:pPr>
        <w:spacing w:after="0" w:line="211" w:lineRule="exact"/>
        <w:rPr>
          <w:sz w:val="20"/>
          <w:szCs w:val="20"/>
          <w:color w:val="auto"/>
        </w:rPr>
      </w:pPr>
    </w:p>
    <w:p>
      <w:pPr>
        <w:ind w:right="100"/>
        <w:spacing w:after="0" w:line="360" w:lineRule="auto"/>
        <w:rPr>
          <w:sz w:val="20"/>
          <w:szCs w:val="20"/>
          <w:color w:val="auto"/>
        </w:rPr>
      </w:pPr>
      <w:r>
        <w:rPr>
          <w:rFonts w:ascii="Arial" w:cs="Arial" w:eastAsia="Arial" w:hAnsi="Arial"/>
          <w:sz w:val="14"/>
          <w:szCs w:val="14"/>
          <w:color w:val="auto"/>
        </w:rPr>
        <w:t>Under the Company’s Amended and Restated Equity Incentive Plan (the "Plan"), the Compensation Committee of the Board of Directors may award incentive stock options, stock appreciation rights, restricted stock, unrestricted stock, stock deliverable on a deferred basis (including restricted stock units), and performance-based stock awards.</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At the Company's May 13, 2011 shareholders' meeting, the shareholders approved an amendment to the Plan to (i) increase the maximum number of shares of stock available under the existing Plan by 3,725,000 shares from 12,053,392 shares to 15,778,392 shares and (ii) eliminate the Company's ability to grant cash awards and provide tax gross-ups under the Plan. The Plan was last approved for purposes of Section 162(m) of the Internal Revenue Code of 1986, as amended, at the Company's May 11, 2016 Shareholders' meeting. As of December 30, 2017, there were 1,100,157 shares available for grant under the Plan. The Plan makes provision for the treatment of awards upon termination of service or in the case of a merger or similar corporate transaction. Participation in the Plan is limited to members of the Company's board of directors, executive officers and other key employees.</w:t>
      </w:r>
    </w:p>
    <w:p>
      <w:pPr>
        <w:spacing w:after="0" w:line="169"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The limit on shares available under the Plan, the individual limits, and other award terms are subject to adjustment to reflect stock splits or stock dividends, combinations, and certain other events. All stock options issued under the Plan expire no later than ten years from the date of grant. The Company believes that the current level of authorized shares is sufficient to satisfy future grants for the foreseeable future.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stock-based compensation cost as follows:</w:t>
      </w:r>
    </w:p>
    <w:p>
      <w:pPr>
        <w:spacing w:after="0" w:line="146" w:lineRule="exact"/>
        <w:rPr>
          <w:sz w:val="20"/>
          <w:szCs w:val="20"/>
          <w:color w:val="auto"/>
        </w:rPr>
      </w:pPr>
    </w:p>
    <w:tbl>
      <w:tblPr>
        <w:tblLayout w:type="fixed"/>
        <w:tblInd w:w="2640" w:type="dxa"/>
        <w:tblCellMar>
          <w:top w:w="0" w:type="dxa"/>
          <w:left w:w="0" w:type="dxa"/>
          <w:bottom w:w="0" w:type="dxa"/>
          <w:right w:w="0" w:type="dxa"/>
        </w:tblCellMar>
      </w:tblPr>
      <w:tr>
        <w:trPr>
          <w:trHeight w:val="238"/>
        </w:trPr>
        <w:tc>
          <w:tcPr>
            <w:tcW w:w="25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3340" w:type="dxa"/>
            <w:vAlign w:val="bottom"/>
            <w:tcBorders>
              <w:bottom w:val="single" w:sz="8" w:color="auto"/>
            </w:tcBorders>
            <w:gridSpan w:val="7"/>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For the fiscal years ended</w:t>
            </w:r>
          </w:p>
        </w:tc>
      </w:tr>
      <w:tr>
        <w:trPr>
          <w:trHeight w:val="202"/>
        </w:trPr>
        <w:tc>
          <w:tcPr>
            <w:tcW w:w="256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30,</w:t>
            </w:r>
          </w:p>
        </w:tc>
        <w:tc>
          <w:tcPr>
            <w:tcW w:w="124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January 2,</w:t>
            </w:r>
          </w:p>
        </w:tc>
      </w:tr>
      <w:tr>
        <w:trPr>
          <w:trHeight w:val="211"/>
        </w:trPr>
        <w:tc>
          <w:tcPr>
            <w:tcW w:w="25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r>
      <w:tr>
        <w:trPr>
          <w:trHeight w:val="25"/>
        </w:trPr>
        <w:tc>
          <w:tcPr>
            <w:tcW w:w="2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4,350</w:t>
            </w:r>
          </w:p>
        </w:tc>
      </w:tr>
      <w:tr>
        <w:trPr>
          <w:trHeight w:val="219"/>
        </w:trPr>
        <w:tc>
          <w:tcPr>
            <w:tcW w:w="2560" w:type="dxa"/>
            <w:vAlign w:val="bottom"/>
          </w:tcPr>
          <w:p>
            <w:pPr>
              <w:ind w:left="20"/>
              <w:spacing w:after="0"/>
              <w:rPr>
                <w:sz w:val="20"/>
                <w:szCs w:val="20"/>
                <w:color w:val="auto"/>
              </w:rPr>
            </w:pPr>
            <w:r>
              <w:rPr>
                <w:rFonts w:ascii="Arial" w:cs="Arial" w:eastAsia="Arial" w:hAnsi="Arial"/>
                <w:sz w:val="16"/>
                <w:szCs w:val="16"/>
                <w:color w:val="auto"/>
              </w:rPr>
              <w:t>Restricted stock:</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
        </w:trPr>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Time-based awards</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6,855</w:t>
            </w:r>
          </w:p>
        </w:tc>
      </w:tr>
      <w:tr>
        <w:trPr>
          <w:trHeight w:val="219"/>
        </w:trPr>
        <w:tc>
          <w:tcPr>
            <w:tcW w:w="2560" w:type="dxa"/>
            <w:vAlign w:val="bottom"/>
          </w:tcPr>
          <w:p>
            <w:pPr>
              <w:ind w:left="140"/>
              <w:spacing w:after="0"/>
              <w:rPr>
                <w:sz w:val="20"/>
                <w:szCs w:val="20"/>
                <w:color w:val="auto"/>
              </w:rPr>
            </w:pPr>
            <w:r>
              <w:rPr>
                <w:rFonts w:ascii="Arial" w:cs="Arial" w:eastAsia="Arial" w:hAnsi="Arial"/>
                <w:sz w:val="16"/>
                <w:szCs w:val="16"/>
                <w:color w:val="auto"/>
              </w:rPr>
              <w:t>Performance-based awards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4,728</w:t>
            </w:r>
          </w:p>
        </w:tc>
      </w:tr>
      <w:tr>
        <w:trPr>
          <w:trHeight w:val="25"/>
        </w:trPr>
        <w:tc>
          <w:tcPr>
            <w:tcW w:w="2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5"/>
        </w:trPr>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Stock awards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1,096</w:t>
            </w:r>
          </w:p>
        </w:tc>
      </w:tr>
      <w:tr>
        <w:trPr>
          <w:trHeight w:val="230"/>
        </w:trPr>
        <w:tc>
          <w:tcPr>
            <w:tcW w:w="2560" w:type="dxa"/>
            <w:vAlign w:val="bottom"/>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17,549</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16,847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17,029</w:t>
            </w:r>
          </w:p>
        </w:tc>
      </w:tr>
      <w:tr>
        <w:trPr>
          <w:trHeight w:val="20"/>
        </w:trPr>
        <w:tc>
          <w:tcPr>
            <w:tcW w:w="2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Stock options vest in equal annual installments over a four-year period. The Company issues new shares to satisfy stock option exercises.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Company's stock options for the fiscal year ended December 30, 2017 were as follows:</w:t>
      </w:r>
    </w:p>
    <w:p>
      <w:pPr>
        <w:spacing w:after="0" w:line="146" w:lineRule="exact"/>
        <w:rPr>
          <w:sz w:val="20"/>
          <w:szCs w:val="20"/>
          <w:color w:val="auto"/>
        </w:rPr>
      </w:pPr>
    </w:p>
    <w:tbl>
      <w:tblPr>
        <w:tblLayout w:type="fixed"/>
        <w:tblInd w:w="1560" w:type="dxa"/>
        <w:tblCellMar>
          <w:top w:w="0" w:type="dxa"/>
          <w:left w:w="0" w:type="dxa"/>
          <w:bottom w:w="0" w:type="dxa"/>
          <w:right w:w="0" w:type="dxa"/>
        </w:tblCellMar>
      </w:tblPr>
      <w:tr>
        <w:trPr>
          <w:trHeight w:val="204"/>
        </w:trPr>
        <w:tc>
          <w:tcPr>
            <w:tcW w:w="35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6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98"/>
              </w:rPr>
              <w:t>Weighted-  Weighted-average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96"/>
        </w:trPr>
        <w:tc>
          <w:tcPr>
            <w:tcW w:w="35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b w:val="1"/>
                <w:bCs w:val="1"/>
                <w:color w:val="auto"/>
                <w:w w:val="89"/>
              </w:rPr>
              <w:t>average</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4"/>
              </w:rPr>
              <w:t>remaining</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90"/>
              </w:rPr>
              <w:t>Aggregate</w:t>
            </w:r>
          </w:p>
        </w:tc>
      </w:tr>
      <w:tr>
        <w:trPr>
          <w:trHeight w:val="196"/>
        </w:trPr>
        <w:tc>
          <w:tcPr>
            <w:tcW w:w="358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b w:val="1"/>
                <w:bCs w:val="1"/>
                <w:color w:val="auto"/>
                <w:w w:val="84"/>
              </w:rPr>
              <w:t>exercise</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93"/>
              </w:rPr>
              <w:t>contractual terms</w:t>
            </w: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92"/>
              </w:rPr>
              <w:t>intrinsic value</w:t>
            </w:r>
          </w:p>
        </w:tc>
      </w:tr>
      <w:tr>
        <w:trPr>
          <w:trHeight w:val="237"/>
        </w:trPr>
        <w:tc>
          <w:tcPr>
            <w:tcW w:w="35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5"/>
              </w:rPr>
              <w:t>shares</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b w:val="1"/>
                <w:bCs w:val="1"/>
                <w:color w:val="auto"/>
                <w:w w:val="88"/>
              </w:rPr>
              <w:t>price</w:t>
            </w:r>
          </w:p>
        </w:tc>
        <w:tc>
          <w:tcPr>
            <w:tcW w:w="1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1"/>
              </w:rPr>
              <w:t>(years)</w:t>
            </w:r>
          </w:p>
        </w:tc>
        <w:tc>
          <w:tcPr>
            <w:tcW w:w="1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(in thousands)</w:t>
            </w:r>
          </w:p>
        </w:tc>
      </w:tr>
      <w:tr>
        <w:trPr>
          <w:trHeight w:val="114"/>
        </w:trPr>
        <w:tc>
          <w:tcPr>
            <w:tcW w:w="3580" w:type="dxa"/>
            <w:vAlign w:val="bottom"/>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r>
      <w:tr>
        <w:trPr>
          <w:trHeight w:val="225"/>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December 31, 2016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1,441,210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$52.70</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122"/>
        </w:trPr>
        <w:tc>
          <w:tcPr>
            <w:tcW w:w="35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25"/>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338,356</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$84.29</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19"/>
        </w:trPr>
        <w:tc>
          <w:tcPr>
            <w:tcW w:w="358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160" w:type="dxa"/>
            <w:vAlign w:val="bottom"/>
          </w:tcPr>
          <w:p>
            <w:pPr>
              <w:jc w:val="right"/>
              <w:spacing w:after="0"/>
              <w:rPr>
                <w:sz w:val="20"/>
                <w:szCs w:val="20"/>
                <w:color w:val="auto"/>
              </w:rPr>
            </w:pPr>
            <w:r>
              <w:rPr>
                <w:rFonts w:ascii="Arial" w:cs="Arial" w:eastAsia="Arial" w:hAnsi="Arial"/>
                <w:sz w:val="16"/>
                <w:szCs w:val="16"/>
                <w:color w:val="auto"/>
              </w:rPr>
              <w:t>(240,850)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$35.03</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
        </w:trPr>
        <w:tc>
          <w:tcPr>
            <w:tcW w:w="3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(40,828)</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$83.99</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19"/>
        </w:trPr>
        <w:tc>
          <w:tcPr>
            <w:tcW w:w="3580" w:type="dxa"/>
            <w:vAlign w:val="bottom"/>
          </w:tcPr>
          <w:p>
            <w:pPr>
              <w:ind w:left="20"/>
              <w:spacing w:after="0"/>
              <w:rPr>
                <w:sz w:val="20"/>
                <w:szCs w:val="20"/>
                <w:color w:val="auto"/>
              </w:rPr>
            </w:pPr>
            <w:r>
              <w:rPr>
                <w:rFonts w:ascii="Arial" w:cs="Arial" w:eastAsia="Arial" w:hAnsi="Arial"/>
                <w:sz w:val="16"/>
                <w:szCs w:val="16"/>
                <w:color w:val="auto"/>
              </w:rPr>
              <w:t>Expired</w:t>
            </w:r>
          </w:p>
        </w:tc>
        <w:tc>
          <w:tcPr>
            <w:tcW w:w="1160" w:type="dxa"/>
            <w:vAlign w:val="bottom"/>
          </w:tcPr>
          <w:p>
            <w:pPr>
              <w:jc w:val="right"/>
              <w:spacing w:after="0"/>
              <w:rPr>
                <w:sz w:val="20"/>
                <w:szCs w:val="20"/>
                <w:color w:val="auto"/>
              </w:rPr>
            </w:pPr>
            <w:r>
              <w:rPr>
                <w:rFonts w:ascii="Arial" w:cs="Arial" w:eastAsia="Arial" w:hAnsi="Arial"/>
                <w:sz w:val="16"/>
                <w:szCs w:val="16"/>
                <w:color w:val="auto"/>
              </w:rPr>
              <w:t>(3,665)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$87.46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
        </w:trPr>
        <w:tc>
          <w:tcPr>
            <w:tcW w:w="35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3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December 30, 2017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1,494,223</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$61.76</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83,277</w:t>
            </w:r>
          </w:p>
        </w:tc>
      </w:tr>
      <w:tr>
        <w:trPr>
          <w:trHeight w:val="20"/>
        </w:trPr>
        <w:tc>
          <w:tcPr>
            <w:tcW w:w="3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06"/>
        </w:trPr>
        <w:tc>
          <w:tcPr>
            <w:tcW w:w="35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25"/>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5"/>
              </w:rPr>
              <w:t>Vested and Expected to Vest, December 30, 2017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1,422,339</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$60.53</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81,011</w:t>
            </w:r>
          </w:p>
        </w:tc>
      </w:tr>
      <w:tr>
        <w:trPr>
          <w:trHeight w:val="219"/>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Exercisable, December 30, 2017</w:t>
            </w:r>
          </w:p>
        </w:tc>
        <w:tc>
          <w:tcPr>
            <w:tcW w:w="1160" w:type="dxa"/>
            <w:vAlign w:val="bottom"/>
          </w:tcPr>
          <w:p>
            <w:pPr>
              <w:jc w:val="right"/>
              <w:spacing w:after="0"/>
              <w:rPr>
                <w:sz w:val="20"/>
                <w:szCs w:val="20"/>
                <w:color w:val="auto"/>
              </w:rPr>
            </w:pPr>
            <w:r>
              <w:rPr>
                <w:rFonts w:ascii="Arial" w:cs="Arial" w:eastAsia="Arial" w:hAnsi="Arial"/>
                <w:sz w:val="16"/>
                <w:szCs w:val="16"/>
                <w:color w:val="auto"/>
              </w:rPr>
              <w:t>907,065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$46.77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64,145</w:t>
            </w:r>
          </w:p>
        </w:tc>
      </w:tr>
      <w:tr>
        <w:trPr>
          <w:trHeight w:val="636"/>
        </w:trPr>
        <w:tc>
          <w:tcPr>
            <w:tcW w:w="35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77</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00"/>
          </w:cols>
          <w:pgMar w:left="240" w:top="123" w:right="259" w:bottom="1440" w:gutter="0" w:footer="0" w:header="0"/>
        </w:sectPr>
      </w:pPr>
    </w:p>
    <w:bookmarkStart w:id="80" w:name="page81"/>
    <w:bookmarkEnd w:id="80"/>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jc w:val="both"/>
        <w:ind w:right="220"/>
        <w:spacing w:after="0" w:line="270" w:lineRule="auto"/>
        <w:rPr>
          <w:sz w:val="20"/>
          <w:szCs w:val="20"/>
          <w:color w:val="auto"/>
        </w:rPr>
      </w:pPr>
      <w:r>
        <w:rPr>
          <w:rFonts w:ascii="Arial" w:cs="Arial" w:eastAsia="Arial" w:hAnsi="Arial"/>
          <w:sz w:val="16"/>
          <w:szCs w:val="16"/>
          <w:color w:val="auto"/>
        </w:rPr>
        <w:t>The intrinsic value of stock options exercised during the fiscal years ended December 30, 2017, December 31, 2016, and January 2, 2016 was approximately $14.9 million, $9.0 million, and $13.2 million, respectively. At December 30, 2017, there was approximately $7.7 million of unrecognized compensation cost (net of estimated forfeitures) related to stock options which is expected to be recognized over a weighted-average period of approximately 2.6 years.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weighted-average assumptions used to calculate the fair value of options granted in each of the respective fiscal years: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gridSpan w:val="4"/>
            <w:shd w:val="clear" w:color="auto" w:fill="CCEEFF"/>
          </w:tcPr>
          <w:p>
            <w:pPr>
              <w:ind w:left="60"/>
              <w:spacing w:after="0"/>
              <w:rPr>
                <w:sz w:val="20"/>
                <w:szCs w:val="20"/>
                <w:color w:val="auto"/>
              </w:rPr>
            </w:pPr>
            <w:r>
              <w:rPr>
                <w:rFonts w:ascii="Arial" w:cs="Arial" w:eastAsia="Arial" w:hAnsi="Arial"/>
                <w:sz w:val="16"/>
                <w:szCs w:val="16"/>
                <w:b w:val="1"/>
                <w:bCs w:val="1"/>
                <w:color w:val="auto"/>
                <w:w w:val="91"/>
              </w:rPr>
              <w:t>For the fiscal years ended</w:t>
            </w:r>
          </w:p>
        </w:tc>
        <w:tc>
          <w:tcPr>
            <w:tcW w:w="2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r>
      <w:tr>
        <w:trPr>
          <w:trHeight w:val="202"/>
        </w:trPr>
        <w:tc>
          <w:tcPr>
            <w:tcW w:w="6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279"/>
              <w:spacing w:after="0"/>
              <w:rPr>
                <w:sz w:val="20"/>
                <w:szCs w:val="20"/>
                <w:color w:val="auto"/>
              </w:rPr>
            </w:pPr>
            <w:r>
              <w:rPr>
                <w:rFonts w:ascii="Arial" w:cs="Arial" w:eastAsia="Arial" w:hAnsi="Arial"/>
                <w:sz w:val="16"/>
                <w:szCs w:val="16"/>
                <w:b w:val="1"/>
                <w:bCs w:val="1"/>
                <w:color w:val="auto"/>
                <w:w w:val="99"/>
              </w:rPr>
              <w:t>December 30,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7"/>
                <w:szCs w:val="17"/>
                <w:color w:val="auto"/>
              </w:rPr>
            </w:pPr>
          </w:p>
        </w:tc>
        <w:tc>
          <w:tcPr>
            <w:tcW w:w="1400" w:type="dxa"/>
            <w:vAlign w:val="bottom"/>
          </w:tcPr>
          <w:p>
            <w:pPr>
              <w:jc w:val="right"/>
              <w:ind w:right="399"/>
              <w:spacing w:after="0"/>
              <w:rPr>
                <w:sz w:val="20"/>
                <w:szCs w:val="20"/>
                <w:color w:val="auto"/>
              </w:rPr>
            </w:pPr>
            <w:r>
              <w:rPr>
                <w:rFonts w:ascii="Arial" w:cs="Arial" w:eastAsia="Arial" w:hAnsi="Arial"/>
                <w:sz w:val="16"/>
                <w:szCs w:val="16"/>
                <w:b w:val="1"/>
                <w:bCs w:val="1"/>
                <w:color w:val="auto"/>
              </w:rPr>
              <w:t>January 2,</w:t>
            </w:r>
          </w:p>
        </w:tc>
      </w:tr>
      <w:tr>
        <w:trPr>
          <w:trHeight w:val="211"/>
        </w:trPr>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25"/>
        </w:trPr>
        <w:tc>
          <w:tcPr>
            <w:tcW w:w="6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31.65%</w:t>
            </w:r>
          </w:p>
        </w:tc>
      </w:tr>
      <w:tr>
        <w:trPr>
          <w:trHeight w:val="219"/>
        </w:trPr>
        <w:tc>
          <w:tcPr>
            <w:tcW w:w="626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5"/>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5"/>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6.0</w:t>
            </w:r>
          </w:p>
        </w:tc>
      </w:tr>
      <w:tr>
        <w:trPr>
          <w:trHeight w:val="219"/>
        </w:trPr>
        <w:tc>
          <w:tcPr>
            <w:tcW w:w="626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5"/>
        </w:trPr>
        <w:tc>
          <w:tcPr>
            <w:tcW w:w="6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9"/>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 of options granted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19.57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24.59</w:t>
            </w:r>
          </w:p>
        </w:tc>
      </w:tr>
      <w:tr>
        <w:trPr>
          <w:trHeight w:val="25"/>
        </w:trPr>
        <w:tc>
          <w:tcPr>
            <w:tcW w:w="6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3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 AWARDS</w:t>
      </w:r>
    </w:p>
    <w:p>
      <w:pPr>
        <w:spacing w:after="0" w:line="207" w:lineRule="exact"/>
        <w:rPr>
          <w:sz w:val="20"/>
          <w:szCs w:val="20"/>
          <w:color w:val="auto"/>
        </w:rPr>
      </w:pPr>
    </w:p>
    <w:p>
      <w:pPr>
        <w:ind w:right="820"/>
        <w:spacing w:after="0" w:line="285" w:lineRule="auto"/>
        <w:rPr>
          <w:sz w:val="20"/>
          <w:szCs w:val="20"/>
          <w:color w:val="auto"/>
        </w:rPr>
      </w:pPr>
      <w:r>
        <w:rPr>
          <w:rFonts w:ascii="Arial" w:cs="Arial" w:eastAsia="Arial" w:hAnsi="Arial"/>
          <w:sz w:val="16"/>
          <w:szCs w:val="16"/>
          <w:color w:val="auto"/>
        </w:rPr>
        <w:t>Restricted stock awards issued under the Plan vest based upon: 1) continued service (time-based) or 2) a combination of continued service and performance targets (performance-based).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activity related to all restricted stock awards during the fiscal year ended December 30, 2017:</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80" w:type="dxa"/>
            <w:vAlign w:val="bottom"/>
            <w:shd w:val="clear" w:color="auto" w:fill="CCEEFF"/>
          </w:tcPr>
          <w:p>
            <w:pPr>
              <w:spacing w:after="0"/>
              <w:rPr>
                <w:sz w:val="17"/>
                <w:szCs w:val="17"/>
                <w:color w:val="auto"/>
              </w:rPr>
            </w:pPr>
          </w:p>
        </w:tc>
        <w:tc>
          <w:tcPr>
            <w:tcW w:w="1460" w:type="dxa"/>
            <w:vAlign w:val="bottom"/>
            <w:shd w:val="clear" w:color="auto" w:fill="CCEEFF"/>
          </w:tcPr>
          <w:p>
            <w:pPr>
              <w:jc w:val="center"/>
              <w:ind w:left="659"/>
              <w:spacing w:after="0"/>
              <w:rPr>
                <w:sz w:val="20"/>
                <w:szCs w:val="20"/>
                <w:color w:val="auto"/>
              </w:rPr>
            </w:pPr>
            <w:r>
              <w:rPr>
                <w:rFonts w:ascii="Arial" w:cs="Arial" w:eastAsia="Arial" w:hAnsi="Arial"/>
                <w:sz w:val="16"/>
                <w:szCs w:val="16"/>
                <w:b w:val="1"/>
                <w:bCs w:val="1"/>
                <w:color w:val="auto"/>
                <w:w w:val="91"/>
              </w:rPr>
              <w:t>Restricted</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196"/>
        </w:trPr>
        <w:tc>
          <w:tcPr>
            <w:tcW w:w="6980" w:type="dxa"/>
            <w:vAlign w:val="bottom"/>
            <w:shd w:val="clear" w:color="auto" w:fill="CCEEFF"/>
          </w:tcPr>
          <w:p>
            <w:pPr>
              <w:spacing w:after="0"/>
              <w:rPr>
                <w:sz w:val="17"/>
                <w:szCs w:val="17"/>
                <w:color w:val="auto"/>
              </w:rPr>
            </w:pPr>
          </w:p>
        </w:tc>
        <w:tc>
          <w:tcPr>
            <w:tcW w:w="1460" w:type="dxa"/>
            <w:vAlign w:val="bottom"/>
            <w:shd w:val="clear" w:color="auto" w:fill="CCEEFF"/>
          </w:tcPr>
          <w:p>
            <w:pPr>
              <w:jc w:val="center"/>
              <w:ind w:left="659"/>
              <w:spacing w:after="0"/>
              <w:rPr>
                <w:sz w:val="20"/>
                <w:szCs w:val="20"/>
                <w:color w:val="auto"/>
              </w:rPr>
            </w:pPr>
            <w:r>
              <w:rPr>
                <w:rFonts w:ascii="Arial" w:cs="Arial" w:eastAsia="Arial" w:hAnsi="Arial"/>
                <w:sz w:val="16"/>
                <w:szCs w:val="16"/>
                <w:b w:val="1"/>
                <w:bCs w:val="1"/>
                <w:color w:val="auto"/>
                <w:w w:val="86"/>
              </w:rPr>
              <w:t>stock</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Weighted-average grant-date</w:t>
            </w:r>
          </w:p>
        </w:tc>
      </w:tr>
      <w:tr>
        <w:trPr>
          <w:trHeight w:val="237"/>
        </w:trPr>
        <w:tc>
          <w:tcPr>
            <w:tcW w:w="69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ind w:left="639"/>
              <w:spacing w:after="0"/>
              <w:rPr>
                <w:sz w:val="20"/>
                <w:szCs w:val="20"/>
                <w:color w:val="auto"/>
              </w:rPr>
            </w:pPr>
            <w:r>
              <w:rPr>
                <w:rFonts w:ascii="Arial" w:cs="Arial" w:eastAsia="Arial" w:hAnsi="Arial"/>
                <w:sz w:val="16"/>
                <w:szCs w:val="16"/>
                <w:b w:val="1"/>
                <w:bCs w:val="1"/>
                <w:color w:val="auto"/>
                <w:w w:val="90"/>
              </w:rPr>
              <w:t>awards</w:t>
            </w: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fair value</w:t>
            </w:r>
          </w:p>
        </w:tc>
      </w:tr>
      <w:tr>
        <w:trPr>
          <w:trHeight w:val="21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Outstanding, December 31, 2016</w:t>
            </w:r>
          </w:p>
        </w:tc>
        <w:tc>
          <w:tcPr>
            <w:tcW w:w="14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405,699</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81.29</w:t>
            </w:r>
          </w:p>
        </w:tc>
      </w:tr>
      <w:tr>
        <w:trPr>
          <w:trHeight w:val="25"/>
        </w:trPr>
        <w:tc>
          <w:tcPr>
            <w:tcW w:w="6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5"/>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178,240</w:t>
            </w:r>
          </w:p>
        </w:tc>
        <w:tc>
          <w:tcPr>
            <w:tcW w:w="5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84.11</w:t>
            </w:r>
          </w:p>
        </w:tc>
      </w:tr>
      <w:tr>
        <w:trPr>
          <w:trHeight w:val="219"/>
        </w:trPr>
        <w:tc>
          <w:tcPr>
            <w:tcW w:w="8440" w:type="dxa"/>
            <w:vAlign w:val="bottom"/>
            <w:gridSpan w:val="2"/>
          </w:tcPr>
          <w:p>
            <w:pPr>
              <w:ind w:left="20"/>
              <w:spacing w:after="0"/>
              <w:rPr>
                <w:sz w:val="20"/>
                <w:szCs w:val="20"/>
                <w:color w:val="auto"/>
              </w:rPr>
            </w:pPr>
            <w:r>
              <w:rPr>
                <w:rFonts w:ascii="Arial" w:cs="Arial" w:eastAsia="Arial" w:hAnsi="Arial"/>
                <w:sz w:val="16"/>
                <w:szCs w:val="16"/>
                <w:color w:val="auto"/>
              </w:rPr>
              <w:t>Vested</w:t>
            </w:r>
          </w:p>
        </w:tc>
        <w:tc>
          <w:tcPr>
            <w:tcW w:w="720" w:type="dxa"/>
            <w:vAlign w:val="bottom"/>
          </w:tcPr>
          <w:p>
            <w:pPr>
              <w:jc w:val="right"/>
              <w:spacing w:after="0"/>
              <w:rPr>
                <w:sz w:val="20"/>
                <w:szCs w:val="20"/>
                <w:color w:val="auto"/>
              </w:rPr>
            </w:pPr>
            <w:r>
              <w:rPr>
                <w:rFonts w:ascii="Arial" w:cs="Arial" w:eastAsia="Arial" w:hAnsi="Arial"/>
                <w:sz w:val="16"/>
                <w:szCs w:val="16"/>
                <w:color w:val="auto"/>
                <w:w w:val="93"/>
              </w:rPr>
              <w:t>(168,471)</w:t>
            </w:r>
          </w:p>
        </w:tc>
        <w:tc>
          <w:tcPr>
            <w:tcW w:w="5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74.00</w:t>
            </w:r>
          </w:p>
        </w:tc>
      </w:tr>
      <w:tr>
        <w:trPr>
          <w:trHeight w:val="25"/>
        </w:trPr>
        <w:tc>
          <w:tcPr>
            <w:tcW w:w="69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5"/>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14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(17,620)</w:t>
            </w:r>
          </w:p>
        </w:tc>
        <w:tc>
          <w:tcPr>
            <w:tcW w:w="540" w:type="dxa"/>
            <w:vAlign w:val="bottom"/>
            <w:tcBorders>
              <w:bottom w:val="single" w:sz="8" w:color="CCEEFF"/>
            </w:tcBorders>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83.92</w:t>
            </w:r>
          </w:p>
        </w:tc>
      </w:tr>
      <w:tr>
        <w:trPr>
          <w:trHeight w:val="230"/>
        </w:trPr>
        <w:tc>
          <w:tcPr>
            <w:tcW w:w="6980" w:type="dxa"/>
            <w:vAlign w:val="bottom"/>
          </w:tcPr>
          <w:p>
            <w:pPr>
              <w:ind w:left="20"/>
              <w:spacing w:after="0"/>
              <w:rPr>
                <w:sz w:val="20"/>
                <w:szCs w:val="20"/>
                <w:color w:val="auto"/>
              </w:rPr>
            </w:pPr>
            <w:r>
              <w:rPr>
                <w:rFonts w:ascii="Arial" w:cs="Arial" w:eastAsia="Arial" w:hAnsi="Arial"/>
                <w:sz w:val="16"/>
                <w:szCs w:val="16"/>
                <w:b w:val="1"/>
                <w:bCs w:val="1"/>
                <w:color w:val="auto"/>
              </w:rPr>
              <w:t>Outstanding, December 30, 2017</w:t>
            </w:r>
          </w:p>
        </w:tc>
        <w:tc>
          <w:tcPr>
            <w:tcW w:w="14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397,848</w:t>
            </w:r>
          </w:p>
        </w:tc>
        <w:tc>
          <w:tcPr>
            <w:tcW w:w="5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85.44</w:t>
            </w:r>
          </w:p>
        </w:tc>
      </w:tr>
      <w:tr>
        <w:trPr>
          <w:trHeight w:val="20"/>
        </w:trPr>
        <w:tc>
          <w:tcPr>
            <w:tcW w:w="69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right="120"/>
        <w:spacing w:after="0" w:line="326" w:lineRule="auto"/>
        <w:rPr>
          <w:sz w:val="20"/>
          <w:szCs w:val="20"/>
          <w:color w:val="auto"/>
        </w:rPr>
      </w:pPr>
      <w:r>
        <w:rPr>
          <w:rFonts w:ascii="Arial" w:cs="Arial" w:eastAsia="Arial" w:hAnsi="Arial"/>
          <w:sz w:val="14"/>
          <w:szCs w:val="14"/>
          <w:color w:val="auto"/>
        </w:rPr>
        <w:t>During fiscal 2016, a total of 218,335 shares of restricted stock vested with a weighted-average fair value of $62.98 per share. During fiscal 2015, a total of 352,396 shares of restricted stock vested with a weighted-average fair value of $43.20 per share. At December 30, 2017, there was approximately $17.9 million of unrecognized compensation cost (net of estimated forfeitures) related to all restricted stock awards which is expected to be recognized over a weighted-average period of approximately 2.2 years.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Time-based Restricted Stock Awards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Time-based restricted stock awards vest in equal annual installments or cliff vest after a three- or four-year period. During fiscal years 2017, 2016, and 2015, a total of 114,703</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shares, 124,135 shares, and 148,396 shares, respectively, of time-based restricted stock vested with a weighted-average fair value of $76.58 per share, $65.80 per share, and</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$51.67 per share, respectively. At December 30, 2017, there was approximately $12.7 million of unrecognized compensation cost (net of estimated forfeitures) related to time-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based restricted stock which is expected to be recognized over a weighted-average period of approximately 2.5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40"/>
          </w:cols>
          <w:pgMar w:left="240" w:top="123" w:right="219" w:bottom="1440" w:gutter="0" w:footer="0" w:header="0"/>
        </w:sectPr>
      </w:pPr>
    </w:p>
    <w:bookmarkStart w:id="81" w:name="page82"/>
    <w:bookmarkEnd w:id="81"/>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Restricted Stock Awards</w:t>
      </w:r>
    </w:p>
    <w:p>
      <w:pPr>
        <w:spacing w:after="0" w:line="342" w:lineRule="exact"/>
        <w:rPr>
          <w:sz w:val="20"/>
          <w:szCs w:val="20"/>
          <w:color w:val="auto"/>
        </w:rPr>
      </w:pPr>
    </w:p>
    <w:tbl>
      <w:tblPr>
        <w:tblLayout w:type="fixed"/>
        <w:tblInd w:w="2260" w:type="dxa"/>
        <w:tblCellMar>
          <w:top w:w="0" w:type="dxa"/>
          <w:left w:w="0" w:type="dxa"/>
          <w:bottom w:w="0" w:type="dxa"/>
          <w:right w:w="0" w:type="dxa"/>
        </w:tblCellMar>
      </w:tblPr>
      <w:tr>
        <w:trPr>
          <w:trHeight w:val="204"/>
        </w:trPr>
        <w:tc>
          <w:tcPr>
            <w:tcW w:w="204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92"/>
              </w:rPr>
              <w:t>Weighted-average fair value</w:t>
            </w:r>
          </w:p>
        </w:tc>
      </w:tr>
      <w:tr>
        <w:trPr>
          <w:trHeight w:val="242"/>
        </w:trPr>
        <w:tc>
          <w:tcPr>
            <w:tcW w:w="2040" w:type="dxa"/>
            <w:vAlign w:val="bottom"/>
            <w:tcBorders>
              <w:bottom w:val="single" w:sz="8" w:color="CCEEFF"/>
            </w:tcBorders>
            <w:shd w:val="clear" w:color="auto" w:fill="CCEEFF"/>
          </w:tcPr>
          <w:p>
            <w:pPr>
              <w:jc w:val="center"/>
              <w:ind w:left="119"/>
              <w:spacing w:after="0"/>
              <w:rPr>
                <w:sz w:val="20"/>
                <w:szCs w:val="20"/>
                <w:color w:val="auto"/>
              </w:rPr>
            </w:pPr>
            <w:r>
              <w:rPr>
                <w:rFonts w:ascii="Arial" w:cs="Arial" w:eastAsia="Arial" w:hAnsi="Arial"/>
                <w:sz w:val="16"/>
                <w:szCs w:val="16"/>
                <w:b w:val="1"/>
                <w:bCs w:val="1"/>
                <w:color w:val="auto"/>
                <w:w w:val="91"/>
              </w:rPr>
              <w:t>Fiscal year</w:t>
            </w:r>
          </w:p>
        </w:tc>
        <w:tc>
          <w:tcPr>
            <w:tcW w:w="25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Number of shares granted</w:t>
            </w:r>
          </w:p>
        </w:tc>
        <w:tc>
          <w:tcPr>
            <w:tcW w:w="2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per share</w:t>
            </w:r>
          </w:p>
        </w:tc>
      </w:tr>
      <w:tr>
        <w:trPr>
          <w:trHeight w:val="211"/>
        </w:trPr>
        <w:tc>
          <w:tcPr>
            <w:tcW w:w="2040" w:type="dxa"/>
            <w:vAlign w:val="bottom"/>
            <w:tcBorders>
              <w:top w:val="single" w:sz="8" w:color="auto"/>
            </w:tcBorders>
          </w:tcPr>
          <w:p>
            <w:pPr>
              <w:jc w:val="center"/>
              <w:ind w:left="119"/>
              <w:spacing w:after="0"/>
              <w:rPr>
                <w:sz w:val="20"/>
                <w:szCs w:val="20"/>
                <w:color w:val="auto"/>
              </w:rPr>
            </w:pPr>
            <w:r>
              <w:rPr>
                <w:rFonts w:ascii="Arial" w:cs="Arial" w:eastAsia="Arial" w:hAnsi="Arial"/>
                <w:sz w:val="16"/>
                <w:szCs w:val="16"/>
                <w:color w:val="auto"/>
                <w:w w:val="89"/>
              </w:rPr>
              <w:t>2015</w:t>
            </w:r>
          </w:p>
        </w:tc>
        <w:tc>
          <w:tcPr>
            <w:tcW w:w="2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50,600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82.40</w:t>
            </w:r>
          </w:p>
        </w:tc>
      </w:tr>
      <w:tr>
        <w:trPr>
          <w:trHeight w:val="25"/>
        </w:trPr>
        <w:tc>
          <w:tcPr>
            <w:tcW w:w="20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25"/>
        </w:trPr>
        <w:tc>
          <w:tcPr>
            <w:tcW w:w="2040" w:type="dxa"/>
            <w:vAlign w:val="bottom"/>
            <w:tcBorders>
              <w:bottom w:val="single" w:sz="8" w:color="CCEEFF"/>
            </w:tcBorders>
            <w:shd w:val="clear" w:color="auto" w:fill="CCEEFF"/>
          </w:tcPr>
          <w:p>
            <w:pPr>
              <w:jc w:val="center"/>
              <w:ind w:left="119"/>
              <w:spacing w:after="0"/>
              <w:rPr>
                <w:sz w:val="20"/>
                <w:szCs w:val="20"/>
                <w:color w:val="auto"/>
              </w:rPr>
            </w:pPr>
            <w:r>
              <w:rPr>
                <w:rFonts w:ascii="Arial" w:cs="Arial" w:eastAsia="Arial" w:hAnsi="Arial"/>
                <w:sz w:val="16"/>
                <w:szCs w:val="16"/>
                <w:color w:val="auto"/>
                <w:w w:val="89"/>
              </w:rPr>
              <w:t>2016</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90.66</w:t>
            </w:r>
          </w:p>
        </w:tc>
      </w:tr>
      <w:tr>
        <w:trPr>
          <w:trHeight w:val="219"/>
        </w:trPr>
        <w:tc>
          <w:tcPr>
            <w:tcW w:w="2040" w:type="dxa"/>
            <w:vAlign w:val="bottom"/>
          </w:tcPr>
          <w:p>
            <w:pPr>
              <w:jc w:val="center"/>
              <w:ind w:left="119"/>
              <w:spacing w:after="0"/>
              <w:rPr>
                <w:sz w:val="20"/>
                <w:szCs w:val="20"/>
                <w:color w:val="auto"/>
              </w:rPr>
            </w:pPr>
            <w:r>
              <w:rPr>
                <w:rFonts w:ascii="Arial" w:cs="Arial" w:eastAsia="Arial" w:hAnsi="Arial"/>
                <w:sz w:val="16"/>
                <w:szCs w:val="16"/>
                <w:color w:val="auto"/>
                <w:w w:val="89"/>
              </w:rPr>
              <w:t>2017</w:t>
            </w:r>
          </w:p>
        </w:tc>
        <w:tc>
          <w:tcPr>
            <w:tcW w:w="2560" w:type="dxa"/>
            <w:vAlign w:val="bottom"/>
          </w:tcPr>
          <w:p>
            <w:pPr>
              <w:jc w:val="right"/>
              <w:spacing w:after="0"/>
              <w:rPr>
                <w:sz w:val="20"/>
                <w:szCs w:val="20"/>
                <w:color w:val="auto"/>
              </w:rPr>
            </w:pPr>
            <w:r>
              <w:rPr>
                <w:rFonts w:ascii="Arial" w:cs="Arial" w:eastAsia="Arial" w:hAnsi="Arial"/>
                <w:sz w:val="16"/>
                <w:szCs w:val="16"/>
                <w:color w:val="auto"/>
              </w:rPr>
              <w:t>60,952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00" w:type="dxa"/>
            <w:vAlign w:val="bottom"/>
          </w:tcPr>
          <w:p>
            <w:pPr>
              <w:jc w:val="right"/>
              <w:spacing w:after="0"/>
              <w:rPr>
                <w:sz w:val="20"/>
                <w:szCs w:val="20"/>
                <w:color w:val="auto"/>
              </w:rPr>
            </w:pPr>
            <w:r>
              <w:rPr>
                <w:rFonts w:ascii="Arial" w:cs="Arial" w:eastAsia="Arial" w:hAnsi="Arial"/>
                <w:sz w:val="16"/>
                <w:szCs w:val="16"/>
                <w:color w:val="auto"/>
              </w:rPr>
              <w:t>83.84</w:t>
            </w:r>
          </w:p>
        </w:tc>
      </w:tr>
    </w:tbl>
    <w:p>
      <w:pPr>
        <w:spacing w:after="0" w:line="208"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During the fiscal year ended December 30, 2017, a total of 53,768 performance shares vested with a weighted-average fair value of $68.49 per share. As of December 30, 2017, a total of 158,994 performance shares were unvested with a weighted-average fair value of $85.60 per share. Vesting of these 158,994 performance shares is based on the performance targets for the shares granted in fiscal 2017, 2016, and 2015. As of December 30, 2017, there was approximately $5.2 million of unrecognized compensation cost (net of estimated forfeitures) related to the unvested performance-based restricted stock awards which is expected to be recognized over a weighted-average period of approximately 1.7 years.</w:t>
      </w:r>
    </w:p>
    <w:p>
      <w:pPr>
        <w:spacing w:after="0" w:line="17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Company estimates that all of the performance targets will be fully achieved and is recognizing compensation cost ratably over the applicable performance periods based on estimated achievement at the end of each reporting period.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Awards</w:t>
      </w:r>
    </w:p>
    <w:p>
      <w:pPr>
        <w:spacing w:after="0" w:line="207"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Included in restricted stock awards are grants to non-management members of the Company's Board of Directors. At issuance, these awards were fully vested and issued as shares of the Company's common stock. During fiscal years 2017, 2016, and 2015, such awards were as follows:</w:t>
      </w:r>
    </w:p>
    <w:p>
      <w:pPr>
        <w:spacing w:after="0" w:line="89" w:lineRule="exact"/>
        <w:rPr>
          <w:sz w:val="20"/>
          <w:szCs w:val="20"/>
          <w:color w:val="auto"/>
        </w:rPr>
      </w:pPr>
    </w:p>
    <w:tbl>
      <w:tblPr>
        <w:tblLayout w:type="fixed"/>
        <w:tblInd w:w="3060" w:type="dxa"/>
        <w:tblCellMar>
          <w:top w:w="0" w:type="dxa"/>
          <w:left w:w="0" w:type="dxa"/>
          <w:bottom w:w="0" w:type="dxa"/>
          <w:right w:w="0" w:type="dxa"/>
        </w:tblCellMar>
      </w:tblPr>
      <w:tr>
        <w:trPr>
          <w:trHeight w:val="204"/>
        </w:trPr>
        <w:tc>
          <w:tcPr>
            <w:tcW w:w="13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6"/>
              </w:rPr>
              <w:t>Fair value</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5"/>
              </w:rPr>
              <w:t>Aggregate value (in</w:t>
            </w:r>
          </w:p>
        </w:tc>
      </w:tr>
      <w:tr>
        <w:trPr>
          <w:trHeight w:val="237"/>
        </w:trPr>
        <w:tc>
          <w:tcPr>
            <w:tcW w:w="13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84"/>
              </w:rPr>
              <w:t>shares issued</w:t>
            </w: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1"/>
              </w:rPr>
              <w:t>per share</w:t>
            </w:r>
          </w:p>
        </w:tc>
        <w:tc>
          <w:tcPr>
            <w:tcW w:w="15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thousands)</w:t>
            </w:r>
          </w:p>
        </w:tc>
      </w:tr>
      <w:tr>
        <w:trPr>
          <w:trHeight w:val="211"/>
        </w:trPr>
        <w:tc>
          <w:tcPr>
            <w:tcW w:w="1300" w:type="dxa"/>
            <w:vAlign w:val="bottom"/>
          </w:tcPr>
          <w:p>
            <w:pPr>
              <w:jc w:val="right"/>
              <w:ind w:right="419"/>
              <w:spacing w:after="0"/>
              <w:rPr>
                <w:sz w:val="20"/>
                <w:szCs w:val="20"/>
                <w:color w:val="auto"/>
              </w:rPr>
            </w:pPr>
            <w:r>
              <w:rPr>
                <w:rFonts w:ascii="Arial" w:cs="Arial" w:eastAsia="Arial" w:hAnsi="Arial"/>
                <w:sz w:val="16"/>
                <w:szCs w:val="16"/>
                <w:color w:val="auto"/>
              </w:rPr>
              <w:t>2015</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10,933</w:t>
            </w:r>
          </w:p>
        </w:tc>
        <w:tc>
          <w:tcPr>
            <w:tcW w:w="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$100.21</w:t>
            </w:r>
          </w:p>
        </w:tc>
        <w:tc>
          <w:tcPr>
            <w:tcW w:w="10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$1,095</w:t>
            </w:r>
          </w:p>
        </w:tc>
      </w:tr>
      <w:tr>
        <w:trPr>
          <w:trHeight w:val="25"/>
        </w:trPr>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5"/>
        </w:trPr>
        <w:tc>
          <w:tcPr>
            <w:tcW w:w="13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2016</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12,758</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$101.10</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$1,290</w:t>
            </w:r>
          </w:p>
        </w:tc>
      </w:tr>
      <w:tr>
        <w:trPr>
          <w:trHeight w:val="219"/>
        </w:trPr>
        <w:tc>
          <w:tcPr>
            <w:tcW w:w="1300" w:type="dxa"/>
            <w:vAlign w:val="bottom"/>
          </w:tcPr>
          <w:p>
            <w:pPr>
              <w:jc w:val="right"/>
              <w:ind w:right="419"/>
              <w:spacing w:after="0"/>
              <w:rPr>
                <w:sz w:val="20"/>
                <w:szCs w:val="20"/>
                <w:color w:val="auto"/>
              </w:rPr>
            </w:pPr>
            <w:r>
              <w:rPr>
                <w:rFonts w:ascii="Arial" w:cs="Arial" w:eastAsia="Arial" w:hAnsi="Arial"/>
                <w:sz w:val="16"/>
                <w:szCs w:val="16"/>
                <w:color w:val="auto"/>
              </w:rPr>
              <w:t>2017</w:t>
            </w:r>
          </w:p>
        </w:tc>
        <w:tc>
          <w:tcPr>
            <w:tcW w:w="1260" w:type="dxa"/>
            <w:vAlign w:val="bottom"/>
          </w:tcPr>
          <w:p>
            <w:pPr>
              <w:jc w:val="right"/>
              <w:spacing w:after="0"/>
              <w:rPr>
                <w:sz w:val="20"/>
                <w:szCs w:val="20"/>
                <w:color w:val="auto"/>
              </w:rPr>
            </w:pPr>
            <w:r>
              <w:rPr>
                <w:rFonts w:ascii="Arial" w:cs="Arial" w:eastAsia="Arial" w:hAnsi="Arial"/>
                <w:sz w:val="16"/>
                <w:szCs w:val="16"/>
                <w:color w:val="auto"/>
              </w:rPr>
              <w:t>13,860</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$84.46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$1,171</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received no proceeds from the issuance of these shares.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EMPLOYEE BENEFIT PLANS</w:t>
      </w:r>
    </w:p>
    <w:p>
      <w:pPr>
        <w:spacing w:after="0" w:line="21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Company maintains defined contribution plans, a deferred compensation plan, and two defined benefit plans. The two defined benefit plans include the OshKosh B'Gosh pension plan and a post-retirement life and medical plan.</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OSHKOSH B'GOSH PENSION PLAN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Funded Status</w:t>
      </w:r>
    </w:p>
    <w:p>
      <w:pPr>
        <w:spacing w:after="0" w:line="20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retirement benefits under the OshKosh B'Gosh pension plan were frozen as of December 31, 2005. A reconciliation of changes in the projected pension benefit obligation and plan assets is as follows:</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380"/>
          </w:cols>
          <w:pgMar w:left="240" w:top="123" w:right="279" w:bottom="1440" w:gutter="0" w:footer="0" w:header="0"/>
        </w:sectPr>
      </w:pPr>
    </w:p>
    <w:bookmarkStart w:id="82" w:name="page83"/>
    <w:bookmarkEnd w:id="82"/>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351" w:lineRule="exact"/>
        <w:rPr>
          <w:sz w:val="20"/>
          <w:szCs w:val="20"/>
          <w:color w:val="auto"/>
        </w:rPr>
      </w:pPr>
    </w:p>
    <w:tbl>
      <w:tblPr>
        <w:tblLayout w:type="fixed"/>
        <w:tblInd w:w="600" w:type="dxa"/>
        <w:tblCellMar>
          <w:top w:w="0" w:type="dxa"/>
          <w:left w:w="0" w:type="dxa"/>
          <w:bottom w:w="0" w:type="dxa"/>
          <w:right w:w="0" w:type="dxa"/>
        </w:tblCellMar>
      </w:tblPr>
      <w:tr>
        <w:trPr>
          <w:trHeight w:val="238"/>
        </w:trPr>
        <w:tc>
          <w:tcPr>
            <w:tcW w:w="58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4440" w:type="dxa"/>
            <w:vAlign w:val="bottom"/>
            <w:tcBorders>
              <w:bottom w:val="single" w:sz="8" w:color="auto"/>
            </w:tcBorders>
            <w:gridSpan w:val="4"/>
            <w:shd w:val="clear" w:color="auto" w:fill="CCEEFF"/>
          </w:tcPr>
          <w:p>
            <w:pPr>
              <w:jc w:val="right"/>
              <w:ind w:right="1419"/>
              <w:spacing w:after="0"/>
              <w:rPr>
                <w:sz w:val="20"/>
                <w:szCs w:val="20"/>
                <w:color w:val="auto"/>
              </w:rPr>
            </w:pPr>
            <w:r>
              <w:rPr>
                <w:rFonts w:ascii="Arial" w:cs="Arial" w:eastAsia="Arial" w:hAnsi="Arial"/>
                <w:sz w:val="16"/>
                <w:szCs w:val="16"/>
                <w:b w:val="1"/>
                <w:bCs w:val="1"/>
                <w:color w:val="auto"/>
              </w:rPr>
              <w:t>For the fiscal year ended</w:t>
            </w:r>
          </w:p>
        </w:tc>
      </w:tr>
      <w:tr>
        <w:trPr>
          <w:trHeight w:val="218"/>
        </w:trPr>
        <w:tc>
          <w:tcPr>
            <w:tcW w:w="582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18"/>
                <w:szCs w:val="18"/>
                <w:color w:val="auto"/>
              </w:rPr>
            </w:pPr>
          </w:p>
        </w:tc>
        <w:tc>
          <w:tcPr>
            <w:tcW w:w="212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30, 2017</w:t>
            </w:r>
          </w:p>
        </w:tc>
        <w:tc>
          <w:tcPr>
            <w:tcW w:w="300" w:type="dxa"/>
            <w:vAlign w:val="bottom"/>
          </w:tcPr>
          <w:p>
            <w:pPr>
              <w:spacing w:after="0"/>
              <w:rPr>
                <w:sz w:val="18"/>
                <w:szCs w:val="18"/>
                <w:color w:val="auto"/>
              </w:rPr>
            </w:pPr>
          </w:p>
        </w:tc>
        <w:tc>
          <w:tcPr>
            <w:tcW w:w="2020" w:type="dxa"/>
            <w:vAlign w:val="bottom"/>
          </w:tcPr>
          <w:p>
            <w:pPr>
              <w:jc w:val="right"/>
              <w:ind w:right="419"/>
              <w:spacing w:after="0"/>
              <w:rPr>
                <w:sz w:val="20"/>
                <w:szCs w:val="20"/>
                <w:color w:val="auto"/>
              </w:rPr>
            </w:pPr>
            <w:r>
              <w:rPr>
                <w:rFonts w:ascii="Arial" w:cs="Arial" w:eastAsia="Arial" w:hAnsi="Arial"/>
                <w:sz w:val="16"/>
                <w:szCs w:val="16"/>
                <w:b w:val="1"/>
                <w:bCs w:val="1"/>
                <w:color w:val="auto"/>
              </w:rPr>
              <w:t>December 31, 2016</w:t>
            </w:r>
          </w:p>
        </w:tc>
      </w:tr>
      <w:tr>
        <w:trPr>
          <w:trHeight w:val="25"/>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1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projected benefit obligation:</w:t>
            </w:r>
          </w:p>
        </w:tc>
        <w:tc>
          <w:tcPr>
            <w:tcW w:w="32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r>
      <w:tr>
        <w:trPr>
          <w:trHeight w:val="219"/>
        </w:trPr>
        <w:tc>
          <w:tcPr>
            <w:tcW w:w="5820" w:type="dxa"/>
            <w:vAlign w:val="bottom"/>
          </w:tcPr>
          <w:p>
            <w:pPr>
              <w:ind w:left="160"/>
              <w:spacing w:after="0"/>
              <w:rPr>
                <w:sz w:val="20"/>
                <w:szCs w:val="20"/>
                <w:color w:val="auto"/>
              </w:rPr>
            </w:pPr>
            <w:r>
              <w:rPr>
                <w:rFonts w:ascii="Arial" w:cs="Arial" w:eastAsia="Arial" w:hAnsi="Arial"/>
                <w:sz w:val="16"/>
                <w:szCs w:val="16"/>
                <w:color w:val="auto"/>
              </w:rPr>
              <w:t>Projected benefit obligation at beginning of year</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62,427</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60,375</w:t>
            </w:r>
          </w:p>
        </w:tc>
      </w:tr>
      <w:tr>
        <w:trPr>
          <w:trHeight w:val="25"/>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5"/>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 cost</w:t>
            </w:r>
          </w:p>
        </w:tc>
        <w:tc>
          <w:tcPr>
            <w:tcW w:w="32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2,515</w:t>
            </w:r>
          </w:p>
        </w:tc>
      </w:tr>
      <w:tr>
        <w:trPr>
          <w:trHeight w:val="219"/>
        </w:trPr>
        <w:tc>
          <w:tcPr>
            <w:tcW w:w="582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320" w:type="dxa"/>
            <w:vAlign w:val="bottom"/>
          </w:tcPr>
          <w:p>
            <w:pPr>
              <w:spacing w:after="0"/>
              <w:rPr>
                <w:sz w:val="19"/>
                <w:szCs w:val="19"/>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4,269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1,697</w:t>
            </w:r>
          </w:p>
        </w:tc>
      </w:tr>
      <w:tr>
        <w:trPr>
          <w:trHeight w:val="25"/>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5"/>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Benefits paid</w:t>
            </w:r>
          </w:p>
        </w:tc>
        <w:tc>
          <w:tcPr>
            <w:tcW w:w="3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(2,160)</w:t>
            </w:r>
          </w:p>
        </w:tc>
      </w:tr>
      <w:tr>
        <w:trPr>
          <w:trHeight w:val="270"/>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Projected benefit obligation at end of year</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66,747</w:t>
            </w:r>
          </w:p>
        </w:tc>
        <w:tc>
          <w:tcPr>
            <w:tcW w:w="100" w:type="dxa"/>
            <w:vAlign w:val="bottom"/>
            <w:tcBorders>
              <w:bottom w:val="single" w:sz="8" w:color="CCEEFF"/>
            </w:tcBorders>
          </w:tcPr>
          <w:p>
            <w:pPr>
              <w:spacing w:after="0"/>
              <w:rPr>
                <w:sz w:val="23"/>
                <w:szCs w:val="23"/>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2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62,427</w:t>
            </w:r>
          </w:p>
        </w:tc>
      </w:tr>
      <w:tr>
        <w:trPr>
          <w:trHeight w:val="130"/>
        </w:trPr>
        <w:tc>
          <w:tcPr>
            <w:tcW w:w="5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r>
      <w:tr>
        <w:trPr>
          <w:trHeight w:val="219"/>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3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5"/>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5"/>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Fair value of plan assets at beginning of year</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51,213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50,619</w:t>
            </w:r>
          </w:p>
        </w:tc>
      </w:tr>
      <w:tr>
        <w:trPr>
          <w:trHeight w:val="219"/>
        </w:trPr>
        <w:tc>
          <w:tcPr>
            <w:tcW w:w="5820" w:type="dxa"/>
            <w:vAlign w:val="bottom"/>
          </w:tcPr>
          <w:p>
            <w:pPr>
              <w:ind w:left="160"/>
              <w:spacing w:after="0"/>
              <w:rPr>
                <w:sz w:val="20"/>
                <w:szCs w:val="20"/>
                <w:color w:val="auto"/>
              </w:rPr>
            </w:pPr>
            <w:r>
              <w:rPr>
                <w:rFonts w:ascii="Arial" w:cs="Arial" w:eastAsia="Arial" w:hAnsi="Arial"/>
                <w:sz w:val="16"/>
                <w:szCs w:val="16"/>
                <w:color w:val="auto"/>
              </w:rPr>
              <w:t>Actual return on plan assets</w:t>
            </w:r>
          </w:p>
        </w:tc>
        <w:tc>
          <w:tcPr>
            <w:tcW w:w="320" w:type="dxa"/>
            <w:vAlign w:val="bottom"/>
          </w:tcPr>
          <w:p>
            <w:pPr>
              <w:spacing w:after="0"/>
              <w:rPr>
                <w:sz w:val="19"/>
                <w:szCs w:val="19"/>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5,619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2,754</w:t>
            </w:r>
          </w:p>
        </w:tc>
      </w:tr>
      <w:tr>
        <w:trPr>
          <w:trHeight w:val="25"/>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5"/>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Benefits paid</w:t>
            </w:r>
          </w:p>
        </w:tc>
        <w:tc>
          <w:tcPr>
            <w:tcW w:w="3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(2,160)</w:t>
            </w:r>
          </w:p>
        </w:tc>
      </w:tr>
      <w:tr>
        <w:trPr>
          <w:trHeight w:val="270"/>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Fair value of plan assets at end of year</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54,437</w:t>
            </w:r>
          </w:p>
        </w:tc>
        <w:tc>
          <w:tcPr>
            <w:tcW w:w="100" w:type="dxa"/>
            <w:vAlign w:val="bottom"/>
            <w:tcBorders>
              <w:bottom w:val="single" w:sz="8" w:color="CCEEFF"/>
            </w:tcBorders>
          </w:tcPr>
          <w:p>
            <w:pPr>
              <w:spacing w:after="0"/>
              <w:rPr>
                <w:sz w:val="23"/>
                <w:szCs w:val="23"/>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2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51,213</w:t>
            </w:r>
          </w:p>
        </w:tc>
      </w:tr>
      <w:tr>
        <w:trPr>
          <w:trHeight w:val="130"/>
        </w:trPr>
        <w:tc>
          <w:tcPr>
            <w:tcW w:w="5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r>
      <w:tr>
        <w:trPr>
          <w:trHeight w:val="238"/>
        </w:trPr>
        <w:tc>
          <w:tcPr>
            <w:tcW w:w="5820" w:type="dxa"/>
            <w:vAlign w:val="bottom"/>
          </w:tcPr>
          <w:p>
            <w:pPr>
              <w:ind w:left="160"/>
              <w:spacing w:after="0"/>
              <w:rPr>
                <w:sz w:val="20"/>
                <w:szCs w:val="20"/>
                <w:color w:val="auto"/>
              </w:rPr>
            </w:pPr>
            <w:r>
              <w:rPr>
                <w:rFonts w:ascii="Arial" w:cs="Arial" w:eastAsia="Arial" w:hAnsi="Arial"/>
                <w:sz w:val="16"/>
                <w:szCs w:val="16"/>
                <w:b w:val="1"/>
                <w:bCs w:val="1"/>
                <w:color w:val="auto"/>
              </w:rPr>
              <w:t>Unfunded status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12,310</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11,214</w:t>
            </w:r>
          </w:p>
        </w:tc>
      </w:tr>
      <w:tr>
        <w:trPr>
          <w:trHeight w:val="20"/>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5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accumulated benefit obligation is equal to the projected benefit obligation as of December 30, 2017 and December 31, 2016 because the plan is frozen. The unfunded status is included in other long-term liabilities in the Company's consolidated balance sheet. The Company does not expect to make any contributions to the OshKosh B'Gosh pension plan during fiscal 2018 as the plan's funding exceeds the minimum funding requirements. The actuarial losses incurred in fiscal 2017 and 2016 were primarily attributable to a lower discount rate.</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Periodic Pension Cost (Benefit) and Changes Recognized in Other Comprehensive Income</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The components of net periodic pension cost (benefit) recognized in the statement of operations and changes recognized in other comprehensive income were as follows:</w:t>
      </w:r>
    </w:p>
    <w:p>
      <w:pPr>
        <w:spacing w:after="0" w:line="158" w:lineRule="exact"/>
        <w:rPr>
          <w:sz w:val="20"/>
          <w:szCs w:val="20"/>
          <w:color w:val="auto"/>
        </w:rPr>
      </w:pPr>
    </w:p>
    <w:tbl>
      <w:tblPr>
        <w:tblLayout w:type="fixed"/>
        <w:tblInd w:w="600" w:type="dxa"/>
        <w:tblCellMar>
          <w:top w:w="0" w:type="dxa"/>
          <w:left w:w="0" w:type="dxa"/>
          <w:bottom w:w="0" w:type="dxa"/>
          <w:right w:w="0" w:type="dxa"/>
        </w:tblCellMar>
      </w:tblPr>
      <w:tr>
        <w:trPr>
          <w:trHeight w:val="238"/>
        </w:trPr>
        <w:tc>
          <w:tcPr>
            <w:tcW w:w="48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spacing w:after="0"/>
              <w:rPr>
                <w:sz w:val="20"/>
                <w:szCs w:val="20"/>
                <w:color w:val="auto"/>
              </w:rPr>
            </w:pPr>
          </w:p>
        </w:tc>
        <w:tc>
          <w:tcPr>
            <w:tcW w:w="2100" w:type="dxa"/>
            <w:vAlign w:val="bottom"/>
            <w:tcBorders>
              <w:bottom w:val="single" w:sz="8" w:color="auto"/>
            </w:tcBorders>
            <w:gridSpan w:val="4"/>
            <w:shd w:val="clear" w:color="auto" w:fill="CCEEFF"/>
          </w:tcPr>
          <w:p>
            <w:pPr>
              <w:ind w:left="80"/>
              <w:spacing w:after="0"/>
              <w:rPr>
                <w:sz w:val="20"/>
                <w:szCs w:val="20"/>
                <w:color w:val="auto"/>
              </w:rPr>
            </w:pPr>
            <w:r>
              <w:rPr>
                <w:rFonts w:ascii="Arial" w:cs="Arial" w:eastAsia="Arial" w:hAnsi="Arial"/>
                <w:sz w:val="16"/>
                <w:szCs w:val="16"/>
                <w:b w:val="1"/>
                <w:bCs w:val="1"/>
                <w:color w:val="auto"/>
              </w:rPr>
              <w:t>For the fiscal year ended</w:t>
            </w: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88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74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30, 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2016</w:t>
            </w:r>
          </w:p>
        </w:tc>
        <w:tc>
          <w:tcPr>
            <w:tcW w:w="200" w:type="dxa"/>
            <w:vAlign w:val="bottom"/>
          </w:tcPr>
          <w:p>
            <w:pPr>
              <w:spacing w:after="0"/>
              <w:rPr>
                <w:sz w:val="18"/>
                <w:szCs w:val="18"/>
                <w:color w:val="auto"/>
              </w:rPr>
            </w:pPr>
          </w:p>
        </w:tc>
        <w:tc>
          <w:tcPr>
            <w:tcW w:w="1500" w:type="dxa"/>
            <w:vAlign w:val="bottom"/>
          </w:tcPr>
          <w:p>
            <w:pPr>
              <w:jc w:val="right"/>
              <w:ind w:right="219"/>
              <w:spacing w:after="0"/>
              <w:rPr>
                <w:sz w:val="20"/>
                <w:szCs w:val="20"/>
                <w:color w:val="auto"/>
              </w:rPr>
            </w:pPr>
            <w:r>
              <w:rPr>
                <w:rFonts w:ascii="Arial" w:cs="Arial" w:eastAsia="Arial" w:hAnsi="Arial"/>
                <w:sz w:val="16"/>
                <w:szCs w:val="16"/>
                <w:b w:val="1"/>
                <w:bCs w:val="1"/>
                <w:color w:val="auto"/>
                <w:w w:val="98"/>
              </w:rPr>
              <w:t>January 2, 2016</w:t>
            </w:r>
          </w:p>
        </w:tc>
        <w:tc>
          <w:tcPr>
            <w:tcW w:w="0" w:type="dxa"/>
            <w:vAlign w:val="bottom"/>
          </w:tcPr>
          <w:p>
            <w:pPr>
              <w:spacing w:after="0"/>
              <w:rPr>
                <w:sz w:val="1"/>
                <w:szCs w:val="1"/>
                <w:color w:val="auto"/>
              </w:rPr>
            </w:pPr>
          </w:p>
        </w:tc>
      </w:tr>
      <w:tr>
        <w:trPr>
          <w:trHeight w:val="25"/>
        </w:trPr>
        <w:tc>
          <w:tcPr>
            <w:tcW w:w="4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Recognized in the statement of operations:</w:t>
            </w:r>
          </w:p>
        </w:tc>
        <w:tc>
          <w:tcPr>
            <w:tcW w:w="2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2,446</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2,515</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2,493</w:t>
            </w:r>
          </w:p>
        </w:tc>
        <w:tc>
          <w:tcPr>
            <w:tcW w:w="0" w:type="dxa"/>
            <w:vAlign w:val="bottom"/>
          </w:tcPr>
          <w:p>
            <w:pPr>
              <w:spacing w:after="0"/>
              <w:rPr>
                <w:sz w:val="1"/>
                <w:szCs w:val="1"/>
                <w:color w:val="auto"/>
              </w:rPr>
            </w:pPr>
          </w:p>
        </w:tc>
      </w:tr>
      <w:tr>
        <w:trPr>
          <w:trHeight w:val="25"/>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2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(3,138)</w:t>
            </w:r>
          </w:p>
        </w:tc>
        <w:tc>
          <w:tcPr>
            <w:tcW w:w="0" w:type="dxa"/>
            <w:vAlign w:val="bottom"/>
          </w:tcPr>
          <w:p>
            <w:pPr>
              <w:spacing w:after="0"/>
              <w:rPr>
                <w:sz w:val="1"/>
                <w:szCs w:val="1"/>
                <w:color w:val="auto"/>
              </w:rPr>
            </w:pPr>
          </w:p>
        </w:tc>
      </w:tr>
      <w:tr>
        <w:trPr>
          <w:trHeight w:val="219"/>
        </w:trPr>
        <w:tc>
          <w:tcPr>
            <w:tcW w:w="4880" w:type="dxa"/>
            <w:vAlign w:val="bottom"/>
          </w:tcPr>
          <w:p>
            <w:pPr>
              <w:ind w:left="20"/>
              <w:spacing w:after="0"/>
              <w:rPr>
                <w:sz w:val="20"/>
                <w:szCs w:val="20"/>
                <w:color w:val="auto"/>
              </w:rPr>
            </w:pPr>
            <w:r>
              <w:rPr>
                <w:rFonts w:ascii="Arial" w:cs="Arial" w:eastAsia="Arial" w:hAnsi="Arial"/>
                <w:sz w:val="16"/>
                <w:szCs w:val="16"/>
                <w:color w:val="auto"/>
              </w:rPr>
              <w:t>Recognized actuarial loss (a)</w:t>
            </w:r>
          </w:p>
        </w:tc>
        <w:tc>
          <w:tcPr>
            <w:tcW w:w="200" w:type="dxa"/>
            <w:vAlign w:val="bottom"/>
          </w:tcPr>
          <w:p>
            <w:pPr>
              <w:spacing w:after="0"/>
              <w:rPr>
                <w:sz w:val="19"/>
                <w:szCs w:val="19"/>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5"/>
        </w:trPr>
        <w:tc>
          <w:tcPr>
            <w:tcW w:w="4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periodic pension cost (benefit)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526</w:t>
            </w:r>
          </w:p>
        </w:tc>
        <w:tc>
          <w:tcPr>
            <w:tcW w:w="3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39"/>
        </w:trPr>
        <w:tc>
          <w:tcPr>
            <w:tcW w:w="48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Changes recognized in other comprehensive income:</w:t>
            </w:r>
          </w:p>
        </w:tc>
        <w:tc>
          <w:tcPr>
            <w:tcW w:w="2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80" w:type="dxa"/>
            <w:vAlign w:val="bottom"/>
          </w:tcPr>
          <w:p>
            <w:pPr>
              <w:ind w:left="140"/>
              <w:spacing w:after="0"/>
              <w:rPr>
                <w:sz w:val="20"/>
                <w:szCs w:val="20"/>
                <w:color w:val="auto"/>
              </w:rPr>
            </w:pPr>
            <w:r>
              <w:rPr>
                <w:rFonts w:ascii="Arial" w:cs="Arial" w:eastAsia="Arial" w:hAnsi="Arial"/>
                <w:sz w:val="16"/>
                <w:szCs w:val="16"/>
                <w:color w:val="auto"/>
              </w:rPr>
              <w:t>Net loss (gain) arising during the fiscal year</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1,251</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1,644</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5"/>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Amortization of net loss (a)</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11"/>
        </w:trPr>
        <w:tc>
          <w:tcPr>
            <w:tcW w:w="4880" w:type="dxa"/>
            <w:vAlign w:val="bottom"/>
          </w:tcPr>
          <w:p>
            <w:pPr>
              <w:ind w:left="240"/>
              <w:spacing w:after="0"/>
              <w:rPr>
                <w:sz w:val="20"/>
                <w:szCs w:val="20"/>
                <w:color w:val="auto"/>
              </w:rPr>
            </w:pPr>
            <w:r>
              <w:rPr>
                <w:rFonts w:ascii="Arial" w:cs="Arial" w:eastAsia="Arial" w:hAnsi="Arial"/>
                <w:sz w:val="16"/>
                <w:szCs w:val="16"/>
                <w:color w:val="auto"/>
              </w:rPr>
              <w:t>Total changes recognized in other comprehensive income</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(1,273)</w:t>
            </w:r>
          </w:p>
        </w:tc>
        <w:tc>
          <w:tcPr>
            <w:tcW w:w="0" w:type="dxa"/>
            <w:vAlign w:val="bottom"/>
          </w:tcPr>
          <w:p>
            <w:pPr>
              <w:spacing w:after="0"/>
              <w:rPr>
                <w:sz w:val="1"/>
                <w:szCs w:val="1"/>
                <w:color w:val="auto"/>
              </w:rPr>
            </w:pPr>
          </w:p>
        </w:tc>
      </w:tr>
      <w:tr>
        <w:trPr>
          <w:trHeight w:val="25"/>
        </w:trPr>
        <w:tc>
          <w:tcPr>
            <w:tcW w:w="4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8"/>
              </w:rPr>
              <w:t>Total net periodic cost (benefit) and changes recognized in other</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1,096</w:t>
            </w:r>
          </w:p>
        </w:tc>
        <w:tc>
          <w:tcPr>
            <w:tcW w:w="30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1,458</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0" w:type="dxa"/>
            <w:vAlign w:val="bottom"/>
          </w:tcPr>
          <w:p>
            <w:pPr>
              <w:spacing w:after="0"/>
              <w:rPr>
                <w:sz w:val="1"/>
                <w:szCs w:val="1"/>
                <w:color w:val="auto"/>
              </w:rPr>
            </w:pPr>
          </w:p>
        </w:tc>
      </w:tr>
      <w:tr>
        <w:trPr>
          <w:trHeight w:val="218"/>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200" w:type="dxa"/>
            <w:vAlign w:val="bottom"/>
            <w:vMerge w:val="continue"/>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1180" w:right="580" w:hanging="228"/>
        <w:spacing w:after="0" w:line="285" w:lineRule="auto"/>
        <w:tabs>
          <w:tab w:leader="none" w:pos="1182"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pre-tax amounts reclassified from accumulated other comprehensive loss. For fiscal 2018, approximately $0.7 million is expected to be reclassified from accumulated other comprehensive loss to a component of net periodic pension cost.</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Assumptions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actuarial computations utilized the following assumptions, using year-end measurement dates:</w:t>
      </w: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320"/>
          </w:cols>
          <w:pgMar w:left="240" w:top="123" w:right="339" w:bottom="1440" w:gutter="0" w:footer="0" w:header="0"/>
        </w:sectPr>
      </w:pPr>
    </w:p>
    <w:bookmarkStart w:id="83" w:name="page84"/>
    <w:bookmarkEnd w:id="83"/>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350" w:lineRule="exact"/>
        <w:rPr>
          <w:sz w:val="20"/>
          <w:szCs w:val="20"/>
          <w:color w:val="auto"/>
        </w:rPr>
      </w:pPr>
    </w:p>
    <w:tbl>
      <w:tblPr>
        <w:tblLayout w:type="fixed"/>
        <w:tblInd w:w="1420" w:type="dxa"/>
        <w:tblCellMar>
          <w:top w:w="0" w:type="dxa"/>
          <w:left w:w="0" w:type="dxa"/>
          <w:bottom w:w="0" w:type="dxa"/>
          <w:right w:w="0" w:type="dxa"/>
        </w:tblCellMar>
      </w:tblPr>
      <w:tr>
        <w:trPr>
          <w:trHeight w:val="225"/>
        </w:trPr>
        <w:tc>
          <w:tcPr>
            <w:tcW w:w="420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Benefit obligation</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r>
        <w:trPr>
          <w:trHeight w:val="211"/>
        </w:trPr>
        <w:tc>
          <w:tcPr>
            <w:tcW w:w="4200" w:type="dxa"/>
            <w:vAlign w:val="bottom"/>
            <w:gridSpan w:val="4"/>
          </w:tcPr>
          <w:p>
            <w:pPr>
              <w:ind w:left="40"/>
              <w:spacing w:after="0"/>
              <w:rPr>
                <w:sz w:val="20"/>
                <w:szCs w:val="20"/>
                <w:color w:val="auto"/>
              </w:rPr>
            </w:pPr>
            <w:r>
              <w:rPr>
                <w:rFonts w:ascii="Arial" w:cs="Arial" w:eastAsia="Arial" w:hAnsi="Arial"/>
                <w:sz w:val="16"/>
                <w:szCs w:val="16"/>
                <w:color w:val="auto"/>
              </w:rPr>
              <w:t>Discount rate</w:t>
            </w:r>
          </w:p>
        </w:tc>
        <w:tc>
          <w:tcPr>
            <w:tcW w:w="1520" w:type="dxa"/>
            <w:vAlign w:val="bottom"/>
          </w:tcPr>
          <w:p>
            <w:pPr>
              <w:jc w:val="center"/>
              <w:spacing w:after="0"/>
              <w:rPr>
                <w:sz w:val="20"/>
                <w:szCs w:val="20"/>
                <w:color w:val="auto"/>
              </w:rPr>
            </w:pPr>
            <w:r>
              <w:rPr>
                <w:rFonts w:ascii="Arial" w:cs="Arial" w:eastAsia="Arial" w:hAnsi="Arial"/>
                <w:sz w:val="16"/>
                <w:szCs w:val="16"/>
                <w:color w:val="auto"/>
                <w:w w:val="96"/>
              </w:rPr>
              <w:t>3.50%</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4.00%</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5"/>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69"/>
        </w:trPr>
        <w:tc>
          <w:tcPr>
            <w:tcW w:w="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4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183"/>
        </w:trPr>
        <w:tc>
          <w:tcPr>
            <w:tcW w:w="4200" w:type="dxa"/>
            <w:vAlign w:val="bottom"/>
            <w:gridSpan w:val="4"/>
          </w:tcPr>
          <w:p>
            <w:pPr>
              <w:ind w:left="40"/>
              <w:spacing w:after="0"/>
              <w:rPr>
                <w:sz w:val="20"/>
                <w:szCs w:val="20"/>
                <w:color w:val="auto"/>
              </w:rPr>
            </w:pPr>
            <w:r>
              <w:rPr>
                <w:rFonts w:ascii="Arial" w:cs="Arial" w:eastAsia="Arial" w:hAnsi="Arial"/>
                <w:sz w:val="16"/>
                <w:szCs w:val="16"/>
                <w:b w:val="1"/>
                <w:bCs w:val="1"/>
                <w:color w:val="auto"/>
              </w:rPr>
              <w:t>Net periodic pension cost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5"/>
              </w:rPr>
              <w:t>2015</w:t>
            </w:r>
          </w:p>
        </w:tc>
      </w:tr>
      <w:tr>
        <w:trPr>
          <w:trHeight w:val="41"/>
        </w:trPr>
        <w:tc>
          <w:tcPr>
            <w:tcW w:w="40" w:type="dxa"/>
            <w:vAlign w:val="bottom"/>
            <w:tcBorders>
              <w:bottom w:val="single" w:sz="8" w:color="CCEEFF"/>
            </w:tcBorders>
          </w:tcPr>
          <w:p>
            <w:pPr>
              <w:spacing w:after="0"/>
              <w:rPr>
                <w:sz w:val="3"/>
                <w:szCs w:val="3"/>
                <w:color w:val="auto"/>
              </w:rPr>
            </w:pPr>
          </w:p>
        </w:tc>
        <w:tc>
          <w:tcPr>
            <w:tcW w:w="1220" w:type="dxa"/>
            <w:vAlign w:val="bottom"/>
            <w:tcBorders>
              <w:top w:val="single" w:sz="8" w:color="auto"/>
              <w:bottom w:val="single" w:sz="8" w:color="CCEEFF"/>
            </w:tcBorders>
          </w:tcPr>
          <w:p>
            <w:pPr>
              <w:spacing w:after="0"/>
              <w:rPr>
                <w:sz w:val="3"/>
                <w:szCs w:val="3"/>
                <w:color w:val="auto"/>
              </w:rPr>
            </w:pPr>
          </w:p>
        </w:tc>
        <w:tc>
          <w:tcPr>
            <w:tcW w:w="520" w:type="dxa"/>
            <w:vAlign w:val="bottom"/>
            <w:tcBorders>
              <w:top w:val="single" w:sz="8" w:color="auto"/>
              <w:bottom w:val="single" w:sz="8" w:color="CCEEFF"/>
            </w:tcBorders>
          </w:tcPr>
          <w:p>
            <w:pPr>
              <w:spacing w:after="0"/>
              <w:rPr>
                <w:sz w:val="3"/>
                <w:szCs w:val="3"/>
                <w:color w:val="auto"/>
              </w:rPr>
            </w:pPr>
          </w:p>
        </w:tc>
        <w:tc>
          <w:tcPr>
            <w:tcW w:w="242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17"/>
        </w:trPr>
        <w:tc>
          <w:tcPr>
            <w:tcW w:w="4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4.00%</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4.25%</w:t>
            </w:r>
          </w:p>
        </w:tc>
        <w:tc>
          <w:tcPr>
            <w:tcW w:w="1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4.00%</w:t>
            </w:r>
          </w:p>
        </w:tc>
      </w:tr>
      <w:tr>
        <w:trPr>
          <w:trHeight w:val="219"/>
        </w:trPr>
        <w:tc>
          <w:tcPr>
            <w:tcW w:w="4200" w:type="dxa"/>
            <w:vAlign w:val="bottom"/>
            <w:gridSpan w:val="4"/>
          </w:tcPr>
          <w:p>
            <w:pPr>
              <w:ind w:left="40"/>
              <w:spacing w:after="0"/>
              <w:rPr>
                <w:sz w:val="20"/>
                <w:szCs w:val="20"/>
                <w:color w:val="auto"/>
              </w:rPr>
            </w:pPr>
            <w:r>
              <w:rPr>
                <w:rFonts w:ascii="Arial" w:cs="Arial" w:eastAsia="Arial" w:hAnsi="Arial"/>
                <w:sz w:val="16"/>
                <w:szCs w:val="16"/>
                <w:color w:val="auto"/>
              </w:rPr>
              <w:t>Expected long-term rate of return on assets</w:t>
            </w:r>
          </w:p>
        </w:tc>
        <w:tc>
          <w:tcPr>
            <w:tcW w:w="1520" w:type="dxa"/>
            <w:vAlign w:val="bottom"/>
          </w:tcPr>
          <w:p>
            <w:pPr>
              <w:jc w:val="center"/>
              <w:spacing w:after="0"/>
              <w:rPr>
                <w:sz w:val="20"/>
                <w:szCs w:val="20"/>
                <w:color w:val="auto"/>
              </w:rPr>
            </w:pPr>
            <w:r>
              <w:rPr>
                <w:rFonts w:ascii="Arial" w:cs="Arial" w:eastAsia="Arial" w:hAnsi="Arial"/>
                <w:sz w:val="16"/>
                <w:szCs w:val="16"/>
                <w:color w:val="auto"/>
                <w:w w:val="96"/>
              </w:rPr>
              <w:t>6.00%</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6.00%</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6.00%</w:t>
            </w:r>
          </w:p>
        </w:tc>
      </w:tr>
    </w:tbl>
    <w:p>
      <w:pPr>
        <w:spacing w:after="0" w:line="208"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The discount rates used at December 30, 2017, December 31, 2016, and January 2, 2016 were determined with consideration given to the Citigroup Pension Discount and Liability Index and the Barclay Capital Aggregate AA Bond Index, adjusted for the timing of expected plan distributions. The Company believes these indexes reflect a risk-free rate consistent with a portfolio of high quality debt instruments with maturities that are comparable to the timing of the expected payments under the plan. The expected long-term rate of return assumption considers historic returns adjusted for changes in overall economic conditions that may affect future returns and a weighting of each investment class.</w:t>
      </w:r>
    </w:p>
    <w:p>
      <w:pPr>
        <w:spacing w:after="0" w:line="170" w:lineRule="exact"/>
        <w:rPr>
          <w:sz w:val="20"/>
          <w:szCs w:val="20"/>
          <w:color w:val="auto"/>
        </w:rPr>
      </w:pPr>
    </w:p>
    <w:p>
      <w:pPr>
        <w:ind w:right="200"/>
        <w:spacing w:after="0" w:line="285" w:lineRule="auto"/>
        <w:rPr>
          <w:sz w:val="20"/>
          <w:szCs w:val="20"/>
          <w:color w:val="auto"/>
        </w:rPr>
      </w:pPr>
      <w:r>
        <w:rPr>
          <w:rFonts w:ascii="Arial" w:cs="Arial" w:eastAsia="Arial" w:hAnsi="Arial"/>
          <w:sz w:val="16"/>
          <w:szCs w:val="16"/>
          <w:color w:val="auto"/>
        </w:rPr>
        <w:t>A 0.25% change in the assumed discount rate would result in an increase or decrease in the amount of the pension plan's projected benefit obligation of approximately $2.3 million.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Company currently expects benefit payments for its defined benefit pension plans as follows for the next ten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92710</wp:posOffset>
            </wp:positionV>
            <wp:extent cx="2585720" cy="155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85720" cy="155575"/>
                    </a:xfrm>
                    <a:prstGeom prst="rect">
                      <a:avLst/>
                    </a:prstGeom>
                    <a:noFill/>
                  </pic:spPr>
                </pic:pic>
              </a:graphicData>
            </a:graphic>
          </wp:anchor>
        </w:drawing>
      </w:r>
    </w:p>
    <w:p>
      <w:pPr>
        <w:spacing w:after="0" w:line="138" w:lineRule="exact"/>
        <w:rPr>
          <w:sz w:val="20"/>
          <w:szCs w:val="20"/>
          <w:color w:val="auto"/>
        </w:rPr>
      </w:pPr>
    </w:p>
    <w:p>
      <w:pPr>
        <w:ind w:left="3880"/>
        <w:spacing w:after="0"/>
        <w:rPr>
          <w:sz w:val="20"/>
          <w:szCs w:val="20"/>
          <w:color w:val="auto"/>
        </w:rPr>
      </w:pPr>
      <w:r>
        <w:rPr>
          <w:rFonts w:ascii="Arial" w:cs="Arial" w:eastAsia="Arial" w:hAnsi="Arial"/>
          <w:sz w:val="16"/>
          <w:szCs w:val="16"/>
          <w:i w:val="1"/>
          <w:iCs w:val="1"/>
          <w:color w:val="auto"/>
        </w:rPr>
        <w:t>(dollars in thousands)</w:t>
      </w:r>
    </w:p>
    <w:p>
      <w:pPr>
        <w:spacing w:after="0" w:line="48" w:lineRule="exact"/>
        <w:rPr>
          <w:sz w:val="20"/>
          <w:szCs w:val="20"/>
          <w:color w:val="auto"/>
        </w:rPr>
      </w:pPr>
    </w:p>
    <w:tbl>
      <w:tblPr>
        <w:tblLayout w:type="fixed"/>
        <w:tblInd w:w="3860" w:type="dxa"/>
        <w:tblCellMar>
          <w:top w:w="0" w:type="dxa"/>
          <w:left w:w="0" w:type="dxa"/>
          <w:bottom w:w="0" w:type="dxa"/>
          <w:right w:w="0" w:type="dxa"/>
        </w:tblCellMar>
      </w:tblPr>
      <w:tr>
        <w:trPr>
          <w:trHeight w:val="184"/>
        </w:trPr>
        <w:tc>
          <w:tcPr>
            <w:tcW w:w="1280" w:type="dxa"/>
            <w:vAlign w:val="bottom"/>
          </w:tcPr>
          <w:p>
            <w:pPr>
              <w:spacing w:after="0"/>
              <w:rPr>
                <w:sz w:val="16"/>
                <w:szCs w:val="16"/>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6"/>
                <w:szCs w:val="16"/>
                <w:b w:val="1"/>
                <w:bCs w:val="1"/>
                <w:color w:val="auto"/>
                <w:w w:val="89"/>
              </w:rPr>
              <w:t>Fiscal Year</w:t>
            </w:r>
          </w:p>
        </w:tc>
        <w:tc>
          <w:tcPr>
            <w:tcW w:w="1200" w:type="dxa"/>
            <w:vAlign w:val="bottom"/>
          </w:tcPr>
          <w:p>
            <w:pPr>
              <w:spacing w:after="0"/>
              <w:rPr>
                <w:sz w:val="16"/>
                <w:szCs w:val="16"/>
                <w:color w:val="auto"/>
              </w:rPr>
            </w:pPr>
          </w:p>
        </w:tc>
      </w:tr>
      <w:tr>
        <w:trPr>
          <w:trHeight w:val="41"/>
        </w:trPr>
        <w:tc>
          <w:tcPr>
            <w:tcW w:w="128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82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25"/>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60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2,830</w:t>
            </w:r>
          </w:p>
        </w:tc>
      </w:tr>
      <w:tr>
        <w:trPr>
          <w:trHeight w:val="219"/>
        </w:trPr>
        <w:tc>
          <w:tcPr>
            <w:tcW w:w="1280" w:type="dxa"/>
            <w:vAlign w:val="bottom"/>
          </w:tcPr>
          <w:p>
            <w:pPr>
              <w:ind w:left="20"/>
              <w:spacing w:after="0"/>
              <w:rPr>
                <w:sz w:val="20"/>
                <w:szCs w:val="20"/>
                <w:color w:val="auto"/>
              </w:rPr>
            </w:pPr>
            <w:r>
              <w:rPr>
                <w:rFonts w:ascii="Arial" w:cs="Arial" w:eastAsia="Arial" w:hAnsi="Arial"/>
                <w:sz w:val="16"/>
                <w:szCs w:val="16"/>
                <w:color w:val="auto"/>
              </w:rPr>
              <w:t>2019</w:t>
            </w:r>
          </w:p>
        </w:tc>
        <w:tc>
          <w:tcPr>
            <w:tcW w:w="160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2,360</w:t>
            </w:r>
          </w:p>
        </w:tc>
      </w:tr>
      <w:tr>
        <w:trPr>
          <w:trHeight w:val="25"/>
        </w:trPr>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5"/>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60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2,620</w:t>
            </w:r>
          </w:p>
        </w:tc>
      </w:tr>
      <w:tr>
        <w:trPr>
          <w:trHeight w:val="219"/>
        </w:trPr>
        <w:tc>
          <w:tcPr>
            <w:tcW w:w="1280" w:type="dxa"/>
            <w:vAlign w:val="bottom"/>
          </w:tcPr>
          <w:p>
            <w:pPr>
              <w:ind w:left="20"/>
              <w:spacing w:after="0"/>
              <w:rPr>
                <w:sz w:val="20"/>
                <w:szCs w:val="20"/>
                <w:color w:val="auto"/>
              </w:rPr>
            </w:pPr>
            <w:r>
              <w:rPr>
                <w:rFonts w:ascii="Arial" w:cs="Arial" w:eastAsia="Arial" w:hAnsi="Arial"/>
                <w:sz w:val="16"/>
                <w:szCs w:val="16"/>
                <w:color w:val="auto"/>
              </w:rPr>
              <w:t>2021</w:t>
            </w:r>
          </w:p>
        </w:tc>
        <w:tc>
          <w:tcPr>
            <w:tcW w:w="160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2,650</w:t>
            </w:r>
          </w:p>
        </w:tc>
      </w:tr>
      <w:tr>
        <w:trPr>
          <w:trHeight w:val="25"/>
        </w:trPr>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5"/>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60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2,870</w:t>
            </w:r>
          </w:p>
        </w:tc>
      </w:tr>
      <w:tr>
        <w:trPr>
          <w:trHeight w:val="219"/>
        </w:trPr>
        <w:tc>
          <w:tcPr>
            <w:tcW w:w="1280" w:type="dxa"/>
            <w:vAlign w:val="bottom"/>
          </w:tcPr>
          <w:p>
            <w:pPr>
              <w:ind w:left="20"/>
              <w:spacing w:after="0"/>
              <w:rPr>
                <w:sz w:val="20"/>
                <w:szCs w:val="20"/>
                <w:color w:val="auto"/>
              </w:rPr>
            </w:pPr>
            <w:r>
              <w:rPr>
                <w:rFonts w:ascii="Arial" w:cs="Arial" w:eastAsia="Arial" w:hAnsi="Arial"/>
                <w:sz w:val="16"/>
                <w:szCs w:val="16"/>
                <w:color w:val="auto"/>
              </w:rPr>
              <w:t>2023-2027</w:t>
            </w:r>
          </w:p>
        </w:tc>
        <w:tc>
          <w:tcPr>
            <w:tcW w:w="160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17,060</w:t>
            </w:r>
          </w:p>
        </w:tc>
      </w:tr>
    </w:tbl>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Plan Assets</w:t>
      </w:r>
    </w:p>
    <w:p>
      <w:pPr>
        <w:spacing w:after="0" w:line="207"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The Company's investment strategy is to invest in a well-diversified portfolio consisting of mutual funds or group annuity contracts that minimize concentration of risks by utilizing a variety of asset types, fund strategies, and fund managers. The target allocation for plan assets is 45% equity securities, 50% bond funds, and 5% real estate investments. The plan expects to gradually reduce its equity exposure.</w:t>
      </w:r>
    </w:p>
    <w:p>
      <w:pPr>
        <w:spacing w:after="0" w:line="162"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The Company’s investment policy anticipates a rate of return sufficient to fund pension plan benefits while minimizing the risk to the Company of additional funding. Based on actual returns over a long-term basis, the Company believes that a 6.00% annual return on plan assets can be achieved based on the current allocation and investment strategy.</w:t>
      </w:r>
    </w:p>
    <w:p>
      <w:pPr>
        <w:spacing w:after="0" w:line="16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Equity securities primarily include funds invested in large-cap and mid-cap companies, primarily located in the U.S., with a small exposure to international equities. Fixed income securities include funds holding corporate bonds of companies from diverse industries, and U.S. Treasuries. Real estate funds include investments in actively managed mutual funds that invest in real estate.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Company's pension plan assets at December 30, 2017 and December 31, 2016, by asset category, were as follows:</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380"/>
          </w:cols>
          <w:pgMar w:left="240" w:top="123" w:right="279" w:bottom="1440" w:gutter="0" w:footer="0" w:header="0"/>
        </w:sectPr>
      </w:pPr>
    </w:p>
    <w:bookmarkStart w:id="84" w:name="page85"/>
    <w:bookmarkEnd w:id="84"/>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351" w:lineRule="exact"/>
        <w:rPr>
          <w:sz w:val="20"/>
          <w:szCs w:val="20"/>
          <w:color w:val="auto"/>
        </w:rPr>
      </w:pPr>
    </w:p>
    <w:tbl>
      <w:tblPr>
        <w:tblLayout w:type="fixed"/>
        <w:tblInd w:w="820" w:type="dxa"/>
        <w:tblCellMar>
          <w:top w:w="0" w:type="dxa"/>
          <w:left w:w="0" w:type="dxa"/>
          <w:bottom w:w="0" w:type="dxa"/>
          <w:right w:w="0" w:type="dxa"/>
        </w:tblCellMar>
      </w:tblPr>
      <w:tr>
        <w:trPr>
          <w:trHeight w:val="245"/>
        </w:trPr>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w w:val="96"/>
              </w:rPr>
              <w:t>December 30, 2017</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w w:val="91"/>
              </w:rPr>
              <w:t>December 31, 2016</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139"/>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r>
      <w:tr>
        <w:trPr>
          <w:trHeight w:val="196"/>
        </w:trPr>
        <w:tc>
          <w:tcPr>
            <w:tcW w:w="2260" w:type="dxa"/>
            <w:vAlign w:val="bottom"/>
            <w:gridSpan w:val="2"/>
            <w:shd w:val="clear" w:color="auto" w:fill="CCEEFF"/>
          </w:tcPr>
          <w:p>
            <w:pPr>
              <w:ind w:left="40"/>
              <w:spacing w:after="0"/>
              <w:rPr>
                <w:sz w:val="20"/>
                <w:szCs w:val="20"/>
                <w:color w:val="auto"/>
              </w:rPr>
            </w:pPr>
            <w:r>
              <w:rPr>
                <w:rFonts w:ascii="Arial" w:cs="Arial" w:eastAsia="Arial" w:hAnsi="Arial"/>
                <w:sz w:val="15"/>
                <w:szCs w:val="15"/>
                <w:i w:val="1"/>
                <w:iCs w:val="1"/>
                <w:color w:val="auto"/>
              </w:rPr>
              <w:t>(dollars in thousands)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0"/>
        </w:trPr>
        <w:tc>
          <w:tcPr>
            <w:tcW w:w="2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5"/>
                <w:szCs w:val="15"/>
                <w:b w:val="1"/>
                <w:bCs w:val="1"/>
                <w:color w:val="auto"/>
              </w:rPr>
              <w:t>Asset Category</w:t>
            </w: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b w:val="1"/>
                <w:bCs w:val="1"/>
                <w:color w:val="auto"/>
              </w:rPr>
              <w:t>Total</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b w:val="1"/>
                <w:bCs w:val="1"/>
                <w:color w:val="auto"/>
              </w:rPr>
              <w:t>Level 1</w:t>
            </w:r>
          </w:p>
        </w:tc>
        <w:tc>
          <w:tcPr>
            <w:tcW w:w="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auto"/>
            </w:tcBorders>
            <w:gridSpan w:val="2"/>
            <w:shd w:val="clear" w:color="auto" w:fill="CCEEFF"/>
          </w:tcPr>
          <w:p>
            <w:pPr>
              <w:ind w:left="160"/>
              <w:spacing w:after="0"/>
              <w:rPr>
                <w:sz w:val="20"/>
                <w:szCs w:val="20"/>
                <w:color w:val="auto"/>
              </w:rPr>
            </w:pPr>
            <w:r>
              <w:rPr>
                <w:rFonts w:ascii="Arial" w:cs="Arial" w:eastAsia="Arial" w:hAnsi="Arial"/>
                <w:sz w:val="15"/>
                <w:szCs w:val="15"/>
                <w:b w:val="1"/>
                <w:bCs w:val="1"/>
                <w:color w:val="auto"/>
              </w:rPr>
              <w:t>Level 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b w:val="1"/>
                <w:bCs w:val="1"/>
                <w:color w:val="auto"/>
              </w:rPr>
              <w:t>Total</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b w:val="1"/>
                <w:bCs w:val="1"/>
                <w:color w:val="auto"/>
              </w:rPr>
              <w:t>Level 1</w:t>
            </w: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87"/>
              <w:spacing w:after="0"/>
              <w:rPr>
                <w:sz w:val="20"/>
                <w:szCs w:val="20"/>
                <w:color w:val="auto"/>
              </w:rPr>
            </w:pPr>
            <w:r>
              <w:rPr>
                <w:rFonts w:ascii="Arial" w:cs="Arial" w:eastAsia="Arial" w:hAnsi="Arial"/>
                <w:sz w:val="15"/>
                <w:szCs w:val="15"/>
                <w:b w:val="1"/>
                <w:bCs w:val="1"/>
                <w:color w:val="auto"/>
              </w:rPr>
              <w:t>Level 2</w:t>
            </w:r>
          </w:p>
        </w:tc>
      </w:tr>
      <w:tr>
        <w:trPr>
          <w:trHeight w:val="195"/>
        </w:trPr>
        <w:tc>
          <w:tcPr>
            <w:tcW w:w="214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rPr>
              <w:t>Cash and cash equivalents</w:t>
            </w:r>
          </w:p>
        </w:tc>
        <w:tc>
          <w:tcPr>
            <w:tcW w:w="120" w:type="dxa"/>
            <w:vAlign w:val="bottom"/>
          </w:tcPr>
          <w:p>
            <w:pPr>
              <w:spacing w:after="0"/>
              <w:rPr>
                <w:sz w:val="16"/>
                <w:szCs w:val="16"/>
                <w:color w:val="auto"/>
              </w:rPr>
            </w:pPr>
          </w:p>
        </w:tc>
        <w:tc>
          <w:tcPr>
            <w:tcW w:w="28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539</w:t>
            </w:r>
          </w:p>
        </w:tc>
        <w:tc>
          <w:tcPr>
            <w:tcW w:w="100" w:type="dxa"/>
            <w:vAlign w:val="bottom"/>
          </w:tcPr>
          <w:p>
            <w:pPr>
              <w:spacing w:after="0"/>
              <w:rPr>
                <w:sz w:val="16"/>
                <w:szCs w:val="16"/>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539</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175</w:t>
            </w:r>
          </w:p>
        </w:tc>
        <w:tc>
          <w:tcPr>
            <w:tcW w:w="100" w:type="dxa"/>
            <w:vAlign w:val="bottom"/>
          </w:tcPr>
          <w:p>
            <w:pPr>
              <w:spacing w:after="0"/>
              <w:rPr>
                <w:sz w:val="16"/>
                <w:szCs w:val="16"/>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175</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w:t>
            </w:r>
          </w:p>
        </w:tc>
      </w:tr>
      <w:tr>
        <w:trPr>
          <w:trHeight w:val="29"/>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i w:val="1"/>
                <w:iCs w:val="1"/>
                <w:color w:val="auto"/>
              </w:rPr>
              <w:t>Equity Securities: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15"/>
        </w:trPr>
        <w:tc>
          <w:tcPr>
            <w:tcW w:w="2260" w:type="dxa"/>
            <w:vAlign w:val="bottom"/>
            <w:gridSpan w:val="2"/>
          </w:tcPr>
          <w:p>
            <w:pPr>
              <w:ind w:left="40"/>
              <w:spacing w:after="0"/>
              <w:rPr>
                <w:sz w:val="20"/>
                <w:szCs w:val="20"/>
                <w:color w:val="auto"/>
              </w:rPr>
            </w:pPr>
            <w:r>
              <w:rPr>
                <w:rFonts w:ascii="Arial" w:cs="Arial" w:eastAsia="Arial" w:hAnsi="Arial"/>
                <w:sz w:val="15"/>
                <w:szCs w:val="15"/>
                <w:color w:val="auto"/>
              </w:rPr>
              <w:t>U.S. Large-Cap blend (a)</w:t>
            </w:r>
          </w:p>
        </w:tc>
        <w:tc>
          <w:tcPr>
            <w:tcW w:w="280" w:type="dxa"/>
            <w:vAlign w:val="bottom"/>
          </w:tcPr>
          <w:p>
            <w:pPr>
              <w:spacing w:after="0"/>
              <w:rPr>
                <w:sz w:val="18"/>
                <w:szCs w:val="18"/>
                <w:color w:val="auto"/>
              </w:rPr>
            </w:pPr>
          </w:p>
        </w:tc>
        <w:tc>
          <w:tcPr>
            <w:tcW w:w="960" w:type="dxa"/>
            <w:vAlign w:val="bottom"/>
          </w:tcPr>
          <w:p>
            <w:pPr>
              <w:jc w:val="right"/>
              <w:ind w:right="47"/>
              <w:spacing w:after="0"/>
              <w:rPr>
                <w:sz w:val="20"/>
                <w:szCs w:val="20"/>
                <w:color w:val="auto"/>
              </w:rPr>
            </w:pPr>
            <w:r>
              <w:rPr>
                <w:rFonts w:ascii="Arial" w:cs="Arial" w:eastAsia="Arial" w:hAnsi="Arial"/>
                <w:sz w:val="15"/>
                <w:szCs w:val="15"/>
                <w:color w:val="auto"/>
              </w:rPr>
              <w:t>7,418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7,418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8,462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4,221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4,241</w:t>
            </w:r>
          </w:p>
        </w:tc>
      </w:tr>
      <w:tr>
        <w:trPr>
          <w:trHeight w:val="29"/>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U.S. Large-Cap growth</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3,331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3,331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4,220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4,220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r>
      <w:tr>
        <w:trPr>
          <w:trHeight w:val="215"/>
        </w:trPr>
        <w:tc>
          <w:tcPr>
            <w:tcW w:w="2260" w:type="dxa"/>
            <w:vAlign w:val="bottom"/>
            <w:gridSpan w:val="2"/>
          </w:tcPr>
          <w:p>
            <w:pPr>
              <w:ind w:left="40"/>
              <w:spacing w:after="0"/>
              <w:rPr>
                <w:sz w:val="20"/>
                <w:szCs w:val="20"/>
                <w:color w:val="auto"/>
              </w:rPr>
            </w:pPr>
            <w:r>
              <w:rPr>
                <w:rFonts w:ascii="Arial" w:cs="Arial" w:eastAsia="Arial" w:hAnsi="Arial"/>
                <w:sz w:val="15"/>
                <w:szCs w:val="15"/>
                <w:color w:val="auto"/>
              </w:rPr>
              <w:t>U.S. Mid-Cap growth</w:t>
            </w:r>
          </w:p>
        </w:tc>
        <w:tc>
          <w:tcPr>
            <w:tcW w:w="280" w:type="dxa"/>
            <w:vAlign w:val="bottom"/>
          </w:tcPr>
          <w:p>
            <w:pPr>
              <w:spacing w:after="0"/>
              <w:rPr>
                <w:sz w:val="18"/>
                <w:szCs w:val="18"/>
                <w:color w:val="auto"/>
              </w:rPr>
            </w:pPr>
          </w:p>
        </w:tc>
        <w:tc>
          <w:tcPr>
            <w:tcW w:w="960" w:type="dxa"/>
            <w:vAlign w:val="bottom"/>
          </w:tcPr>
          <w:p>
            <w:pPr>
              <w:jc w:val="right"/>
              <w:ind w:right="47"/>
              <w:spacing w:after="0"/>
              <w:rPr>
                <w:sz w:val="20"/>
                <w:szCs w:val="20"/>
                <w:color w:val="auto"/>
              </w:rPr>
            </w:pPr>
            <w:r>
              <w:rPr>
                <w:rFonts w:ascii="Arial" w:cs="Arial" w:eastAsia="Arial" w:hAnsi="Arial"/>
                <w:sz w:val="15"/>
                <w:szCs w:val="15"/>
                <w:color w:val="auto"/>
              </w:rPr>
              <w:t>3,228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3,228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2,533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2,533</w:t>
            </w:r>
          </w:p>
        </w:tc>
      </w:tr>
      <w:tr>
        <w:trPr>
          <w:trHeight w:val="29"/>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U.S. Small-Cap blend</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2,147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2,147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2,514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2,514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r>
      <w:tr>
        <w:trPr>
          <w:trHeight w:val="215"/>
        </w:trPr>
        <w:tc>
          <w:tcPr>
            <w:tcW w:w="2260" w:type="dxa"/>
            <w:vAlign w:val="bottom"/>
            <w:gridSpan w:val="2"/>
          </w:tcPr>
          <w:p>
            <w:pPr>
              <w:ind w:left="40"/>
              <w:spacing w:after="0"/>
              <w:rPr>
                <w:sz w:val="20"/>
                <w:szCs w:val="20"/>
                <w:color w:val="auto"/>
              </w:rPr>
            </w:pPr>
            <w:r>
              <w:rPr>
                <w:rFonts w:ascii="Arial" w:cs="Arial" w:eastAsia="Arial" w:hAnsi="Arial"/>
                <w:sz w:val="15"/>
                <w:szCs w:val="15"/>
                <w:color w:val="auto"/>
              </w:rPr>
              <w:t>International blend</w:t>
            </w:r>
          </w:p>
        </w:tc>
        <w:tc>
          <w:tcPr>
            <w:tcW w:w="280" w:type="dxa"/>
            <w:vAlign w:val="bottom"/>
          </w:tcPr>
          <w:p>
            <w:pPr>
              <w:spacing w:after="0"/>
              <w:rPr>
                <w:sz w:val="18"/>
                <w:szCs w:val="18"/>
                <w:color w:val="auto"/>
              </w:rPr>
            </w:pPr>
          </w:p>
        </w:tc>
        <w:tc>
          <w:tcPr>
            <w:tcW w:w="960" w:type="dxa"/>
            <w:vAlign w:val="bottom"/>
          </w:tcPr>
          <w:p>
            <w:pPr>
              <w:jc w:val="right"/>
              <w:ind w:right="47"/>
              <w:spacing w:after="0"/>
              <w:rPr>
                <w:sz w:val="20"/>
                <w:szCs w:val="20"/>
                <w:color w:val="auto"/>
              </w:rPr>
            </w:pPr>
            <w:r>
              <w:rPr>
                <w:rFonts w:ascii="Arial" w:cs="Arial" w:eastAsia="Arial" w:hAnsi="Arial"/>
                <w:sz w:val="15"/>
                <w:szCs w:val="15"/>
                <w:color w:val="auto"/>
              </w:rPr>
              <w:t>8,142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8,142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2,569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2,569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w:t>
            </w:r>
          </w:p>
        </w:tc>
      </w:tr>
      <w:tr>
        <w:trPr>
          <w:trHeight w:val="29"/>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5"/>
        </w:trPr>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i w:val="1"/>
                <w:iCs w:val="1"/>
                <w:color w:val="auto"/>
              </w:rPr>
              <w:t>Fixed income securities: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15"/>
        </w:trPr>
        <w:tc>
          <w:tcPr>
            <w:tcW w:w="2260" w:type="dxa"/>
            <w:vAlign w:val="bottom"/>
            <w:gridSpan w:val="2"/>
          </w:tcPr>
          <w:p>
            <w:pPr>
              <w:ind w:left="40"/>
              <w:spacing w:after="0"/>
              <w:rPr>
                <w:sz w:val="20"/>
                <w:szCs w:val="20"/>
                <w:color w:val="auto"/>
              </w:rPr>
            </w:pPr>
            <w:r>
              <w:rPr>
                <w:rFonts w:ascii="Arial" w:cs="Arial" w:eastAsia="Arial" w:hAnsi="Arial"/>
                <w:sz w:val="15"/>
                <w:szCs w:val="15"/>
                <w:color w:val="auto"/>
              </w:rPr>
              <w:t>Corporate bonds (b)</w:t>
            </w:r>
          </w:p>
        </w:tc>
        <w:tc>
          <w:tcPr>
            <w:tcW w:w="280" w:type="dxa"/>
            <w:vAlign w:val="bottom"/>
          </w:tcPr>
          <w:p>
            <w:pPr>
              <w:spacing w:after="0"/>
              <w:rPr>
                <w:sz w:val="18"/>
                <w:szCs w:val="18"/>
                <w:color w:val="auto"/>
              </w:rPr>
            </w:pPr>
          </w:p>
        </w:tc>
        <w:tc>
          <w:tcPr>
            <w:tcW w:w="960" w:type="dxa"/>
            <w:vAlign w:val="bottom"/>
          </w:tcPr>
          <w:p>
            <w:pPr>
              <w:jc w:val="right"/>
              <w:ind w:right="47"/>
              <w:spacing w:after="0"/>
              <w:rPr>
                <w:sz w:val="20"/>
                <w:szCs w:val="20"/>
                <w:color w:val="auto"/>
              </w:rPr>
            </w:pPr>
            <w:r>
              <w:rPr>
                <w:rFonts w:ascii="Arial" w:cs="Arial" w:eastAsia="Arial" w:hAnsi="Arial"/>
                <w:sz w:val="15"/>
                <w:szCs w:val="15"/>
                <w:color w:val="auto"/>
              </w:rPr>
              <w:t>26,888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7"/>
              <w:spacing w:after="0"/>
              <w:rPr>
                <w:sz w:val="20"/>
                <w:szCs w:val="20"/>
                <w:color w:val="auto"/>
              </w:rPr>
            </w:pPr>
            <w:r>
              <w:rPr>
                <w:rFonts w:ascii="Arial" w:cs="Arial" w:eastAsia="Arial" w:hAnsi="Arial"/>
                <w:sz w:val="15"/>
                <w:szCs w:val="15"/>
                <w:color w:val="auto"/>
              </w:rPr>
              <w:t>26,480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408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7"/>
              <w:spacing w:after="0"/>
              <w:rPr>
                <w:sz w:val="20"/>
                <w:szCs w:val="20"/>
                <w:color w:val="auto"/>
              </w:rPr>
            </w:pPr>
            <w:r>
              <w:rPr>
                <w:rFonts w:ascii="Arial" w:cs="Arial" w:eastAsia="Arial" w:hAnsi="Arial"/>
                <w:sz w:val="15"/>
                <w:szCs w:val="15"/>
                <w:color w:val="auto"/>
              </w:rPr>
              <w:t>25,573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25,573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5"/>
                <w:szCs w:val="15"/>
                <w:color w:val="auto"/>
              </w:rPr>
              <w:t>—</w:t>
            </w:r>
          </w:p>
        </w:tc>
      </w:tr>
      <w:tr>
        <w:trPr>
          <w:trHeight w:val="29"/>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Real estate (c)</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2,744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2,744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5,167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5,167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w:t>
            </w:r>
          </w:p>
        </w:tc>
      </w:tr>
      <w:tr>
        <w:trPr>
          <w:trHeight w:val="195"/>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54,437</w:t>
            </w:r>
          </w:p>
        </w:tc>
        <w:tc>
          <w:tcPr>
            <w:tcW w:w="100" w:type="dxa"/>
            <w:vAlign w:val="bottom"/>
          </w:tcPr>
          <w:p>
            <w:pPr>
              <w:spacing w:after="0"/>
              <w:rPr>
                <w:sz w:val="16"/>
                <w:szCs w:val="16"/>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rPr>
              <w:t>54,029</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408</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51,213</w:t>
            </w:r>
          </w:p>
        </w:tc>
        <w:tc>
          <w:tcPr>
            <w:tcW w:w="100" w:type="dxa"/>
            <w:vAlign w:val="bottom"/>
          </w:tcPr>
          <w:p>
            <w:pPr>
              <w:spacing w:after="0"/>
              <w:rPr>
                <w:sz w:val="16"/>
                <w:szCs w:val="16"/>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44,439</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6,774</w:t>
            </w:r>
          </w:p>
        </w:tc>
      </w:tr>
      <w:tr>
        <w:trPr>
          <w:trHeight w:val="69"/>
        </w:trPr>
        <w:tc>
          <w:tcPr>
            <w:tcW w:w="21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bl>
    <w:p>
      <w:pPr>
        <w:spacing w:after="0" w:line="163" w:lineRule="exact"/>
        <w:rPr>
          <w:sz w:val="20"/>
          <w:szCs w:val="20"/>
          <w:color w:val="auto"/>
        </w:rPr>
      </w:pPr>
    </w:p>
    <w:p>
      <w:pPr>
        <w:ind w:left="780" w:hanging="195"/>
        <w:spacing w:after="0"/>
        <w:tabs>
          <w:tab w:leader="none" w:pos="7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This category comprises low-cost equity index funds not actively managed that track the Standard &amp; Poor's 500 Index.</w:t>
      </w:r>
    </w:p>
    <w:p>
      <w:pPr>
        <w:spacing w:after="0" w:line="10" w:lineRule="exact"/>
        <w:rPr>
          <w:rFonts w:ascii="Arial" w:cs="Arial" w:eastAsia="Arial" w:hAnsi="Arial"/>
          <w:sz w:val="15"/>
          <w:szCs w:val="15"/>
          <w:color w:val="auto"/>
        </w:rPr>
      </w:pPr>
    </w:p>
    <w:p>
      <w:pPr>
        <w:ind w:left="800" w:hanging="215"/>
        <w:spacing w:after="0" w:line="238" w:lineRule="auto"/>
        <w:tabs>
          <w:tab w:leader="none" w:pos="8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This category invests in both U.S. Treasuries and mid-term corporate debt from U.S. issuers from diverse industries.</w:t>
      </w:r>
    </w:p>
    <w:p>
      <w:pPr>
        <w:ind w:left="800" w:right="60" w:hanging="215"/>
        <w:spacing w:after="0" w:line="241" w:lineRule="auto"/>
        <w:tabs>
          <w:tab w:leader="none" w:pos="779"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This category represents an investment in a mutual fund that invests primarily in real estate securities, including common stocks, preferred stock and other equity securities issued by real estate companies.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POST-RETIREMENT LIFE AND MEDICAL PLAN</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Under a defined benefit plan frozen in 1991, the Company offers a comprehensive post-retirement medical plan to current and certain future retirees and their spouses. The Company also offers life insurance to current and certain future retirees. Employee contributions are required as a condition of participation for both medical benefits and life insurance and the Company's liabilities are net of these expected employee contributions.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Accumulated Post-Retirement Benefit Obligation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accumulated post-retirement benefit obligation ("APBO") under this plan:</w:t>
      </w:r>
    </w:p>
    <w:p>
      <w:pPr>
        <w:spacing w:after="0" w:line="146" w:lineRule="exact"/>
        <w:rPr>
          <w:sz w:val="20"/>
          <w:szCs w:val="20"/>
          <w:color w:val="auto"/>
        </w:rPr>
      </w:pPr>
    </w:p>
    <w:tbl>
      <w:tblPr>
        <w:tblLayout w:type="fixed"/>
        <w:tblInd w:w="1200" w:type="dxa"/>
        <w:tblCellMar>
          <w:top w:w="0" w:type="dxa"/>
          <w:left w:w="0" w:type="dxa"/>
          <w:bottom w:w="0" w:type="dxa"/>
          <w:right w:w="0" w:type="dxa"/>
        </w:tblCellMar>
      </w:tblPr>
      <w:tr>
        <w:trPr>
          <w:trHeight w:val="238"/>
        </w:trPr>
        <w:tc>
          <w:tcPr>
            <w:tcW w:w="54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3780" w:type="dxa"/>
            <w:vAlign w:val="bottom"/>
            <w:tcBorders>
              <w:bottom w:val="single" w:sz="8" w:color="auto"/>
            </w:tcBorders>
            <w:gridSpan w:val="4"/>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For the fiscal years ended</w:t>
            </w:r>
          </w:p>
        </w:tc>
      </w:tr>
      <w:tr>
        <w:trPr>
          <w:trHeight w:val="218"/>
        </w:trPr>
        <w:tc>
          <w:tcPr>
            <w:tcW w:w="5480" w:type="dxa"/>
            <w:vAlign w:val="bottom"/>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30, 2017</w:t>
            </w:r>
          </w:p>
        </w:tc>
        <w:tc>
          <w:tcPr>
            <w:tcW w:w="220" w:type="dxa"/>
            <w:vAlign w:val="bottom"/>
          </w:tcPr>
          <w:p>
            <w:pPr>
              <w:spacing w:after="0"/>
              <w:rPr>
                <w:sz w:val="18"/>
                <w:szCs w:val="18"/>
                <w:color w:val="auto"/>
              </w:rPr>
            </w:pP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31, 2016</w:t>
            </w:r>
          </w:p>
        </w:tc>
      </w:tr>
      <w:tr>
        <w:trPr>
          <w:trHeight w:val="25"/>
        </w:trPr>
        <w:tc>
          <w:tcPr>
            <w:tcW w:w="5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APBO at beginning of fiscal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4,938</w:t>
            </w:r>
          </w:p>
        </w:tc>
      </w:tr>
      <w:tr>
        <w:trPr>
          <w:trHeight w:val="219"/>
        </w:trPr>
        <w:tc>
          <w:tcPr>
            <w:tcW w:w="54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5"/>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19"/>
        </w:trPr>
        <w:tc>
          <w:tcPr>
            <w:tcW w:w="5480" w:type="dxa"/>
            <w:vAlign w:val="bottom"/>
          </w:tcPr>
          <w:p>
            <w:pPr>
              <w:ind w:left="40"/>
              <w:spacing w:after="0"/>
              <w:rPr>
                <w:sz w:val="20"/>
                <w:szCs w:val="20"/>
                <w:color w:val="auto"/>
              </w:rPr>
            </w:pPr>
            <w:r>
              <w:rPr>
                <w:rFonts w:ascii="Arial" w:cs="Arial" w:eastAsia="Arial" w:hAnsi="Arial"/>
                <w:sz w:val="16"/>
                <w:szCs w:val="16"/>
                <w:color w:val="auto"/>
              </w:rPr>
              <w:t>Actuarial loss (gain)</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(740)</w:t>
            </w:r>
          </w:p>
        </w:tc>
      </w:tr>
      <w:tr>
        <w:trPr>
          <w:trHeight w:val="25"/>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participants' contribution</w:t>
            </w:r>
          </w:p>
        </w:tc>
        <w:tc>
          <w:tcPr>
            <w:tcW w:w="2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5480" w:type="dxa"/>
            <w:vAlign w:val="bottom"/>
          </w:tcPr>
          <w:p>
            <w:pPr>
              <w:ind w:left="40"/>
              <w:spacing w:after="0"/>
              <w:rPr>
                <w:sz w:val="20"/>
                <w:szCs w:val="20"/>
                <w:color w:val="auto"/>
              </w:rPr>
            </w:pPr>
            <w:r>
              <w:rPr>
                <w:rFonts w:ascii="Arial" w:cs="Arial" w:eastAsia="Arial" w:hAnsi="Arial"/>
                <w:sz w:val="16"/>
                <w:szCs w:val="16"/>
                <w:color w:val="auto"/>
              </w:rPr>
              <w:t>Prior service cost</w:t>
            </w:r>
          </w:p>
        </w:tc>
        <w:tc>
          <w:tcPr>
            <w:tcW w:w="20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5"/>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Benefits paid</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w:t>
            </w:r>
          </w:p>
        </w:tc>
      </w:tr>
      <w:tr>
        <w:trPr>
          <w:trHeight w:val="230"/>
        </w:trPr>
        <w:tc>
          <w:tcPr>
            <w:tcW w:w="5480" w:type="dxa"/>
            <w:vAlign w:val="bottom"/>
          </w:tcPr>
          <w:p>
            <w:pPr>
              <w:ind w:left="40"/>
              <w:spacing w:after="0"/>
              <w:rPr>
                <w:sz w:val="20"/>
                <w:szCs w:val="20"/>
                <w:color w:val="auto"/>
              </w:rPr>
            </w:pPr>
            <w:r>
              <w:rPr>
                <w:rFonts w:ascii="Arial" w:cs="Arial" w:eastAsia="Arial" w:hAnsi="Arial"/>
                <w:sz w:val="16"/>
                <w:szCs w:val="16"/>
                <w:color w:val="auto"/>
              </w:rPr>
              <w:t>APBO at end of fiscal year</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3,969</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4,125</w:t>
            </w: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Approximately $3.6 million and $3.5 million of the APBO at the end of fiscal 2017 and 2016, respectively, were classified as other long term liabilities in the Company's consolidated balance sheets.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Periodic Post-Retirement (Benefit) Cost and Changes Recognized in Other Comprehensive Income</w:t>
      </w:r>
    </w:p>
    <w:p>
      <w:pPr>
        <w:spacing w:after="0" w:line="207" w:lineRule="exact"/>
        <w:rPr>
          <w:sz w:val="20"/>
          <w:szCs w:val="20"/>
          <w:color w:val="auto"/>
        </w:rPr>
      </w:pPr>
    </w:p>
    <w:p>
      <w:pPr>
        <w:ind w:right="360"/>
        <w:spacing w:after="0" w:line="285" w:lineRule="auto"/>
        <w:rPr>
          <w:sz w:val="20"/>
          <w:szCs w:val="20"/>
          <w:color w:val="auto"/>
        </w:rPr>
      </w:pPr>
      <w:r>
        <w:rPr>
          <w:rFonts w:ascii="Arial" w:cs="Arial" w:eastAsia="Arial" w:hAnsi="Arial"/>
          <w:sz w:val="16"/>
          <w:szCs w:val="16"/>
          <w:color w:val="auto"/>
        </w:rPr>
        <w:t>The components of net periodic post-retirement cost (benefit) recognized in the statement of operations and changes recognized in other comprehensive income were as follows:</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320"/>
          </w:cols>
          <w:pgMar w:left="240" w:top="123" w:right="339" w:bottom="1440" w:gutter="0" w:footer="0" w:header="0"/>
        </w:sectPr>
      </w:pPr>
    </w:p>
    <w:bookmarkStart w:id="85" w:name="page86"/>
    <w:bookmarkEnd w:id="85"/>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351" w:lineRule="exact"/>
        <w:rPr>
          <w:sz w:val="20"/>
          <w:szCs w:val="20"/>
          <w:color w:val="auto"/>
        </w:rPr>
      </w:pPr>
    </w:p>
    <w:tbl>
      <w:tblPr>
        <w:tblLayout w:type="fixed"/>
        <w:tblInd w:w="740" w:type="dxa"/>
        <w:tblCellMar>
          <w:top w:w="0" w:type="dxa"/>
          <w:left w:w="0" w:type="dxa"/>
          <w:bottom w:w="0" w:type="dxa"/>
          <w:right w:w="0" w:type="dxa"/>
        </w:tblCellMar>
      </w:tblPr>
      <w:tr>
        <w:trPr>
          <w:trHeight w:val="238"/>
        </w:trPr>
        <w:tc>
          <w:tcPr>
            <w:tcW w:w="57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gridSpan w:val="5"/>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91"/>
              </w:rPr>
              <w:t>For the fiscal year ended</w:t>
            </w:r>
          </w:p>
        </w:tc>
        <w:tc>
          <w:tcPr>
            <w:tcW w:w="13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w w:val="96"/>
              </w:rPr>
              <w:t>December 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7"/>
                <w:szCs w:val="17"/>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January 2,</w:t>
            </w:r>
          </w:p>
        </w:tc>
        <w:tc>
          <w:tcPr>
            <w:tcW w:w="0" w:type="dxa"/>
            <w:vAlign w:val="bottom"/>
          </w:tcPr>
          <w:p>
            <w:pPr>
              <w:spacing w:after="0"/>
              <w:rPr>
                <w:sz w:val="1"/>
                <w:szCs w:val="1"/>
                <w:color w:val="auto"/>
              </w:rPr>
            </w:pPr>
          </w:p>
        </w:tc>
      </w:tr>
      <w:tr>
        <w:trPr>
          <w:trHeight w:val="211"/>
        </w:trPr>
        <w:tc>
          <w:tcPr>
            <w:tcW w:w="57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
        </w:trPr>
        <w:tc>
          <w:tcPr>
            <w:tcW w:w="5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5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Recognized in the statement of operations: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 – benefits attributed to service during the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9"/>
        </w:trPr>
        <w:tc>
          <w:tcPr>
            <w:tcW w:w="5740" w:type="dxa"/>
            <w:vAlign w:val="bottom"/>
          </w:tcPr>
          <w:p>
            <w:pPr>
              <w:ind w:left="40"/>
              <w:spacing w:after="0"/>
              <w:rPr>
                <w:sz w:val="20"/>
                <w:szCs w:val="20"/>
                <w:color w:val="auto"/>
              </w:rPr>
            </w:pPr>
            <w:r>
              <w:rPr>
                <w:rFonts w:ascii="Arial" w:cs="Arial" w:eastAsia="Arial" w:hAnsi="Arial"/>
                <w:sz w:val="16"/>
                <w:szCs w:val="16"/>
                <w:color w:val="auto"/>
              </w:rPr>
              <w:t>Interest cost on accumulated post-retirement benefit obligation</w:t>
            </w:r>
          </w:p>
        </w:tc>
        <w:tc>
          <w:tcPr>
            <w:tcW w:w="16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5"/>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net actuarial gain (a)</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1"/>
        </w:trPr>
        <w:tc>
          <w:tcPr>
            <w:tcW w:w="5740" w:type="dxa"/>
            <w:vAlign w:val="bottom"/>
          </w:tcPr>
          <w:p>
            <w:pPr>
              <w:ind w:left="160"/>
              <w:spacing w:after="0"/>
              <w:rPr>
                <w:sz w:val="20"/>
                <w:szCs w:val="20"/>
                <w:color w:val="auto"/>
              </w:rPr>
            </w:pPr>
            <w:r>
              <w:rPr>
                <w:rFonts w:ascii="Arial" w:cs="Arial" w:eastAsia="Arial" w:hAnsi="Arial"/>
                <w:sz w:val="16"/>
                <w:szCs w:val="16"/>
                <w:color w:val="auto"/>
              </w:rPr>
              <w:t>Net periodic post-retirement (benefit) cost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5"/>
        </w:trPr>
        <w:tc>
          <w:tcPr>
            <w:tcW w:w="5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5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5740" w:type="dxa"/>
            <w:vAlign w:val="bottom"/>
          </w:tcPr>
          <w:p>
            <w:pPr>
              <w:spacing w:after="0"/>
              <w:rPr>
                <w:sz w:val="20"/>
                <w:szCs w:val="20"/>
                <w:color w:val="auto"/>
              </w:rPr>
            </w:pPr>
            <w:r>
              <w:rPr>
                <w:rFonts w:ascii="Arial" w:cs="Arial" w:eastAsia="Arial" w:hAnsi="Arial"/>
                <w:sz w:val="16"/>
                <w:szCs w:val="16"/>
                <w:b w:val="1"/>
                <w:bCs w:val="1"/>
                <w:color w:val="auto"/>
              </w:rPr>
              <w:t>Changes recognized in other comprehensive income:</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loss (gain) arising during the fiscal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19"/>
        </w:trPr>
        <w:tc>
          <w:tcPr>
            <w:tcW w:w="5740" w:type="dxa"/>
            <w:vAlign w:val="bottom"/>
          </w:tcPr>
          <w:p>
            <w:pPr>
              <w:ind w:left="100"/>
              <w:spacing w:after="0"/>
              <w:rPr>
                <w:sz w:val="20"/>
                <w:szCs w:val="20"/>
                <w:color w:val="auto"/>
              </w:rPr>
            </w:pPr>
            <w:r>
              <w:rPr>
                <w:rFonts w:ascii="Arial" w:cs="Arial" w:eastAsia="Arial" w:hAnsi="Arial"/>
                <w:sz w:val="16"/>
                <w:szCs w:val="16"/>
                <w:color w:val="auto"/>
              </w:rPr>
              <w:t>Prior service cost</w:t>
            </w:r>
          </w:p>
        </w:tc>
        <w:tc>
          <w:tcPr>
            <w:tcW w:w="16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Amortization of net gain (a)</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1"/>
        </w:trPr>
        <w:tc>
          <w:tcPr>
            <w:tcW w:w="5740" w:type="dxa"/>
            <w:vAlign w:val="bottom"/>
          </w:tcPr>
          <w:p>
            <w:pPr>
              <w:ind w:left="160"/>
              <w:spacing w:after="0"/>
              <w:rPr>
                <w:sz w:val="20"/>
                <w:szCs w:val="20"/>
                <w:color w:val="auto"/>
              </w:rPr>
            </w:pPr>
            <w:r>
              <w:rPr>
                <w:rFonts w:ascii="Arial" w:cs="Arial" w:eastAsia="Arial" w:hAnsi="Arial"/>
                <w:sz w:val="16"/>
                <w:szCs w:val="16"/>
                <w:color w:val="auto"/>
              </w:rPr>
              <w:t>Total changes recognized in other comprehensive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5"/>
        </w:trPr>
        <w:tc>
          <w:tcPr>
            <w:tcW w:w="5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4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Total net periodic (benefit) cost and changes recognized in other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193</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8"/>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comprehensive income</w:t>
            </w:r>
          </w:p>
        </w:tc>
        <w:tc>
          <w:tcPr>
            <w:tcW w:w="16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800" w:right="340" w:hanging="289"/>
        <w:spacing w:after="0" w:line="285" w:lineRule="auto"/>
        <w:tabs>
          <w:tab w:leader="none" w:pos="728"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pre-tax amounts reclassified from accumulated other comprehensive loss. For fiscal 2018, approximately $0.3 million is expected to be reclassified from accumulated other comprehensive loss as a credit to periodic net periodic pension cost.</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Assumptions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actuarial computations utilized the following assumptions, using year-end measurement dates:</w:t>
      </w:r>
    </w:p>
    <w:p>
      <w:pPr>
        <w:spacing w:after="0" w:line="146" w:lineRule="exact"/>
        <w:rPr>
          <w:sz w:val="20"/>
          <w:szCs w:val="20"/>
          <w:color w:val="auto"/>
        </w:rPr>
      </w:pPr>
    </w:p>
    <w:tbl>
      <w:tblPr>
        <w:tblLayout w:type="fixed"/>
        <w:tblInd w:w="1800" w:type="dxa"/>
        <w:tblCellMar>
          <w:top w:w="0" w:type="dxa"/>
          <w:left w:w="0" w:type="dxa"/>
          <w:bottom w:w="0" w:type="dxa"/>
          <w:right w:w="0" w:type="dxa"/>
        </w:tblCellMar>
      </w:tblP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shd w:val="clear" w:color="auto" w:fill="CCEEFF"/>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shd w:val="clear" w:color="auto" w:fill="CCEEFF"/>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176"/>
        </w:trPr>
        <w:tc>
          <w:tcPr>
            <w:tcW w:w="3860" w:type="dxa"/>
            <w:vAlign w:val="bottom"/>
            <w:gridSpan w:val="4"/>
          </w:tcPr>
          <w:p>
            <w:pPr>
              <w:ind w:left="20"/>
              <w:spacing w:after="0" w:line="176" w:lineRule="exact"/>
              <w:rPr>
                <w:sz w:val="20"/>
                <w:szCs w:val="20"/>
                <w:color w:val="auto"/>
              </w:rPr>
            </w:pPr>
            <w:r>
              <w:rPr>
                <w:rFonts w:ascii="Arial" w:cs="Arial" w:eastAsia="Arial" w:hAnsi="Arial"/>
                <w:sz w:val="16"/>
                <w:szCs w:val="16"/>
                <w:b w:val="1"/>
                <w:bCs w:val="1"/>
                <w:color w:val="auto"/>
              </w:rPr>
              <w:t>Benefit obligation</w:t>
            </w:r>
          </w:p>
        </w:tc>
        <w:tc>
          <w:tcPr>
            <w:tcW w:w="1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41"/>
        </w:trPr>
        <w:tc>
          <w:tcPr>
            <w:tcW w:w="20" w:type="dxa"/>
            <w:vAlign w:val="bottom"/>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25"/>
        </w:trPr>
        <w:tc>
          <w:tcPr>
            <w:tcW w:w="38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3.25%</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3.50%</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r>
      <w:tr>
        <w:trPr>
          <w:trHeight w:val="269"/>
        </w:trPr>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shd w:val="clear" w:color="auto" w:fill="CCEEFF"/>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shd w:val="clear" w:color="auto" w:fill="CCEEFF"/>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shd w:val="clear" w:color="auto" w:fill="CCEEFF"/>
              </w:rPr>
              <w:t>2015</w:t>
            </w:r>
          </w:p>
        </w:tc>
      </w:tr>
      <w:tr>
        <w:trPr>
          <w:trHeight w:val="176"/>
        </w:trPr>
        <w:tc>
          <w:tcPr>
            <w:tcW w:w="3860" w:type="dxa"/>
            <w:vAlign w:val="bottom"/>
            <w:gridSpan w:val="4"/>
          </w:tcPr>
          <w:p>
            <w:pPr>
              <w:ind w:left="20"/>
              <w:spacing w:after="0" w:line="176" w:lineRule="exact"/>
              <w:rPr>
                <w:sz w:val="20"/>
                <w:szCs w:val="20"/>
                <w:color w:val="auto"/>
              </w:rPr>
            </w:pPr>
            <w:r>
              <w:rPr>
                <w:rFonts w:ascii="Arial" w:cs="Arial" w:eastAsia="Arial" w:hAnsi="Arial"/>
                <w:sz w:val="16"/>
                <w:szCs w:val="16"/>
                <w:b w:val="1"/>
                <w:bCs w:val="1"/>
                <w:color w:val="auto"/>
              </w:rPr>
              <w:t>Net periodic pension cost</w:t>
            </w:r>
          </w:p>
        </w:tc>
        <w:tc>
          <w:tcPr>
            <w:tcW w:w="1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r>
      <w:tr>
        <w:trPr>
          <w:trHeight w:val="41"/>
        </w:trPr>
        <w:tc>
          <w:tcPr>
            <w:tcW w:w="20" w:type="dxa"/>
            <w:vAlign w:val="bottom"/>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19"/>
        </w:trPr>
        <w:tc>
          <w:tcPr>
            <w:tcW w:w="38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3.50%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3.75%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3.50%</w:t>
            </w:r>
          </w:p>
        </w:tc>
      </w:tr>
      <w:tr>
        <w:trPr>
          <w:trHeight w:val="25"/>
        </w:trPr>
        <w:tc>
          <w:tcPr>
            <w:tcW w:w="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The discount rates used at December 30, 2017, December 31, 2016, and January 2, 2016, were determined with primary consideration given to the Citigroup Pension Discount and Liability Index adjusted for the timing of expected plan distributions. The Company believes this index reflects a risk-free rate with maturities that are comparable to the timing of the expected payments under the plan.</w:t>
      </w:r>
    </w:p>
    <w:p>
      <w:pPr>
        <w:spacing w:after="0" w:line="16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effects on the Company's plan of all future increases in health care costs are borne primarily by employees; accordingly, increasing medical costs are not expected to have any material effect on the Company's future financial results.</w:t>
      </w:r>
    </w:p>
    <w:p>
      <w:pPr>
        <w:spacing w:after="0" w:line="150"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The Company's contribution for these post-retirement benefit obligations was approximately $0.3 million in fiscal year 2017, and $0.4 million in both of fiscal years 2016 and 2015. The Company expects that its contribution and benefit payments for post-retirement benefit obligations will be approximately $0.4 million for fiscal years 2018 and 2019, and $0.3 million for fiscal years 2020, 2021, and 2022. For the five years subsequent to fiscal 2022, the aggregate contributions and benefit payments for post-retirement benefit obligations is expected to be approximately $1.3 million. The Company does not pre-fund this plan and as a result there are no plan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3" w:right="239" w:bottom="1440" w:gutter="0" w:footer="0" w:header="0"/>
        </w:sectPr>
      </w:pPr>
    </w:p>
    <w:bookmarkStart w:id="86" w:name="page87"/>
    <w:bookmarkEnd w:id="86"/>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COMPENSATION PLAN</w:t>
      </w:r>
    </w:p>
    <w:p>
      <w:pPr>
        <w:spacing w:after="0" w:line="207" w:lineRule="exact"/>
        <w:rPr>
          <w:sz w:val="20"/>
          <w:szCs w:val="20"/>
          <w:color w:val="auto"/>
        </w:rPr>
      </w:pPr>
    </w:p>
    <w:p>
      <w:pPr>
        <w:ind w:right="160"/>
        <w:spacing w:after="0" w:line="296" w:lineRule="auto"/>
        <w:rPr>
          <w:sz w:val="20"/>
          <w:szCs w:val="20"/>
          <w:color w:val="auto"/>
        </w:rPr>
      </w:pPr>
      <w:r>
        <w:rPr>
          <w:rFonts w:ascii="Arial" w:cs="Arial" w:eastAsia="Arial" w:hAnsi="Arial"/>
          <w:sz w:val="15"/>
          <w:szCs w:val="15"/>
          <w:color w:val="auto"/>
        </w:rPr>
        <w:t>The Company maintains a deferred compensation plan allowing voluntary salary and incentive compensation deferrals for qualifying employees as permitted by the Internal Revenue Code. Participant deferrals earn investment returns based on a select number of investment options, including equity, debt, and real estate mutual funds. The Company invests comparable amounts in marketable securities to mitigate the risk associated with the investment return on the employee deferrals.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DEFINED CONTRIBUTION PLAN</w:t>
      </w:r>
    </w:p>
    <w:p>
      <w:pPr>
        <w:spacing w:after="0" w:line="207"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Company also sponsors defined contribution savings plans in the United States and Canada. The U.S. plan covers employees who are at least 21 years of age and have completed three months of service, during which at least 250 hours were served. The plan provides for a discretionary employer match. The Company's expense for the U.S. defined contribution savings plan totaled approximately $13.9 million, $10.5 million, and $12.2 million for the fiscal years ended December 30, 2017, December 31, 2016, and January 2, 2016, respectively. Expenses related to the Canadian defined contribution savings plan were approximately $0.3 million for the fiscal year ended December 30, 2017; amounts for fiscal 2016 and 2015 were not material.</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INCOME TAXES</w:t>
      </w:r>
    </w:p>
    <w:p>
      <w:pPr>
        <w:spacing w:after="0" w:line="211" w:lineRule="exact"/>
        <w:rPr>
          <w:sz w:val="20"/>
          <w:szCs w:val="20"/>
          <w:color w:val="auto"/>
        </w:rPr>
      </w:pPr>
    </w:p>
    <w:p>
      <w:pPr>
        <w:ind w:right="140"/>
        <w:spacing w:after="0" w:line="288" w:lineRule="auto"/>
        <w:rPr>
          <w:sz w:val="20"/>
          <w:szCs w:val="20"/>
          <w:color w:val="auto"/>
        </w:rPr>
      </w:pPr>
      <w:r>
        <w:rPr>
          <w:rFonts w:ascii="Arial" w:cs="Arial" w:eastAsia="Arial" w:hAnsi="Arial"/>
          <w:sz w:val="15"/>
          <w:szCs w:val="15"/>
          <w:color w:val="auto"/>
        </w:rPr>
        <w:t xml:space="preserve">The provision for income taxes recognized by the Company during the fiscal fourth quarter of 2017 reflects certain provisional estimates for the accounting of the December 22, 2017 enactment of tax law changes known as the U.S. Tax Cuts and Jobs Act of 2017 (the "2017 Act"). The provisional accounting for the 2017 Act is permitted by SEC Staff Accounting Bulletin No. 118, </w:t>
      </w:r>
      <w:r>
        <w:rPr>
          <w:rFonts w:ascii="Arial" w:cs="Arial" w:eastAsia="Arial" w:hAnsi="Arial"/>
          <w:sz w:val="15"/>
          <w:szCs w:val="15"/>
          <w:i w:val="1"/>
          <w:iCs w:val="1"/>
          <w:color w:val="auto"/>
        </w:rPr>
        <w:t>Income Tax Accounting Implications of the Tax Cuts and Jobs Act,</w:t>
      </w:r>
      <w:r>
        <w:rPr>
          <w:rFonts w:ascii="Arial" w:cs="Arial" w:eastAsia="Arial" w:hAnsi="Arial"/>
          <w:sz w:val="15"/>
          <w:szCs w:val="15"/>
          <w:color w:val="auto"/>
        </w:rPr>
        <w:t xml:space="preserve"> issued in late December 2017. Any subsequent adjustments to provisional accounting estimates will be reflected in income tax provisions/benefits during one or more periods in fiscal 2018.</w:t>
      </w:r>
    </w:p>
    <w:p>
      <w:pPr>
        <w:spacing w:after="0" w:line="150" w:lineRule="exact"/>
        <w:rPr>
          <w:sz w:val="20"/>
          <w:szCs w:val="20"/>
          <w:color w:val="auto"/>
        </w:rPr>
      </w:pPr>
    </w:p>
    <w:p>
      <w:pPr>
        <w:ind w:right="580"/>
        <w:spacing w:after="0" w:line="285" w:lineRule="auto"/>
        <w:rPr>
          <w:sz w:val="20"/>
          <w:szCs w:val="20"/>
          <w:color w:val="auto"/>
        </w:rPr>
      </w:pPr>
      <w:r>
        <w:rPr>
          <w:rFonts w:ascii="Arial" w:cs="Arial" w:eastAsia="Arial" w:hAnsi="Arial"/>
          <w:sz w:val="16"/>
          <w:szCs w:val="16"/>
          <w:color w:val="auto"/>
        </w:rPr>
        <w:t>The 2017 Act reduces the United States federal corporate tax rate from 35% to 21%, requires companies to pay a one-time transition tax on earnings of certain foreign subsidiaries that were previously tax deferred, and creates new taxes on certain foreign sourced earnings.</w:t>
      </w:r>
    </w:p>
    <w:p>
      <w:pPr>
        <w:spacing w:after="0" w:line="150" w:lineRule="exact"/>
        <w:rPr>
          <w:sz w:val="20"/>
          <w:szCs w:val="20"/>
          <w:color w:val="auto"/>
        </w:rPr>
      </w:pPr>
    </w:p>
    <w:p>
      <w:pPr>
        <w:ind w:right="140"/>
        <w:spacing w:after="0" w:line="288" w:lineRule="auto"/>
        <w:rPr>
          <w:sz w:val="20"/>
          <w:szCs w:val="20"/>
          <w:color w:val="auto"/>
        </w:rPr>
      </w:pPr>
      <w:r>
        <w:rPr>
          <w:rFonts w:ascii="Arial" w:cs="Arial" w:eastAsia="Arial" w:hAnsi="Arial"/>
          <w:sz w:val="15"/>
          <w:szCs w:val="15"/>
          <w:color w:val="auto"/>
        </w:rPr>
        <w:t>During the fourth quarter of fiscal 2017, the Company recognized an income tax benefit amount of $40.0 million related to the accounting for the enactment of the 2017 Act. This benefit is included as a component of income tax expense in the Company's statement of operations for the fiscal year ended December 30, 2017. As described below, this $40.0 million income tax benefit is comprised of a provisional tax expense of $10.4 million related to foreign earnings, offset by an income tax benefit of $50.4 million related the remeasurement of certain deferred income tax balances. The Company will continue to refine its calculations as additional analysis is completed.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Deferred tax assets and liabilities</w:t>
      </w:r>
    </w:p>
    <w:p>
      <w:pPr>
        <w:spacing w:after="0" w:line="207" w:lineRule="exact"/>
        <w:rPr>
          <w:sz w:val="20"/>
          <w:szCs w:val="20"/>
          <w:color w:val="auto"/>
        </w:rPr>
      </w:pPr>
    </w:p>
    <w:p>
      <w:pPr>
        <w:jc w:val="both"/>
        <w:ind w:right="360"/>
        <w:spacing w:after="0" w:line="296" w:lineRule="auto"/>
        <w:rPr>
          <w:sz w:val="20"/>
          <w:szCs w:val="20"/>
          <w:color w:val="auto"/>
        </w:rPr>
      </w:pPr>
      <w:r>
        <w:rPr>
          <w:rFonts w:ascii="Arial" w:cs="Arial" w:eastAsia="Arial" w:hAnsi="Arial"/>
          <w:sz w:val="15"/>
          <w:szCs w:val="15"/>
          <w:color w:val="auto"/>
        </w:rPr>
        <w:t>During the fourth quarter of fiscal 2017, the Company remeasured certain deferred tax assets and liabilities based on the rates at which they are expected to reverse in the future, which is generally a 21% federal rate. The remeasurement resulted in an income tax benefit of $50.4 million. The Company also analyzed the impact of expensing qualified capital expenditures acquired after Sept. 27, 2017 and the related impact of this change on its income tax expense.</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Provisional estimates</w:t>
      </w:r>
    </w:p>
    <w:p>
      <w:pPr>
        <w:spacing w:after="0" w:line="20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one-time transition tax is based on the Company's total post-1986 earnings and profits ("E&amp;P") that the Company previously deferred from United States income taxes. The Company recorded a provisional estimate for the one-time transition tax liability for all of its foreign subsidiaries, resulting in an increase in income tax expense of approximately $10.4 million during the fourth quarter of fiscal 2017. The Company has not yet completed its calculation of the total post-1986 E&amp;P for these foreign subsidiaries. Further, the transition tax is based in part on the amount of those earnings held in cash and other specified assets. This amount may change when the Company finalizes the calculation of post-1986 foreign E&amp;P previously deferred from U. S. federal taxation and finalizes the amounts held in cash or other specified assets. No additional income taxes have been provided for any remaining undistributed foreign earnings not subject to the transition tax, or any additional outside basis difference inherent in these entities, as these amounts continue to be indefinitely reinvested in foreign operations. Determining the amount of unrecognized deferred tax liability related to any remaining undistributed foreign earnings not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3" w:right="239" w:bottom="1440" w:gutter="0" w:footer="0" w:header="0"/>
        </w:sectPr>
      </w:pPr>
    </w:p>
    <w:bookmarkStart w:id="87" w:name="page88"/>
    <w:bookmarkEnd w:id="87"/>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right="680"/>
        <w:spacing w:after="0" w:line="320" w:lineRule="auto"/>
        <w:rPr>
          <w:sz w:val="20"/>
          <w:szCs w:val="20"/>
          <w:color w:val="auto"/>
        </w:rPr>
      </w:pPr>
      <w:r>
        <w:rPr>
          <w:rFonts w:ascii="Arial" w:cs="Arial" w:eastAsia="Arial" w:hAnsi="Arial"/>
          <w:sz w:val="15"/>
          <w:szCs w:val="15"/>
          <w:color w:val="auto"/>
        </w:rPr>
        <w:t>subject to the transition tax and additional outside basis difference in these entities (i.e., basis difference in excess of that subject to the one-time transition tax) is not practicable, but the related cumulative temporary difference as of December 30, 2017 would not result in a material incremental deferred tax liability.</w:t>
      </w:r>
    </w:p>
    <w:p>
      <w:pPr>
        <w:spacing w:after="0" w:line="12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Company also analyzed the impact of expensing qualified capital expenditures acquired after September 27, 2017 and estimated that the related impact of this change will not have a material effect on its income tax expense.</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PROVISION FOR INCOME TAXES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consisted of the following:</w:t>
      </w:r>
    </w:p>
    <w:p>
      <w:pPr>
        <w:spacing w:after="0" w:line="146"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For the fiscal year ended</w:t>
            </w: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r>
      <w:tr>
        <w:trPr>
          <w:trHeight w:val="218"/>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8"/>
                <w:szCs w:val="18"/>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December 30, 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December 31, 2016</w:t>
            </w:r>
          </w:p>
        </w:tc>
        <w:tc>
          <w:tcPr>
            <w:tcW w:w="180" w:type="dxa"/>
            <w:vAlign w:val="bottom"/>
          </w:tcPr>
          <w:p>
            <w:pPr>
              <w:spacing w:after="0"/>
              <w:rPr>
                <w:sz w:val="18"/>
                <w:szCs w:val="18"/>
                <w:color w:val="auto"/>
              </w:rPr>
            </w:pPr>
          </w:p>
        </w:tc>
        <w:tc>
          <w:tcPr>
            <w:tcW w:w="1480" w:type="dxa"/>
            <w:vAlign w:val="bottom"/>
          </w:tcPr>
          <w:p>
            <w:pPr>
              <w:jc w:val="right"/>
              <w:ind w:right="199"/>
              <w:spacing w:after="0"/>
              <w:rPr>
                <w:sz w:val="20"/>
                <w:szCs w:val="20"/>
                <w:color w:val="auto"/>
              </w:rPr>
            </w:pPr>
            <w:r>
              <w:rPr>
                <w:rFonts w:ascii="Arial" w:cs="Arial" w:eastAsia="Arial" w:hAnsi="Arial"/>
                <w:sz w:val="16"/>
                <w:szCs w:val="16"/>
                <w:b w:val="1"/>
                <w:bCs w:val="1"/>
                <w:color w:val="auto"/>
                <w:w w:val="98"/>
              </w:rPr>
              <w:t>January 2, 2016</w:t>
            </w:r>
          </w:p>
        </w:tc>
      </w:tr>
      <w:tr>
        <w:trPr>
          <w:trHeight w:val="25"/>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20" w:type="dxa"/>
            <w:vAlign w:val="bottom"/>
            <w:shd w:val="clear" w:color="auto" w:fill="CCEEFF"/>
          </w:tcPr>
          <w:p>
            <w:pPr>
              <w:spacing w:after="0"/>
              <w:rPr>
                <w:sz w:val="18"/>
                <w:szCs w:val="18"/>
                <w:color w:val="auto"/>
              </w:rPr>
            </w:pPr>
          </w:p>
        </w:tc>
        <w:tc>
          <w:tcPr>
            <w:tcW w:w="4120" w:type="dxa"/>
            <w:vAlign w:val="bottom"/>
            <w:gridSpan w:val="3"/>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Current tax provision:</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9"/>
        </w:trPr>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Federal</w:t>
            </w:r>
          </w:p>
        </w:tc>
        <w:tc>
          <w:tcPr>
            <w:tcW w:w="2560" w:type="dxa"/>
            <w:vAlign w:val="bottom"/>
            <w:tcBorders>
              <w:top w:val="single" w:sz="8" w:color="CCEEFF"/>
            </w:tcBorders>
            <w:gridSpan w:val="2"/>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117,676</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113,326</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103,316</w:t>
            </w:r>
          </w:p>
        </w:tc>
      </w:tr>
      <w:tr>
        <w:trPr>
          <w:trHeight w:val="25"/>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State</w:t>
            </w:r>
          </w:p>
        </w:tc>
        <w:tc>
          <w:tcPr>
            <w:tcW w:w="1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11,368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10,277</w:t>
            </w:r>
          </w:p>
        </w:tc>
      </w:tr>
      <w:tr>
        <w:trPr>
          <w:trHeight w:val="219"/>
        </w:trPr>
        <w:tc>
          <w:tcPr>
            <w:tcW w:w="20" w:type="dxa"/>
            <w:vAlign w:val="bottom"/>
          </w:tcPr>
          <w:p>
            <w:pPr>
              <w:spacing w:after="0"/>
              <w:rPr>
                <w:sz w:val="19"/>
                <w:szCs w:val="19"/>
                <w:color w:val="auto"/>
              </w:rPr>
            </w:pPr>
          </w:p>
        </w:tc>
        <w:tc>
          <w:tcPr>
            <w:tcW w:w="4120" w:type="dxa"/>
            <w:vAlign w:val="bottom"/>
            <w:gridSpan w:val="3"/>
          </w:tcPr>
          <w:p>
            <w:pPr>
              <w:spacing w:after="0"/>
              <w:rPr>
                <w:sz w:val="20"/>
                <w:szCs w:val="20"/>
                <w:color w:val="auto"/>
              </w:rPr>
            </w:pPr>
            <w:r>
              <w:rPr>
                <w:rFonts w:ascii="Arial" w:cs="Arial" w:eastAsia="Arial" w:hAnsi="Arial"/>
                <w:sz w:val="16"/>
                <w:szCs w:val="16"/>
                <w:color w:val="auto"/>
              </w:rPr>
              <w:t>Foreign</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14,116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11,937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8,116</w:t>
            </w:r>
          </w:p>
        </w:tc>
      </w:tr>
      <w:tr>
        <w:trPr>
          <w:trHeight w:val="25"/>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20" w:type="dxa"/>
            <w:vAlign w:val="bottom"/>
            <w:shd w:val="clear" w:color="auto" w:fill="CCEEFF"/>
          </w:tcPr>
          <w:p>
            <w:pPr>
              <w:spacing w:after="0"/>
              <w:rPr>
                <w:sz w:val="20"/>
                <w:szCs w:val="20"/>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current provision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136,670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25"/>
        </w:trPr>
        <w:tc>
          <w:tcPr>
            <w:tcW w:w="20" w:type="dxa"/>
            <w:vAlign w:val="bottom"/>
            <w:shd w:val="clear" w:color="auto" w:fill="CCEEFF"/>
          </w:tcPr>
          <w:p>
            <w:pPr>
              <w:spacing w:after="0"/>
              <w:rPr>
                <w:sz w:val="19"/>
                <w:szCs w:val="19"/>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Deferred tax provision (benefit):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9"/>
        </w:trPr>
        <w:tc>
          <w:tcPr>
            <w:tcW w:w="20" w:type="dxa"/>
            <w:vAlign w:val="bottom"/>
            <w:tcBorders>
              <w:top w:val="single" w:sz="8" w:color="CCEEFF"/>
            </w:tcBorders>
          </w:tcPr>
          <w:p>
            <w:pPr>
              <w:spacing w:after="0"/>
              <w:rPr>
                <w:sz w:val="19"/>
                <w:szCs w:val="19"/>
                <w:color w:val="auto"/>
              </w:rPr>
            </w:pPr>
          </w:p>
        </w:tc>
        <w:tc>
          <w:tcPr>
            <w:tcW w:w="22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Federal</w:t>
            </w:r>
          </w:p>
        </w:tc>
        <w:tc>
          <w:tcPr>
            <w:tcW w:w="18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(55,149)</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1,435</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6,577</w:t>
            </w:r>
          </w:p>
        </w:tc>
      </w:tr>
      <w:tr>
        <w:trPr>
          <w:trHeight w:val="25"/>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State</w:t>
            </w:r>
          </w:p>
        </w:tc>
        <w:tc>
          <w:tcPr>
            <w:tcW w:w="1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1,193</w:t>
            </w:r>
          </w:p>
        </w:tc>
      </w:tr>
      <w:tr>
        <w:trPr>
          <w:trHeight w:val="219"/>
        </w:trPr>
        <w:tc>
          <w:tcPr>
            <w:tcW w:w="20" w:type="dxa"/>
            <w:vAlign w:val="bottom"/>
          </w:tcPr>
          <w:p>
            <w:pPr>
              <w:spacing w:after="0"/>
              <w:rPr>
                <w:sz w:val="19"/>
                <w:szCs w:val="19"/>
                <w:color w:val="auto"/>
              </w:rPr>
            </w:pPr>
          </w:p>
        </w:tc>
        <w:tc>
          <w:tcPr>
            <w:tcW w:w="4120" w:type="dxa"/>
            <w:vAlign w:val="bottom"/>
            <w:gridSpan w:val="3"/>
          </w:tcPr>
          <w:p>
            <w:pPr>
              <w:spacing w:after="0"/>
              <w:rPr>
                <w:sz w:val="20"/>
                <w:szCs w:val="20"/>
                <w:color w:val="auto"/>
              </w:rPr>
            </w:pPr>
            <w:r>
              <w:rPr>
                <w:rFonts w:ascii="Arial" w:cs="Arial" w:eastAsia="Arial" w:hAnsi="Arial"/>
                <w:sz w:val="16"/>
                <w:szCs w:val="16"/>
                <w:color w:val="auto"/>
              </w:rPr>
              <w:t>Foreign</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887</w:t>
            </w:r>
          </w:p>
        </w:tc>
      </w:tr>
      <w:tr>
        <w:trPr>
          <w:trHeight w:val="25"/>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 deferred provision</w:t>
            </w: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(54,892)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8,657</w:t>
            </w:r>
          </w:p>
        </w:tc>
      </w:tr>
      <w:tr>
        <w:trPr>
          <w:trHeight w:val="230"/>
        </w:trPr>
        <w:tc>
          <w:tcPr>
            <w:tcW w:w="20" w:type="dxa"/>
            <w:vAlign w:val="bottom"/>
          </w:tcPr>
          <w:p>
            <w:pPr>
              <w:spacing w:after="0"/>
              <w:rPr>
                <w:sz w:val="20"/>
                <w:szCs w:val="20"/>
                <w:color w:val="auto"/>
              </w:rPr>
            </w:pPr>
          </w:p>
        </w:tc>
        <w:tc>
          <w:tcPr>
            <w:tcW w:w="4120" w:type="dxa"/>
            <w:vAlign w:val="bottom"/>
            <w:gridSpan w:val="3"/>
          </w:tcPr>
          <w:p>
            <w:pPr>
              <w:spacing w:after="0"/>
              <w:rPr>
                <w:sz w:val="20"/>
                <w:szCs w:val="20"/>
                <w:color w:val="auto"/>
              </w:rPr>
            </w:pPr>
            <w:r>
              <w:rPr>
                <w:rFonts w:ascii="Arial" w:cs="Arial" w:eastAsia="Arial" w:hAnsi="Arial"/>
                <w:sz w:val="16"/>
                <w:szCs w:val="16"/>
                <w:color w:val="auto"/>
              </w:rPr>
              <w:t>Total provision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88,268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137,964</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130,366</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foreign portion of the tax position substantially relates to Canada, Hong Kong, China, and Mexico income taxes on the Company's international operations and foreign tax withholdings related to the Company's foreign royalty income. The components of income before income taxes were as follows:</w:t>
      </w:r>
    </w:p>
    <w:p>
      <w:pPr>
        <w:spacing w:after="0" w:line="89" w:lineRule="exact"/>
        <w:rPr>
          <w:sz w:val="20"/>
          <w:szCs w:val="20"/>
          <w:color w:val="auto"/>
        </w:rPr>
      </w:pPr>
    </w:p>
    <w:tbl>
      <w:tblPr>
        <w:tblLayout w:type="fixed"/>
        <w:tblInd w:w="2340" w:type="dxa"/>
        <w:tblCellMar>
          <w:top w:w="0" w:type="dxa"/>
          <w:left w:w="0" w:type="dxa"/>
          <w:bottom w:w="0" w:type="dxa"/>
          <w:right w:w="0" w:type="dxa"/>
        </w:tblCellMar>
      </w:tblPr>
      <w:tr>
        <w:trPr>
          <w:trHeight w:val="238"/>
        </w:trPr>
        <w:tc>
          <w:tcPr>
            <w:tcW w:w="30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840" w:type="dxa"/>
            <w:vAlign w:val="bottom"/>
            <w:tcBorders>
              <w:bottom w:val="single" w:sz="8" w:color="auto"/>
            </w:tcBorders>
            <w:gridSpan w:val="6"/>
            <w:shd w:val="clear" w:color="auto" w:fill="CCEEFF"/>
          </w:tcPr>
          <w:p>
            <w:pPr>
              <w:jc w:val="center"/>
              <w:ind w:left="599"/>
              <w:spacing w:after="0"/>
              <w:rPr>
                <w:sz w:val="20"/>
                <w:szCs w:val="20"/>
                <w:color w:val="auto"/>
              </w:rPr>
            </w:pPr>
            <w:r>
              <w:rPr>
                <w:rFonts w:ascii="Arial" w:cs="Arial" w:eastAsia="Arial" w:hAnsi="Arial"/>
                <w:sz w:val="16"/>
                <w:szCs w:val="16"/>
                <w:b w:val="1"/>
                <w:bCs w:val="1"/>
                <w:color w:val="auto"/>
                <w:w w:val="91"/>
              </w:rPr>
              <w:t>For the fiscal year ended</w:t>
            </w:r>
          </w:p>
        </w:tc>
        <w:tc>
          <w:tcPr>
            <w:tcW w:w="780" w:type="dxa"/>
            <w:vAlign w:val="bottom"/>
            <w:tcBorders>
              <w:bottom w:val="single" w:sz="8" w:color="auto"/>
            </w:tcBorders>
            <w:shd w:val="clear" w:color="auto" w:fill="CCEEFF"/>
          </w:tcPr>
          <w:p>
            <w:pPr>
              <w:spacing w:after="0"/>
              <w:rPr>
                <w:sz w:val="20"/>
                <w:szCs w:val="20"/>
                <w:color w:val="auto"/>
              </w:rPr>
            </w:pPr>
          </w:p>
        </w:tc>
      </w:tr>
      <w:tr>
        <w:trPr>
          <w:trHeight w:val="202"/>
        </w:trPr>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30,</w:t>
            </w: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December 31,</w:t>
            </w: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1"/>
        </w:trPr>
        <w:tc>
          <w:tcPr>
            <w:tcW w:w="30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18"/>
                <w:szCs w:val="18"/>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January 2, 2016</w:t>
            </w:r>
          </w:p>
        </w:tc>
      </w:tr>
      <w:tr>
        <w:trPr>
          <w:trHeight w:val="25"/>
        </w:trPr>
        <w:tc>
          <w:tcPr>
            <w:tcW w:w="30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325,580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345,304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335,955</w:t>
            </w:r>
          </w:p>
        </w:tc>
      </w:tr>
      <w:tr>
        <w:trPr>
          <w:trHeight w:val="219"/>
        </w:trPr>
        <w:tc>
          <w:tcPr>
            <w:tcW w:w="3040" w:type="dxa"/>
            <w:vAlign w:val="bottom"/>
          </w:tcPr>
          <w:p>
            <w:pPr>
              <w:ind w:left="20"/>
              <w:spacing w:after="0"/>
              <w:rPr>
                <w:sz w:val="20"/>
                <w:szCs w:val="20"/>
                <w:color w:val="auto"/>
              </w:rPr>
            </w:pPr>
            <w:r>
              <w:rPr>
                <w:rFonts w:ascii="Arial" w:cs="Arial" w:eastAsia="Arial" w:hAnsi="Arial"/>
                <w:sz w:val="16"/>
                <w:szCs w:val="16"/>
                <w:color w:val="auto"/>
              </w:rPr>
              <w:t>Foreign</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65,452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50,766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32,233</w:t>
            </w:r>
          </w:p>
        </w:tc>
      </w:tr>
      <w:tr>
        <w:trPr>
          <w:trHeight w:val="25"/>
        </w:trPr>
        <w:tc>
          <w:tcPr>
            <w:tcW w:w="30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391,032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396,070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368,188</w:t>
            </w:r>
          </w:p>
        </w:tc>
      </w:tr>
      <w:tr>
        <w:trPr>
          <w:trHeight w:val="20"/>
        </w:trPr>
        <w:tc>
          <w:tcPr>
            <w:tcW w:w="3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EFFECTIVE RATE RECONCILIATION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difference between the Company's effective income tax rate and the federal statutory tax rate is reconciled below:</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3" w:right="239" w:bottom="1440" w:gutter="0" w:footer="0" w:header="0"/>
        </w:sectPr>
      </w:pPr>
    </w:p>
    <w:bookmarkStart w:id="88" w:name="page89"/>
    <w:bookmarkEnd w:id="88"/>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351"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4980" w:type="dxa"/>
            <w:vAlign w:val="bottom"/>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1"/>
              </w:rPr>
              <w:t>For the fiscal year ended</w:t>
            </w:r>
          </w:p>
        </w:tc>
        <w:tc>
          <w:tcPr>
            <w:tcW w:w="1720" w:type="dxa"/>
            <w:vAlign w:val="bottom"/>
            <w:tcBorders>
              <w:bottom w:val="single" w:sz="8" w:color="auto"/>
            </w:tcBorders>
            <w:shd w:val="clear" w:color="auto" w:fill="CCEEFF"/>
          </w:tcPr>
          <w:p>
            <w:pPr>
              <w:spacing w:after="0"/>
              <w:rPr>
                <w:sz w:val="20"/>
                <w:szCs w:val="20"/>
                <w:color w:val="auto"/>
              </w:rPr>
            </w:pPr>
          </w:p>
        </w:tc>
      </w:tr>
      <w:tr>
        <w:trPr>
          <w:trHeight w:val="218"/>
        </w:trPr>
        <w:tc>
          <w:tcPr>
            <w:tcW w:w="4980" w:type="dxa"/>
            <w:vAlign w:val="bottom"/>
          </w:tcPr>
          <w:p>
            <w:pPr>
              <w:spacing w:after="0"/>
              <w:rPr>
                <w:sz w:val="18"/>
                <w:szCs w:val="18"/>
                <w:color w:val="auto"/>
              </w:rPr>
            </w:pPr>
          </w:p>
        </w:tc>
        <w:tc>
          <w:tcPr>
            <w:tcW w:w="184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30, 2017</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December 31, 2016</w:t>
            </w:r>
          </w:p>
        </w:tc>
        <w:tc>
          <w:tcPr>
            <w:tcW w:w="1720" w:type="dxa"/>
            <w:vAlign w:val="bottom"/>
          </w:tcPr>
          <w:p>
            <w:pPr>
              <w:jc w:val="right"/>
              <w:ind w:right="239"/>
              <w:spacing w:after="0"/>
              <w:rPr>
                <w:sz w:val="20"/>
                <w:szCs w:val="20"/>
                <w:color w:val="auto"/>
              </w:rPr>
            </w:pPr>
            <w:r>
              <w:rPr>
                <w:rFonts w:ascii="Arial" w:cs="Arial" w:eastAsia="Arial" w:hAnsi="Arial"/>
                <w:sz w:val="16"/>
                <w:szCs w:val="16"/>
                <w:b w:val="1"/>
                <w:bCs w:val="1"/>
                <w:color w:val="auto"/>
              </w:rPr>
              <w:t>January 2, 2016</w:t>
            </w:r>
          </w:p>
        </w:tc>
      </w:tr>
      <w:tr>
        <w:trPr>
          <w:trHeight w:val="25"/>
        </w:trPr>
        <w:tc>
          <w:tcPr>
            <w:tcW w:w="49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Statutory federal income tax rate</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19"/>
        </w:trPr>
        <w:tc>
          <w:tcPr>
            <w:tcW w:w="4980" w:type="dxa"/>
            <w:vAlign w:val="bottom"/>
          </w:tcPr>
          <w:p>
            <w:pPr>
              <w:spacing w:after="0"/>
              <w:rPr>
                <w:sz w:val="20"/>
                <w:szCs w:val="20"/>
                <w:color w:val="auto"/>
              </w:rPr>
            </w:pPr>
            <w:r>
              <w:rPr>
                <w:rFonts w:ascii="Arial" w:cs="Arial" w:eastAsia="Arial" w:hAnsi="Arial"/>
                <w:sz w:val="16"/>
                <w:szCs w:val="16"/>
                <w:color w:val="auto"/>
              </w:rPr>
              <w:t>State income taxes, net of federal income tax benefit</w:t>
            </w:r>
          </w:p>
        </w:tc>
        <w:tc>
          <w:tcPr>
            <w:tcW w:w="174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5"/>
        </w:trPr>
        <w:tc>
          <w:tcPr>
            <w:tcW w:w="49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5"/>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Impact of foreign operations</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4980" w:type="dxa"/>
            <w:vAlign w:val="bottom"/>
          </w:tcPr>
          <w:p>
            <w:pPr>
              <w:spacing w:after="0"/>
              <w:rPr>
                <w:sz w:val="20"/>
                <w:szCs w:val="20"/>
                <w:color w:val="auto"/>
              </w:rPr>
            </w:pPr>
            <w:r>
              <w:rPr>
                <w:rFonts w:ascii="Arial" w:cs="Arial" w:eastAsia="Arial" w:hAnsi="Arial"/>
                <w:sz w:val="16"/>
                <w:szCs w:val="16"/>
                <w:color w:val="auto"/>
              </w:rPr>
              <w:t>Settlement of uncertain tax positions</w:t>
            </w:r>
          </w:p>
        </w:tc>
        <w:tc>
          <w:tcPr>
            <w:tcW w:w="17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5"/>
        </w:trPr>
        <w:tc>
          <w:tcPr>
            <w:tcW w:w="49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5"/>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Benefit from stock-based compensation</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4980" w:type="dxa"/>
            <w:vAlign w:val="bottom"/>
          </w:tcPr>
          <w:p>
            <w:pPr>
              <w:spacing w:after="0"/>
              <w:rPr>
                <w:sz w:val="20"/>
                <w:szCs w:val="20"/>
                <w:color w:val="auto"/>
              </w:rPr>
            </w:pPr>
            <w:r>
              <w:rPr>
                <w:rFonts w:ascii="Arial" w:cs="Arial" w:eastAsia="Arial" w:hAnsi="Arial"/>
                <w:sz w:val="16"/>
                <w:szCs w:val="16"/>
                <w:color w:val="auto"/>
              </w:rPr>
              <w:t>Imposition of transition tax on foreign subsidiaries</w:t>
            </w:r>
          </w:p>
        </w:tc>
        <w:tc>
          <w:tcPr>
            <w:tcW w:w="1740" w:type="dxa"/>
            <w:vAlign w:val="bottom"/>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7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5"/>
        </w:trPr>
        <w:tc>
          <w:tcPr>
            <w:tcW w:w="49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5"/>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Revaluation of deferred taxes</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30"/>
        </w:trPr>
        <w:tc>
          <w:tcPr>
            <w:tcW w:w="4980" w:type="dxa"/>
            <w:vAlign w:val="bottom"/>
          </w:tcPr>
          <w:p>
            <w:pPr>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22.6 %</w:t>
            </w:r>
          </w:p>
        </w:tc>
        <w:tc>
          <w:tcPr>
            <w:tcW w:w="100" w:type="dxa"/>
            <w:vAlign w:val="bottom"/>
          </w:tcPr>
          <w:p>
            <w:pPr>
              <w:spacing w:after="0"/>
              <w:rPr>
                <w:sz w:val="20"/>
                <w:szCs w:val="20"/>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34.8 %</w:t>
            </w:r>
          </w:p>
        </w:tc>
        <w:tc>
          <w:tcPr>
            <w:tcW w:w="100" w:type="dxa"/>
            <w:vAlign w:val="bottom"/>
          </w:tcPr>
          <w:p>
            <w:pPr>
              <w:spacing w:after="0"/>
              <w:rPr>
                <w:sz w:val="20"/>
                <w:szCs w:val="20"/>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35.4 %</w:t>
            </w:r>
          </w:p>
        </w:tc>
      </w:tr>
      <w:tr>
        <w:trPr>
          <w:trHeight w:val="20"/>
        </w:trPr>
        <w:tc>
          <w:tcPr>
            <w:tcW w:w="49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The Company and its subsidiaries file a consolidated United States federal income tax return, as well as separate and combined income tax returns in numerous state and foreign jurisdictions.</w:t>
      </w:r>
    </w:p>
    <w:p>
      <w:pPr>
        <w:spacing w:after="0" w:line="15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During the first quarter of fiscal 2015, the Internal Revenue Service completed an income tax audit for fiscal years 2011 through 2013. As a result of the settlement of this audit and an ongoing state income tax audit, the Company recognized prior-year income tax benefits of approximately $1.8 million in the first quarter of fiscal 2015. In most cases, the Company is no longer subject to state and local tax authority examinations for years prior to fiscal 2013.</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TAXES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Components of deferred tax assets and liabilities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80" w:type="dxa"/>
            <w:vAlign w:val="bottom"/>
          </w:tcPr>
          <w:p>
            <w:pPr>
              <w:spacing w:after="0"/>
              <w:rPr>
                <w:sz w:val="21"/>
                <w:szCs w:val="21"/>
                <w:color w:val="auto"/>
              </w:rPr>
            </w:pPr>
          </w:p>
        </w:tc>
        <w:tc>
          <w:tcPr>
            <w:tcW w:w="80" w:type="dxa"/>
            <w:vAlign w:val="bottom"/>
            <w:tcBorders>
              <w:right w:val="single" w:sz="8" w:color="CCEEFF"/>
            </w:tcBorders>
          </w:tcPr>
          <w:p>
            <w:pPr>
              <w:spacing w:after="0"/>
              <w:rPr>
                <w:sz w:val="21"/>
                <w:szCs w:val="21"/>
                <w:color w:val="auto"/>
              </w:rPr>
            </w:pPr>
          </w:p>
        </w:tc>
        <w:tc>
          <w:tcPr>
            <w:tcW w:w="320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(dollars in thousands)</w:t>
            </w:r>
          </w:p>
        </w:tc>
        <w:tc>
          <w:tcPr>
            <w:tcW w:w="1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1"/>
              </w:rPr>
              <w:t>December 30, 2017</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5"/>
              </w:rPr>
              <w:t>December 31, 2016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0" w:type="dxa"/>
            <w:vAlign w:val="bottom"/>
            <w:gridSpan w:val="3"/>
          </w:tcPr>
          <w:p>
            <w:pPr>
              <w:spacing w:after="0" w:line="144" w:lineRule="exact"/>
              <w:rPr>
                <w:sz w:val="20"/>
                <w:szCs w:val="20"/>
                <w:color w:val="auto"/>
              </w:rPr>
            </w:pPr>
            <w:r>
              <w:rPr>
                <w:rFonts w:ascii="Arial" w:cs="Arial" w:eastAsia="Arial" w:hAnsi="Arial"/>
                <w:sz w:val="16"/>
                <w:szCs w:val="16"/>
                <w:b w:val="1"/>
                <w:bCs w:val="1"/>
                <w:color w:val="auto"/>
              </w:rPr>
              <w:t>Deferred tax assets:</w:t>
            </w: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jc w:val="right"/>
              <w:ind w:right="59"/>
              <w:spacing w:after="0" w:line="152" w:lineRule="exact"/>
              <w:rPr>
                <w:sz w:val="20"/>
                <w:szCs w:val="20"/>
                <w:color w:val="auto"/>
              </w:rPr>
            </w:pPr>
            <w:r>
              <w:rPr>
                <w:rFonts w:ascii="Arial" w:cs="Arial" w:eastAsia="Arial" w:hAnsi="Arial"/>
                <w:sz w:val="16"/>
                <w:szCs w:val="16"/>
                <w:color w:val="auto"/>
              </w:rPr>
              <w:t>Assets (Liabilities)</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58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3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Accounts receivable allowance</w:t>
            </w:r>
          </w:p>
        </w:tc>
        <w:tc>
          <w:tcPr>
            <w:tcW w:w="1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3,632</w:t>
            </w:r>
          </w:p>
        </w:tc>
        <w:tc>
          <w:tcPr>
            <w:tcW w:w="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0" w:type="dxa"/>
            <w:vAlign w:val="bottom"/>
            <w:gridSpan w:val="3"/>
          </w:tcPr>
          <w:p>
            <w:pPr>
              <w:spacing w:after="0"/>
              <w:rPr>
                <w:sz w:val="20"/>
                <w:szCs w:val="20"/>
                <w:color w:val="auto"/>
              </w:rPr>
            </w:pPr>
            <w:r>
              <w:rPr>
                <w:rFonts w:ascii="Arial" w:cs="Arial" w:eastAsia="Arial" w:hAnsi="Arial"/>
                <w:sz w:val="16"/>
                <w:szCs w:val="16"/>
                <w:color w:val="auto"/>
              </w:rPr>
              <w:t>Inventory</w:t>
            </w: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5,353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9,226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58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3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Accrued liabilities</w:t>
            </w:r>
          </w:p>
        </w:tc>
        <w:tc>
          <w:tcPr>
            <w:tcW w:w="17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9,895</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0" w:type="dxa"/>
            <w:vAlign w:val="bottom"/>
            <w:gridSpan w:val="3"/>
          </w:tcPr>
          <w:p>
            <w:pPr>
              <w:spacing w:after="0"/>
              <w:rPr>
                <w:sz w:val="20"/>
                <w:szCs w:val="20"/>
                <w:color w:val="auto"/>
              </w:rPr>
            </w:pPr>
            <w:r>
              <w:rPr>
                <w:rFonts w:ascii="Arial" w:cs="Arial" w:eastAsia="Arial" w:hAnsi="Arial"/>
                <w:sz w:val="16"/>
                <w:szCs w:val="16"/>
                <w:color w:val="auto"/>
              </w:rPr>
              <w:t>Equity-based compensation</w:t>
            </w: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6,796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9,967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58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3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Deferred employee benefits</w:t>
            </w:r>
          </w:p>
        </w:tc>
        <w:tc>
          <w:tcPr>
            <w:tcW w:w="17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7,870</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0" w:type="dxa"/>
            <w:vAlign w:val="bottom"/>
            <w:gridSpan w:val="3"/>
          </w:tcPr>
          <w:p>
            <w:pPr>
              <w:spacing w:after="0"/>
              <w:rPr>
                <w:sz w:val="20"/>
                <w:szCs w:val="20"/>
                <w:color w:val="auto"/>
              </w:rPr>
            </w:pPr>
            <w:r>
              <w:rPr>
                <w:rFonts w:ascii="Arial" w:cs="Arial" w:eastAsia="Arial" w:hAnsi="Arial"/>
                <w:sz w:val="16"/>
                <w:szCs w:val="16"/>
                <w:color w:val="auto"/>
              </w:rPr>
              <w:t>Deferred rent</w:t>
            </w: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24,567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46,685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580" w:type="dxa"/>
            <w:vAlign w:val="bottom"/>
          </w:tcPr>
          <w:p>
            <w:pPr>
              <w:spacing w:after="0"/>
              <w:rPr>
                <w:sz w:val="21"/>
                <w:szCs w:val="21"/>
                <w:color w:val="auto"/>
              </w:rPr>
            </w:pPr>
          </w:p>
        </w:tc>
        <w:tc>
          <w:tcPr>
            <w:tcW w:w="80" w:type="dxa"/>
            <w:vAlign w:val="bottom"/>
            <w:tcBorders>
              <w:right w:val="single" w:sz="8" w:color="CCEEFF"/>
            </w:tcBorders>
          </w:tcPr>
          <w:p>
            <w:pPr>
              <w:spacing w:after="0"/>
              <w:rPr>
                <w:sz w:val="21"/>
                <w:szCs w:val="21"/>
                <w:color w:val="auto"/>
              </w:rPr>
            </w:pPr>
          </w:p>
        </w:tc>
        <w:tc>
          <w:tcPr>
            <w:tcW w:w="3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Other</w:t>
            </w:r>
          </w:p>
        </w:tc>
        <w:tc>
          <w:tcPr>
            <w:tcW w:w="1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0" w:type="dxa"/>
            <w:vAlign w:val="bottom"/>
            <w:gridSpan w:val="3"/>
          </w:tcPr>
          <w:p>
            <w:pPr>
              <w:spacing w:after="0"/>
              <w:rPr>
                <w:sz w:val="20"/>
                <w:szCs w:val="20"/>
                <w:color w:val="auto"/>
              </w:rPr>
            </w:pPr>
            <w:r>
              <w:rPr>
                <w:rFonts w:ascii="Arial" w:cs="Arial" w:eastAsia="Arial" w:hAnsi="Arial"/>
                <w:sz w:val="16"/>
                <w:szCs w:val="16"/>
                <w:color w:val="auto"/>
              </w:rPr>
              <w:t>Total deferred tax assets</w:t>
            </w: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60,520</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80" w:type="dxa"/>
            <w:vAlign w:val="bottom"/>
          </w:tcPr>
          <w:p>
            <w:pPr>
              <w:spacing w:after="0"/>
              <w:rPr>
                <w:sz w:val="18"/>
                <w:szCs w:val="18"/>
                <w:color w:val="auto"/>
              </w:rPr>
            </w:pPr>
          </w:p>
        </w:tc>
        <w:tc>
          <w:tcPr>
            <w:tcW w:w="80" w:type="dxa"/>
            <w:vAlign w:val="bottom"/>
            <w:tcBorders>
              <w:right w:val="single" w:sz="8" w:color="CCEEFF"/>
            </w:tcBorders>
          </w:tcPr>
          <w:p>
            <w:pPr>
              <w:spacing w:after="0"/>
              <w:rPr>
                <w:sz w:val="18"/>
                <w:szCs w:val="18"/>
                <w:color w:val="auto"/>
              </w:rPr>
            </w:pPr>
          </w:p>
        </w:tc>
        <w:tc>
          <w:tcPr>
            <w:tcW w:w="3200" w:type="dxa"/>
            <w:vAlign w:val="bottom"/>
            <w:gridSpan w:val="3"/>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Deferred tax liabilities:</w:t>
            </w:r>
          </w:p>
        </w:tc>
        <w:tc>
          <w:tcPr>
            <w:tcW w:w="1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Depreciation</w:t>
            </w:r>
          </w:p>
        </w:tc>
        <w:tc>
          <w:tcPr>
            <w:tcW w:w="160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(49,509)</w:t>
            </w: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(90,317)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58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3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Tradename and licensing agreements</w:t>
            </w:r>
          </w:p>
        </w:tc>
        <w:tc>
          <w:tcPr>
            <w:tcW w:w="17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(89,143)</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(101,632)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0" w:type="dxa"/>
            <w:vAlign w:val="bottom"/>
            <w:gridSpan w:val="3"/>
          </w:tcPr>
          <w:p>
            <w:pPr>
              <w:spacing w:after="0"/>
              <w:rPr>
                <w:sz w:val="20"/>
                <w:szCs w:val="20"/>
                <w:color w:val="auto"/>
              </w:rPr>
            </w:pPr>
            <w:r>
              <w:rPr>
                <w:rFonts w:ascii="Arial" w:cs="Arial" w:eastAsia="Arial" w:hAnsi="Arial"/>
                <w:sz w:val="16"/>
                <w:szCs w:val="16"/>
                <w:color w:val="auto"/>
              </w:rPr>
              <w:t>Other</w:t>
            </w: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6"/>
                <w:szCs w:val="16"/>
                <w:color w:val="auto"/>
              </w:rPr>
              <w:t>(4,774)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80" w:type="dxa"/>
            <w:vAlign w:val="bottom"/>
          </w:tcPr>
          <w:p>
            <w:pPr>
              <w:spacing w:after="0"/>
              <w:rPr>
                <w:sz w:val="20"/>
                <w:szCs w:val="20"/>
                <w:color w:val="auto"/>
              </w:rPr>
            </w:pPr>
          </w:p>
        </w:tc>
        <w:tc>
          <w:tcPr>
            <w:tcW w:w="80" w:type="dxa"/>
            <w:vAlign w:val="bottom"/>
            <w:tcBorders>
              <w:right w:val="single" w:sz="8" w:color="CCEEFF"/>
            </w:tcBorders>
          </w:tcPr>
          <w:p>
            <w:pPr>
              <w:spacing w:after="0"/>
              <w:rPr>
                <w:sz w:val="20"/>
                <w:szCs w:val="20"/>
                <w:color w:val="auto"/>
              </w:rPr>
            </w:pPr>
          </w:p>
        </w:tc>
        <w:tc>
          <w:tcPr>
            <w:tcW w:w="3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 deferred tax liabilities</w:t>
            </w:r>
          </w:p>
        </w:tc>
        <w:tc>
          <w:tcPr>
            <w:tcW w:w="17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(143,426)</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(196,490)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580" w:type="dxa"/>
            <w:vAlign w:val="bottom"/>
          </w:tcPr>
          <w:p>
            <w:pPr>
              <w:spacing w:after="0"/>
              <w:rPr>
                <w:sz w:val="20"/>
                <w:szCs w:val="20"/>
                <w:color w:val="auto"/>
              </w:rPr>
            </w:pPr>
          </w:p>
        </w:tc>
        <w:tc>
          <w:tcPr>
            <w:tcW w:w="80" w:type="dxa"/>
            <w:vAlign w:val="bottom"/>
            <w:tcBorders>
              <w:right w:val="single" w:sz="8" w:color="CCEEFF"/>
            </w:tcBorders>
          </w:tcPr>
          <w:p>
            <w:pPr>
              <w:spacing w:after="0"/>
              <w:rPr>
                <w:sz w:val="20"/>
                <w:szCs w:val="20"/>
                <w:color w:val="auto"/>
              </w:rPr>
            </w:pPr>
          </w:p>
        </w:tc>
        <w:tc>
          <w:tcPr>
            <w:tcW w:w="3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deferred tax asset (liability)</w:t>
            </w:r>
          </w:p>
        </w:tc>
        <w:tc>
          <w:tcPr>
            <w:tcW w:w="176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(82,906)</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gridSpan w:val="5"/>
            <w:vMerge w:val="restart"/>
          </w:tcPr>
          <w:p>
            <w:pPr>
              <w:spacing w:after="0"/>
              <w:rPr>
                <w:sz w:val="20"/>
                <w:szCs w:val="20"/>
                <w:color w:val="auto"/>
              </w:rPr>
            </w:pPr>
            <w:r>
              <w:rPr>
                <w:rFonts w:ascii="Arial" w:cs="Arial" w:eastAsia="Arial" w:hAnsi="Arial"/>
                <w:sz w:val="16"/>
                <w:szCs w:val="16"/>
                <w:color w:val="auto"/>
              </w:rPr>
              <w:t>Amounts recognized in the consolidated balance sheets:</w:t>
            </w: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4860" w:type="dxa"/>
            <w:vAlign w:val="bottom"/>
            <w:gridSpan w:val="5"/>
            <w:vMerge w:val="continue"/>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1"/>
                <w:szCs w:val="21"/>
                <w:color w:val="auto"/>
              </w:rPr>
            </w:pPr>
          </w:p>
        </w:tc>
        <w:tc>
          <w:tcPr>
            <w:tcW w:w="3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b w:val="1"/>
                <w:bCs w:val="1"/>
                <w:color w:val="auto"/>
                <w:w w:val="95"/>
              </w:rPr>
              <w:t>December 30, 2017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w w:val="95"/>
              </w:rPr>
              <w:t>December 31, 2016</w:t>
            </w:r>
          </w:p>
        </w:tc>
        <w:tc>
          <w:tcPr>
            <w:tcW w:w="0" w:type="dxa"/>
            <w:vAlign w:val="bottom"/>
          </w:tcPr>
          <w:p>
            <w:pPr>
              <w:spacing w:after="0"/>
              <w:rPr>
                <w:sz w:val="1"/>
                <w:szCs w:val="1"/>
                <w:color w:val="auto"/>
              </w:rPr>
            </w:pPr>
          </w:p>
        </w:tc>
      </w:tr>
      <w:tr>
        <w:trPr>
          <w:trHeight w:val="211"/>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5"/>
          </w:tcPr>
          <w:p>
            <w:pPr>
              <w:jc w:val="right"/>
              <w:ind w:right="59"/>
              <w:spacing w:after="0"/>
              <w:rPr>
                <w:sz w:val="20"/>
                <w:szCs w:val="20"/>
                <w:color w:val="auto"/>
              </w:rPr>
            </w:pPr>
            <w:r>
              <w:rPr>
                <w:rFonts w:ascii="Arial" w:cs="Arial" w:eastAsia="Arial" w:hAnsi="Arial"/>
                <w:sz w:val="16"/>
                <w:szCs w:val="16"/>
                <w:color w:val="auto"/>
              </w:rPr>
              <w:t>Assets (Liabilities)</w:t>
            </w: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580" w:type="dxa"/>
            <w:vAlign w:val="bottom"/>
          </w:tcPr>
          <w:p>
            <w:pPr>
              <w:spacing w:after="0"/>
              <w:rPr>
                <w:sz w:val="19"/>
                <w:szCs w:val="19"/>
                <w:color w:val="auto"/>
              </w:rPr>
            </w:pPr>
          </w:p>
        </w:tc>
        <w:tc>
          <w:tcPr>
            <w:tcW w:w="3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35,486</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580" w:type="dxa"/>
            <w:vAlign w:val="bottom"/>
          </w:tcPr>
          <w:p>
            <w:pPr>
              <w:spacing w:after="0"/>
              <w:rPr>
                <w:sz w:val="19"/>
                <w:szCs w:val="19"/>
                <w:color w:val="auto"/>
              </w:rPr>
            </w:pPr>
          </w:p>
        </w:tc>
        <w:tc>
          <w:tcPr>
            <w:tcW w:w="3280" w:type="dxa"/>
            <w:vAlign w:val="bottom"/>
            <w:gridSpan w:val="4"/>
          </w:tcPr>
          <w:p>
            <w:pPr>
              <w:ind w:left="20"/>
              <w:spacing w:after="0"/>
              <w:rPr>
                <w:sz w:val="20"/>
                <w:szCs w:val="20"/>
                <w:color w:val="auto"/>
              </w:rPr>
            </w:pPr>
            <w:r>
              <w:rPr>
                <w:rFonts w:ascii="Arial" w:cs="Arial" w:eastAsia="Arial" w:hAnsi="Arial"/>
                <w:sz w:val="16"/>
                <w:szCs w:val="16"/>
                <w:color w:val="auto"/>
              </w:rPr>
              <w:t>Deferred tax liabilities</w:t>
            </w:r>
          </w:p>
        </w:tc>
        <w:tc>
          <w:tcPr>
            <w:tcW w:w="1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(84,848)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(130,656)</w:t>
            </w:r>
          </w:p>
        </w:tc>
        <w:tc>
          <w:tcPr>
            <w:tcW w:w="0" w:type="dxa"/>
            <w:vAlign w:val="bottom"/>
          </w:tcPr>
          <w:p>
            <w:pPr>
              <w:spacing w:after="0"/>
              <w:rPr>
                <w:sz w:val="1"/>
                <w:szCs w:val="1"/>
                <w:color w:val="auto"/>
              </w:rPr>
            </w:pPr>
          </w:p>
        </w:tc>
      </w:tr>
      <w:tr>
        <w:trPr>
          <w:trHeight w:val="25"/>
        </w:trPr>
        <w:tc>
          <w:tcPr>
            <w:tcW w:w="158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32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Net deferred tax asset (liability)</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(82,906)</w:t>
            </w:r>
          </w:p>
        </w:tc>
        <w:tc>
          <w:tcPr>
            <w:tcW w:w="4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(95,170)</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699"/>
              <w:spacing w:after="0"/>
              <w:rPr>
                <w:sz w:val="20"/>
                <w:szCs w:val="20"/>
                <w:color w:val="auto"/>
              </w:rPr>
            </w:pPr>
            <w:r>
              <w:rPr>
                <w:rFonts w:ascii="Arial" w:cs="Arial" w:eastAsia="Arial" w:hAnsi="Arial"/>
                <w:sz w:val="16"/>
                <w:szCs w:val="16"/>
                <w:color w:val="auto"/>
              </w:rPr>
              <w:t>86</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123" w:right="379" w:bottom="1440" w:gutter="0" w:footer="0" w:header="0"/>
        </w:sectPr>
      </w:pPr>
    </w:p>
    <w:bookmarkStart w:id="89" w:name="page90"/>
    <w:bookmarkEnd w:id="89"/>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At December 30, 2017, deferred tax assets are a component of non-current Other assets on the Company's consolidated balance sheet.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 TAX POSITIONS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beginning and ending amount of 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1240790</wp:posOffset>
            </wp:positionH>
            <wp:positionV relativeFrom="paragraph">
              <wp:posOffset>92710</wp:posOffset>
            </wp:positionV>
            <wp:extent cx="4782820" cy="155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82820" cy="155575"/>
                    </a:xfrm>
                    <a:prstGeom prst="rect">
                      <a:avLst/>
                    </a:prstGeom>
                    <a:noFill/>
                  </pic:spPr>
                </pic:pic>
              </a:graphicData>
            </a:graphic>
          </wp:anchor>
        </w:drawing>
      </w:r>
    </w:p>
    <w:p>
      <w:pPr>
        <w:spacing w:after="0" w:line="138" w:lineRule="exact"/>
        <w:rPr>
          <w:sz w:val="20"/>
          <w:szCs w:val="20"/>
          <w:color w:val="auto"/>
        </w:rPr>
      </w:pPr>
    </w:p>
    <w:p>
      <w:pPr>
        <w:ind w:left="1980"/>
        <w:spacing w:after="0"/>
        <w:rPr>
          <w:sz w:val="20"/>
          <w:szCs w:val="20"/>
          <w:color w:val="auto"/>
        </w:rPr>
      </w:pPr>
      <w:r>
        <w:rPr>
          <w:rFonts w:ascii="Arial" w:cs="Arial" w:eastAsia="Arial" w:hAnsi="Arial"/>
          <w:sz w:val="16"/>
          <w:szCs w:val="16"/>
          <w:i w:val="1"/>
          <w:iCs w:val="1"/>
          <w:color w:val="auto"/>
        </w:rPr>
        <w:t>(dollars in thousands)</w:t>
      </w:r>
    </w:p>
    <w:p>
      <w:pPr>
        <w:spacing w:after="0" w:line="57" w:lineRule="exact"/>
        <w:rPr>
          <w:sz w:val="20"/>
          <w:szCs w:val="20"/>
          <w:color w:val="auto"/>
        </w:rPr>
      </w:pPr>
    </w:p>
    <w:tbl>
      <w:tblPr>
        <w:tblLayout w:type="fixed"/>
        <w:tblInd w:w="1960" w:type="dxa"/>
        <w:tblCellMar>
          <w:top w:w="0" w:type="dxa"/>
          <w:left w:w="0" w:type="dxa"/>
          <w:bottom w:w="0" w:type="dxa"/>
          <w:right w:w="0" w:type="dxa"/>
        </w:tblCellMar>
      </w:tblPr>
      <w:tr>
        <w:trPr>
          <w:trHeight w:val="211"/>
        </w:trPr>
        <w:tc>
          <w:tcPr>
            <w:tcW w:w="636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January 3, 2015</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11,311</w:t>
            </w:r>
          </w:p>
        </w:tc>
      </w:tr>
      <w:tr>
        <w:trPr>
          <w:trHeight w:val="25"/>
        </w:trPr>
        <w:tc>
          <w:tcPr>
            <w:tcW w:w="18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Additions based on tax positions related to fiscal 2015</w:t>
            </w: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2,840</w:t>
            </w:r>
          </w:p>
        </w:tc>
      </w:tr>
      <w:tr>
        <w:trPr>
          <w:trHeight w:val="219"/>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Additions for prior year tax positions</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(260)</w:t>
            </w:r>
          </w:p>
        </w:tc>
      </w:tr>
      <w:tr>
        <w:trPr>
          <w:trHeight w:val="25"/>
        </w:trPr>
        <w:tc>
          <w:tcPr>
            <w:tcW w:w="18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Reductions for lapse of statute of limitations</w:t>
            </w: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w:t>
            </w:r>
          </w:p>
        </w:tc>
      </w:tr>
      <w:tr>
        <w:trPr>
          <w:trHeight w:val="219"/>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Reductions for prior year tax settlements</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(3,049)</w:t>
            </w:r>
          </w:p>
        </w:tc>
      </w:tr>
      <w:tr>
        <w:trPr>
          <w:trHeight w:val="25"/>
        </w:trPr>
        <w:tc>
          <w:tcPr>
            <w:tcW w:w="188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0"/>
                <w:shd w:val="clear" w:color="auto" w:fill="CCEEFF"/>
              </w:rPr>
              <w:t>Balance at January 2, 2016</w:t>
            </w:r>
          </w:p>
        </w:tc>
        <w:tc>
          <w:tcPr>
            <w:tcW w:w="44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9,415</w:t>
            </w:r>
          </w:p>
        </w:tc>
      </w:tr>
      <w:tr>
        <w:trPr>
          <w:trHeight w:val="219"/>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Additions based on tax positions related to fiscal 2016</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2,849</w:t>
            </w:r>
          </w:p>
        </w:tc>
      </w:tr>
      <w:tr>
        <w:trPr>
          <w:trHeight w:val="25"/>
        </w:trPr>
        <w:tc>
          <w:tcPr>
            <w:tcW w:w="18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Reductions for prior year tax positions</w:t>
            </w: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9"/>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Reductions for lapse of statute of limitations</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(995)</w:t>
            </w:r>
          </w:p>
        </w:tc>
      </w:tr>
      <w:tr>
        <w:trPr>
          <w:trHeight w:val="25"/>
        </w:trPr>
        <w:tc>
          <w:tcPr>
            <w:tcW w:w="18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5"/>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Reductions for prior year tax settlements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(693)</w:t>
            </w:r>
          </w:p>
        </w:tc>
      </w:tr>
      <w:tr>
        <w:trPr>
          <w:trHeight w:val="211"/>
        </w:trPr>
        <w:tc>
          <w:tcPr>
            <w:tcW w:w="636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December 31, 2016</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10,537</w:t>
            </w:r>
          </w:p>
        </w:tc>
      </w:tr>
      <w:tr>
        <w:trPr>
          <w:trHeight w:val="25"/>
        </w:trPr>
        <w:tc>
          <w:tcPr>
            <w:tcW w:w="18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Additions based on tax positions related to fiscal 2017</w:t>
            </w: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3,380</w:t>
            </w:r>
          </w:p>
        </w:tc>
      </w:tr>
      <w:tr>
        <w:trPr>
          <w:trHeight w:val="219"/>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Reductions for prior year tax positions</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5"/>
        </w:trPr>
        <w:tc>
          <w:tcPr>
            <w:tcW w:w="18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Reductions for lapse of statute of limitations</w:t>
            </w: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(1,604)</w:t>
            </w:r>
          </w:p>
        </w:tc>
      </w:tr>
      <w:tr>
        <w:trPr>
          <w:trHeight w:val="238"/>
        </w:trPr>
        <w:tc>
          <w:tcPr>
            <w:tcW w:w="636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December 30, 2017</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12,193</w:t>
            </w:r>
          </w:p>
        </w:tc>
      </w:tr>
      <w:tr>
        <w:trPr>
          <w:trHeight w:val="20"/>
        </w:trPr>
        <w:tc>
          <w:tcPr>
            <w:tcW w:w="18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jc w:val="both"/>
        <w:ind w:right="100"/>
        <w:spacing w:after="0" w:line="265" w:lineRule="auto"/>
        <w:rPr>
          <w:sz w:val="20"/>
          <w:szCs w:val="20"/>
          <w:color w:val="auto"/>
        </w:rPr>
      </w:pPr>
      <w:r>
        <w:rPr>
          <w:rFonts w:ascii="Arial" w:cs="Arial" w:eastAsia="Arial" w:hAnsi="Arial"/>
          <w:sz w:val="16"/>
          <w:szCs w:val="16"/>
          <w:color w:val="auto"/>
        </w:rPr>
        <w:t>As of December 30, 2017, the Company had gross unrecognized tax benefits of approximately $12.2 million, of which $10.3 million, if ultimately recognized, will affect the Company's effective tax rate in the period settled. The Company has recorded tax positions for which the ultimate deductibility is more likely than not, but for which there is uncertainty about the timing of such deductions. Because of deferred tax accounting, changes in the timing of these deductions would not affect the annual effective tax rate, but would accelerate the payment of cash to the taxing authorities.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Included in the reserves for unrecognized tax benefits are approximately $1.8 million of reserves for which the statute of limitations is expected to expire within the next fiscal year. If these tax benefits are ultimately recognized, such recognition, net of federal income taxes, may affect the annual effective tax rate for fiscal 2018 and the effective tax rate in the quarter in which the benefits are recognized.</w:t>
      </w:r>
    </w:p>
    <w:p>
      <w:pPr>
        <w:spacing w:after="0" w:line="162"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The Company recognizes interest related to unrecognized tax benefits as a component of interest expense and penalties related to unrecognized tax benefits as a component of income tax expense. During fiscal 2017, 2016, and 2015, interest expense recorded on uncertain tax positions was not significant. The Company had accrued interest on uncertain tax positions of approximately $1.0 million and $0.8 million as of December 30, 2017 and December 31, 2016, respectively.</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EARNINGS PER SHARE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basic common shares outstanding to diluted common and common equivalent shares outstanding:</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00"/>
          </w:cols>
          <w:pgMar w:left="240" w:top="123" w:right="25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CARTER’S, INC.</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40" w:type="dxa"/>
            <w:vAlign w:val="bottom"/>
            <w:gridSpan w:val="9"/>
          </w:tcPr>
          <w:p>
            <w:pPr>
              <w:jc w:val="right"/>
              <w:ind w:right="39"/>
              <w:spacing w:after="0"/>
              <w:rPr>
                <w:sz w:val="20"/>
                <w:szCs w:val="20"/>
                <w:color w:val="auto"/>
              </w:rPr>
            </w:pPr>
            <w:r>
              <w:rPr>
                <w:rFonts w:ascii="Arial" w:cs="Arial" w:eastAsia="Arial" w:hAnsi="Arial"/>
                <w:sz w:val="16"/>
                <w:szCs w:val="16"/>
                <w:b w:val="1"/>
                <w:bCs w:val="1"/>
                <w:color w:val="auto"/>
              </w:rPr>
              <w:t>NOTES TO CONSOLIDATED FINANCIAL STATEMENTS (Continued)</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9"/>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w w:val="90"/>
              </w:rPr>
              <w:t>For the fiscal year ended</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7"/>
              </w:rPr>
              <w:t>December 30,</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January 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4840" w:type="dxa"/>
            <w:vAlign w:val="bottom"/>
            <w:gridSpan w:val="5"/>
            <w:shd w:val="clear" w:color="auto" w:fill="CCEEFF"/>
          </w:tcPr>
          <w:p>
            <w:pPr>
              <w:spacing w:after="0" w:line="164" w:lineRule="exact"/>
              <w:rPr>
                <w:sz w:val="20"/>
                <w:szCs w:val="20"/>
                <w:color w:val="auto"/>
              </w:rPr>
            </w:pPr>
            <w:r>
              <w:rPr>
                <w:rFonts w:ascii="Arial" w:cs="Arial" w:eastAsia="Arial" w:hAnsi="Arial"/>
                <w:sz w:val="16"/>
                <w:szCs w:val="16"/>
                <w:color w:val="auto"/>
                <w:w w:val="96"/>
              </w:rPr>
              <w:t>Weighted-average number of common and common equivalent shares</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line="176" w:lineRule="exact"/>
              <w:rPr>
                <w:sz w:val="20"/>
                <w:szCs w:val="20"/>
                <w:color w:val="auto"/>
              </w:rPr>
            </w:pPr>
            <w:r>
              <w:rPr>
                <w:rFonts w:ascii="Arial" w:cs="Arial" w:eastAsia="Arial" w:hAnsi="Arial"/>
                <w:sz w:val="16"/>
                <w:szCs w:val="16"/>
                <w:color w:val="auto"/>
                <w:w w:val="91"/>
              </w:rPr>
              <w:t>outstanding:</w:t>
            </w:r>
          </w:p>
        </w:tc>
        <w:tc>
          <w:tcPr>
            <w:tcW w:w="3600" w:type="dxa"/>
            <w:vAlign w:val="bottom"/>
            <w:tcBorders>
              <w:top w:val="single" w:sz="8" w:color="auto"/>
              <w:bottom w:val="single" w:sz="8" w:color="CCEEFF"/>
            </w:tcBorders>
            <w:gridSpan w:val="2"/>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00" w:type="dxa"/>
            <w:vAlign w:val="bottom"/>
            <w:gridSpan w:val="4"/>
          </w:tcPr>
          <w:p>
            <w:pPr>
              <w:ind w:left="160"/>
              <w:spacing w:after="0"/>
              <w:rPr>
                <w:sz w:val="20"/>
                <w:szCs w:val="20"/>
                <w:color w:val="auto"/>
              </w:rPr>
            </w:pPr>
            <w:r>
              <w:rPr>
                <w:rFonts w:ascii="Arial" w:cs="Arial" w:eastAsia="Arial" w:hAnsi="Arial"/>
                <w:sz w:val="16"/>
                <w:szCs w:val="16"/>
                <w:color w:val="auto"/>
              </w:rPr>
              <w:t>Basic number of common shares outstanding</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47,593,211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49,917,858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51,835,053</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6"/>
                <w:szCs w:val="16"/>
                <w:color w:val="auto"/>
              </w:rPr>
              <w:t>Dilutive effect of equity awards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552,864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457,849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499,583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00" w:type="dxa"/>
            <w:vAlign w:val="bottom"/>
            <w:gridSpan w:val="4"/>
          </w:tcPr>
          <w:p>
            <w:pPr>
              <w:ind w:left="160"/>
              <w:spacing w:after="0"/>
              <w:rPr>
                <w:sz w:val="20"/>
                <w:szCs w:val="20"/>
                <w:color w:val="auto"/>
              </w:rPr>
            </w:pPr>
            <w:r>
              <w:rPr>
                <w:rFonts w:ascii="Arial" w:cs="Arial" w:eastAsia="Arial" w:hAnsi="Arial"/>
                <w:sz w:val="16"/>
                <w:szCs w:val="16"/>
                <w:color w:val="auto"/>
              </w:rPr>
              <w:t>Diluted number of common and common equivalent shares</w:t>
            </w: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48,146,075</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50,375,707</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52,334,636</w:t>
            </w: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700" w:type="dxa"/>
            <w:vAlign w:val="bottom"/>
            <w:tcBorders>
              <w:bottom w:val="single" w:sz="8" w:color="CCEEFF"/>
            </w:tcBorders>
            <w:gridSpan w:val="4"/>
          </w:tcPr>
          <w:p>
            <w:pPr>
              <w:ind w:left="300"/>
              <w:spacing w:after="0"/>
              <w:rPr>
                <w:sz w:val="20"/>
                <w:szCs w:val="20"/>
                <w:color w:val="auto"/>
              </w:rPr>
            </w:pPr>
            <w:r>
              <w:rPr>
                <w:rFonts w:ascii="Arial" w:cs="Arial" w:eastAsia="Arial" w:hAnsi="Arial"/>
                <w:sz w:val="16"/>
                <w:szCs w:val="16"/>
                <w:color w:val="auto"/>
              </w:rPr>
              <w:t>outstanding</w:t>
            </w: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4840" w:type="dxa"/>
            <w:vAlign w:val="bottom"/>
            <w:gridSpan w:val="5"/>
            <w:shd w:val="clear" w:color="auto" w:fill="CCEEFF"/>
          </w:tcPr>
          <w:p>
            <w:pPr>
              <w:spacing w:after="0" w:line="167" w:lineRule="exact"/>
              <w:rPr>
                <w:sz w:val="20"/>
                <w:szCs w:val="20"/>
                <w:color w:val="auto"/>
              </w:rPr>
            </w:pPr>
            <w:r>
              <w:rPr>
                <w:rFonts w:ascii="Arial" w:cs="Arial" w:eastAsia="Arial" w:hAnsi="Arial"/>
                <w:sz w:val="16"/>
                <w:szCs w:val="16"/>
                <w:color w:val="auto"/>
              </w:rPr>
              <w:t>Earnings per share:</w:t>
            </w: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auto"/>
            </w:tcBorders>
            <w:shd w:val="clear" w:color="auto" w:fill="CCEEFF"/>
          </w:tcPr>
          <w:p>
            <w:pPr>
              <w:spacing w:after="0"/>
              <w:rPr>
                <w:sz w:val="3"/>
                <w:szCs w:val="3"/>
                <w:color w:val="auto"/>
              </w:rPr>
            </w:pPr>
          </w:p>
        </w:tc>
        <w:tc>
          <w:tcPr>
            <w:tcW w:w="820" w:type="dxa"/>
            <w:vAlign w:val="bottom"/>
            <w:tcBorders>
              <w:top w:val="single" w:sz="8" w:color="auto"/>
            </w:tcBorders>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330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3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3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28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40" w:type="dxa"/>
            <w:vAlign w:val="bottom"/>
            <w:gridSpan w:val="5"/>
          </w:tcPr>
          <w:p>
            <w:pPr>
              <w:spacing w:after="0"/>
              <w:rPr>
                <w:sz w:val="20"/>
                <w:szCs w:val="20"/>
                <w:color w:val="auto"/>
              </w:rPr>
            </w:pPr>
            <w:r>
              <w:rPr>
                <w:rFonts w:ascii="Arial" w:cs="Arial" w:eastAsia="Arial" w:hAnsi="Arial"/>
                <w:sz w:val="16"/>
                <w:szCs w:val="16"/>
                <w:i w:val="1"/>
                <w:iCs w:val="1"/>
                <w:color w:val="auto"/>
              </w:rPr>
              <w:t>(dollars in thousands, except per share data)</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8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Basic net income per common share:</w:t>
            </w:r>
          </w:p>
        </w:tc>
        <w:tc>
          <w:tcPr>
            <w:tcW w:w="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00" w:type="dxa"/>
            <w:vAlign w:val="bottom"/>
            <w:gridSpan w:val="4"/>
          </w:tcPr>
          <w:p>
            <w:pPr>
              <w:ind w:left="16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302,764</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258,106</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237,822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6"/>
                <w:szCs w:val="16"/>
                <w:color w:val="auto"/>
              </w:rPr>
              <w:t>Income allocated to participating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00" w:type="dxa"/>
            <w:vAlign w:val="bottom"/>
            <w:gridSpan w:val="4"/>
          </w:tcPr>
          <w:p>
            <w:pPr>
              <w:ind w:left="160"/>
              <w:spacing w:after="0"/>
              <w:rPr>
                <w:sz w:val="20"/>
                <w:szCs w:val="20"/>
                <w:color w:val="auto"/>
              </w:rPr>
            </w:pPr>
            <w:r>
              <w:rPr>
                <w:rFonts w:ascii="Arial" w:cs="Arial" w:eastAsia="Arial" w:hAnsi="Arial"/>
                <w:sz w:val="16"/>
                <w:szCs w:val="16"/>
                <w:color w:val="auto"/>
              </w:rPr>
              <w:t>Net income available to common shareholders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300,358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256,057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235,638</w:t>
            </w:r>
          </w:p>
        </w:tc>
        <w:tc>
          <w:tcPr>
            <w:tcW w:w="0" w:type="dxa"/>
            <w:vAlign w:val="bottom"/>
          </w:tcPr>
          <w:p>
            <w:pPr>
              <w:spacing w:after="0"/>
              <w:rPr>
                <w:sz w:val="1"/>
                <w:szCs w:val="1"/>
                <w:color w:val="auto"/>
              </w:rPr>
            </w:pPr>
          </w:p>
        </w:tc>
      </w:tr>
      <w:tr>
        <w:trPr>
          <w:trHeight w:val="65"/>
        </w:trPr>
        <w:tc>
          <w:tcPr>
            <w:tcW w:w="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82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33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700" w:type="dxa"/>
            <w:vAlign w:val="bottom"/>
            <w:tcBorders>
              <w:bottom w:val="single" w:sz="8" w:color="CCEEFF"/>
            </w:tcBorders>
            <w:gridSpan w:val="4"/>
            <w:shd w:val="clear" w:color="auto" w:fill="CCEEFF"/>
          </w:tcPr>
          <w:p>
            <w:pPr>
              <w:ind w:left="160"/>
              <w:spacing w:after="0" w:line="171" w:lineRule="exact"/>
              <w:rPr>
                <w:sz w:val="20"/>
                <w:szCs w:val="20"/>
                <w:color w:val="auto"/>
              </w:rPr>
            </w:pPr>
            <w:r>
              <w:rPr>
                <w:rFonts w:ascii="Arial" w:cs="Arial" w:eastAsia="Arial" w:hAnsi="Arial"/>
                <w:sz w:val="16"/>
                <w:szCs w:val="16"/>
                <w:color w:val="auto"/>
              </w:rPr>
              <w:t>Basic net income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3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8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Diluted net income per common share:</w:t>
            </w:r>
          </w:p>
        </w:tc>
        <w:tc>
          <w:tcPr>
            <w:tcW w:w="1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00" w:type="dxa"/>
            <w:vAlign w:val="bottom"/>
            <w:gridSpan w:val="4"/>
          </w:tcPr>
          <w:p>
            <w:pPr>
              <w:ind w:left="16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302,764</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258,106</w:t>
            </w:r>
          </w:p>
        </w:tc>
        <w:tc>
          <w:tcPr>
            <w:tcW w:w="100" w:type="dxa"/>
            <w:vAlign w:val="bottom"/>
            <w:shd w:val="clear" w:color="auto" w:fill="CCEEFF"/>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237,822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6"/>
                <w:szCs w:val="16"/>
                <w:color w:val="auto"/>
              </w:rPr>
              <w:t>Income allocated to participating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00" w:type="dxa"/>
            <w:vAlign w:val="bottom"/>
            <w:gridSpan w:val="4"/>
          </w:tcPr>
          <w:p>
            <w:pPr>
              <w:ind w:left="160"/>
              <w:spacing w:after="0"/>
              <w:rPr>
                <w:sz w:val="20"/>
                <w:szCs w:val="20"/>
                <w:color w:val="auto"/>
              </w:rPr>
            </w:pPr>
            <w:r>
              <w:rPr>
                <w:rFonts w:ascii="Arial" w:cs="Arial" w:eastAsia="Arial" w:hAnsi="Arial"/>
                <w:sz w:val="16"/>
                <w:szCs w:val="16"/>
                <w:color w:val="auto"/>
              </w:rPr>
              <w:t>Net income available to common shareholders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300,379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256,071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235,655</w:t>
            </w:r>
          </w:p>
        </w:tc>
        <w:tc>
          <w:tcPr>
            <w:tcW w:w="0" w:type="dxa"/>
            <w:vAlign w:val="bottom"/>
          </w:tcPr>
          <w:p>
            <w:pPr>
              <w:spacing w:after="0"/>
              <w:rPr>
                <w:sz w:val="1"/>
                <w:szCs w:val="1"/>
                <w:color w:val="auto"/>
              </w:rPr>
            </w:pPr>
          </w:p>
        </w:tc>
      </w:tr>
      <w:tr>
        <w:trPr>
          <w:trHeight w:val="65"/>
        </w:trPr>
        <w:tc>
          <w:tcPr>
            <w:tcW w:w="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82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33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700" w:type="dxa"/>
            <w:vAlign w:val="bottom"/>
            <w:tcBorders>
              <w:bottom w:val="single" w:sz="8" w:color="CCEEFF"/>
            </w:tcBorders>
            <w:gridSpan w:val="4"/>
            <w:shd w:val="clear" w:color="auto" w:fill="CCEEFF"/>
          </w:tcPr>
          <w:p>
            <w:pPr>
              <w:ind w:left="160"/>
              <w:spacing w:after="0" w:line="171" w:lineRule="exact"/>
              <w:rPr>
                <w:sz w:val="20"/>
                <w:szCs w:val="20"/>
                <w:color w:val="auto"/>
              </w:rPr>
            </w:pPr>
            <w:r>
              <w:rPr>
                <w:rFonts w:ascii="Arial" w:cs="Arial" w:eastAsia="Arial" w:hAnsi="Arial"/>
                <w:sz w:val="16"/>
                <w:szCs w:val="16"/>
                <w:color w:val="auto"/>
              </w:rPr>
              <w:t>Diluted net income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3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147"/>
        </w:trPr>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70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Anti-dilutive shares excluded from dilutive earnings per share</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70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6"/>
                <w:szCs w:val="16"/>
                <w:color w:val="auto"/>
              </w:rPr>
              <w:t>calculations (1)</w:t>
            </w:r>
          </w:p>
        </w:tc>
        <w:tc>
          <w:tcPr>
            <w:tcW w:w="1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629,944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247,460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192,740</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(1) The volume of antidilutive shares is, in part, due to the related unamortized compensation costs.</w:t>
      </w:r>
    </w:p>
    <w:p>
      <w:pPr>
        <w:spacing w:after="0" w:line="361"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 xml:space="preserve">The Company grants shares of its common stock in the form of restricted stock awards to certain key employees under the Company's Amended and Restated Equity Incentive Plan (see Note 9, </w:t>
      </w:r>
      <w:r>
        <w:rPr>
          <w:rFonts w:ascii="Arial" w:cs="Arial" w:eastAsia="Arial" w:hAnsi="Arial"/>
          <w:sz w:val="15"/>
          <w:szCs w:val="15"/>
          <w:i w:val="1"/>
          <w:iCs w:val="1"/>
          <w:color w:val="auto"/>
        </w:rPr>
        <w:t>Stock-based Compensation</w:t>
      </w:r>
      <w:r>
        <w:rPr>
          <w:rFonts w:ascii="Arial" w:cs="Arial" w:eastAsia="Arial" w:hAnsi="Arial"/>
          <w:sz w:val="15"/>
          <w:szCs w:val="15"/>
          <w:color w:val="auto"/>
        </w:rPr>
        <w:t>, to the consolidated financial statements). Prior to vesting of the restricted stock awards, the grant recipients are entitled to receive non-forfeitable cash dividends if the Company's board of directors declares and pays dividends on the Company's common stock. Accordingly, unvested shares of the Company's restricted stock awards are deemed to be participating securities for purposes of computing diluted earnings per share (EPS), and therefore the Company's diluted EPS represent the lower of the amounts calculated under the treasury stock method or the two-class method of calculating diluted EPS.</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SEGMENT INFORMATION</w:t>
      </w:r>
    </w:p>
    <w:p>
      <w:pPr>
        <w:spacing w:after="0" w:line="211" w:lineRule="exact"/>
        <w:rPr>
          <w:sz w:val="20"/>
          <w:szCs w:val="20"/>
          <w:color w:val="auto"/>
        </w:rPr>
      </w:pPr>
    </w:p>
    <w:p>
      <w:pPr>
        <w:ind w:right="140"/>
        <w:spacing w:after="0" w:line="326" w:lineRule="auto"/>
        <w:rPr>
          <w:sz w:val="20"/>
          <w:szCs w:val="20"/>
          <w:color w:val="auto"/>
        </w:rPr>
      </w:pPr>
      <w:r>
        <w:rPr>
          <w:rFonts w:ascii="Arial" w:cs="Arial" w:eastAsia="Arial" w:hAnsi="Arial"/>
          <w:sz w:val="14"/>
          <w:szCs w:val="14"/>
          <w:color w:val="auto"/>
        </w:rPr>
        <w:t>The Company reports segment information based upon a "management approach." The management approach refers to the internal reporting that is used by management for making operating decisions and assessing the performance of the Company's reportable segments. The Company reports its corporate expenses separately as they are not included in the internal measures of segment operating performance used by the Company to measure the underlying performance of its reportable segments.</w:t>
      </w:r>
    </w:p>
    <w:p>
      <w:pPr>
        <w:spacing w:after="0" w:line="126"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 xml:space="preserve">Segment results include the direct costs of each segment and all other costs are allocated based upon detailed estimates and analysis of actual time and expenses incurred to support the operations of each segment or units produced or sourced to support each segment's revenue. Certain costs, including incentive compensation for certain employees, and various other general corporate costs that are not specifically allocable to segments, are included in corporate expenses below. Intersegment sales and transfers are recorded at cost and are treated as a transfer of inventory. The accounting policies of the segments are the same as those described in Note 2, </w:t>
      </w:r>
      <w:r>
        <w:rPr>
          <w:rFonts w:ascii="Arial" w:cs="Arial" w:eastAsia="Arial" w:hAnsi="Arial"/>
          <w:sz w:val="16"/>
          <w:szCs w:val="16"/>
          <w:i w:val="1"/>
          <w:iCs w:val="1"/>
          <w:color w:val="auto"/>
        </w:rPr>
        <w:t>Summary of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 to the consolidated financial statements.</w:t>
      </w:r>
    </w:p>
    <w:p>
      <w:pPr>
        <w:spacing w:after="0" w:line="17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At the beginning of fiscal 2017, the Company combined its Carter's Retail and OshKosh Retail operating segments into a single U.S. Retail operating segment, and its Carter's Wholesale and OshKosh Wholesale operating segments into a single U.S.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3" w:right="239" w:bottom="1440" w:gutter="0" w:footer="0" w:header="0"/>
        </w:sectPr>
      </w:pPr>
    </w:p>
    <w:bookmarkStart w:id="91" w:name="page92"/>
    <w:bookmarkEnd w:id="91"/>
    <w:p>
      <w:pPr>
        <w:ind w:left="5242"/>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left="2" w:right="40"/>
        <w:spacing w:after="0" w:line="270" w:lineRule="auto"/>
        <w:rPr>
          <w:sz w:val="20"/>
          <w:szCs w:val="20"/>
          <w:color w:val="auto"/>
        </w:rPr>
      </w:pPr>
      <w:r>
        <w:rPr>
          <w:rFonts w:ascii="Arial" w:cs="Arial" w:eastAsia="Arial" w:hAnsi="Arial"/>
          <w:sz w:val="16"/>
          <w:szCs w:val="16"/>
          <w:color w:val="auto"/>
        </w:rPr>
        <w:t>Wholesale operating segment, in order to reflect the sales-channel approach the Company's executive management now uses to evaluate its business performance and manage operations in the United States. The Company's International operating segment was not affected by these changes. The Company's operating and reportable segments are now U.S. Retail, U.S. Wholesale, and International.</w:t>
      </w:r>
    </w:p>
    <w:p>
      <w:pPr>
        <w:spacing w:after="0" w:line="162" w:lineRule="exact"/>
        <w:rPr>
          <w:sz w:val="20"/>
          <w:szCs w:val="20"/>
          <w:color w:val="auto"/>
        </w:rPr>
      </w:pPr>
    </w:p>
    <w:p>
      <w:pPr>
        <w:ind w:left="2" w:right="440"/>
        <w:spacing w:after="0" w:line="320" w:lineRule="auto"/>
        <w:rPr>
          <w:sz w:val="20"/>
          <w:szCs w:val="20"/>
          <w:color w:val="auto"/>
        </w:rPr>
      </w:pPr>
      <w:r>
        <w:rPr>
          <w:rFonts w:ascii="Arial" w:cs="Arial" w:eastAsia="Arial" w:hAnsi="Arial"/>
          <w:sz w:val="15"/>
          <w:szCs w:val="15"/>
          <w:color w:val="auto"/>
        </w:rPr>
        <w:t>Prior periods have been conformed to reflect the Company's current segment structure by adding together Carter's Retail and OshKosh Retail as U.S. Retail and Carter's Wholesale and OshKosh Wholesale as U.S. Wholesale. Prior results for the International segment and Corporate expenses were not impacted.</w:t>
      </w:r>
    </w:p>
    <w:p>
      <w:pPr>
        <w:spacing w:after="0" w:line="102"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table below presents certain segment information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92710</wp:posOffset>
            </wp:positionV>
            <wp:extent cx="6941185" cy="155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41185" cy="155575"/>
                    </a:xfrm>
                    <a:prstGeom prst="rect">
                      <a:avLst/>
                    </a:prstGeom>
                    <a:noFill/>
                  </pic:spPr>
                </pic:pic>
              </a:graphicData>
            </a:graphic>
          </wp:anchor>
        </w:drawing>
      </w:r>
    </w:p>
    <w:p>
      <w:pPr>
        <w:spacing w:after="0" w:line="151" w:lineRule="exact"/>
        <w:rPr>
          <w:sz w:val="20"/>
          <w:szCs w:val="20"/>
          <w:color w:val="auto"/>
        </w:rPr>
      </w:pPr>
    </w:p>
    <w:p>
      <w:pPr>
        <w:ind w:left="5942"/>
        <w:spacing w:after="0"/>
        <w:rPr>
          <w:sz w:val="20"/>
          <w:szCs w:val="20"/>
          <w:color w:val="auto"/>
        </w:rPr>
      </w:pPr>
      <w:r>
        <w:rPr>
          <w:rFonts w:ascii="Arial" w:cs="Arial" w:eastAsia="Arial" w:hAnsi="Arial"/>
          <w:sz w:val="15"/>
          <w:szCs w:val="15"/>
          <w:b w:val="1"/>
          <w:bCs w:val="1"/>
          <w:color w:val="auto"/>
        </w:rPr>
        <w:t>For the 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1412875</wp:posOffset>
            </wp:positionH>
            <wp:positionV relativeFrom="paragraph">
              <wp:posOffset>30480</wp:posOffset>
            </wp:positionV>
            <wp:extent cx="56908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0870" cy="7620"/>
                    </a:xfrm>
                    <a:prstGeom prst="rect">
                      <a:avLst/>
                    </a:prstGeom>
                    <a:noFill/>
                  </pic:spPr>
                </pic:pic>
              </a:graphicData>
            </a:graphic>
          </wp:anchor>
        </w:drawing>
      </w:r>
    </w:p>
    <w:p>
      <w:pPr>
        <w:spacing w:after="0" w:line="52" w:lineRule="exact"/>
        <w:rPr>
          <w:sz w:val="20"/>
          <w:szCs w:val="20"/>
          <w:color w:val="auto"/>
        </w:rPr>
      </w:pPr>
    </w:p>
    <w:tbl>
      <w:tblPr>
        <w:tblLayout w:type="fixed"/>
        <w:tblInd w:w="262"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287"/>
              <w:spacing w:after="0"/>
              <w:rPr>
                <w:sz w:val="20"/>
                <w:szCs w:val="20"/>
                <w:color w:val="auto"/>
              </w:rPr>
            </w:pPr>
            <w:r>
              <w:rPr>
                <w:rFonts w:ascii="Arial" w:cs="Arial" w:eastAsia="Arial" w:hAnsi="Arial"/>
                <w:sz w:val="15"/>
                <w:szCs w:val="15"/>
                <w:b w:val="1"/>
                <w:bCs w:val="1"/>
                <w:color w:val="auto"/>
                <w:w w:val="98"/>
              </w:rPr>
              <w:t>December 30,</w:t>
            </w:r>
          </w:p>
        </w:tc>
        <w:tc>
          <w:tcPr>
            <w:tcW w:w="10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4"/>
              </w:rPr>
              <w:t>% of</w:t>
            </w:r>
          </w:p>
        </w:tc>
        <w:tc>
          <w:tcPr>
            <w:tcW w:w="200" w:type="dxa"/>
            <w:vAlign w:val="bottom"/>
          </w:tcPr>
          <w:p>
            <w:pPr>
              <w:spacing w:after="0"/>
              <w:rPr>
                <w:sz w:val="15"/>
                <w:szCs w:val="15"/>
                <w:color w:val="auto"/>
              </w:rPr>
            </w:pPr>
          </w:p>
        </w:tc>
        <w:tc>
          <w:tcPr>
            <w:tcW w:w="1300" w:type="dxa"/>
            <w:vAlign w:val="bottom"/>
          </w:tcPr>
          <w:p>
            <w:pPr>
              <w:jc w:val="right"/>
              <w:ind w:right="287"/>
              <w:spacing w:after="0"/>
              <w:rPr>
                <w:sz w:val="20"/>
                <w:szCs w:val="20"/>
                <w:color w:val="auto"/>
              </w:rPr>
            </w:pPr>
            <w:r>
              <w:rPr>
                <w:rFonts w:ascii="Arial" w:cs="Arial" w:eastAsia="Arial" w:hAnsi="Arial"/>
                <w:sz w:val="15"/>
                <w:szCs w:val="15"/>
                <w:b w:val="1"/>
                <w:bCs w:val="1"/>
                <w:color w:val="auto"/>
                <w:w w:val="94"/>
              </w:rPr>
              <w:t>December 31,</w:t>
            </w:r>
          </w:p>
        </w:tc>
        <w:tc>
          <w:tcPr>
            <w:tcW w:w="100" w:type="dxa"/>
            <w:vAlign w:val="bottom"/>
          </w:tcPr>
          <w:p>
            <w:pPr>
              <w:spacing w:after="0"/>
              <w:rPr>
                <w:sz w:val="15"/>
                <w:szCs w:val="15"/>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 of</w:t>
            </w:r>
          </w:p>
        </w:tc>
        <w:tc>
          <w:tcPr>
            <w:tcW w:w="260" w:type="dxa"/>
            <w:vAlign w:val="bottom"/>
          </w:tcPr>
          <w:p>
            <w:pPr>
              <w:spacing w:after="0"/>
              <w:rPr>
                <w:sz w:val="15"/>
                <w:szCs w:val="15"/>
                <w:color w:val="auto"/>
              </w:rPr>
            </w:pPr>
          </w:p>
        </w:tc>
        <w:tc>
          <w:tcPr>
            <w:tcW w:w="1260" w:type="dxa"/>
            <w:vAlign w:val="bottom"/>
          </w:tcPr>
          <w:p>
            <w:pPr>
              <w:jc w:val="right"/>
              <w:ind w:right="367"/>
              <w:spacing w:after="0"/>
              <w:rPr>
                <w:sz w:val="20"/>
                <w:szCs w:val="20"/>
                <w:color w:val="auto"/>
              </w:rPr>
            </w:pPr>
            <w:r>
              <w:rPr>
                <w:rFonts w:ascii="Arial" w:cs="Arial" w:eastAsia="Arial" w:hAnsi="Arial"/>
                <w:sz w:val="15"/>
                <w:szCs w:val="15"/>
                <w:b w:val="1"/>
                <w:bCs w:val="1"/>
                <w:color w:val="auto"/>
              </w:rPr>
              <w:t>January 2,</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1940" w:type="dxa"/>
            <w:vAlign w:val="bottom"/>
            <w:gridSpan w:val="3"/>
          </w:tcPr>
          <w:p>
            <w:pPr>
              <w:spacing w:after="0"/>
              <w:rPr>
                <w:sz w:val="20"/>
                <w:szCs w:val="20"/>
                <w:color w:val="auto"/>
              </w:rPr>
            </w:pPr>
            <w:r>
              <w:rPr>
                <w:rFonts w:ascii="Arial" w:cs="Arial" w:eastAsia="Arial" w:hAnsi="Arial"/>
                <w:sz w:val="15"/>
                <w:szCs w:val="15"/>
                <w:i w:val="1"/>
                <w:iCs w:val="1"/>
                <w:color w:val="auto"/>
              </w:rPr>
              <w:t>(dollars in thousands)</w:t>
            </w:r>
          </w:p>
        </w:tc>
        <w:tc>
          <w:tcPr>
            <w:tcW w:w="200" w:type="dxa"/>
            <w:vAlign w:val="bottom"/>
          </w:tcPr>
          <w:p>
            <w:pPr>
              <w:spacing w:after="0"/>
              <w:rPr>
                <w:sz w:val="16"/>
                <w:szCs w:val="16"/>
                <w:color w:val="auto"/>
              </w:rPr>
            </w:pPr>
          </w:p>
        </w:tc>
        <w:tc>
          <w:tcPr>
            <w:tcW w:w="1340" w:type="dxa"/>
            <w:vAlign w:val="bottom"/>
          </w:tcPr>
          <w:p>
            <w:pPr>
              <w:jc w:val="right"/>
              <w:ind w:right="547"/>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Total</w:t>
            </w:r>
          </w:p>
        </w:tc>
        <w:tc>
          <w:tcPr>
            <w:tcW w:w="200" w:type="dxa"/>
            <w:vAlign w:val="bottom"/>
          </w:tcPr>
          <w:p>
            <w:pPr>
              <w:spacing w:after="0"/>
              <w:rPr>
                <w:sz w:val="16"/>
                <w:szCs w:val="16"/>
                <w:color w:val="auto"/>
              </w:rPr>
            </w:pPr>
          </w:p>
        </w:tc>
        <w:tc>
          <w:tcPr>
            <w:tcW w:w="1300" w:type="dxa"/>
            <w:vAlign w:val="bottom"/>
          </w:tcPr>
          <w:p>
            <w:pPr>
              <w:jc w:val="right"/>
              <w:ind w:right="547"/>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9"/>
              </w:rPr>
              <w:t>Total</w:t>
            </w:r>
          </w:p>
        </w:tc>
        <w:tc>
          <w:tcPr>
            <w:tcW w:w="260" w:type="dxa"/>
            <w:vAlign w:val="bottom"/>
          </w:tcPr>
          <w:p>
            <w:pPr>
              <w:spacing w:after="0"/>
              <w:rPr>
                <w:sz w:val="16"/>
                <w:szCs w:val="16"/>
                <w:color w:val="auto"/>
              </w:rPr>
            </w:pPr>
          </w:p>
        </w:tc>
        <w:tc>
          <w:tcPr>
            <w:tcW w:w="1260" w:type="dxa"/>
            <w:vAlign w:val="bottom"/>
          </w:tcPr>
          <w:p>
            <w:pPr>
              <w:jc w:val="right"/>
              <w:ind w:right="547"/>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92"/>
              </w:rPr>
              <w:t>% of Total</w:t>
            </w:r>
          </w:p>
        </w:tc>
      </w:tr>
      <w:tr>
        <w:trPr>
          <w:trHeight w:val="29"/>
        </w:trPr>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1940" w:type="dxa"/>
            <w:vAlign w:val="bottom"/>
            <w:gridSpan w:val="3"/>
            <w:shd w:val="clear" w:color="auto" w:fill="CCEEFF"/>
          </w:tcPr>
          <w:p>
            <w:pPr>
              <w:spacing w:after="0"/>
              <w:rPr>
                <w:sz w:val="20"/>
                <w:szCs w:val="20"/>
                <w:color w:val="auto"/>
              </w:rPr>
            </w:pPr>
            <w:r>
              <w:rPr>
                <w:rFonts w:ascii="Arial" w:cs="Arial" w:eastAsia="Arial" w:hAnsi="Arial"/>
                <w:sz w:val="15"/>
                <w:szCs w:val="15"/>
                <w:b w:val="1"/>
                <w:bCs w:val="1"/>
                <w:color w:val="auto"/>
              </w:rPr>
              <w:t>Net sales:</w:t>
            </w: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41"/>
        </w:trPr>
        <w:tc>
          <w:tcPr>
            <w:tcW w:w="2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auto"/>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8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3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3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3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3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2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r>
      <w:tr>
        <w:trPr>
          <w:trHeight w:val="215"/>
        </w:trPr>
        <w:tc>
          <w:tcPr>
            <w:tcW w:w="20" w:type="dxa"/>
            <w:vAlign w:val="bottom"/>
          </w:tcPr>
          <w:p>
            <w:pPr>
              <w:spacing w:after="0"/>
              <w:rPr>
                <w:sz w:val="18"/>
                <w:szCs w:val="18"/>
                <w:color w:val="auto"/>
              </w:rPr>
            </w:pPr>
          </w:p>
        </w:tc>
        <w:tc>
          <w:tcPr>
            <w:tcW w:w="1940" w:type="dxa"/>
            <w:vAlign w:val="bottom"/>
            <w:gridSpan w:val="3"/>
          </w:tcPr>
          <w:p>
            <w:pPr>
              <w:spacing w:after="0"/>
              <w:rPr>
                <w:sz w:val="20"/>
                <w:szCs w:val="20"/>
                <w:color w:val="auto"/>
              </w:rPr>
            </w:pPr>
            <w:r>
              <w:rPr>
                <w:rFonts w:ascii="Arial" w:cs="Arial" w:eastAsia="Arial" w:hAnsi="Arial"/>
                <w:sz w:val="15"/>
                <w:szCs w:val="15"/>
                <w:color w:val="auto"/>
              </w:rPr>
              <w:t>U.S. Retail (a)</w:t>
            </w: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47"/>
              <w:spacing w:after="0"/>
              <w:rPr>
                <w:sz w:val="20"/>
                <w:szCs w:val="20"/>
                <w:color w:val="auto"/>
              </w:rPr>
            </w:pPr>
            <w:r>
              <w:rPr>
                <w:rFonts w:ascii="Arial" w:cs="Arial" w:eastAsia="Arial" w:hAnsi="Arial"/>
                <w:sz w:val="15"/>
                <w:szCs w:val="15"/>
                <w:color w:val="auto"/>
              </w:rPr>
              <w:t>1,775,287</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52.2%</w:t>
            </w:r>
          </w:p>
        </w:tc>
        <w:tc>
          <w:tcPr>
            <w:tcW w:w="2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7"/>
              <w:spacing w:after="0"/>
              <w:rPr>
                <w:sz w:val="20"/>
                <w:szCs w:val="20"/>
                <w:color w:val="auto"/>
              </w:rPr>
            </w:pPr>
            <w:r>
              <w:rPr>
                <w:rFonts w:ascii="Arial" w:cs="Arial" w:eastAsia="Arial" w:hAnsi="Arial"/>
                <w:sz w:val="15"/>
                <w:szCs w:val="15"/>
                <w:color w:val="auto"/>
              </w:rPr>
              <w:t>1,656,414</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51.8%</w:t>
            </w:r>
          </w:p>
        </w:tc>
        <w:tc>
          <w:tcPr>
            <w:tcW w:w="200" w:type="dxa"/>
            <w:vAlign w:val="bottom"/>
          </w:tcPr>
          <w:p>
            <w:pPr>
              <w:spacing w:after="0"/>
              <w:rPr>
                <w:sz w:val="18"/>
                <w:szCs w:val="18"/>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1,514,355</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50.2%</w:t>
            </w:r>
          </w:p>
        </w:tc>
      </w:tr>
      <w:tr>
        <w:trPr>
          <w:trHeight w:val="29"/>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U.S. Wholesale</w:t>
            </w: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1,209,663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35.6%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1,178,034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36.8%</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1,173,313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39.0%</w:t>
            </w:r>
          </w:p>
        </w:tc>
      </w:tr>
      <w:tr>
        <w:trPr>
          <w:trHeight w:val="215"/>
        </w:trPr>
        <w:tc>
          <w:tcPr>
            <w:tcW w:w="20" w:type="dxa"/>
            <w:vAlign w:val="bottom"/>
          </w:tcPr>
          <w:p>
            <w:pPr>
              <w:spacing w:after="0"/>
              <w:rPr>
                <w:sz w:val="18"/>
                <w:szCs w:val="18"/>
                <w:color w:val="auto"/>
              </w:rPr>
            </w:pPr>
          </w:p>
        </w:tc>
        <w:tc>
          <w:tcPr>
            <w:tcW w:w="1940" w:type="dxa"/>
            <w:vAlign w:val="bottom"/>
            <w:gridSpan w:val="3"/>
          </w:tcPr>
          <w:p>
            <w:pPr>
              <w:spacing w:after="0"/>
              <w:rPr>
                <w:sz w:val="20"/>
                <w:szCs w:val="20"/>
                <w:color w:val="auto"/>
              </w:rPr>
            </w:pPr>
            <w:r>
              <w:rPr>
                <w:rFonts w:ascii="Arial" w:cs="Arial" w:eastAsia="Arial" w:hAnsi="Arial"/>
                <w:sz w:val="15"/>
                <w:szCs w:val="15"/>
                <w:color w:val="auto"/>
              </w:rPr>
              <w:t>International (b)</w:t>
            </w:r>
          </w:p>
        </w:tc>
        <w:tc>
          <w:tcPr>
            <w:tcW w:w="200" w:type="dxa"/>
            <w:vAlign w:val="bottom"/>
          </w:tcPr>
          <w:p>
            <w:pPr>
              <w:spacing w:after="0"/>
              <w:rPr>
                <w:sz w:val="18"/>
                <w:szCs w:val="18"/>
                <w:color w:val="auto"/>
              </w:rPr>
            </w:pPr>
          </w:p>
        </w:tc>
        <w:tc>
          <w:tcPr>
            <w:tcW w:w="1340" w:type="dxa"/>
            <w:vAlign w:val="bottom"/>
          </w:tcPr>
          <w:p>
            <w:pPr>
              <w:jc w:val="right"/>
              <w:ind w:right="47"/>
              <w:spacing w:after="0"/>
              <w:rPr>
                <w:sz w:val="20"/>
                <w:szCs w:val="20"/>
                <w:color w:val="auto"/>
              </w:rPr>
            </w:pPr>
            <w:r>
              <w:rPr>
                <w:rFonts w:ascii="Arial" w:cs="Arial" w:eastAsia="Arial" w:hAnsi="Arial"/>
                <w:sz w:val="15"/>
                <w:szCs w:val="15"/>
                <w:color w:val="auto"/>
              </w:rPr>
              <w:t>415,460</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12.2%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27"/>
              <w:spacing w:after="0"/>
              <w:rPr>
                <w:sz w:val="20"/>
                <w:szCs w:val="20"/>
                <w:color w:val="auto"/>
              </w:rPr>
            </w:pPr>
            <w:r>
              <w:rPr>
                <w:rFonts w:ascii="Arial" w:cs="Arial" w:eastAsia="Arial" w:hAnsi="Arial"/>
                <w:sz w:val="15"/>
                <w:szCs w:val="15"/>
                <w:color w:val="auto"/>
              </w:rPr>
              <w:t>364,736</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11.4%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326,211</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10.8%</w:t>
            </w:r>
          </w:p>
        </w:tc>
      </w:tr>
      <w:tr>
        <w:trPr>
          <w:trHeight w:val="29"/>
        </w:trPr>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5"/>
                <w:szCs w:val="15"/>
                <w:color w:val="auto"/>
              </w:rPr>
              <w:t>Total net sales</w:t>
            </w:r>
          </w:p>
        </w:tc>
        <w:tc>
          <w:tcPr>
            <w:tcW w:w="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3,400,410</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3,199,184</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3,013,879</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4"/>
              </w:rPr>
              <w:t>% of</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 of</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94"/>
              </w:rPr>
              <w:t>% of</w:t>
            </w: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0"/>
              </w:rPr>
              <w:t>segment</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4"/>
              </w:rPr>
              <w:t>segment</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80"/>
              </w:rPr>
              <w:t>segment</w:t>
            </w:r>
          </w:p>
        </w:tc>
      </w:tr>
      <w:tr>
        <w:trPr>
          <w:trHeight w:val="159"/>
        </w:trPr>
        <w:tc>
          <w:tcPr>
            <w:tcW w:w="20" w:type="dxa"/>
            <w:vAlign w:val="bottom"/>
          </w:tcPr>
          <w:p>
            <w:pPr>
              <w:spacing w:after="0"/>
              <w:rPr>
                <w:sz w:val="13"/>
                <w:szCs w:val="13"/>
                <w:color w:val="auto"/>
              </w:rPr>
            </w:pPr>
          </w:p>
        </w:tc>
        <w:tc>
          <w:tcPr>
            <w:tcW w:w="1940" w:type="dxa"/>
            <w:vAlign w:val="bottom"/>
            <w:gridSpan w:val="3"/>
          </w:tcPr>
          <w:p>
            <w:pPr>
              <w:spacing w:after="0" w:line="159" w:lineRule="exact"/>
              <w:rPr>
                <w:sz w:val="20"/>
                <w:szCs w:val="20"/>
                <w:color w:val="auto"/>
              </w:rPr>
            </w:pPr>
            <w:r>
              <w:rPr>
                <w:rFonts w:ascii="Arial" w:cs="Arial" w:eastAsia="Arial" w:hAnsi="Arial"/>
                <w:sz w:val="15"/>
                <w:szCs w:val="15"/>
                <w:b w:val="1"/>
                <w:bCs w:val="1"/>
                <w:color w:val="auto"/>
              </w:rPr>
              <w:t>Operating income:</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220"/>
              <w:spacing w:after="0" w:line="159" w:lineRule="exact"/>
              <w:rPr>
                <w:sz w:val="20"/>
                <w:szCs w:val="20"/>
                <w:color w:val="auto"/>
              </w:rPr>
            </w:pPr>
            <w:r>
              <w:rPr>
                <w:rFonts w:ascii="Arial" w:cs="Arial" w:eastAsia="Arial" w:hAnsi="Arial"/>
                <w:sz w:val="15"/>
                <w:szCs w:val="15"/>
                <w:b w:val="1"/>
                <w:bCs w:val="1"/>
                <w:color w:val="auto"/>
                <w:w w:val="84"/>
              </w:rPr>
              <w:t>net sales</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220"/>
              <w:spacing w:after="0" w:line="159" w:lineRule="exact"/>
              <w:rPr>
                <w:sz w:val="20"/>
                <w:szCs w:val="20"/>
                <w:color w:val="auto"/>
              </w:rPr>
            </w:pPr>
            <w:r>
              <w:rPr>
                <w:rFonts w:ascii="Arial" w:cs="Arial" w:eastAsia="Arial" w:hAnsi="Arial"/>
                <w:sz w:val="15"/>
                <w:szCs w:val="15"/>
                <w:b w:val="1"/>
                <w:bCs w:val="1"/>
                <w:color w:val="auto"/>
                <w:w w:val="80"/>
              </w:rPr>
              <w:t>net sales</w:t>
            </w: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9" w:lineRule="exact"/>
              <w:rPr>
                <w:sz w:val="20"/>
                <w:szCs w:val="20"/>
                <w:color w:val="auto"/>
              </w:rPr>
            </w:pPr>
            <w:r>
              <w:rPr>
                <w:rFonts w:ascii="Arial" w:cs="Arial" w:eastAsia="Arial" w:hAnsi="Arial"/>
                <w:sz w:val="15"/>
                <w:szCs w:val="15"/>
                <w:b w:val="1"/>
                <w:bCs w:val="1"/>
                <w:color w:val="auto"/>
                <w:w w:val="84"/>
              </w:rPr>
              <w:t>net sales</w:t>
            </w:r>
          </w:p>
        </w:tc>
      </w:tr>
      <w:tr>
        <w:trPr>
          <w:trHeight w:val="41"/>
        </w:trPr>
        <w:tc>
          <w:tcPr>
            <w:tcW w:w="20" w:type="dxa"/>
            <w:vAlign w:val="bottom"/>
            <w:tcBorders>
              <w:bottom w:val="single" w:sz="8" w:color="CCEEFF"/>
            </w:tcBorders>
          </w:tcPr>
          <w:p>
            <w:pPr>
              <w:spacing w:after="0"/>
              <w:rPr>
                <w:sz w:val="3"/>
                <w:szCs w:val="3"/>
                <w:color w:val="auto"/>
              </w:rPr>
            </w:pPr>
          </w:p>
        </w:tc>
        <w:tc>
          <w:tcPr>
            <w:tcW w:w="540" w:type="dxa"/>
            <w:vAlign w:val="bottom"/>
            <w:tcBorders>
              <w:top w:val="single" w:sz="8" w:color="auto"/>
              <w:bottom w:val="single" w:sz="8" w:color="CCEEFF"/>
            </w:tcBorders>
          </w:tcPr>
          <w:p>
            <w:pPr>
              <w:spacing w:after="0"/>
              <w:rPr>
                <w:sz w:val="3"/>
                <w:szCs w:val="3"/>
                <w:color w:val="auto"/>
              </w:rPr>
            </w:pPr>
          </w:p>
        </w:tc>
        <w:tc>
          <w:tcPr>
            <w:tcW w:w="580" w:type="dxa"/>
            <w:vAlign w:val="bottom"/>
            <w:tcBorders>
              <w:top w:val="single" w:sz="8" w:color="auto"/>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U.S. Retail (c) (g)</w:t>
            </w: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215,601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212,581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12.8%</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210,971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13.9%</w:t>
            </w:r>
          </w:p>
        </w:tc>
      </w:tr>
      <w:tr>
        <w:trPr>
          <w:trHeight w:val="215"/>
        </w:trPr>
        <w:tc>
          <w:tcPr>
            <w:tcW w:w="20" w:type="dxa"/>
            <w:vAlign w:val="bottom"/>
          </w:tcPr>
          <w:p>
            <w:pPr>
              <w:spacing w:after="0"/>
              <w:rPr>
                <w:sz w:val="18"/>
                <w:szCs w:val="18"/>
                <w:color w:val="auto"/>
              </w:rPr>
            </w:pPr>
          </w:p>
        </w:tc>
        <w:tc>
          <w:tcPr>
            <w:tcW w:w="1940" w:type="dxa"/>
            <w:vAlign w:val="bottom"/>
            <w:gridSpan w:val="3"/>
          </w:tcPr>
          <w:p>
            <w:pPr>
              <w:spacing w:after="0"/>
              <w:rPr>
                <w:sz w:val="20"/>
                <w:szCs w:val="20"/>
                <w:color w:val="auto"/>
              </w:rPr>
            </w:pPr>
            <w:r>
              <w:rPr>
                <w:rFonts w:ascii="Arial" w:cs="Arial" w:eastAsia="Arial" w:hAnsi="Arial"/>
                <w:sz w:val="15"/>
                <w:szCs w:val="15"/>
                <w:color w:val="auto"/>
              </w:rPr>
              <w:t>U.S. Wholesale (d) (g)</w:t>
            </w:r>
          </w:p>
        </w:tc>
        <w:tc>
          <w:tcPr>
            <w:tcW w:w="200" w:type="dxa"/>
            <w:vAlign w:val="bottom"/>
          </w:tcPr>
          <w:p>
            <w:pPr>
              <w:spacing w:after="0"/>
              <w:rPr>
                <w:sz w:val="18"/>
                <w:szCs w:val="18"/>
                <w:color w:val="auto"/>
              </w:rPr>
            </w:pPr>
          </w:p>
        </w:tc>
        <w:tc>
          <w:tcPr>
            <w:tcW w:w="1340" w:type="dxa"/>
            <w:vAlign w:val="bottom"/>
          </w:tcPr>
          <w:p>
            <w:pPr>
              <w:jc w:val="right"/>
              <w:ind w:right="47"/>
              <w:spacing w:after="0"/>
              <w:rPr>
                <w:sz w:val="20"/>
                <w:szCs w:val="20"/>
                <w:color w:val="auto"/>
              </w:rPr>
            </w:pPr>
            <w:r>
              <w:rPr>
                <w:rFonts w:ascii="Arial" w:cs="Arial" w:eastAsia="Arial" w:hAnsi="Arial"/>
                <w:sz w:val="15"/>
                <w:szCs w:val="15"/>
                <w:color w:val="auto"/>
              </w:rPr>
              <w:t>252,090</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20.8%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27"/>
              <w:spacing w:after="0"/>
              <w:rPr>
                <w:sz w:val="20"/>
                <w:szCs w:val="20"/>
                <w:color w:val="auto"/>
              </w:rPr>
            </w:pPr>
            <w:r>
              <w:rPr>
                <w:rFonts w:ascii="Arial" w:cs="Arial" w:eastAsia="Arial" w:hAnsi="Arial"/>
                <w:sz w:val="15"/>
                <w:szCs w:val="15"/>
                <w:color w:val="auto"/>
              </w:rPr>
              <w:t>260,953</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22.2%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47"/>
              <w:spacing w:after="0"/>
              <w:rPr>
                <w:sz w:val="20"/>
                <w:szCs w:val="20"/>
                <w:color w:val="auto"/>
              </w:rPr>
            </w:pPr>
            <w:r>
              <w:rPr>
                <w:rFonts w:ascii="Arial" w:cs="Arial" w:eastAsia="Arial" w:hAnsi="Arial"/>
                <w:sz w:val="15"/>
                <w:szCs w:val="15"/>
                <w:color w:val="auto"/>
              </w:rPr>
              <w:t>245,767</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20.9%</w:t>
            </w:r>
          </w:p>
        </w:tc>
      </w:tr>
      <w:tr>
        <w:trPr>
          <w:trHeight w:val="29"/>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International (e) (g)</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46,426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59,194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16.2%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47,004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14.4%</w:t>
            </w:r>
          </w:p>
        </w:tc>
      </w:tr>
      <w:tr>
        <w:trPr>
          <w:trHeight w:val="195"/>
        </w:trPr>
        <w:tc>
          <w:tcPr>
            <w:tcW w:w="20" w:type="dxa"/>
            <w:vAlign w:val="bottom"/>
          </w:tcPr>
          <w:p>
            <w:pPr>
              <w:spacing w:after="0"/>
              <w:rPr>
                <w:sz w:val="16"/>
                <w:szCs w:val="16"/>
                <w:color w:val="auto"/>
              </w:rPr>
            </w:pPr>
          </w:p>
        </w:tc>
        <w:tc>
          <w:tcPr>
            <w:tcW w:w="1940" w:type="dxa"/>
            <w:vAlign w:val="bottom"/>
            <w:gridSpan w:val="3"/>
          </w:tcPr>
          <w:p>
            <w:pPr>
              <w:spacing w:after="0"/>
              <w:rPr>
                <w:sz w:val="20"/>
                <w:szCs w:val="20"/>
                <w:color w:val="auto"/>
              </w:rPr>
            </w:pPr>
            <w:r>
              <w:rPr>
                <w:rFonts w:ascii="Arial" w:cs="Arial" w:eastAsia="Arial" w:hAnsi="Arial"/>
                <w:sz w:val="15"/>
                <w:szCs w:val="15"/>
                <w:color w:val="auto"/>
              </w:rPr>
              <w:t>Corporate expenses (f) (h)</w:t>
            </w: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(94,549)</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(106,170)</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(110,885)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9"/>
        </w:trPr>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5"/>
                <w:szCs w:val="15"/>
                <w:color w:val="auto"/>
              </w:rPr>
              <w:t>Total operating income</w:t>
            </w:r>
          </w:p>
        </w:tc>
        <w:tc>
          <w:tcPr>
            <w:tcW w:w="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419,568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rPr>
              <w:t>426,558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392,857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13.0%</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383" w:lineRule="exact"/>
        <w:rPr>
          <w:sz w:val="20"/>
          <w:szCs w:val="20"/>
          <w:color w:val="auto"/>
        </w:rPr>
      </w:pPr>
    </w:p>
    <w:p>
      <w:pPr>
        <w:ind w:left="302" w:hanging="302"/>
        <w:spacing w:after="0"/>
        <w:tabs>
          <w:tab w:leader="none" w:pos="302"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Includes retail stores and eCommerce results.</w:t>
      </w:r>
    </w:p>
    <w:p>
      <w:pPr>
        <w:spacing w:after="0" w:line="10" w:lineRule="exact"/>
        <w:rPr>
          <w:rFonts w:ascii="Arial" w:cs="Arial" w:eastAsia="Arial" w:hAnsi="Arial"/>
          <w:sz w:val="15"/>
          <w:szCs w:val="15"/>
          <w:color w:val="auto"/>
        </w:rPr>
      </w:pPr>
    </w:p>
    <w:p>
      <w:pPr>
        <w:ind w:left="302" w:hanging="302"/>
        <w:spacing w:after="0" w:line="238" w:lineRule="auto"/>
        <w:tabs>
          <w:tab w:leader="none" w:pos="302"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Includes international retail, eCommerce, and wholesale sales.</w:t>
      </w:r>
    </w:p>
    <w:p>
      <w:pPr>
        <w:ind w:left="302" w:hanging="302"/>
        <w:spacing w:after="0"/>
        <w:tabs>
          <w:tab w:leader="none" w:pos="302" w:val="left"/>
        </w:tabs>
        <w:numPr>
          <w:ilvl w:val="0"/>
          <w:numId w:val="39"/>
        </w:numPr>
        <w:rPr>
          <w:rFonts w:ascii="Arial" w:cs="Arial" w:eastAsia="Arial" w:hAnsi="Arial"/>
          <w:sz w:val="14"/>
          <w:szCs w:val="14"/>
          <w:color w:val="auto"/>
        </w:rPr>
      </w:pPr>
      <w:r>
        <w:rPr>
          <w:rFonts w:ascii="Arial" w:cs="Arial" w:eastAsia="Arial" w:hAnsi="Arial"/>
          <w:sz w:val="14"/>
          <w:szCs w:val="14"/>
          <w:color w:val="auto"/>
        </w:rPr>
        <w:t>Fiscal 2017 includes approximately $2.7 million of expenses related to store restructuring and approximately $12.7 million for provisions for special employee compensation.</w:t>
      </w:r>
    </w:p>
    <w:p>
      <w:pPr>
        <w:spacing w:after="0" w:line="10" w:lineRule="exact"/>
        <w:rPr>
          <w:rFonts w:ascii="Arial" w:cs="Arial" w:eastAsia="Arial" w:hAnsi="Arial"/>
          <w:sz w:val="14"/>
          <w:szCs w:val="14"/>
          <w:color w:val="auto"/>
        </w:rPr>
      </w:pPr>
    </w:p>
    <w:p>
      <w:pPr>
        <w:ind w:left="302" w:hanging="302"/>
        <w:spacing w:after="0" w:line="238" w:lineRule="auto"/>
        <w:tabs>
          <w:tab w:leader="none" w:pos="302" w:val="left"/>
        </w:tabs>
        <w:numPr>
          <w:ilvl w:val="0"/>
          <w:numId w:val="39"/>
        </w:numPr>
        <w:rPr>
          <w:rFonts w:ascii="Arial" w:cs="Arial" w:eastAsia="Arial" w:hAnsi="Arial"/>
          <w:sz w:val="15"/>
          <w:szCs w:val="15"/>
          <w:color w:val="auto"/>
        </w:rPr>
      </w:pPr>
      <w:r>
        <w:rPr>
          <w:rFonts w:ascii="Arial" w:cs="Arial" w:eastAsia="Arial" w:hAnsi="Arial"/>
          <w:sz w:val="15"/>
          <w:szCs w:val="15"/>
          <w:color w:val="auto"/>
        </w:rPr>
        <w:t>Fiscal 2017 includes approximately $3.3 million for provisions for special employee compensation.</w:t>
      </w:r>
    </w:p>
    <w:p>
      <w:pPr>
        <w:ind w:left="302" w:hanging="302"/>
        <w:spacing w:after="0" w:line="238" w:lineRule="auto"/>
        <w:tabs>
          <w:tab w:leader="none" w:pos="302"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Includes international licensing income. Fiscal 2017 includes approximately $2.3 million for provisions for special employee compensation. Fiscal 2015 includes approximately $1.9 million of charges related to the revaluation of contingent consideration.</w:t>
      </w:r>
    </w:p>
    <w:p>
      <w:pPr>
        <w:ind w:left="302" w:right="260" w:hanging="302"/>
        <w:spacing w:after="0" w:line="238" w:lineRule="auto"/>
        <w:tabs>
          <w:tab w:leader="none" w:pos="302"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Includes expenses related to incentive compensation, stock-based compensation, executive management, severance and relocation, finance, building occupancy, information technology, certain legal fees, consulting, and audit fees.</w:t>
      </w:r>
    </w:p>
    <w:p>
      <w:pPr>
        <w:ind w:left="302" w:right="180" w:hanging="302"/>
        <w:spacing w:after="0" w:line="238" w:lineRule="auto"/>
        <w:tabs>
          <w:tab w:leader="none" w:pos="302" w:val="left"/>
        </w:tabs>
        <w:numPr>
          <w:ilvl w:val="0"/>
          <w:numId w:val="39"/>
        </w:numPr>
        <w:rPr>
          <w:rFonts w:ascii="Arial" w:cs="Arial" w:eastAsia="Arial" w:hAnsi="Arial"/>
          <w:sz w:val="15"/>
          <w:szCs w:val="15"/>
          <w:color w:val="auto"/>
        </w:rPr>
      </w:pPr>
      <w:r>
        <w:rPr>
          <w:rFonts w:ascii="Arial" w:cs="Arial" w:eastAsia="Arial" w:hAnsi="Arial"/>
          <w:sz w:val="15"/>
          <w:szCs w:val="15"/>
          <w:color w:val="auto"/>
        </w:rPr>
        <w:t>An aggregate of $1.2 million of certain costs related to inventory acquired from Skip Hop are included in the operating income of U.S. Wholesale, U.S. Retail, and International for fiscal 2017.</w:t>
      </w:r>
    </w:p>
    <w:p>
      <w:pPr>
        <w:ind w:left="202" w:hanging="202"/>
        <w:spacing w:after="0"/>
        <w:tabs>
          <w:tab w:leader="none" w:pos="202"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Includes the following charges:</w:t>
      </w:r>
    </w:p>
    <w:p>
      <w:pPr>
        <w:spacing w:after="0" w:line="117" w:lineRule="exact"/>
        <w:rPr>
          <w:sz w:val="20"/>
          <w:szCs w:val="20"/>
          <w:color w:val="auto"/>
        </w:rPr>
      </w:pPr>
    </w:p>
    <w:tbl>
      <w:tblPr>
        <w:tblLayout w:type="fixed"/>
        <w:tblInd w:w="2002" w:type="dxa"/>
        <w:tblCellMar>
          <w:top w:w="0" w:type="dxa"/>
          <w:left w:w="0" w:type="dxa"/>
          <w:bottom w:w="0" w:type="dxa"/>
          <w:right w:w="0" w:type="dxa"/>
        </w:tblCellMar>
      </w:tblPr>
      <w:tr>
        <w:trPr>
          <w:trHeight w:val="245"/>
        </w:trPr>
        <w:tc>
          <w:tcPr>
            <w:tcW w:w="3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5"/>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90"/>
              </w:rPr>
              <w:t>For the fiscal year ended</w:t>
            </w:r>
          </w:p>
        </w:tc>
        <w:tc>
          <w:tcPr>
            <w:tcW w:w="1180" w:type="dxa"/>
            <w:vAlign w:val="bottom"/>
            <w:tcBorders>
              <w:bottom w:val="single" w:sz="8" w:color="CCEEFF"/>
            </w:tcBorders>
            <w:shd w:val="clear" w:color="auto" w:fill="CCEEFF"/>
          </w:tcPr>
          <w:p>
            <w:pPr>
              <w:spacing w:after="0"/>
              <w:rPr>
                <w:sz w:val="21"/>
                <w:szCs w:val="21"/>
                <w:color w:val="auto"/>
              </w:rPr>
            </w:pPr>
          </w:p>
        </w:tc>
      </w:tr>
      <w:tr>
        <w:trPr>
          <w:trHeight w:val="188"/>
        </w:trPr>
        <w:tc>
          <w:tcPr>
            <w:tcW w:w="34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90"/>
              </w:rPr>
              <w:t>December 30,</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December 31,</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January 2,</w:t>
            </w:r>
          </w:p>
        </w:tc>
      </w:tr>
      <w:tr>
        <w:trPr>
          <w:trHeight w:val="191"/>
        </w:trPr>
        <w:tc>
          <w:tcPr>
            <w:tcW w:w="3420" w:type="dxa"/>
            <w:vAlign w:val="bottom"/>
          </w:tcPr>
          <w:p>
            <w:pPr>
              <w:ind w:left="20"/>
              <w:spacing w:after="0"/>
              <w:rPr>
                <w:sz w:val="20"/>
                <w:szCs w:val="20"/>
                <w:color w:val="auto"/>
              </w:rPr>
            </w:pPr>
            <w:r>
              <w:rPr>
                <w:rFonts w:ascii="Arial" w:cs="Arial" w:eastAsia="Arial" w:hAnsi="Arial"/>
                <w:sz w:val="15"/>
                <w:szCs w:val="15"/>
                <w:i w:val="1"/>
                <w:iCs w:val="1"/>
                <w:color w:val="auto"/>
              </w:rPr>
              <w:t>(dollars in millions)</w:t>
            </w:r>
          </w:p>
        </w:tc>
        <w:tc>
          <w:tcPr>
            <w:tcW w:w="160" w:type="dxa"/>
            <w:vAlign w:val="bottom"/>
          </w:tcPr>
          <w:p>
            <w:pPr>
              <w:spacing w:after="0"/>
              <w:rPr>
                <w:sz w:val="16"/>
                <w:szCs w:val="16"/>
                <w:color w:val="auto"/>
              </w:rPr>
            </w:pPr>
          </w:p>
        </w:tc>
        <w:tc>
          <w:tcPr>
            <w:tcW w:w="1160" w:type="dxa"/>
            <w:vAlign w:val="bottom"/>
          </w:tcPr>
          <w:p>
            <w:pPr>
              <w:jc w:val="right"/>
              <w:ind w:right="447"/>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467"/>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87"/>
              <w:spacing w:after="0"/>
              <w:rPr>
                <w:sz w:val="20"/>
                <w:szCs w:val="20"/>
                <w:color w:val="auto"/>
              </w:rPr>
            </w:pPr>
            <w:r>
              <w:rPr>
                <w:rFonts w:ascii="Arial" w:cs="Arial" w:eastAsia="Arial" w:hAnsi="Arial"/>
                <w:sz w:val="15"/>
                <w:szCs w:val="15"/>
                <w:b w:val="1"/>
                <w:bCs w:val="1"/>
                <w:color w:val="auto"/>
              </w:rPr>
              <w:t>2016</w:t>
            </w:r>
          </w:p>
        </w:tc>
      </w:tr>
      <w:tr>
        <w:trPr>
          <w:trHeight w:val="29"/>
        </w:trPr>
        <w:tc>
          <w:tcPr>
            <w:tcW w:w="3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5"/>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Provisions for special employee compensation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5"/>
        </w:trPr>
        <w:tc>
          <w:tcPr>
            <w:tcW w:w="3420" w:type="dxa"/>
            <w:vAlign w:val="bottom"/>
          </w:tcPr>
          <w:p>
            <w:pPr>
              <w:ind w:left="20"/>
              <w:spacing w:after="0"/>
              <w:rPr>
                <w:sz w:val="20"/>
                <w:szCs w:val="20"/>
                <w:color w:val="auto"/>
              </w:rPr>
            </w:pPr>
            <w:r>
              <w:rPr>
                <w:rFonts w:ascii="Arial" w:cs="Arial" w:eastAsia="Arial" w:hAnsi="Arial"/>
                <w:sz w:val="15"/>
                <w:szCs w:val="15"/>
                <w:color w:val="auto"/>
              </w:rPr>
              <w:t>Amortization of H.W. Carter and Sons tradenames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29"/>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Adjustment to Skip Hop contingent consideration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5"/>
        </w:trPr>
        <w:tc>
          <w:tcPr>
            <w:tcW w:w="3420" w:type="dxa"/>
            <w:vAlign w:val="bottom"/>
          </w:tcPr>
          <w:p>
            <w:pPr>
              <w:ind w:left="20"/>
              <w:spacing w:after="0"/>
              <w:rPr>
                <w:sz w:val="20"/>
                <w:szCs w:val="20"/>
                <w:color w:val="auto"/>
              </w:rPr>
            </w:pPr>
            <w:r>
              <w:rPr>
                <w:rFonts w:ascii="Arial" w:cs="Arial" w:eastAsia="Arial" w:hAnsi="Arial"/>
                <w:sz w:val="15"/>
                <w:szCs w:val="15"/>
                <w:color w:val="auto"/>
              </w:rPr>
              <w:t>Direct sourcing initiative</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7"/>
              <w:spacing w:after="0"/>
              <w:rPr>
                <w:sz w:val="20"/>
                <w:szCs w:val="20"/>
                <w:color w:val="auto"/>
              </w:rPr>
            </w:pPr>
            <w:r>
              <w:rPr>
                <w:rFonts w:ascii="Arial" w:cs="Arial" w:eastAsia="Arial" w:hAnsi="Arial"/>
                <w:sz w:val="15"/>
                <w:szCs w:val="15"/>
                <w:color w:val="auto"/>
              </w:rPr>
              <w:t>0.3</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18"/>
                <w:szCs w:val="18"/>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9"/>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5"/>
        </w:trPr>
        <w:tc>
          <w:tcPr>
            <w:tcW w:w="3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Acquisition-related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9"/>
        </w:trPr>
        <w:tc>
          <w:tcPr>
            <w:tcW w:w="34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02"/>
          </w:cols>
          <w:pgMar w:left="238" w:top="123" w:right="259" w:bottom="1440" w:gutter="0" w:footer="0" w:header="0"/>
        </w:sectPr>
      </w:pPr>
    </w:p>
    <w:bookmarkStart w:id="92" w:name="page93"/>
    <w:bookmarkEnd w:id="92"/>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ADDITIONAL DATA BY SEGMENT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Inventory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represents inventory by segment:</w:t>
      </w:r>
    </w:p>
    <w:p>
      <w:pPr>
        <w:spacing w:after="0" w:line="146" w:lineRule="exact"/>
        <w:rPr>
          <w:sz w:val="20"/>
          <w:szCs w:val="20"/>
          <w:color w:val="auto"/>
        </w:rPr>
      </w:pPr>
    </w:p>
    <w:tbl>
      <w:tblPr>
        <w:tblLayout w:type="fixed"/>
        <w:tblInd w:w="2180" w:type="dxa"/>
        <w:tblCellMar>
          <w:top w:w="0" w:type="dxa"/>
          <w:left w:w="0" w:type="dxa"/>
          <w:bottom w:w="0" w:type="dxa"/>
          <w:right w:w="0" w:type="dxa"/>
        </w:tblCellMar>
      </w:tblPr>
      <w:tr>
        <w:trPr>
          <w:trHeight w:val="245"/>
        </w:trPr>
        <w:tc>
          <w:tcPr>
            <w:tcW w:w="3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4"/>
            <w:shd w:val="clear" w:color="auto" w:fill="CCEEFF"/>
          </w:tcPr>
          <w:p>
            <w:pPr>
              <w:jc w:val="right"/>
              <w:ind w:right="1047"/>
              <w:spacing w:after="0"/>
              <w:rPr>
                <w:sz w:val="20"/>
                <w:szCs w:val="20"/>
                <w:color w:val="auto"/>
              </w:rPr>
            </w:pPr>
            <w:r>
              <w:rPr>
                <w:rFonts w:ascii="Arial" w:cs="Arial" w:eastAsia="Arial" w:hAnsi="Arial"/>
                <w:sz w:val="15"/>
                <w:szCs w:val="15"/>
                <w:b w:val="1"/>
                <w:bCs w:val="1"/>
                <w:color w:val="auto"/>
              </w:rPr>
              <w:t>For the fiscal year ended</w:t>
            </w:r>
          </w:p>
        </w:tc>
      </w:tr>
      <w:tr>
        <w:trPr>
          <w:trHeight w:val="188"/>
        </w:trPr>
        <w:tc>
          <w:tcPr>
            <w:tcW w:w="32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December 30,</w:t>
            </w:r>
          </w:p>
        </w:tc>
        <w:tc>
          <w:tcPr>
            <w:tcW w:w="3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447"/>
              <w:spacing w:after="0"/>
              <w:rPr>
                <w:sz w:val="20"/>
                <w:szCs w:val="20"/>
                <w:color w:val="auto"/>
              </w:rPr>
            </w:pPr>
            <w:r>
              <w:rPr>
                <w:rFonts w:ascii="Arial" w:cs="Arial" w:eastAsia="Arial" w:hAnsi="Arial"/>
                <w:sz w:val="15"/>
                <w:szCs w:val="15"/>
                <w:b w:val="1"/>
                <w:bCs w:val="1"/>
                <w:color w:val="auto"/>
              </w:rPr>
              <w:t>December 31,</w:t>
            </w:r>
          </w:p>
        </w:tc>
      </w:tr>
      <w:tr>
        <w:trPr>
          <w:trHeight w:val="191"/>
        </w:trPr>
        <w:tc>
          <w:tcPr>
            <w:tcW w:w="3280" w:type="dxa"/>
            <w:vAlign w:val="bottom"/>
          </w:tcPr>
          <w:p>
            <w:pPr>
              <w:ind w:left="20"/>
              <w:spacing w:after="0"/>
              <w:rPr>
                <w:sz w:val="20"/>
                <w:szCs w:val="20"/>
                <w:color w:val="auto"/>
              </w:rPr>
            </w:pPr>
            <w:r>
              <w:rPr>
                <w:rFonts w:ascii="Arial" w:cs="Arial" w:eastAsia="Arial" w:hAnsi="Arial"/>
                <w:sz w:val="15"/>
                <w:szCs w:val="15"/>
                <w:i w:val="1"/>
                <w:iCs w:val="1"/>
                <w:color w:val="auto"/>
              </w:rPr>
              <w:t>(dollars in thousands)</w:t>
            </w:r>
          </w:p>
        </w:tc>
        <w:tc>
          <w:tcPr>
            <w:tcW w:w="300" w:type="dxa"/>
            <w:vAlign w:val="bottom"/>
          </w:tcPr>
          <w:p>
            <w:pPr>
              <w:spacing w:after="0"/>
              <w:rPr>
                <w:sz w:val="16"/>
                <w:szCs w:val="16"/>
                <w:color w:val="auto"/>
              </w:rPr>
            </w:pPr>
          </w:p>
        </w:tc>
        <w:tc>
          <w:tcPr>
            <w:tcW w:w="1540" w:type="dxa"/>
            <w:vAlign w:val="bottom"/>
          </w:tcPr>
          <w:p>
            <w:pPr>
              <w:jc w:val="right"/>
              <w:ind w:right="687"/>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ind w:right="707"/>
              <w:spacing w:after="0"/>
              <w:rPr>
                <w:sz w:val="20"/>
                <w:szCs w:val="20"/>
                <w:color w:val="auto"/>
              </w:rPr>
            </w:pPr>
            <w:r>
              <w:rPr>
                <w:rFonts w:ascii="Arial" w:cs="Arial" w:eastAsia="Arial" w:hAnsi="Arial"/>
                <w:sz w:val="15"/>
                <w:szCs w:val="15"/>
                <w:b w:val="1"/>
                <w:bCs w:val="1"/>
                <w:color w:val="auto"/>
              </w:rPr>
              <w:t>2016</w:t>
            </w:r>
          </w:p>
        </w:tc>
      </w:tr>
      <w:tr>
        <w:trPr>
          <w:trHeight w:val="29"/>
        </w:trPr>
        <w:tc>
          <w:tcPr>
            <w:tcW w:w="3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5"/>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U.S. Wholesale</w:t>
            </w:r>
          </w:p>
        </w:tc>
        <w:tc>
          <w:tcPr>
            <w:tcW w:w="30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389,484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328,437</w:t>
            </w:r>
          </w:p>
        </w:tc>
      </w:tr>
      <w:tr>
        <w:trPr>
          <w:trHeight w:val="215"/>
        </w:trPr>
        <w:tc>
          <w:tcPr>
            <w:tcW w:w="3280" w:type="dxa"/>
            <w:vAlign w:val="bottom"/>
          </w:tcPr>
          <w:p>
            <w:pPr>
              <w:ind w:left="20"/>
              <w:spacing w:after="0"/>
              <w:rPr>
                <w:sz w:val="20"/>
                <w:szCs w:val="20"/>
                <w:color w:val="auto"/>
              </w:rPr>
            </w:pPr>
            <w:r>
              <w:rPr>
                <w:rFonts w:ascii="Arial" w:cs="Arial" w:eastAsia="Arial" w:hAnsi="Arial"/>
                <w:sz w:val="15"/>
                <w:szCs w:val="15"/>
                <w:color w:val="auto"/>
              </w:rPr>
              <w:t>U.S. Retail</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93,404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99,001</w:t>
            </w:r>
          </w:p>
        </w:tc>
      </w:tr>
      <w:tr>
        <w:trPr>
          <w:trHeight w:val="29"/>
        </w:trPr>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5"/>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International</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65,834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60,153</w:t>
            </w:r>
          </w:p>
        </w:tc>
      </w:tr>
      <w:tr>
        <w:trPr>
          <w:trHeight w:val="217"/>
        </w:trPr>
        <w:tc>
          <w:tcPr>
            <w:tcW w:w="3280" w:type="dxa"/>
            <w:vAlign w:val="bottom"/>
          </w:tcPr>
          <w:p>
            <w:pPr>
              <w:ind w:left="200"/>
              <w:spacing w:after="0"/>
              <w:rPr>
                <w:sz w:val="20"/>
                <w:szCs w:val="20"/>
                <w:color w:val="auto"/>
              </w:rPr>
            </w:pPr>
            <w:r>
              <w:rPr>
                <w:rFonts w:ascii="Arial" w:cs="Arial" w:eastAsia="Arial" w:hAnsi="Arial"/>
                <w:sz w:val="15"/>
                <w:szCs w:val="15"/>
                <w:color w:val="auto"/>
              </w:rPr>
              <w:t>Total</w:t>
            </w:r>
          </w:p>
        </w:tc>
        <w:tc>
          <w:tcPr>
            <w:tcW w:w="30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548,722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487,591</w:t>
            </w:r>
          </w:p>
        </w:tc>
      </w:tr>
      <w:tr>
        <w:trPr>
          <w:trHeight w:val="20"/>
        </w:trPr>
        <w:tc>
          <w:tcPr>
            <w:tcW w:w="3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U.S. Wholesale inventories also include inventory produced and warehoused for the U.S. Retail segment.</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represents consolidated net sales by product:</w:t>
      </w:r>
    </w:p>
    <w:p>
      <w:pPr>
        <w:spacing w:after="0" w:line="342" w:lineRule="exact"/>
        <w:rPr>
          <w:sz w:val="20"/>
          <w:szCs w:val="20"/>
          <w:color w:val="auto"/>
        </w:rPr>
      </w:pPr>
    </w:p>
    <w:tbl>
      <w:tblPr>
        <w:tblLayout w:type="fixed"/>
        <w:tblInd w:w="1820" w:type="dxa"/>
        <w:tblCellMar>
          <w:top w:w="0" w:type="dxa"/>
          <w:left w:w="0" w:type="dxa"/>
          <w:bottom w:w="0" w:type="dxa"/>
          <w:right w:w="0" w:type="dxa"/>
        </w:tblCellMar>
      </w:tblPr>
      <w:tr>
        <w:trPr>
          <w:trHeight w:val="245"/>
        </w:trPr>
        <w:tc>
          <w:tcPr>
            <w:tcW w:w="2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b w:val="1"/>
                <w:bCs w:val="1"/>
                <w:color w:val="auto"/>
                <w:w w:val="99"/>
              </w:rPr>
              <w:t>For the fiscal year ended</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07"/>
        </w:trPr>
        <w:tc>
          <w:tcPr>
            <w:tcW w:w="2180" w:type="dxa"/>
            <w:vAlign w:val="bottom"/>
          </w:tcPr>
          <w:p>
            <w:pPr>
              <w:ind w:left="20"/>
              <w:spacing w:after="0"/>
              <w:rPr>
                <w:sz w:val="20"/>
                <w:szCs w:val="20"/>
                <w:color w:val="auto"/>
              </w:rPr>
            </w:pPr>
            <w:r>
              <w:rPr>
                <w:rFonts w:ascii="Arial" w:cs="Arial" w:eastAsia="Arial" w:hAnsi="Arial"/>
                <w:sz w:val="15"/>
                <w:szCs w:val="15"/>
                <w:i w:val="1"/>
                <w:iCs w:val="1"/>
                <w:color w:val="auto"/>
              </w:rPr>
              <w:t>(dollars in thousands)</w:t>
            </w: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December 30, 2017</w:t>
            </w:r>
          </w:p>
        </w:tc>
        <w:tc>
          <w:tcPr>
            <w:tcW w:w="1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December 31, 2016</w:t>
            </w: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27"/>
              <w:spacing w:after="0"/>
              <w:rPr>
                <w:sz w:val="20"/>
                <w:szCs w:val="20"/>
                <w:color w:val="auto"/>
              </w:rPr>
            </w:pPr>
            <w:r>
              <w:rPr>
                <w:rFonts w:ascii="Arial" w:cs="Arial" w:eastAsia="Arial" w:hAnsi="Arial"/>
                <w:sz w:val="15"/>
                <w:szCs w:val="15"/>
                <w:b w:val="1"/>
                <w:bCs w:val="1"/>
                <w:color w:val="auto"/>
              </w:rPr>
              <w:t>January 2, 2016</w:t>
            </w:r>
          </w:p>
        </w:tc>
      </w:tr>
      <w:tr>
        <w:trPr>
          <w:trHeight w:val="29"/>
        </w:trPr>
        <w:tc>
          <w:tcPr>
            <w:tcW w:w="2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5"/>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Baby</w:t>
            </w: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1,271,153</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1,241,701</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1,173,002</w:t>
            </w:r>
          </w:p>
        </w:tc>
      </w:tr>
      <w:tr>
        <w:trPr>
          <w:trHeight w:val="215"/>
        </w:trPr>
        <w:tc>
          <w:tcPr>
            <w:tcW w:w="2180" w:type="dxa"/>
            <w:vAlign w:val="bottom"/>
          </w:tcPr>
          <w:p>
            <w:pPr>
              <w:ind w:left="20"/>
              <w:spacing w:after="0"/>
              <w:rPr>
                <w:sz w:val="20"/>
                <w:szCs w:val="20"/>
                <w:color w:val="auto"/>
              </w:rPr>
            </w:pPr>
            <w:r>
              <w:rPr>
                <w:rFonts w:ascii="Arial" w:cs="Arial" w:eastAsia="Arial" w:hAnsi="Arial"/>
                <w:sz w:val="15"/>
                <w:szCs w:val="15"/>
                <w:color w:val="auto"/>
              </w:rPr>
              <w:t>Playclothes</w:t>
            </w:r>
          </w:p>
        </w:tc>
        <w:tc>
          <w:tcPr>
            <w:tcW w:w="180" w:type="dxa"/>
            <w:vAlign w:val="bottom"/>
          </w:tcPr>
          <w:p>
            <w:pPr>
              <w:spacing w:after="0"/>
              <w:rPr>
                <w:sz w:val="18"/>
                <w:szCs w:val="18"/>
                <w:color w:val="auto"/>
              </w:rPr>
            </w:pP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1,249,735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1,215,238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1,182,281</w:t>
            </w:r>
          </w:p>
        </w:tc>
      </w:tr>
      <w:tr>
        <w:trPr>
          <w:trHeight w:val="29"/>
        </w:trPr>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5"/>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Sleepwear</w:t>
            </w:r>
          </w:p>
        </w:tc>
        <w:tc>
          <w:tcPr>
            <w:tcW w:w="1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423,401</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407,160</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378,419</w:t>
            </w:r>
          </w:p>
        </w:tc>
      </w:tr>
      <w:tr>
        <w:trPr>
          <w:trHeight w:val="215"/>
        </w:trPr>
        <w:tc>
          <w:tcPr>
            <w:tcW w:w="2180" w:type="dxa"/>
            <w:vAlign w:val="bottom"/>
          </w:tcPr>
          <w:p>
            <w:pPr>
              <w:ind w:left="20"/>
              <w:spacing w:after="0"/>
              <w:rPr>
                <w:sz w:val="20"/>
                <w:szCs w:val="20"/>
                <w:color w:val="auto"/>
              </w:rPr>
            </w:pPr>
            <w:r>
              <w:rPr>
                <w:rFonts w:ascii="Arial" w:cs="Arial" w:eastAsia="Arial" w:hAnsi="Arial"/>
                <w:sz w:val="15"/>
                <w:szCs w:val="15"/>
                <w:color w:val="auto"/>
              </w:rPr>
              <w:t>Other (a)</w:t>
            </w:r>
          </w:p>
        </w:tc>
        <w:tc>
          <w:tcPr>
            <w:tcW w:w="180" w:type="dxa"/>
            <w:vAlign w:val="bottom"/>
          </w:tcPr>
          <w:p>
            <w:pPr>
              <w:spacing w:after="0"/>
              <w:rPr>
                <w:sz w:val="18"/>
                <w:szCs w:val="18"/>
                <w:color w:val="auto"/>
              </w:rPr>
            </w:pPr>
          </w:p>
        </w:tc>
        <w:tc>
          <w:tcPr>
            <w:tcW w:w="1540" w:type="dxa"/>
            <w:vAlign w:val="bottom"/>
          </w:tcPr>
          <w:p>
            <w:pPr>
              <w:jc w:val="right"/>
              <w:ind w:right="7"/>
              <w:spacing w:after="0"/>
              <w:rPr>
                <w:sz w:val="20"/>
                <w:szCs w:val="20"/>
                <w:color w:val="auto"/>
              </w:rPr>
            </w:pPr>
            <w:r>
              <w:rPr>
                <w:rFonts w:ascii="Arial" w:cs="Arial" w:eastAsia="Arial" w:hAnsi="Arial"/>
                <w:sz w:val="15"/>
                <w:szCs w:val="15"/>
                <w:color w:val="auto"/>
              </w:rPr>
              <w:t>456,121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335,085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280,177</w:t>
            </w:r>
          </w:p>
        </w:tc>
      </w:tr>
      <w:tr>
        <w:trPr>
          <w:trHeight w:val="29"/>
        </w:trPr>
        <w:tc>
          <w:tcPr>
            <w:tcW w:w="2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7"/>
        </w:trPr>
        <w:tc>
          <w:tcPr>
            <w:tcW w:w="2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net sales</w:t>
            </w:r>
          </w:p>
        </w:tc>
        <w:tc>
          <w:tcPr>
            <w:tcW w:w="1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3,400,410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3,199,184</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3,013,879</w:t>
            </w:r>
          </w:p>
        </w:tc>
      </w:tr>
      <w:tr>
        <w:trPr>
          <w:trHeight w:val="20"/>
        </w:trPr>
        <w:tc>
          <w:tcPr>
            <w:tcW w:w="2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 Other product offerings include bedding, outwear, swimwear, shoes, socks, diaper bags, gift sets, toys, and hair accessories.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GEOGRAPHICAL DATA</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w:t>
      </w:r>
    </w:p>
    <w:p>
      <w:pPr>
        <w:spacing w:after="0" w:line="20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Company's international sales principally represent sales to customers in Canada. Such sales were 64.9% and 66.5% of total international sales in fiscal 2017 and 2016,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Long-Lived Assets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property, plant, and equipment, net, by geographic area:</w:t>
      </w:r>
    </w:p>
    <w:p>
      <w:pPr>
        <w:spacing w:after="0" w:line="146" w:lineRule="exact"/>
        <w:rPr>
          <w:sz w:val="20"/>
          <w:szCs w:val="20"/>
          <w:color w:val="auto"/>
        </w:rPr>
      </w:pPr>
    </w:p>
    <w:tbl>
      <w:tblPr>
        <w:tblLayout w:type="fixed"/>
        <w:tblInd w:w="2180" w:type="dxa"/>
        <w:tblCellMar>
          <w:top w:w="0" w:type="dxa"/>
          <w:left w:w="0" w:type="dxa"/>
          <w:bottom w:w="0" w:type="dxa"/>
          <w:right w:w="0" w:type="dxa"/>
        </w:tblCellMar>
      </w:tblPr>
      <w:tr>
        <w:trPr>
          <w:trHeight w:val="245"/>
        </w:trPr>
        <w:tc>
          <w:tcPr>
            <w:tcW w:w="3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gridSpan w:val="4"/>
            <w:shd w:val="clear" w:color="auto" w:fill="CCEEFF"/>
          </w:tcPr>
          <w:p>
            <w:pPr>
              <w:jc w:val="right"/>
              <w:ind w:right="1047"/>
              <w:spacing w:after="0"/>
              <w:rPr>
                <w:sz w:val="20"/>
                <w:szCs w:val="20"/>
                <w:color w:val="auto"/>
              </w:rPr>
            </w:pPr>
            <w:r>
              <w:rPr>
                <w:rFonts w:ascii="Arial" w:cs="Arial" w:eastAsia="Arial" w:hAnsi="Arial"/>
                <w:sz w:val="15"/>
                <w:szCs w:val="15"/>
                <w:b w:val="1"/>
                <w:bCs w:val="1"/>
                <w:color w:val="auto"/>
              </w:rPr>
              <w:t>For the fiscal year ended</w:t>
            </w:r>
          </w:p>
        </w:tc>
      </w:tr>
      <w:tr>
        <w:trPr>
          <w:trHeight w:val="207"/>
        </w:trPr>
        <w:tc>
          <w:tcPr>
            <w:tcW w:w="3280" w:type="dxa"/>
            <w:vAlign w:val="bottom"/>
          </w:tcPr>
          <w:p>
            <w:pPr>
              <w:ind w:left="20"/>
              <w:spacing w:after="0"/>
              <w:rPr>
                <w:sz w:val="20"/>
                <w:szCs w:val="20"/>
                <w:color w:val="auto"/>
              </w:rPr>
            </w:pPr>
            <w:r>
              <w:rPr>
                <w:rFonts w:ascii="Arial" w:cs="Arial" w:eastAsia="Arial" w:hAnsi="Arial"/>
                <w:sz w:val="15"/>
                <w:szCs w:val="15"/>
                <w:i w:val="1"/>
                <w:iCs w:val="1"/>
                <w:color w:val="auto"/>
              </w:rPr>
              <w:t>(dollars in thousands)</w:t>
            </w:r>
          </w:p>
        </w:tc>
        <w:tc>
          <w:tcPr>
            <w:tcW w:w="2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December 30, 2017</w:t>
            </w:r>
          </w:p>
        </w:tc>
        <w:tc>
          <w:tcPr>
            <w:tcW w:w="2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267"/>
              <w:spacing w:after="0"/>
              <w:rPr>
                <w:sz w:val="20"/>
                <w:szCs w:val="20"/>
                <w:color w:val="auto"/>
              </w:rPr>
            </w:pPr>
            <w:r>
              <w:rPr>
                <w:rFonts w:ascii="Arial" w:cs="Arial" w:eastAsia="Arial" w:hAnsi="Arial"/>
                <w:sz w:val="15"/>
                <w:szCs w:val="15"/>
                <w:b w:val="1"/>
                <w:bCs w:val="1"/>
                <w:color w:val="auto"/>
                <w:w w:val="94"/>
              </w:rPr>
              <w:t>December 31, 2016</w:t>
            </w:r>
          </w:p>
        </w:tc>
      </w:tr>
      <w:tr>
        <w:trPr>
          <w:trHeight w:val="29"/>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5"/>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United States</w:t>
            </w: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337,369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349,877</w:t>
            </w:r>
          </w:p>
        </w:tc>
      </w:tr>
      <w:tr>
        <w:trPr>
          <w:trHeight w:val="215"/>
        </w:trPr>
        <w:tc>
          <w:tcPr>
            <w:tcW w:w="3280" w:type="dxa"/>
            <w:vAlign w:val="bottom"/>
          </w:tcPr>
          <w:p>
            <w:pPr>
              <w:ind w:left="20"/>
              <w:spacing w:after="0"/>
              <w:rPr>
                <w:sz w:val="20"/>
                <w:szCs w:val="20"/>
                <w:color w:val="auto"/>
              </w:rPr>
            </w:pPr>
            <w:r>
              <w:rPr>
                <w:rFonts w:ascii="Arial" w:cs="Arial" w:eastAsia="Arial" w:hAnsi="Arial"/>
                <w:sz w:val="15"/>
                <w:szCs w:val="15"/>
                <w:color w:val="auto"/>
              </w:rPr>
              <w:t>International</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40,555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35,997</w:t>
            </w:r>
          </w:p>
        </w:tc>
      </w:tr>
      <w:tr>
        <w:trPr>
          <w:trHeight w:val="29"/>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3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Total</w:t>
            </w: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377,924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385,874</w:t>
            </w:r>
          </w:p>
        </w:tc>
      </w:tr>
      <w:tr>
        <w:trPr>
          <w:trHeight w:val="20"/>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Long-lived assets in the international segment relate principally to Canada. Long-lived assets in Canada were 87.6% and 91.5% of total international long-lived assets at the end of fiscal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220"/>
          </w:cols>
          <w:pgMar w:left="240" w:top="123" w:right="439" w:bottom="1440" w:gutter="0" w:footer="0" w:header="0"/>
        </w:sectPr>
      </w:pPr>
    </w:p>
    <w:bookmarkStart w:id="93" w:name="page94"/>
    <w:bookmarkEnd w:id="93"/>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FAIR VALUE MEASUREMENTS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INVESTMENTS</w:t>
      </w:r>
    </w:p>
    <w:p>
      <w:pPr>
        <w:spacing w:after="0" w:line="207" w:lineRule="exact"/>
        <w:rPr>
          <w:sz w:val="20"/>
          <w:szCs w:val="20"/>
          <w:color w:val="auto"/>
        </w:rPr>
      </w:pPr>
    </w:p>
    <w:p>
      <w:pPr>
        <w:spacing w:after="0" w:line="314" w:lineRule="auto"/>
        <w:rPr>
          <w:sz w:val="20"/>
          <w:szCs w:val="20"/>
          <w:color w:val="auto"/>
        </w:rPr>
      </w:pPr>
      <w:r>
        <w:rPr>
          <w:rFonts w:ascii="Arial" w:cs="Arial" w:eastAsia="Arial" w:hAnsi="Arial"/>
          <w:sz w:val="14"/>
          <w:szCs w:val="14"/>
          <w:color w:val="auto"/>
        </w:rPr>
        <w:t>The Company invests in marketable securities, principally equity based mutual funds, to mitigate the risk associated with the investment return on employee deferrals of compensation. All of the marketable securities are included in Other assets on the accompanying consolidated balance sheets, and their aggregate fair values were approximately $16.7 million and $12.3 million at the end of fiscal 2017 and fiscal 2016, respectively. These investments are classified as Level 1 within the fair value hierarchy. Investments in marketable securities incurred a net loss of approximately $0.1 million for fiscal 2017 and a net gain of approximately $0.9 million for fiscal 2016.</w:t>
      </w:r>
    </w:p>
    <w:p>
      <w:pPr>
        <w:spacing w:after="0" w:line="13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The fair value of the Company's pension plan assets at December 30, 2017 and December 31, 2016, by asset category, are disclosed in Note 10, </w:t>
      </w:r>
      <w:r>
        <w:rPr>
          <w:rFonts w:ascii="Arial" w:cs="Arial" w:eastAsia="Arial" w:hAnsi="Arial"/>
          <w:sz w:val="16"/>
          <w:szCs w:val="16"/>
          <w:i w:val="1"/>
          <w:iCs w:val="1"/>
          <w:color w:val="auto"/>
        </w:rPr>
        <w:t>Employee Benefits Plans</w:t>
      </w:r>
      <w:r>
        <w:rPr>
          <w:rFonts w:ascii="Arial" w:cs="Arial" w:eastAsia="Arial" w:hAnsi="Arial"/>
          <w:sz w:val="16"/>
          <w:szCs w:val="16"/>
          <w:color w:val="auto"/>
        </w:rPr>
        <w:t>, to the consolidated financial statements.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EXCHANGE FORWARD CONTRACTS</w:t>
      </w:r>
    </w:p>
    <w:p>
      <w:pPr>
        <w:spacing w:after="0" w:line="207" w:lineRule="exact"/>
        <w:rPr>
          <w:sz w:val="20"/>
          <w:szCs w:val="20"/>
          <w:color w:val="auto"/>
        </w:rPr>
      </w:pPr>
    </w:p>
    <w:p>
      <w:pPr>
        <w:ind w:right="160"/>
        <w:spacing w:after="0" w:line="296" w:lineRule="auto"/>
        <w:rPr>
          <w:sz w:val="20"/>
          <w:szCs w:val="20"/>
          <w:color w:val="auto"/>
        </w:rPr>
      </w:pPr>
      <w:r>
        <w:rPr>
          <w:rFonts w:ascii="Arial" w:cs="Arial" w:eastAsia="Arial" w:hAnsi="Arial"/>
          <w:sz w:val="15"/>
          <w:szCs w:val="15"/>
          <w:color w:val="auto"/>
        </w:rPr>
        <w:t>Fair values of any unsettled foreign exchange forward contracts are calculated by using readily observable market inputs (market-quoted currency exchange rates in effect between the U.S. dollar and the currencies of Canada and Mexico) and are classified as Level 2 within the fair value hierarchy. Any unsettled foreign exchange forward contracts are included in other current assets or other current liabilities on the Company's consolidated balance sheet at the end of each fiscal reporting period.</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At December 30, 2017, the fair value of open foreign currency contracts was not material. At December 31, 2016, there were no open foreign exchange forward contracts.</w:t>
      </w:r>
    </w:p>
    <w:p>
      <w:pPr>
        <w:spacing w:after="0" w:line="23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Realized and unrealized gains and losses on foreign currency contracts were not material for fiscal 2017. For foreign currency contracts settled during fiscal 2016 and 2015, the Company realized net losses of $3.2 million and net gains of $3.1 million, respectively. Unrealized gains for fiscal 2015, including mark-to-market adjustments on contracts open at the end of fiscal 2015, were approximately $2.1 million. These amounts are included in other (income) expense, net on the Company's consolidated statement of operations. The were no open foreign currency contracts at the end of fiscal 2016.</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BORROWINGS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30, 2017, the fair value of the Company's $221.0 million in borrowings under its secured revolving credit facility approximated carrying value.</w:t>
      </w:r>
    </w:p>
    <w:p>
      <w:pPr>
        <w:spacing w:after="0" w:line="207" w:lineRule="exact"/>
        <w:rPr>
          <w:sz w:val="20"/>
          <w:szCs w:val="20"/>
          <w:color w:val="auto"/>
        </w:rPr>
      </w:pPr>
    </w:p>
    <w:p>
      <w:pPr>
        <w:jc w:val="both"/>
        <w:ind w:right="60"/>
        <w:spacing w:after="0" w:line="270" w:lineRule="auto"/>
        <w:rPr>
          <w:sz w:val="20"/>
          <w:szCs w:val="20"/>
          <w:color w:val="auto"/>
        </w:rPr>
      </w:pPr>
      <w:r>
        <w:rPr>
          <w:rFonts w:ascii="Arial" w:cs="Arial" w:eastAsia="Arial" w:hAnsi="Arial"/>
          <w:sz w:val="16"/>
          <w:szCs w:val="16"/>
          <w:color w:val="auto"/>
        </w:rPr>
        <w:t>The fair value of the Company's senior notes at December 30, 2017 was approximately $410 million. The fair value of these senior notes with a notional value and carrying value (gross of debt issuance costs) of $400 million was estimated using a quoted price as provided in the secondary market, which considers the Company's credit risk and market related conditions, and is therefore within Level 2 of the fair value hierarchy.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OTHER CURRENT AND LONG-TERM LIABILITIES</w:t>
      </w:r>
    </w:p>
    <w:p>
      <w:pPr>
        <w:spacing w:after="0" w:line="211" w:lineRule="exact"/>
        <w:rPr>
          <w:sz w:val="20"/>
          <w:szCs w:val="20"/>
          <w:color w:val="auto"/>
        </w:rPr>
      </w:pPr>
    </w:p>
    <w:p>
      <w:pPr>
        <w:ind w:right="3180"/>
        <w:spacing w:after="0" w:line="285" w:lineRule="auto"/>
        <w:rPr>
          <w:sz w:val="20"/>
          <w:szCs w:val="20"/>
          <w:color w:val="auto"/>
        </w:rPr>
      </w:pPr>
      <w:r>
        <w:rPr>
          <w:rFonts w:ascii="Arial" w:cs="Arial" w:eastAsia="Arial" w:hAnsi="Arial"/>
          <w:sz w:val="16"/>
          <w:szCs w:val="16"/>
          <w:color w:val="auto"/>
        </w:rPr>
        <w:t>Other current liabilities that exceeded five percent of total current liabilities (at the end of either fiscal year) consisted of the following:</w:t>
      </w:r>
    </w:p>
    <w:p>
      <w:pPr>
        <w:spacing w:after="0" w:line="89" w:lineRule="exact"/>
        <w:rPr>
          <w:sz w:val="20"/>
          <w:szCs w:val="20"/>
          <w:color w:val="auto"/>
        </w:rPr>
      </w:pPr>
    </w:p>
    <w:tbl>
      <w:tblPr>
        <w:tblLayout w:type="fixed"/>
        <w:tblInd w:w="920" w:type="dxa"/>
        <w:tblCellMar>
          <w:top w:w="0" w:type="dxa"/>
          <w:left w:w="0" w:type="dxa"/>
          <w:bottom w:w="0" w:type="dxa"/>
          <w:right w:w="0" w:type="dxa"/>
        </w:tblCellMar>
      </w:tblPr>
      <w:tr>
        <w:trPr>
          <w:trHeight w:val="24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90"/>
                <w:shd w:val="clear" w:color="auto" w:fill="CCEEFF"/>
              </w:rPr>
              <w:t>December 30, 2017</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8"/>
                <w:shd w:val="clear" w:color="auto" w:fill="CCEEFF"/>
              </w:rPr>
              <w:t>December 31, 2016</w:t>
            </w:r>
          </w:p>
        </w:tc>
      </w:tr>
      <w:tr>
        <w:trPr>
          <w:trHeight w:val="211"/>
        </w:trPr>
        <w:tc>
          <w:tcPr>
            <w:tcW w:w="6240" w:type="dxa"/>
            <w:vAlign w:val="bottom"/>
          </w:tcPr>
          <w:p>
            <w:pPr>
              <w:ind w:left="20"/>
              <w:spacing w:after="0"/>
              <w:rPr>
                <w:sz w:val="20"/>
                <w:szCs w:val="20"/>
                <w:color w:val="auto"/>
              </w:rPr>
            </w:pPr>
            <w:r>
              <w:rPr>
                <w:rFonts w:ascii="Arial" w:cs="Arial" w:eastAsia="Arial" w:hAnsi="Arial"/>
                <w:sz w:val="16"/>
                <w:szCs w:val="16"/>
                <w:color w:val="auto"/>
              </w:rPr>
              <w:t>Accrued bonuses and incentive compensation</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27,566</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16,834</w:t>
            </w:r>
          </w:p>
        </w:tc>
      </w:tr>
      <w:tr>
        <w:trPr>
          <w:trHeight w:val="25"/>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employee benefits</w:t>
            </w:r>
          </w:p>
        </w:tc>
        <w:tc>
          <w:tcPr>
            <w:tcW w:w="1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21,735</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17,165</w:t>
            </w:r>
          </w:p>
        </w:tc>
      </w:tr>
      <w:tr>
        <w:trPr>
          <w:trHeight w:val="219"/>
        </w:trPr>
        <w:tc>
          <w:tcPr>
            <w:tcW w:w="6240" w:type="dxa"/>
            <w:vAlign w:val="bottom"/>
          </w:tcPr>
          <w:p>
            <w:pPr>
              <w:ind w:left="20"/>
              <w:spacing w:after="0"/>
              <w:rPr>
                <w:sz w:val="20"/>
                <w:szCs w:val="20"/>
                <w:color w:val="auto"/>
              </w:rPr>
            </w:pPr>
            <w:r>
              <w:rPr>
                <w:rFonts w:ascii="Arial" w:cs="Arial" w:eastAsia="Arial" w:hAnsi="Arial"/>
                <w:sz w:val="16"/>
                <w:szCs w:val="16"/>
                <w:color w:val="auto"/>
              </w:rPr>
              <w:t>Accrued and deferred rent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18,213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15,632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60"/>
          </w:cols>
          <w:pgMar w:left="240" w:top="123" w:right="399" w:bottom="1440" w:gutter="0" w:footer="0" w:header="0"/>
        </w:sectPr>
      </w:pPr>
    </w:p>
    <w:bookmarkStart w:id="94" w:name="page95"/>
    <w:bookmarkEnd w:id="94"/>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6" w:lineRule="exact"/>
        <w:rPr>
          <w:sz w:val="20"/>
          <w:szCs w:val="20"/>
          <w:color w:val="auto"/>
        </w:rPr>
      </w:pPr>
    </w:p>
    <w:p>
      <w:pPr>
        <w:ind w:right="3600"/>
        <w:spacing w:after="0" w:line="285" w:lineRule="auto"/>
        <w:rPr>
          <w:sz w:val="20"/>
          <w:szCs w:val="20"/>
          <w:color w:val="auto"/>
        </w:rPr>
      </w:pPr>
      <w:r>
        <w:rPr>
          <w:rFonts w:ascii="Arial" w:cs="Arial" w:eastAsia="Arial" w:hAnsi="Arial"/>
          <w:sz w:val="16"/>
          <w:szCs w:val="16"/>
          <w:color w:val="auto"/>
        </w:rPr>
        <w:t>Other long-term liabilities that exceeded five percent of total liabilities (at the end of either fiscal year) consisted of the following:</w:t>
      </w:r>
    </w:p>
    <w:p>
      <w:pPr>
        <w:spacing w:after="0" w:line="89" w:lineRule="exact"/>
        <w:rPr>
          <w:sz w:val="20"/>
          <w:szCs w:val="20"/>
          <w:color w:val="auto"/>
        </w:rPr>
      </w:pPr>
    </w:p>
    <w:tbl>
      <w:tblPr>
        <w:tblLayout w:type="fixed"/>
        <w:tblInd w:w="960" w:type="dxa"/>
        <w:tblCellMar>
          <w:top w:w="0" w:type="dxa"/>
          <w:left w:w="0" w:type="dxa"/>
          <w:bottom w:w="0" w:type="dxa"/>
          <w:right w:w="0" w:type="dxa"/>
        </w:tblCellMar>
      </w:tblPr>
      <w:tr>
        <w:trPr>
          <w:trHeight w:val="24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i w:val="1"/>
                <w:iCs w:val="1"/>
                <w:color w:val="auto"/>
              </w:rPr>
              <w:t>(dollars in thousands)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91"/>
                <w:shd w:val="clear" w:color="auto" w:fill="CCEEFF"/>
              </w:rPr>
              <w:t>December 30, 2017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95"/>
                <w:shd w:val="clear" w:color="auto" w:fill="CCEEFF"/>
              </w:rPr>
              <w:t>December 31, 2016</w:t>
            </w:r>
          </w:p>
        </w:tc>
      </w:tr>
      <w:tr>
        <w:trPr>
          <w:trHeight w:val="211"/>
        </w:trPr>
        <w:tc>
          <w:tcPr>
            <w:tcW w:w="6280" w:type="dxa"/>
            <w:vAlign w:val="bottom"/>
          </w:tcPr>
          <w:p>
            <w:pPr>
              <w:ind w:left="20"/>
              <w:spacing w:after="0"/>
              <w:rPr>
                <w:sz w:val="20"/>
                <w:szCs w:val="20"/>
                <w:color w:val="auto"/>
              </w:rPr>
            </w:pPr>
            <w:r>
              <w:rPr>
                <w:rFonts w:ascii="Arial" w:cs="Arial" w:eastAsia="Arial" w:hAnsi="Arial"/>
                <w:sz w:val="16"/>
                <w:szCs w:val="16"/>
                <w:color w:val="auto"/>
              </w:rPr>
              <w:t>Deferred lease incentives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75,104</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74,015</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 LEASE COMMITMENTS</w:t>
      </w:r>
    </w:p>
    <w:p>
      <w:pPr>
        <w:spacing w:after="0" w:line="21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Rent expense under operating leases (including properties and computer and office equipment) was approximately $161.9 million, $150.6 million, and $136.6 million for the fiscal years ended December 30, 2017, December 31, 2016, and January 2, 2016, respectively.</w:t>
      </w:r>
    </w:p>
    <w:p>
      <w:pPr>
        <w:spacing w:after="0" w:line="150"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Minimum annual rental commitments under current non-cancellable operating leases, as of December 30, 2017, substantially all of which relate to leased real estate, were as follows:</w:t>
      </w:r>
    </w:p>
    <w:p>
      <w:pPr>
        <w:spacing w:after="0" w:line="89" w:lineRule="exact"/>
        <w:rPr>
          <w:sz w:val="20"/>
          <w:szCs w:val="20"/>
          <w:color w:val="auto"/>
        </w:rPr>
      </w:pPr>
    </w:p>
    <w:tbl>
      <w:tblPr>
        <w:tblLayout w:type="fixed"/>
        <w:tblInd w:w="1820" w:type="dxa"/>
        <w:tblCellMar>
          <w:top w:w="0" w:type="dxa"/>
          <w:left w:w="0" w:type="dxa"/>
          <w:bottom w:w="0" w:type="dxa"/>
          <w:right w:w="0" w:type="dxa"/>
        </w:tblCellMar>
      </w:tblPr>
      <w:tr>
        <w:trPr>
          <w:trHeight w:val="238"/>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w:t>
            </w:r>
          </w:p>
        </w:tc>
        <w:tc>
          <w:tcPr>
            <w:tcW w:w="32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Operating Leases</w:t>
            </w:r>
          </w:p>
        </w:tc>
      </w:tr>
      <w:tr>
        <w:trPr>
          <w:trHeight w:val="218"/>
        </w:trPr>
        <w:tc>
          <w:tcPr>
            <w:tcW w:w="5520" w:type="dxa"/>
            <w:vAlign w:val="bottom"/>
          </w:tcPr>
          <w:p>
            <w:pPr>
              <w:ind w:left="20"/>
              <w:spacing w:after="0"/>
              <w:rPr>
                <w:sz w:val="20"/>
                <w:szCs w:val="20"/>
                <w:color w:val="auto"/>
              </w:rPr>
            </w:pPr>
            <w:r>
              <w:rPr>
                <w:rFonts w:ascii="Arial" w:cs="Arial" w:eastAsia="Arial" w:hAnsi="Arial"/>
                <w:sz w:val="16"/>
                <w:szCs w:val="16"/>
                <w:color w:val="auto"/>
              </w:rPr>
              <w:t>2018</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168,719</w:t>
            </w:r>
          </w:p>
        </w:tc>
      </w:tr>
      <w:tr>
        <w:trPr>
          <w:trHeight w:val="25"/>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154,866</w:t>
            </w:r>
          </w:p>
        </w:tc>
      </w:tr>
      <w:tr>
        <w:trPr>
          <w:trHeight w:val="219"/>
        </w:trPr>
        <w:tc>
          <w:tcPr>
            <w:tcW w:w="5520" w:type="dxa"/>
            <w:vAlign w:val="bottom"/>
          </w:tcPr>
          <w:p>
            <w:pPr>
              <w:ind w:left="20"/>
              <w:spacing w:after="0"/>
              <w:rPr>
                <w:sz w:val="20"/>
                <w:szCs w:val="20"/>
                <w:color w:val="auto"/>
              </w:rPr>
            </w:pPr>
            <w:r>
              <w:rPr>
                <w:rFonts w:ascii="Arial" w:cs="Arial" w:eastAsia="Arial" w:hAnsi="Arial"/>
                <w:sz w:val="16"/>
                <w:szCs w:val="16"/>
                <w:color w:val="auto"/>
              </w:rPr>
              <w:t>2020</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139,016</w:t>
            </w:r>
          </w:p>
        </w:tc>
      </w:tr>
      <w:tr>
        <w:trPr>
          <w:trHeight w:val="25"/>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124,102</w:t>
            </w:r>
          </w:p>
        </w:tc>
      </w:tr>
      <w:tr>
        <w:trPr>
          <w:trHeight w:val="219"/>
        </w:trPr>
        <w:tc>
          <w:tcPr>
            <w:tcW w:w="5520" w:type="dxa"/>
            <w:vAlign w:val="bottom"/>
          </w:tcPr>
          <w:p>
            <w:pPr>
              <w:ind w:left="20"/>
              <w:spacing w:after="0"/>
              <w:rPr>
                <w:sz w:val="20"/>
                <w:szCs w:val="20"/>
                <w:color w:val="auto"/>
              </w:rPr>
            </w:pPr>
            <w:r>
              <w:rPr>
                <w:rFonts w:ascii="Arial" w:cs="Arial" w:eastAsia="Arial" w:hAnsi="Arial"/>
                <w:sz w:val="16"/>
                <w:szCs w:val="16"/>
                <w:color w:val="auto"/>
              </w:rPr>
              <w:t>2022</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108,029</w:t>
            </w:r>
          </w:p>
        </w:tc>
      </w:tr>
      <w:tr>
        <w:trPr>
          <w:trHeight w:val="25"/>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322,473</w:t>
            </w:r>
          </w:p>
        </w:tc>
      </w:tr>
      <w:tr>
        <w:trPr>
          <w:trHeight w:val="230"/>
        </w:trPr>
        <w:tc>
          <w:tcPr>
            <w:tcW w:w="5520" w:type="dxa"/>
            <w:vAlign w:val="bottom"/>
          </w:tcPr>
          <w:p>
            <w:pPr>
              <w:ind w:left="18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1,017,205</w:t>
            </w: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Amounts related to property include leases on retail stores as well as various corporate offices, distribution facilities, and other premises. Our average term for a retail store lease in the United States is approximately 5.2 years, excluding renewal options.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Total commitments under capital leases were approximately $1.7 million at December 30, 2017.</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 – COMMITMENTS AND CONTINGENCIES</w:t>
      </w:r>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is subject to various claims and pending or threatened lawsuits in the normal course of business. The Company is not currently a party to any legal proceedings that it believes would have a material adverse effect on its financial position, results of operations, or cash flows.</w:t>
      </w:r>
    </w:p>
    <w:p>
      <w:pPr>
        <w:spacing w:after="0" w:line="150"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auto"/>
        </w:rPr>
        <w:t>The Company's contractual obligations and commitments also include obligations associated with leases, the secured revolving credit agreement, senior notes, employee benefit plans, and facility consolidations/closures as disclosed elsewhere 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340"/>
          </w:cols>
          <w:pgMar w:left="240" w:top="123" w:right="319" w:bottom="1440" w:gutter="0" w:footer="0" w:header="0"/>
        </w:sectPr>
      </w:pPr>
    </w:p>
    <w:bookmarkStart w:id="95" w:name="page96"/>
    <w:bookmarkEnd w:id="95"/>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18 – VALUATION AND QUALIFYING ACCOUNTS</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Information regarding accounts receivable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8"/>
              </w:rPr>
              <w:t>Wholesale accounts</w:t>
            </w: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Wholesale sales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7"/>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(dollars in thousands)</w:t>
            </w:r>
          </w:p>
        </w:tc>
        <w:tc>
          <w:tcPr>
            <w:tcW w:w="1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8"/>
              </w:rPr>
              <w:t>receivable reserves</w:t>
            </w: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returns reserves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211"/>
        </w:trPr>
        <w:tc>
          <w:tcPr>
            <w:tcW w:w="546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January 3, 2015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11,808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12,208</w:t>
            </w:r>
          </w:p>
        </w:tc>
      </w:tr>
      <w:tr>
        <w:trPr>
          <w:trHeight w:val="25"/>
        </w:trPr>
        <w:tc>
          <w:tcPr>
            <w:tcW w:w="1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5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Additional provisions</w:t>
            </w:r>
          </w:p>
        </w:tc>
        <w:tc>
          <w:tcPr>
            <w:tcW w:w="14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4,434</w:t>
            </w:r>
          </w:p>
        </w:tc>
      </w:tr>
      <w:tr>
        <w:trPr>
          <w:trHeight w:val="219"/>
        </w:trPr>
        <w:tc>
          <w:tcPr>
            <w:tcW w:w="5460" w:type="dxa"/>
            <w:vAlign w:val="bottom"/>
            <w:gridSpan w:val="2"/>
          </w:tcPr>
          <w:p>
            <w:pPr>
              <w:ind w:left="100"/>
              <w:spacing w:after="0"/>
              <w:rPr>
                <w:sz w:val="20"/>
                <w:szCs w:val="20"/>
                <w:color w:val="auto"/>
              </w:rPr>
            </w:pPr>
            <w:r>
              <w:rPr>
                <w:rFonts w:ascii="Arial" w:cs="Arial" w:eastAsia="Arial" w:hAnsi="Arial"/>
                <w:sz w:val="16"/>
                <w:szCs w:val="16"/>
                <w:color w:val="auto"/>
              </w:rPr>
              <w:t>Charges to reserve</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(7,435)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(7,699)</w:t>
            </w:r>
          </w:p>
        </w:tc>
      </w:tr>
      <w:tr>
        <w:trPr>
          <w:trHeight w:val="25"/>
        </w:trPr>
        <w:tc>
          <w:tcPr>
            <w:tcW w:w="19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1"/>
                <w:shd w:val="clear" w:color="auto" w:fill="CCEEFF"/>
              </w:rPr>
              <w:t>Balance at January 2, 2016</w:t>
            </w:r>
          </w:p>
        </w:tc>
        <w:tc>
          <w:tcPr>
            <w:tcW w:w="3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8,543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8,943</w:t>
            </w:r>
          </w:p>
        </w:tc>
      </w:tr>
      <w:tr>
        <w:trPr>
          <w:trHeight w:val="219"/>
        </w:trPr>
        <w:tc>
          <w:tcPr>
            <w:tcW w:w="5460" w:type="dxa"/>
            <w:vAlign w:val="bottom"/>
            <w:gridSpan w:val="2"/>
          </w:tcPr>
          <w:p>
            <w:pPr>
              <w:ind w:left="100"/>
              <w:spacing w:after="0"/>
              <w:rPr>
                <w:sz w:val="20"/>
                <w:szCs w:val="20"/>
                <w:color w:val="auto"/>
              </w:rPr>
            </w:pPr>
            <w:r>
              <w:rPr>
                <w:rFonts w:ascii="Arial" w:cs="Arial" w:eastAsia="Arial" w:hAnsi="Arial"/>
                <w:sz w:val="16"/>
                <w:szCs w:val="16"/>
                <w:color w:val="auto"/>
              </w:rPr>
              <w:t>Additional provisions</w:t>
            </w:r>
          </w:p>
        </w:tc>
        <w:tc>
          <w:tcPr>
            <w:tcW w:w="1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6,088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6,088</w:t>
            </w:r>
          </w:p>
        </w:tc>
      </w:tr>
      <w:tr>
        <w:trPr>
          <w:trHeight w:val="25"/>
        </w:trPr>
        <w:tc>
          <w:tcPr>
            <w:tcW w:w="1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5"/>
        </w:trPr>
        <w:tc>
          <w:tcPr>
            <w:tcW w:w="5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Charges to reserve</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(6,279)</w:t>
            </w:r>
          </w:p>
        </w:tc>
      </w:tr>
      <w:tr>
        <w:trPr>
          <w:trHeight w:val="211"/>
        </w:trPr>
        <w:tc>
          <w:tcPr>
            <w:tcW w:w="546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December 31, 2016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8,752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8,752</w:t>
            </w:r>
          </w:p>
        </w:tc>
      </w:tr>
      <w:tr>
        <w:trPr>
          <w:trHeight w:val="25"/>
        </w:trPr>
        <w:tc>
          <w:tcPr>
            <w:tcW w:w="1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5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Additional provisions</w:t>
            </w:r>
          </w:p>
        </w:tc>
        <w:tc>
          <w:tcPr>
            <w:tcW w:w="14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8,204</w:t>
            </w:r>
          </w:p>
        </w:tc>
      </w:tr>
      <w:tr>
        <w:trPr>
          <w:trHeight w:val="219"/>
        </w:trPr>
        <w:tc>
          <w:tcPr>
            <w:tcW w:w="5460" w:type="dxa"/>
            <w:vAlign w:val="bottom"/>
            <w:gridSpan w:val="2"/>
          </w:tcPr>
          <w:p>
            <w:pPr>
              <w:ind w:left="100"/>
              <w:spacing w:after="0"/>
              <w:rPr>
                <w:sz w:val="20"/>
                <w:szCs w:val="20"/>
                <w:color w:val="auto"/>
              </w:rPr>
            </w:pPr>
            <w:r>
              <w:rPr>
                <w:rFonts w:ascii="Arial" w:cs="Arial" w:eastAsia="Arial" w:hAnsi="Arial"/>
                <w:sz w:val="16"/>
                <w:szCs w:val="16"/>
                <w:color w:val="auto"/>
              </w:rPr>
              <w:t>Charges to reserve</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(3,220)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(3,220)</w:t>
            </w:r>
          </w:p>
        </w:tc>
      </w:tr>
      <w:tr>
        <w:trPr>
          <w:trHeight w:val="25"/>
        </w:trPr>
        <w:tc>
          <w:tcPr>
            <w:tcW w:w="19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2"/>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shd w:val="clear" w:color="auto" w:fill="CCEEFF"/>
              </w:rPr>
              <w:t>Balance at December 30,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13,736</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19 – UNAUDITED QUARTERLY FINANCIAL DATA</w:t>
      </w:r>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experiences seasonal fluctuations in its sales and profitability due to the timing of certain holidays and key retail shopping periods, typically resulting in lower sales and gross profit in the first half of its fiscal year.</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unaudited summarized financial data by quarter for the fiscal years ended December 30, 2017 and December 31, 2016 is presented in the table below:</w:t>
      </w:r>
    </w:p>
    <w:p>
      <w:pPr>
        <w:spacing w:after="0" w:line="146" w:lineRule="exact"/>
        <w:rPr>
          <w:sz w:val="20"/>
          <w:szCs w:val="20"/>
          <w:color w:val="auto"/>
        </w:rPr>
      </w:pPr>
    </w:p>
    <w:tbl>
      <w:tblPr>
        <w:tblLayout w:type="fixed"/>
        <w:tblInd w:w="620" w:type="dxa"/>
        <w:tblCellMar>
          <w:top w:w="0" w:type="dxa"/>
          <w:left w:w="0" w:type="dxa"/>
          <w:bottom w:w="0" w:type="dxa"/>
          <w:right w:w="0" w:type="dxa"/>
        </w:tblCellMar>
      </w:tblPr>
      <w:tr>
        <w:trPr>
          <w:trHeight w:val="245"/>
        </w:trPr>
        <w:tc>
          <w:tcPr>
            <w:tcW w:w="20" w:type="dxa"/>
            <w:vAlign w:val="bottom"/>
            <w:shd w:val="clear" w:color="auto" w:fill="CCEEFF"/>
          </w:tcPr>
          <w:p>
            <w:pPr>
              <w:spacing w:after="0"/>
              <w:rPr>
                <w:sz w:val="21"/>
                <w:szCs w:val="21"/>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(dollars in thousands, except per share data)</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Quarter 1</w:t>
            </w: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Quarter 2</w:t>
            </w:r>
          </w:p>
        </w:tc>
        <w:tc>
          <w:tcPr>
            <w:tcW w:w="2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Quarter 3</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26"/>
              <w:spacing w:after="0"/>
              <w:rPr>
                <w:sz w:val="20"/>
                <w:szCs w:val="20"/>
                <w:color w:val="auto"/>
              </w:rPr>
            </w:pPr>
            <w:r>
              <w:rPr>
                <w:rFonts w:ascii="Arial" w:cs="Arial" w:eastAsia="Arial" w:hAnsi="Arial"/>
                <w:sz w:val="16"/>
                <w:szCs w:val="16"/>
                <w:b w:val="1"/>
                <w:bCs w:val="1"/>
                <w:color w:val="auto"/>
              </w:rPr>
              <w:t>(2) Quarter 4</w:t>
            </w:r>
          </w:p>
        </w:tc>
      </w:tr>
      <w:tr>
        <w:trPr>
          <w:trHeight w:val="176"/>
        </w:trPr>
        <w:tc>
          <w:tcPr>
            <w:tcW w:w="20" w:type="dxa"/>
            <w:vAlign w:val="bottom"/>
          </w:tcPr>
          <w:p>
            <w:pPr>
              <w:spacing w:after="0"/>
              <w:rPr>
                <w:sz w:val="15"/>
                <w:szCs w:val="15"/>
                <w:color w:val="auto"/>
              </w:rPr>
            </w:pPr>
          </w:p>
        </w:tc>
        <w:tc>
          <w:tcPr>
            <w:tcW w:w="396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Fiscal 2017:</w:t>
            </w:r>
          </w:p>
        </w:tc>
        <w:tc>
          <w:tcPr>
            <w:tcW w:w="2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41"/>
        </w:trPr>
        <w:tc>
          <w:tcPr>
            <w:tcW w:w="2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3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sales</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732,755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692,117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948,232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1,027,306</w:t>
            </w:r>
          </w:p>
        </w:tc>
      </w:tr>
      <w:tr>
        <w:trPr>
          <w:trHeight w:val="219"/>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315,802</w:t>
            </w:r>
          </w:p>
        </w:tc>
        <w:tc>
          <w:tcPr>
            <w:tcW w:w="1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303,457</w:t>
            </w:r>
          </w:p>
        </w:tc>
        <w:tc>
          <w:tcPr>
            <w:tcW w:w="8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403,848</w:t>
            </w:r>
          </w:p>
        </w:tc>
        <w:tc>
          <w:tcPr>
            <w:tcW w:w="100" w:type="dxa"/>
            <w:vAlign w:val="bottom"/>
          </w:tcPr>
          <w:p>
            <w:pPr>
              <w:spacing w:after="0"/>
              <w:rPr>
                <w:sz w:val="19"/>
                <w:szCs w:val="19"/>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26"/>
              <w:spacing w:after="0"/>
              <w:rPr>
                <w:sz w:val="20"/>
                <w:szCs w:val="20"/>
                <w:color w:val="auto"/>
              </w:rPr>
            </w:pPr>
            <w:r>
              <w:rPr>
                <w:rFonts w:ascii="Arial" w:cs="Arial" w:eastAsia="Arial" w:hAnsi="Arial"/>
                <w:sz w:val="15"/>
                <w:szCs w:val="15"/>
                <w:color w:val="auto"/>
              </w:rPr>
              <w:t>460,207</w:t>
            </w:r>
          </w:p>
        </w:tc>
      </w:tr>
      <w:tr>
        <w:trPr>
          <w:trHeight w:val="25"/>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247,794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250,146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283,480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325,507</w:t>
            </w:r>
          </w:p>
        </w:tc>
      </w:tr>
      <w:tr>
        <w:trPr>
          <w:trHeight w:val="219"/>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Royalty income</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(10,558)</w:t>
            </w:r>
          </w:p>
        </w:tc>
        <w:tc>
          <w:tcPr>
            <w:tcW w:w="1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(11,210)</w:t>
            </w:r>
          </w:p>
        </w:tc>
        <w:tc>
          <w:tcPr>
            <w:tcW w:w="8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(10,350)</w:t>
            </w:r>
          </w:p>
        </w:tc>
        <w:tc>
          <w:tcPr>
            <w:tcW w:w="100" w:type="dxa"/>
            <w:vAlign w:val="bottom"/>
          </w:tcPr>
          <w:p>
            <w:pPr>
              <w:spacing w:after="0"/>
              <w:rPr>
                <w:sz w:val="19"/>
                <w:szCs w:val="19"/>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(11,063)</w:t>
            </w:r>
          </w:p>
        </w:tc>
      </w:tr>
      <w:tr>
        <w:trPr>
          <w:trHeight w:val="25"/>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78,566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64,521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130,718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145,763</w:t>
            </w:r>
          </w:p>
        </w:tc>
      </w:tr>
      <w:tr>
        <w:trPr>
          <w:trHeight w:val="219"/>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46,664</w:t>
            </w:r>
          </w:p>
        </w:tc>
        <w:tc>
          <w:tcPr>
            <w:tcW w:w="1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37,925</w:t>
            </w:r>
          </w:p>
        </w:tc>
        <w:tc>
          <w:tcPr>
            <w:tcW w:w="8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82,486</w:t>
            </w:r>
          </w:p>
        </w:tc>
        <w:tc>
          <w:tcPr>
            <w:tcW w:w="100" w:type="dxa"/>
            <w:vAlign w:val="bottom"/>
          </w:tcPr>
          <w:p>
            <w:pPr>
              <w:spacing w:after="0"/>
              <w:rPr>
                <w:sz w:val="19"/>
                <w:szCs w:val="19"/>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26"/>
              <w:spacing w:after="0"/>
              <w:rPr>
                <w:sz w:val="20"/>
                <w:szCs w:val="20"/>
                <w:color w:val="auto"/>
              </w:rPr>
            </w:pPr>
            <w:r>
              <w:rPr>
                <w:rFonts w:ascii="Arial" w:cs="Arial" w:eastAsia="Arial" w:hAnsi="Arial"/>
                <w:sz w:val="15"/>
                <w:szCs w:val="15"/>
                <w:color w:val="auto"/>
              </w:rPr>
              <w:t>135,689</w:t>
            </w:r>
          </w:p>
        </w:tc>
      </w:tr>
      <w:tr>
        <w:trPr>
          <w:trHeight w:val="25"/>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Basic net income per common share (1)</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0.96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0.79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1.73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2.87</w:t>
            </w:r>
          </w:p>
        </w:tc>
      </w:tr>
      <w:tr>
        <w:trPr>
          <w:trHeight w:val="219"/>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Diluted net income per common share (1)</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0.95</w:t>
            </w:r>
          </w:p>
        </w:tc>
        <w:tc>
          <w:tcPr>
            <w:tcW w:w="1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0.78</w:t>
            </w:r>
          </w:p>
        </w:tc>
        <w:tc>
          <w:tcPr>
            <w:tcW w:w="8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1.71</w:t>
            </w:r>
          </w:p>
        </w:tc>
        <w:tc>
          <w:tcPr>
            <w:tcW w:w="100" w:type="dxa"/>
            <w:vAlign w:val="bottom"/>
          </w:tcPr>
          <w:p>
            <w:pPr>
              <w:spacing w:after="0"/>
              <w:rPr>
                <w:sz w:val="19"/>
                <w:szCs w:val="19"/>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26"/>
              <w:spacing w:after="0"/>
              <w:rPr>
                <w:sz w:val="20"/>
                <w:szCs w:val="20"/>
                <w:color w:val="auto"/>
              </w:rPr>
            </w:pPr>
            <w:r>
              <w:rPr>
                <w:rFonts w:ascii="Arial" w:cs="Arial" w:eastAsia="Arial" w:hAnsi="Arial"/>
                <w:sz w:val="15"/>
                <w:szCs w:val="15"/>
                <w:color w:val="auto"/>
              </w:rPr>
              <w:t>2.84</w:t>
            </w:r>
          </w:p>
        </w:tc>
      </w:tr>
      <w:tr>
        <w:trPr>
          <w:trHeight w:val="25"/>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9"/>
        </w:trPr>
        <w:tc>
          <w:tcPr>
            <w:tcW w:w="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6"/>
                <w:szCs w:val="16"/>
                <w:b w:val="1"/>
                <w:bCs w:val="1"/>
                <w:color w:val="auto"/>
              </w:rPr>
              <w:t>Fiscal 2016:</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41"/>
        </w:trPr>
        <w:tc>
          <w:tcPr>
            <w:tcW w:w="2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3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sales</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724,085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639,471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901,425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934,203</w:t>
            </w:r>
          </w:p>
        </w:tc>
      </w:tr>
      <w:tr>
        <w:trPr>
          <w:trHeight w:val="219"/>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310,929</w:t>
            </w:r>
          </w:p>
        </w:tc>
        <w:tc>
          <w:tcPr>
            <w:tcW w:w="1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282,182</w:t>
            </w:r>
          </w:p>
        </w:tc>
        <w:tc>
          <w:tcPr>
            <w:tcW w:w="8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375,546</w:t>
            </w:r>
          </w:p>
        </w:tc>
        <w:tc>
          <w:tcPr>
            <w:tcW w:w="100" w:type="dxa"/>
            <w:vAlign w:val="bottom"/>
          </w:tcPr>
          <w:p>
            <w:pPr>
              <w:spacing w:after="0"/>
              <w:rPr>
                <w:sz w:val="19"/>
                <w:szCs w:val="19"/>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26"/>
              <w:spacing w:after="0"/>
              <w:rPr>
                <w:sz w:val="20"/>
                <w:szCs w:val="20"/>
                <w:color w:val="auto"/>
              </w:rPr>
            </w:pPr>
            <w:r>
              <w:rPr>
                <w:rFonts w:ascii="Arial" w:cs="Arial" w:eastAsia="Arial" w:hAnsi="Arial"/>
                <w:sz w:val="15"/>
                <w:szCs w:val="15"/>
                <w:color w:val="auto"/>
              </w:rPr>
              <w:t>410,492</w:t>
            </w:r>
          </w:p>
        </w:tc>
      </w:tr>
      <w:tr>
        <w:trPr>
          <w:trHeight w:val="25"/>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228,996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228,464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255,322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282,624</w:t>
            </w:r>
          </w:p>
        </w:tc>
      </w:tr>
      <w:tr>
        <w:trPr>
          <w:trHeight w:val="219"/>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Royalty income</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(11,075)</w:t>
            </w:r>
          </w:p>
        </w:tc>
        <w:tc>
          <w:tcPr>
            <w:tcW w:w="1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(9,525)</w:t>
            </w:r>
          </w:p>
        </w:tc>
        <w:tc>
          <w:tcPr>
            <w:tcW w:w="8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(10,670)</w:t>
            </w:r>
          </w:p>
        </w:tc>
        <w:tc>
          <w:tcPr>
            <w:tcW w:w="100" w:type="dxa"/>
            <w:vAlign w:val="bottom"/>
          </w:tcPr>
          <w:p>
            <w:pPr>
              <w:spacing w:after="0"/>
              <w:rPr>
                <w:sz w:val="19"/>
                <w:szCs w:val="19"/>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(11,545)</w:t>
            </w:r>
          </w:p>
        </w:tc>
      </w:tr>
      <w:tr>
        <w:trPr>
          <w:trHeight w:val="25"/>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93,008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63,243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130,894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139,413</w:t>
            </w:r>
          </w:p>
        </w:tc>
      </w:tr>
      <w:tr>
        <w:trPr>
          <w:trHeight w:val="219"/>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53,980</w:t>
            </w:r>
          </w:p>
        </w:tc>
        <w:tc>
          <w:tcPr>
            <w:tcW w:w="1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36,198</w:t>
            </w:r>
          </w:p>
        </w:tc>
        <w:tc>
          <w:tcPr>
            <w:tcW w:w="8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80,811</w:t>
            </w:r>
          </w:p>
        </w:tc>
        <w:tc>
          <w:tcPr>
            <w:tcW w:w="100" w:type="dxa"/>
            <w:vAlign w:val="bottom"/>
          </w:tcPr>
          <w:p>
            <w:pPr>
              <w:spacing w:after="0"/>
              <w:rPr>
                <w:sz w:val="19"/>
                <w:szCs w:val="19"/>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26"/>
              <w:spacing w:after="0"/>
              <w:rPr>
                <w:sz w:val="20"/>
                <w:szCs w:val="20"/>
                <w:color w:val="auto"/>
              </w:rPr>
            </w:pPr>
            <w:r>
              <w:rPr>
                <w:rFonts w:ascii="Arial" w:cs="Arial" w:eastAsia="Arial" w:hAnsi="Arial"/>
                <w:sz w:val="15"/>
                <w:szCs w:val="15"/>
                <w:color w:val="auto"/>
              </w:rPr>
              <w:t>87,117</w:t>
            </w:r>
          </w:p>
        </w:tc>
      </w:tr>
      <w:tr>
        <w:trPr>
          <w:trHeight w:val="25"/>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Basic net income per common share (1)</w:t>
            </w:r>
          </w:p>
        </w:tc>
        <w:tc>
          <w:tcPr>
            <w:tcW w:w="2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1.05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rPr>
              <w:t>0.72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1.62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rPr>
              <w:t>1.77</w:t>
            </w:r>
          </w:p>
        </w:tc>
      </w:tr>
      <w:tr>
        <w:trPr>
          <w:trHeight w:val="219"/>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6"/>
                <w:szCs w:val="16"/>
                <w:color w:val="auto"/>
              </w:rPr>
              <w:t>Diluted net income per common share (1)</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6"/>
              <w:spacing w:after="0"/>
              <w:rPr>
                <w:sz w:val="20"/>
                <w:szCs w:val="20"/>
                <w:color w:val="auto"/>
              </w:rPr>
            </w:pPr>
            <w:r>
              <w:rPr>
                <w:rFonts w:ascii="Arial" w:cs="Arial" w:eastAsia="Arial" w:hAnsi="Arial"/>
                <w:sz w:val="15"/>
                <w:szCs w:val="15"/>
                <w:color w:val="auto"/>
              </w:rPr>
              <w:t>1.04</w:t>
            </w:r>
          </w:p>
        </w:tc>
        <w:tc>
          <w:tcPr>
            <w:tcW w:w="1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0.71</w:t>
            </w:r>
          </w:p>
        </w:tc>
        <w:tc>
          <w:tcPr>
            <w:tcW w:w="80" w:type="dxa"/>
            <w:vAlign w:val="bottom"/>
          </w:tcPr>
          <w:p>
            <w:pPr>
              <w:spacing w:after="0"/>
              <w:rPr>
                <w:sz w:val="19"/>
                <w:szCs w:val="19"/>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26"/>
              <w:spacing w:after="0"/>
              <w:rPr>
                <w:sz w:val="20"/>
                <w:szCs w:val="20"/>
                <w:color w:val="auto"/>
              </w:rPr>
            </w:pPr>
            <w:r>
              <w:rPr>
                <w:rFonts w:ascii="Arial" w:cs="Arial" w:eastAsia="Arial" w:hAnsi="Arial"/>
                <w:sz w:val="15"/>
                <w:szCs w:val="15"/>
                <w:color w:val="auto"/>
              </w:rPr>
              <w:t>1.60</w:t>
            </w:r>
          </w:p>
        </w:tc>
        <w:tc>
          <w:tcPr>
            <w:tcW w:w="100" w:type="dxa"/>
            <w:vAlign w:val="bottom"/>
          </w:tcPr>
          <w:p>
            <w:pPr>
              <w:spacing w:after="0"/>
              <w:rPr>
                <w:sz w:val="19"/>
                <w:szCs w:val="19"/>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ind w:right="26"/>
              <w:spacing w:after="0"/>
              <w:rPr>
                <w:sz w:val="20"/>
                <w:szCs w:val="20"/>
                <w:color w:val="auto"/>
              </w:rPr>
            </w:pPr>
            <w:r>
              <w:rPr>
                <w:rFonts w:ascii="Arial" w:cs="Arial" w:eastAsia="Arial" w:hAnsi="Arial"/>
                <w:sz w:val="15"/>
                <w:szCs w:val="15"/>
                <w:color w:val="auto"/>
              </w:rPr>
              <w:t>1.76</w:t>
            </w:r>
          </w:p>
        </w:tc>
      </w:tr>
      <w:tr>
        <w:trPr>
          <w:trHeight w:val="63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186"/>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280"/>
          </w:cols>
          <w:pgMar w:left="240" w:top="123" w:right="379" w:bottom="1440" w:gutter="0" w:footer="0" w:header="0"/>
        </w:sectPr>
      </w:pPr>
    </w:p>
    <w:bookmarkStart w:id="96" w:name="page97"/>
    <w:bookmarkEnd w:id="96"/>
    <w:p>
      <w:pPr>
        <w:ind w:left="222" w:hanging="222"/>
        <w:spacing w:after="0"/>
        <w:tabs>
          <w:tab w:leader="none" w:pos="222" w:val="left"/>
        </w:tabs>
        <w:numPr>
          <w:ilvl w:val="0"/>
          <w:numId w:val="40"/>
        </w:numPr>
        <w:rPr>
          <w:rFonts w:ascii="Arial" w:cs="Arial" w:eastAsia="Arial" w:hAnsi="Arial"/>
          <w:sz w:val="16"/>
          <w:szCs w:val="16"/>
          <w:i w:val="1"/>
          <w:iCs w:val="1"/>
          <w:color w:val="auto"/>
        </w:rPr>
      </w:pPr>
      <w:r>
        <w:rPr>
          <w:rFonts w:ascii="Arial" w:cs="Arial" w:eastAsia="Arial" w:hAnsi="Arial"/>
          <w:sz w:val="16"/>
          <w:szCs w:val="16"/>
          <w:color w:val="auto"/>
        </w:rPr>
        <w:t xml:space="preserve">May not be additive to the net income per common share amounts for the fiscal year due to the calculation provision of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207" w:lineRule="exact"/>
        <w:rPr>
          <w:rFonts w:ascii="Arial" w:cs="Arial" w:eastAsia="Arial" w:hAnsi="Arial"/>
          <w:sz w:val="16"/>
          <w:szCs w:val="16"/>
          <w:i w:val="1"/>
          <w:iCs w:val="1"/>
          <w:color w:val="auto"/>
        </w:rPr>
      </w:pPr>
    </w:p>
    <w:p>
      <w:pPr>
        <w:ind w:left="2" w:right="160" w:hanging="2"/>
        <w:spacing w:after="0" w:line="285" w:lineRule="auto"/>
        <w:tabs>
          <w:tab w:leader="none" w:pos="233"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provision for income taxes recognized during the fourth quarter of fiscal 2017 reflects a benefit of $40.0 million related to the accounting for the December 22, 2017 enactment of tax law changes known as the U.S. Tax Cuts and Jobs Act of 2017.</w:t>
      </w:r>
    </w:p>
    <w:p>
      <w:pPr>
        <w:spacing w:after="0" w:line="34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NOTE 20 – GUARANTOR CONDENSED CONSOLIDATING FINANCIAL STATEMENTS</w:t>
      </w:r>
    </w:p>
    <w:p>
      <w:pPr>
        <w:spacing w:after="0" w:line="211" w:lineRule="exact"/>
        <w:rPr>
          <w:sz w:val="20"/>
          <w:szCs w:val="20"/>
          <w:color w:val="auto"/>
        </w:rPr>
      </w:pPr>
    </w:p>
    <w:p>
      <w:pPr>
        <w:ind w:left="2"/>
        <w:spacing w:after="0" w:line="280" w:lineRule="auto"/>
        <w:rPr>
          <w:sz w:val="20"/>
          <w:szCs w:val="20"/>
          <w:color w:val="auto"/>
        </w:rPr>
      </w:pPr>
      <w:r>
        <w:rPr>
          <w:rFonts w:ascii="Arial" w:cs="Arial" w:eastAsia="Arial" w:hAnsi="Arial"/>
          <w:sz w:val="15"/>
          <w:szCs w:val="15"/>
          <w:color w:val="auto"/>
        </w:rPr>
        <w:t>The Company’s senior notes constitute debt obligations of its wholly-owned subsidiary, The William Carter Company ("TWCC" or the "Subsidiary Issuer"), are unsecured and are fully and unconditionally guaranteed by Carter’s, Inc. (the "Parent"), by each of the Parent's current domestic subsidiaries (other than TWCC), and, subject to certain exceptions, future restricted subsidiaries that guarantee the Company’s amended revolving credit facility or certain other debt of the Company or the subsidiary guarantors. Under specific customary conditions, the guarantees are not full and unconditional because subsidiary guarantors can be released and relieved of their obligations under customary circumstances contained in the indenture governing the senior notes. These circumstances include among others the following, so long as other applicable provisions of the indentures are adhered to: any sale or other disposition of all or substantially all of the assets of any subsidiary guarantor, any sale or other disposition of capital stock of any subsidiary guarantor, or designation of any restricted subsidiary that is a subsidiary guarantor as an unrestricted subsidiary.</w:t>
      </w:r>
    </w:p>
    <w:p>
      <w:pPr>
        <w:spacing w:after="0" w:line="34" w:lineRule="exact"/>
        <w:rPr>
          <w:sz w:val="20"/>
          <w:szCs w:val="20"/>
          <w:color w:val="auto"/>
        </w:rPr>
      </w:pPr>
    </w:p>
    <w:p>
      <w:pPr>
        <w:ind w:left="2" w:right="80"/>
        <w:spacing w:after="0" w:line="265" w:lineRule="auto"/>
        <w:rPr>
          <w:sz w:val="20"/>
          <w:szCs w:val="20"/>
          <w:color w:val="auto"/>
        </w:rPr>
      </w:pPr>
      <w:r>
        <w:rPr>
          <w:rFonts w:ascii="Arial" w:cs="Arial" w:eastAsia="Arial" w:hAnsi="Arial"/>
          <w:sz w:val="16"/>
          <w:szCs w:val="16"/>
          <w:color w:val="auto"/>
        </w:rPr>
        <w:t>The condensed consolidating financial information for the Parent, the Subsidiary Issuer, and the guarantor and non-guarantor subsidiaries has been prepared from the books and records maintained by the Company. The accompanying condensed consolidating financial information has been prepared and presented pursuant to SEC Regulation S-X Rule 3-10. The financial information may not necessarily be indicative of the financial position, results of operations, comprehensive income (loss), and cash flows, had the Parent, Subsidiary Issuer, guarantor or non-guarantor subsidiaries operated as independent entities.</w:t>
      </w:r>
    </w:p>
    <w:p>
      <w:pPr>
        <w:spacing w:after="0" w:line="117" w:lineRule="exact"/>
        <w:rPr>
          <w:sz w:val="20"/>
          <w:szCs w:val="20"/>
          <w:color w:val="auto"/>
        </w:rPr>
      </w:pPr>
    </w:p>
    <w:p>
      <w:pPr>
        <w:ind w:left="2" w:right="200"/>
        <w:spacing w:after="0" w:line="265" w:lineRule="auto"/>
        <w:rPr>
          <w:sz w:val="20"/>
          <w:szCs w:val="20"/>
          <w:color w:val="auto"/>
        </w:rPr>
      </w:pPr>
      <w:r>
        <w:rPr>
          <w:rFonts w:ascii="Arial" w:cs="Arial" w:eastAsia="Arial" w:hAnsi="Arial"/>
          <w:sz w:val="16"/>
          <w:szCs w:val="16"/>
          <w:color w:val="auto"/>
        </w:rPr>
        <w:t>Intercompany revenues and expenses included in the subsidiary records are eliminated in consolidation. As a result of this activity, an amount due to/due from affiliates will exist at any time. The principal elimination entries relate to investments in subsidiaries and intercompany balances and transactions. The Company has accounted for investments in subsidiaries under the equity method. The guarantor subsidiaries are 100% owned directly or indirectly by the Parent and all guarantees are joint, several and unconditional.</w:t>
      </w:r>
    </w:p>
    <w:p>
      <w:pPr>
        <w:spacing w:after="0" w:line="43" w:lineRule="exact"/>
        <w:rPr>
          <w:sz w:val="20"/>
          <w:szCs w:val="20"/>
          <w:color w:val="auto"/>
        </w:rPr>
      </w:pPr>
    </w:p>
    <w:p>
      <w:pPr>
        <w:ind w:left="2" w:right="520"/>
        <w:spacing w:after="0" w:line="270" w:lineRule="auto"/>
        <w:rPr>
          <w:sz w:val="20"/>
          <w:szCs w:val="20"/>
          <w:color w:val="auto"/>
        </w:rPr>
      </w:pPr>
      <w:r>
        <w:rPr>
          <w:rFonts w:ascii="Arial" w:cs="Arial" w:eastAsia="Arial" w:hAnsi="Arial"/>
          <w:sz w:val="16"/>
          <w:szCs w:val="16"/>
          <w:color w:val="auto"/>
        </w:rPr>
        <w:t>In December 2015, as part of a foreign subsidiary restructuring, certain non-guarantor subsidiaries became subsidiaries of certain other non-guarantor subsidiaries. The restructuring did not retroactively impact the prior status of the guarantor and the non-guarantor subsidiaries, and accordingly the condensed consolidating financial information for periods prior to the restructuring have not been adjusted to reflect the restructuring.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2"/>
          </w:cols>
          <w:pgMar w:left="238" w:top="543" w:right="239" w:bottom="1440" w:gutter="0" w:footer="0" w:header="0"/>
        </w:sectPr>
      </w:pPr>
    </w:p>
    <w:bookmarkStart w:id="97" w:name="page98"/>
    <w:bookmarkEnd w:id="97"/>
    <w:p>
      <w:pPr>
        <w:ind w:left="40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CARTER’S, INC.</w:t>
      </w:r>
    </w:p>
    <w:p>
      <w:pPr>
        <w:spacing w:after="0" w:line="97"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of December 30, 2017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(dollars in thousands)</w:t>
      </w:r>
    </w:p>
    <w:p>
      <w:pPr>
        <w:spacing w:after="0" w:line="135"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1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b w:val="1"/>
                <w:bCs w:val="1"/>
                <w:color w:val="auto"/>
                <w:w w:val="88"/>
              </w:rPr>
              <w:t>Subsidiary</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b w:val="1"/>
                <w:bCs w:val="1"/>
                <w:color w:val="auto"/>
                <w:w w:val="90"/>
              </w:rPr>
              <w:t>Guarantor</w:t>
            </w:r>
          </w:p>
        </w:tc>
        <w:tc>
          <w:tcPr>
            <w:tcW w:w="1180" w:type="dxa"/>
            <w:vAlign w:val="bottom"/>
            <w:gridSpan w:val="3"/>
            <w:shd w:val="clear" w:color="auto" w:fill="CCEEFF"/>
          </w:tcPr>
          <w:p>
            <w:pPr>
              <w:jc w:val="center"/>
              <w:ind w:right="120"/>
              <w:spacing w:after="0"/>
              <w:rPr>
                <w:sz w:val="20"/>
                <w:szCs w:val="20"/>
                <w:color w:val="auto"/>
              </w:rPr>
            </w:pPr>
            <w:r>
              <w:rPr>
                <w:rFonts w:ascii="Arial" w:cs="Arial" w:eastAsia="Arial" w:hAnsi="Arial"/>
                <w:sz w:val="15"/>
                <w:szCs w:val="15"/>
                <w:b w:val="1"/>
                <w:bCs w:val="1"/>
                <w:color w:val="auto"/>
                <w:w w:val="91"/>
              </w:rPr>
              <w:t>Non-Guarantor</w:t>
            </w:r>
          </w:p>
        </w:tc>
        <w:tc>
          <w:tcPr>
            <w:tcW w:w="1120" w:type="dxa"/>
            <w:vAlign w:val="bottom"/>
            <w:gridSpan w:val="3"/>
            <w:shd w:val="clear" w:color="auto" w:fill="CCEEFF"/>
          </w:tcPr>
          <w:p>
            <w:pPr>
              <w:jc w:val="center"/>
              <w:ind w:right="100"/>
              <w:spacing w:after="0"/>
              <w:rPr>
                <w:sz w:val="20"/>
                <w:szCs w:val="20"/>
                <w:color w:val="auto"/>
              </w:rPr>
            </w:pPr>
            <w:r>
              <w:rPr>
                <w:rFonts w:ascii="Arial" w:cs="Arial" w:eastAsia="Arial" w:hAnsi="Arial"/>
                <w:sz w:val="15"/>
                <w:szCs w:val="15"/>
                <w:b w:val="1"/>
                <w:bCs w:val="1"/>
                <w:color w:val="auto"/>
                <w:w w:val="85"/>
              </w:rPr>
              <w:t>Consolidating</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9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5"/>
                <w:szCs w:val="15"/>
                <w:b w:val="1"/>
                <w:bCs w:val="1"/>
                <w:color w:val="auto"/>
              </w:rPr>
              <w:t>Parent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5"/>
                <w:szCs w:val="15"/>
                <w:b w:val="1"/>
                <w:bCs w:val="1"/>
                <w:color w:val="auto"/>
                <w:w w:val="90"/>
              </w:rPr>
              <w:t>Issuer</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5"/>
                <w:szCs w:val="15"/>
                <w:b w:val="1"/>
                <w:bCs w:val="1"/>
                <w:color w:val="auto"/>
                <w:w w:val="87"/>
              </w:rPr>
              <w:t>Subsidiaries</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85"/>
              </w:rPr>
              <w:t>Subsidiaries</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5"/>
                <w:szCs w:val="15"/>
                <w:b w:val="1"/>
                <w:bCs w:val="1"/>
                <w:color w:val="auto"/>
                <w:w w:val="85"/>
              </w:rPr>
              <w:t>Adjustments</w:t>
            </w:r>
          </w:p>
        </w:tc>
        <w:tc>
          <w:tcPr>
            <w:tcW w:w="98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92"/>
              </w:rPr>
              <w:t>Consolidated</w:t>
            </w:r>
          </w:p>
        </w:tc>
        <w:tc>
          <w:tcPr>
            <w:tcW w:w="0" w:type="dxa"/>
            <w:vAlign w:val="bottom"/>
          </w:tcPr>
          <w:p>
            <w:pPr>
              <w:spacing w:after="0"/>
              <w:rPr>
                <w:sz w:val="1"/>
                <w:szCs w:val="1"/>
                <w:color w:val="auto"/>
              </w:rPr>
            </w:pPr>
          </w:p>
        </w:tc>
      </w:tr>
      <w:tr>
        <w:trPr>
          <w:trHeight w:val="207"/>
        </w:trPr>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w w:val="97"/>
              </w:rPr>
              <w:t>Cash and cash equivalents</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129,463</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10,030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39,001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178,494</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Accounts receivable, net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182,944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40,286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17,331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240,561</w:t>
            </w: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rPr>
              <w:t>Intercompany receivable</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87,702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162,007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58,980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(308,689)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98"/>
              </w:rPr>
              <w:t>Finished goods inventories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296,065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206,556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66,569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(20,468)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548,722</w:t>
            </w:r>
          </w:p>
        </w:tc>
        <w:tc>
          <w:tcPr>
            <w:tcW w:w="0" w:type="dxa"/>
            <w:vAlign w:val="bottom"/>
          </w:tcPr>
          <w:p>
            <w:pPr>
              <w:spacing w:after="0"/>
              <w:rPr>
                <w:sz w:val="1"/>
                <w:szCs w:val="1"/>
                <w:color w:val="auto"/>
              </w:rPr>
            </w:pPr>
          </w:p>
        </w:tc>
      </w:tr>
      <w:tr>
        <w:trPr>
          <w:trHeight w:val="200"/>
        </w:trPr>
        <w:tc>
          <w:tcPr>
            <w:tcW w:w="1920" w:type="dxa"/>
            <w:vAlign w:val="bottom"/>
          </w:tcPr>
          <w:p>
            <w:pPr>
              <w:ind w:left="140"/>
              <w:spacing w:after="0"/>
              <w:rPr>
                <w:sz w:val="20"/>
                <w:szCs w:val="20"/>
                <w:color w:val="auto"/>
              </w:rPr>
            </w:pPr>
            <w:r>
              <w:rPr>
                <w:rFonts w:ascii="Arial" w:cs="Arial" w:eastAsia="Arial" w:hAnsi="Arial"/>
                <w:sz w:val="15"/>
                <w:szCs w:val="15"/>
                <w:color w:val="auto"/>
                <w:w w:val="93"/>
              </w:rPr>
              <w:t>Prepaid expenses and other</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140"/>
              <w:spacing w:after="0"/>
              <w:rPr>
                <w:sz w:val="20"/>
                <w:szCs w:val="20"/>
                <w:color w:val="auto"/>
              </w:rPr>
            </w:pPr>
            <w:r>
              <w:rPr>
                <w:rFonts w:ascii="Arial" w:cs="Arial" w:eastAsia="Arial" w:hAnsi="Arial"/>
                <w:sz w:val="15"/>
                <w:szCs w:val="15"/>
                <w:color w:val="auto"/>
              </w:rPr>
              <w:t>current assets</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17,013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13,860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49,892</w:t>
            </w:r>
          </w:p>
        </w:tc>
        <w:tc>
          <w:tcPr>
            <w:tcW w:w="0" w:type="dxa"/>
            <w:vAlign w:val="bottom"/>
          </w:tcPr>
          <w:p>
            <w:pPr>
              <w:spacing w:after="0"/>
              <w:rPr>
                <w:sz w:val="1"/>
                <w:szCs w:val="1"/>
                <w:color w:val="auto"/>
              </w:rPr>
            </w:pPr>
          </w:p>
        </w:tc>
      </w:tr>
      <w:tr>
        <w:trPr>
          <w:trHeight w:val="29"/>
        </w:trPr>
        <w:tc>
          <w:tcPr>
            <w:tcW w:w="1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current assets</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713,187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437,898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195,741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(329,157)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1,017,669</w:t>
            </w:r>
          </w:p>
        </w:tc>
        <w:tc>
          <w:tcPr>
            <w:tcW w:w="0" w:type="dxa"/>
            <w:vAlign w:val="bottom"/>
          </w:tcPr>
          <w:p>
            <w:pPr>
              <w:spacing w:after="0"/>
              <w:rPr>
                <w:sz w:val="1"/>
                <w:szCs w:val="1"/>
                <w:color w:val="auto"/>
              </w:rPr>
            </w:pPr>
          </w:p>
        </w:tc>
      </w:tr>
      <w:tr>
        <w:trPr>
          <w:trHeight w:val="200"/>
        </w:trPr>
        <w:tc>
          <w:tcPr>
            <w:tcW w:w="1920" w:type="dxa"/>
            <w:vAlign w:val="bottom"/>
          </w:tcPr>
          <w:p>
            <w:pPr>
              <w:ind w:left="20"/>
              <w:spacing w:after="0"/>
              <w:rPr>
                <w:sz w:val="20"/>
                <w:szCs w:val="20"/>
                <w:color w:val="auto"/>
              </w:rPr>
            </w:pPr>
            <w:r>
              <w:rPr>
                <w:rFonts w:ascii="Arial" w:cs="Arial" w:eastAsia="Arial" w:hAnsi="Arial"/>
                <w:sz w:val="15"/>
                <w:szCs w:val="15"/>
                <w:color w:val="auto"/>
                <w:w w:val="89"/>
              </w:rPr>
              <w:t>Property, plant, and equipment,</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20"/>
              <w:spacing w:after="0"/>
              <w:rPr>
                <w:sz w:val="20"/>
                <w:szCs w:val="20"/>
                <w:color w:val="auto"/>
              </w:rPr>
            </w:pPr>
            <w:r>
              <w:rPr>
                <w:rFonts w:ascii="Arial" w:cs="Arial" w:eastAsia="Arial" w:hAnsi="Arial"/>
                <w:sz w:val="15"/>
                <w:szCs w:val="15"/>
                <w:color w:val="auto"/>
              </w:rPr>
              <w:t>net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147,858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189,511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40,555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377,924</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136,570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45,368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48,486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230,424</w:t>
            </w: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5"/>
                <w:szCs w:val="15"/>
                <w:color w:val="auto"/>
              </w:rPr>
              <w:t>Tradenames, net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223,251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142,300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365,551</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Customer relationships, net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44,996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3,000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47,996</w:t>
            </w: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5"/>
                <w:szCs w:val="15"/>
                <w:color w:val="auto"/>
              </w:rPr>
              <w:t>Other assets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23,884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2,392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2,159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28,435</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Intercompany long-term</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receivable</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441,294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(441,294)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920" w:type="dxa"/>
            <w:vAlign w:val="bottom"/>
          </w:tcPr>
          <w:p>
            <w:pPr>
              <w:ind w:left="20"/>
              <w:spacing w:after="0"/>
              <w:rPr>
                <w:sz w:val="20"/>
                <w:szCs w:val="20"/>
                <w:color w:val="auto"/>
              </w:rPr>
            </w:pPr>
            <w:r>
              <w:rPr>
                <w:rFonts w:ascii="Arial" w:cs="Arial" w:eastAsia="Arial" w:hAnsi="Arial"/>
                <w:sz w:val="15"/>
                <w:szCs w:val="15"/>
                <w:color w:val="auto"/>
                <w:w w:val="98"/>
              </w:rPr>
              <w:t>Intercompany long-term note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20"/>
              <w:spacing w:after="0"/>
              <w:rPr>
                <w:sz w:val="20"/>
                <w:szCs w:val="20"/>
                <w:color w:val="auto"/>
              </w:rPr>
            </w:pPr>
            <w:r>
              <w:rPr>
                <w:rFonts w:ascii="Arial" w:cs="Arial" w:eastAsia="Arial" w:hAnsi="Arial"/>
                <w:sz w:val="15"/>
                <w:szCs w:val="15"/>
                <w:color w:val="auto"/>
              </w:rPr>
              <w:t>receivable</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100,000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(100,000)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Investment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857,093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1,052,901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231,994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(2,141,988)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7"/>
        </w:trPr>
        <w:tc>
          <w:tcPr>
            <w:tcW w:w="192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Total assets</w:t>
            </w: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857,093</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2,397,651</w:t>
            </w:r>
          </w:p>
        </w:tc>
        <w:tc>
          <w:tcPr>
            <w:tcW w:w="1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1,535,753</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289,941</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(3,012,439)</w:t>
            </w: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2,067,999</w:t>
            </w:r>
          </w:p>
        </w:tc>
        <w:tc>
          <w:tcPr>
            <w:tcW w:w="0" w:type="dxa"/>
            <w:vAlign w:val="bottom"/>
          </w:tcPr>
          <w:p>
            <w:pPr>
              <w:spacing w:after="0"/>
              <w:rPr>
                <w:sz w:val="1"/>
                <w:szCs w:val="1"/>
                <w:color w:val="auto"/>
              </w:rPr>
            </w:pPr>
          </w:p>
        </w:tc>
      </w:tr>
      <w:tr>
        <w:trPr>
          <w:trHeight w:val="253"/>
        </w:trPr>
        <w:tc>
          <w:tcPr>
            <w:tcW w:w="19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LIABILITIES AND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EQUITY</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rPr>
              <w:t>Accounts payable</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115,658</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49,313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17,143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182,114</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Intercompany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215,573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91,697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1,419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(308,689)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rPr>
              <w:t>Other current liabilities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11,805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121,074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13,631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146,510</w:t>
            </w:r>
          </w:p>
        </w:tc>
        <w:tc>
          <w:tcPr>
            <w:tcW w:w="0" w:type="dxa"/>
            <w:vAlign w:val="bottom"/>
          </w:tcPr>
          <w:p>
            <w:pPr>
              <w:spacing w:after="0"/>
              <w:rPr>
                <w:sz w:val="1"/>
                <w:szCs w:val="1"/>
                <w:color w:val="auto"/>
              </w:rPr>
            </w:pPr>
          </w:p>
        </w:tc>
      </w:tr>
      <w:tr>
        <w:trPr>
          <w:trHeight w:val="29"/>
        </w:trPr>
        <w:tc>
          <w:tcPr>
            <w:tcW w:w="1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current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343,036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262,084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32,193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(308,689)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328,624</w:t>
            </w: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5"/>
                <w:szCs w:val="15"/>
                <w:color w:val="auto"/>
              </w:rPr>
              <w:t>Long-term debt, net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617,306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617,306</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income taxes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46,620</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37,550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678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84,848</w:t>
            </w:r>
          </w:p>
        </w:tc>
        <w:tc>
          <w:tcPr>
            <w:tcW w:w="0" w:type="dxa"/>
            <w:vAlign w:val="bottom"/>
          </w:tcPr>
          <w:p>
            <w:pPr>
              <w:spacing w:after="0"/>
              <w:rPr>
                <w:sz w:val="1"/>
                <w:szCs w:val="1"/>
                <w:color w:val="auto"/>
              </w:rPr>
            </w:pPr>
          </w:p>
        </w:tc>
      </w:tr>
      <w:tr>
        <w:trPr>
          <w:trHeight w:val="200"/>
        </w:trPr>
        <w:tc>
          <w:tcPr>
            <w:tcW w:w="1920" w:type="dxa"/>
            <w:vAlign w:val="bottom"/>
          </w:tcPr>
          <w:p>
            <w:pPr>
              <w:ind w:left="20"/>
              <w:spacing w:after="0"/>
              <w:rPr>
                <w:sz w:val="20"/>
                <w:szCs w:val="20"/>
                <w:color w:val="auto"/>
              </w:rPr>
            </w:pPr>
            <w:r>
              <w:rPr>
                <w:rFonts w:ascii="Arial" w:cs="Arial" w:eastAsia="Arial" w:hAnsi="Arial"/>
                <w:sz w:val="15"/>
                <w:szCs w:val="15"/>
                <w:color w:val="auto"/>
              </w:rPr>
              <w:t>Intercompany long-term</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20"/>
              <w:spacing w:after="0"/>
              <w:rPr>
                <w:sz w:val="20"/>
                <w:szCs w:val="20"/>
                <w:color w:val="auto"/>
              </w:rPr>
            </w:pPr>
            <w:r>
              <w:rPr>
                <w:rFonts w:ascii="Arial" w:cs="Arial" w:eastAsia="Arial" w:hAnsi="Arial"/>
                <w:sz w:val="15"/>
                <w:szCs w:val="15"/>
                <w:color w:val="auto"/>
              </w:rPr>
              <w:t>liability</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441,294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(441,294)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8"/>
              </w:rPr>
              <w:t>Intercompany long-term note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payable</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5"/>
                <w:szCs w:val="15"/>
                <w:color w:val="auto"/>
              </w:rPr>
              <w:t>Other long-term liabilities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71,834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92,570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15,724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180,128</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857,093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877,561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1,043,549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241,346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(2,162,456)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857,093</w:t>
            </w:r>
          </w:p>
        </w:tc>
        <w:tc>
          <w:tcPr>
            <w:tcW w:w="0" w:type="dxa"/>
            <w:vAlign w:val="bottom"/>
          </w:tcPr>
          <w:p>
            <w:pPr>
              <w:spacing w:after="0"/>
              <w:rPr>
                <w:sz w:val="1"/>
                <w:szCs w:val="1"/>
                <w:color w:val="auto"/>
              </w:rPr>
            </w:pPr>
          </w:p>
        </w:tc>
      </w:tr>
      <w:tr>
        <w:trPr>
          <w:trHeight w:val="180"/>
        </w:trPr>
        <w:tc>
          <w:tcPr>
            <w:tcW w:w="1920" w:type="dxa"/>
            <w:vAlign w:val="bottom"/>
          </w:tcPr>
          <w:p>
            <w:pPr>
              <w:ind w:left="340"/>
              <w:spacing w:after="0"/>
              <w:rPr>
                <w:sz w:val="20"/>
                <w:szCs w:val="20"/>
                <w:color w:val="auto"/>
              </w:rPr>
            </w:pPr>
            <w:r>
              <w:rPr>
                <w:rFonts w:ascii="Arial" w:cs="Arial" w:eastAsia="Arial" w:hAnsi="Arial"/>
                <w:sz w:val="15"/>
                <w:szCs w:val="15"/>
                <w:color w:val="auto"/>
              </w:rPr>
              <w:t>Total liabilities and</w:t>
            </w:r>
          </w:p>
        </w:tc>
        <w:tc>
          <w:tcPr>
            <w:tcW w:w="18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857,093</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2,397,651</w:t>
            </w:r>
          </w:p>
        </w:tc>
        <w:tc>
          <w:tcPr>
            <w:tcW w:w="120" w:type="dxa"/>
            <w:vAlign w:val="bottom"/>
          </w:tcPr>
          <w:p>
            <w:pPr>
              <w:spacing w:after="0"/>
              <w:rPr>
                <w:sz w:val="15"/>
                <w:szCs w:val="15"/>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1,535,753</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289,941</w:t>
            </w:r>
          </w:p>
        </w:tc>
        <w:tc>
          <w:tcPr>
            <w:tcW w:w="10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(3,012,439)</w:t>
            </w:r>
          </w:p>
        </w:tc>
        <w:tc>
          <w:tcPr>
            <w:tcW w:w="8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2,067,999</w:t>
            </w:r>
          </w:p>
        </w:tc>
        <w:tc>
          <w:tcPr>
            <w:tcW w:w="0" w:type="dxa"/>
            <w:vAlign w:val="bottom"/>
          </w:tcPr>
          <w:p>
            <w:pPr>
              <w:spacing w:after="0"/>
              <w:rPr>
                <w:sz w:val="1"/>
                <w:szCs w:val="1"/>
                <w:color w:val="auto"/>
              </w:rPr>
            </w:pPr>
          </w:p>
        </w:tc>
      </w:tr>
      <w:tr>
        <w:trPr>
          <w:trHeight w:val="201"/>
        </w:trPr>
        <w:tc>
          <w:tcPr>
            <w:tcW w:w="1920" w:type="dxa"/>
            <w:vAlign w:val="bottom"/>
          </w:tcPr>
          <w:p>
            <w:pPr>
              <w:ind w:left="340"/>
              <w:spacing w:after="0"/>
              <w:rPr>
                <w:sz w:val="20"/>
                <w:szCs w:val="20"/>
                <w:color w:val="auto"/>
              </w:rPr>
            </w:pPr>
            <w:r>
              <w:rPr>
                <w:rFonts w:ascii="Arial" w:cs="Arial" w:eastAsia="Arial" w:hAnsi="Arial"/>
                <w:sz w:val="15"/>
                <w:szCs w:val="15"/>
                <w:color w:val="auto"/>
              </w:rPr>
              <w:t>stockholders' equity</w:t>
            </w:r>
          </w:p>
        </w:tc>
        <w:tc>
          <w:tcPr>
            <w:tcW w:w="18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9019"/>
          </w:cols>
          <w:pgMar w:left="1440" w:top="123" w:right="1440" w:bottom="1440" w:gutter="0" w:footer="0" w:header="0"/>
        </w:sectPr>
      </w:pPr>
    </w:p>
    <w:bookmarkStart w:id="98" w:name="page99"/>
    <w:bookmarkEnd w:id="98"/>
    <w:p>
      <w:pPr>
        <w:ind w:left="40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CARTER’S, INC.</w:t>
      </w:r>
    </w:p>
    <w:p>
      <w:pPr>
        <w:spacing w:after="0" w:line="97"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of December 31,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(dollars in thousands)</w:t>
      </w:r>
    </w:p>
    <w:p>
      <w:pPr>
        <w:spacing w:after="0" w:line="135"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1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b w:val="1"/>
                <w:bCs w:val="1"/>
                <w:color w:val="auto"/>
                <w:w w:val="88"/>
              </w:rPr>
              <w:t>Subsidiary</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b w:val="1"/>
                <w:bCs w:val="1"/>
                <w:color w:val="auto"/>
                <w:w w:val="90"/>
              </w:rPr>
              <w:t>Guarantor</w:t>
            </w:r>
          </w:p>
        </w:tc>
        <w:tc>
          <w:tcPr>
            <w:tcW w:w="1180" w:type="dxa"/>
            <w:vAlign w:val="bottom"/>
            <w:gridSpan w:val="3"/>
            <w:shd w:val="clear" w:color="auto" w:fill="CCEEFF"/>
          </w:tcPr>
          <w:p>
            <w:pPr>
              <w:jc w:val="center"/>
              <w:ind w:right="120"/>
              <w:spacing w:after="0"/>
              <w:rPr>
                <w:sz w:val="20"/>
                <w:szCs w:val="20"/>
                <w:color w:val="auto"/>
              </w:rPr>
            </w:pPr>
            <w:r>
              <w:rPr>
                <w:rFonts w:ascii="Arial" w:cs="Arial" w:eastAsia="Arial" w:hAnsi="Arial"/>
                <w:sz w:val="15"/>
                <w:szCs w:val="15"/>
                <w:b w:val="1"/>
                <w:bCs w:val="1"/>
                <w:color w:val="auto"/>
                <w:w w:val="91"/>
              </w:rPr>
              <w:t>Non-Guarantor</w:t>
            </w:r>
          </w:p>
        </w:tc>
        <w:tc>
          <w:tcPr>
            <w:tcW w:w="1120" w:type="dxa"/>
            <w:vAlign w:val="bottom"/>
            <w:gridSpan w:val="3"/>
            <w:shd w:val="clear" w:color="auto" w:fill="CCEEFF"/>
          </w:tcPr>
          <w:p>
            <w:pPr>
              <w:jc w:val="center"/>
              <w:ind w:right="100"/>
              <w:spacing w:after="0"/>
              <w:rPr>
                <w:sz w:val="20"/>
                <w:szCs w:val="20"/>
                <w:color w:val="auto"/>
              </w:rPr>
            </w:pPr>
            <w:r>
              <w:rPr>
                <w:rFonts w:ascii="Arial" w:cs="Arial" w:eastAsia="Arial" w:hAnsi="Arial"/>
                <w:sz w:val="15"/>
                <w:szCs w:val="15"/>
                <w:b w:val="1"/>
                <w:bCs w:val="1"/>
                <w:color w:val="auto"/>
                <w:w w:val="85"/>
              </w:rPr>
              <w:t>Consolidating</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9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5"/>
                <w:szCs w:val="15"/>
                <w:b w:val="1"/>
                <w:bCs w:val="1"/>
                <w:color w:val="auto"/>
              </w:rPr>
              <w:t>Parent</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5"/>
                <w:szCs w:val="15"/>
                <w:b w:val="1"/>
                <w:bCs w:val="1"/>
                <w:color w:val="auto"/>
                <w:w w:val="90"/>
              </w:rPr>
              <w:t>Issuer</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5"/>
                <w:szCs w:val="15"/>
                <w:b w:val="1"/>
                <w:bCs w:val="1"/>
                <w:color w:val="auto"/>
                <w:w w:val="87"/>
              </w:rPr>
              <w:t>Subsidiaries</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85"/>
              </w:rPr>
              <w:t>Subsidiaries</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5"/>
                <w:szCs w:val="15"/>
                <w:b w:val="1"/>
                <w:bCs w:val="1"/>
                <w:color w:val="auto"/>
                <w:w w:val="85"/>
              </w:rPr>
              <w:t>Adjustments</w:t>
            </w:r>
          </w:p>
        </w:tc>
        <w:tc>
          <w:tcPr>
            <w:tcW w:w="98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92"/>
              </w:rPr>
              <w:t>Consolidated</w:t>
            </w:r>
          </w:p>
        </w:tc>
        <w:tc>
          <w:tcPr>
            <w:tcW w:w="0" w:type="dxa"/>
            <w:vAlign w:val="bottom"/>
          </w:tcPr>
          <w:p>
            <w:pPr>
              <w:spacing w:after="0"/>
              <w:rPr>
                <w:sz w:val="1"/>
                <w:szCs w:val="1"/>
                <w:color w:val="auto"/>
              </w:rPr>
            </w:pPr>
          </w:p>
        </w:tc>
      </w:tr>
      <w:tr>
        <w:trPr>
          <w:trHeight w:val="207"/>
        </w:trPr>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w w:val="97"/>
              </w:rPr>
              <w:t>Cash and cash equivalents</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229,056</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11,817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58,485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299,358</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Accounts receivable, net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176,825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18,315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7,331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202,471</w:t>
            </w: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rPr>
              <w:t>Intercompany receivable</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55,902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74,681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14,601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(145,184)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98"/>
              </w:rPr>
              <w:t>Finished goods inventories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278,696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174,542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60,153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(25,800)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487,591</w:t>
            </w:r>
          </w:p>
        </w:tc>
        <w:tc>
          <w:tcPr>
            <w:tcW w:w="0" w:type="dxa"/>
            <w:vAlign w:val="bottom"/>
          </w:tcPr>
          <w:p>
            <w:pPr>
              <w:spacing w:after="0"/>
              <w:rPr>
                <w:sz w:val="1"/>
                <w:szCs w:val="1"/>
                <w:color w:val="auto"/>
              </w:rPr>
            </w:pPr>
          </w:p>
        </w:tc>
      </w:tr>
      <w:tr>
        <w:trPr>
          <w:trHeight w:val="200"/>
        </w:trPr>
        <w:tc>
          <w:tcPr>
            <w:tcW w:w="1920" w:type="dxa"/>
            <w:vAlign w:val="bottom"/>
          </w:tcPr>
          <w:p>
            <w:pPr>
              <w:ind w:left="140"/>
              <w:spacing w:after="0"/>
              <w:rPr>
                <w:sz w:val="20"/>
                <w:szCs w:val="20"/>
                <w:color w:val="auto"/>
              </w:rPr>
            </w:pPr>
            <w:r>
              <w:rPr>
                <w:rFonts w:ascii="Arial" w:cs="Arial" w:eastAsia="Arial" w:hAnsi="Arial"/>
                <w:sz w:val="15"/>
                <w:szCs w:val="15"/>
                <w:color w:val="auto"/>
                <w:w w:val="93"/>
              </w:rPr>
              <w:t>Prepaid expenses and other</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140"/>
              <w:spacing w:after="0"/>
              <w:rPr>
                <w:sz w:val="20"/>
                <w:szCs w:val="20"/>
                <w:color w:val="auto"/>
              </w:rPr>
            </w:pPr>
            <w:r>
              <w:rPr>
                <w:rFonts w:ascii="Arial" w:cs="Arial" w:eastAsia="Arial" w:hAnsi="Arial"/>
                <w:sz w:val="15"/>
                <w:szCs w:val="15"/>
                <w:color w:val="auto"/>
              </w:rPr>
              <w:t>current assets</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11,402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16,028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4,750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32,180</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18,476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15,440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35,486</w:t>
            </w:r>
          </w:p>
        </w:tc>
        <w:tc>
          <w:tcPr>
            <w:tcW w:w="0" w:type="dxa"/>
            <w:vAlign w:val="bottom"/>
          </w:tcPr>
          <w:p>
            <w:pPr>
              <w:spacing w:after="0"/>
              <w:rPr>
                <w:sz w:val="1"/>
                <w:szCs w:val="1"/>
                <w:color w:val="auto"/>
              </w:rPr>
            </w:pPr>
          </w:p>
        </w:tc>
      </w:tr>
      <w:tr>
        <w:trPr>
          <w:trHeight w:val="195"/>
        </w:trPr>
        <w:tc>
          <w:tcPr>
            <w:tcW w:w="1920" w:type="dxa"/>
            <w:vAlign w:val="bottom"/>
          </w:tcPr>
          <w:p>
            <w:pPr>
              <w:ind w:left="240"/>
              <w:spacing w:after="0"/>
              <w:rPr>
                <w:sz w:val="20"/>
                <w:szCs w:val="20"/>
                <w:color w:val="auto"/>
              </w:rPr>
            </w:pPr>
            <w:r>
              <w:rPr>
                <w:rFonts w:ascii="Arial" w:cs="Arial" w:eastAsia="Arial" w:hAnsi="Arial"/>
                <w:sz w:val="15"/>
                <w:szCs w:val="15"/>
                <w:color w:val="auto"/>
              </w:rPr>
              <w:t>Total current assets</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770,357</w:t>
            </w: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310,823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146,890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(170,984)</w:t>
            </w: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1,057,086</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w w:val="89"/>
              </w:rPr>
              <w:t>Property, plant, and equipment,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155,187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194,691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35,996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385,874</w:t>
            </w: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5"/>
                <w:szCs w:val="15"/>
                <w:color w:val="auto"/>
              </w:rPr>
              <w:t>Goodwill</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136,570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39,439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176,009</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Tradenames and other</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intangibles, net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223,428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85,500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308,928</w:t>
            </w: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5"/>
                <w:szCs w:val="15"/>
                <w:color w:val="auto"/>
              </w:rPr>
              <w:t>Other assets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17,771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18,700</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Intercompany long-term</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receivable</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428,436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(428,436)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920" w:type="dxa"/>
            <w:vAlign w:val="bottom"/>
          </w:tcPr>
          <w:p>
            <w:pPr>
              <w:ind w:left="20"/>
              <w:spacing w:after="0"/>
              <w:rPr>
                <w:sz w:val="20"/>
                <w:szCs w:val="20"/>
                <w:color w:val="auto"/>
              </w:rPr>
            </w:pPr>
            <w:r>
              <w:rPr>
                <w:rFonts w:ascii="Arial" w:cs="Arial" w:eastAsia="Arial" w:hAnsi="Arial"/>
                <w:sz w:val="15"/>
                <w:szCs w:val="15"/>
                <w:color w:val="auto"/>
                <w:w w:val="98"/>
              </w:rPr>
              <w:t>Intercompany long-term note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20"/>
              <w:spacing w:after="0"/>
              <w:rPr>
                <w:sz w:val="20"/>
                <w:szCs w:val="20"/>
                <w:color w:val="auto"/>
              </w:rPr>
            </w:pPr>
            <w:r>
              <w:rPr>
                <w:rFonts w:ascii="Arial" w:cs="Arial" w:eastAsia="Arial" w:hAnsi="Arial"/>
                <w:sz w:val="15"/>
                <w:szCs w:val="15"/>
                <w:color w:val="auto"/>
              </w:rPr>
              <w:t>receivable</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100,000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(100,000)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Investment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788,124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753,753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145,076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(1,686,953)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7"/>
        </w:trPr>
        <w:tc>
          <w:tcPr>
            <w:tcW w:w="192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Total assets</w:t>
            </w: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788,124</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2,157,066</w:t>
            </w:r>
          </w:p>
        </w:tc>
        <w:tc>
          <w:tcPr>
            <w:tcW w:w="1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1,165,131</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222,649</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(2,386,373)</w:t>
            </w: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1,946,597</w:t>
            </w:r>
          </w:p>
        </w:tc>
        <w:tc>
          <w:tcPr>
            <w:tcW w:w="0" w:type="dxa"/>
            <w:vAlign w:val="bottom"/>
          </w:tcPr>
          <w:p>
            <w:pPr>
              <w:spacing w:after="0"/>
              <w:rPr>
                <w:sz w:val="1"/>
                <w:szCs w:val="1"/>
                <w:color w:val="auto"/>
              </w:rPr>
            </w:pPr>
          </w:p>
        </w:tc>
      </w:tr>
      <w:tr>
        <w:trPr>
          <w:trHeight w:val="253"/>
        </w:trPr>
        <w:tc>
          <w:tcPr>
            <w:tcW w:w="19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LIABILITIES AND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EQUITY</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rPr>
              <w:t>Accounts payable</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97,103</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41,947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19,382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158,432</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Intercompany payables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85,894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55,257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4,033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(145,184)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1920" w:type="dxa"/>
            <w:vAlign w:val="bottom"/>
          </w:tcPr>
          <w:p>
            <w:pPr>
              <w:ind w:left="140"/>
              <w:spacing w:after="0"/>
              <w:rPr>
                <w:sz w:val="20"/>
                <w:szCs w:val="20"/>
                <w:color w:val="auto"/>
              </w:rPr>
            </w:pPr>
            <w:r>
              <w:rPr>
                <w:rFonts w:ascii="Arial" w:cs="Arial" w:eastAsia="Arial" w:hAnsi="Arial"/>
                <w:sz w:val="15"/>
                <w:szCs w:val="15"/>
                <w:color w:val="auto"/>
              </w:rPr>
              <w:t>Other current liabilities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16,473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90,718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11,986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119,177</w:t>
            </w:r>
          </w:p>
        </w:tc>
        <w:tc>
          <w:tcPr>
            <w:tcW w:w="0" w:type="dxa"/>
            <w:vAlign w:val="bottom"/>
          </w:tcPr>
          <w:p>
            <w:pPr>
              <w:spacing w:after="0"/>
              <w:rPr>
                <w:sz w:val="1"/>
                <w:szCs w:val="1"/>
                <w:color w:val="auto"/>
              </w:rPr>
            </w:pPr>
          </w:p>
        </w:tc>
      </w:tr>
      <w:tr>
        <w:trPr>
          <w:trHeight w:val="29"/>
        </w:trPr>
        <w:tc>
          <w:tcPr>
            <w:tcW w:w="1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current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199,470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187,922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35,401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(145,184)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277,609</w:t>
            </w: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5"/>
                <w:szCs w:val="15"/>
                <w:color w:val="auto"/>
              </w:rPr>
              <w:t>Long-term debt, net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561,399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18,977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580,376</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income taxes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87,116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43,540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130,656</w:t>
            </w:r>
          </w:p>
        </w:tc>
        <w:tc>
          <w:tcPr>
            <w:tcW w:w="0" w:type="dxa"/>
            <w:vAlign w:val="bottom"/>
          </w:tcPr>
          <w:p>
            <w:pPr>
              <w:spacing w:after="0"/>
              <w:rPr>
                <w:sz w:val="1"/>
                <w:szCs w:val="1"/>
                <w:color w:val="auto"/>
              </w:rPr>
            </w:pPr>
          </w:p>
        </w:tc>
      </w:tr>
      <w:tr>
        <w:trPr>
          <w:trHeight w:val="200"/>
        </w:trPr>
        <w:tc>
          <w:tcPr>
            <w:tcW w:w="1920" w:type="dxa"/>
            <w:vAlign w:val="bottom"/>
          </w:tcPr>
          <w:p>
            <w:pPr>
              <w:ind w:left="20"/>
              <w:spacing w:after="0"/>
              <w:rPr>
                <w:sz w:val="20"/>
                <w:szCs w:val="20"/>
                <w:color w:val="auto"/>
              </w:rPr>
            </w:pPr>
            <w:r>
              <w:rPr>
                <w:rFonts w:ascii="Arial" w:cs="Arial" w:eastAsia="Arial" w:hAnsi="Arial"/>
                <w:sz w:val="15"/>
                <w:szCs w:val="15"/>
                <w:color w:val="auto"/>
              </w:rPr>
              <w:t>Intercompany long-term</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20"/>
              <w:spacing w:after="0"/>
              <w:rPr>
                <w:sz w:val="20"/>
                <w:szCs w:val="20"/>
                <w:color w:val="auto"/>
              </w:rPr>
            </w:pPr>
            <w:r>
              <w:rPr>
                <w:rFonts w:ascii="Arial" w:cs="Arial" w:eastAsia="Arial" w:hAnsi="Arial"/>
                <w:sz w:val="15"/>
                <w:szCs w:val="15"/>
                <w:color w:val="auto"/>
              </w:rPr>
              <w:t>liability</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428,436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(428,436)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8"/>
              </w:rPr>
              <w:t>Intercompany long-term note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payable</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1920" w:type="dxa"/>
            <w:vAlign w:val="bottom"/>
          </w:tcPr>
          <w:p>
            <w:pPr>
              <w:ind w:left="20"/>
              <w:spacing w:after="0"/>
              <w:rPr>
                <w:sz w:val="20"/>
                <w:szCs w:val="20"/>
                <w:color w:val="auto"/>
              </w:rPr>
            </w:pPr>
            <w:r>
              <w:rPr>
                <w:rFonts w:ascii="Arial" w:cs="Arial" w:eastAsia="Arial" w:hAnsi="Arial"/>
                <w:sz w:val="15"/>
                <w:szCs w:val="15"/>
                <w:color w:val="auto"/>
              </w:rPr>
              <w:t>Other long-term liabilities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66,721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89,252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13,859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169,832</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788,124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813,924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744,417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154,412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(1,712,753)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788,124</w:t>
            </w:r>
          </w:p>
        </w:tc>
        <w:tc>
          <w:tcPr>
            <w:tcW w:w="0" w:type="dxa"/>
            <w:vAlign w:val="bottom"/>
          </w:tcPr>
          <w:p>
            <w:pPr>
              <w:spacing w:after="0"/>
              <w:rPr>
                <w:sz w:val="1"/>
                <w:szCs w:val="1"/>
                <w:color w:val="auto"/>
              </w:rPr>
            </w:pPr>
          </w:p>
        </w:tc>
      </w:tr>
      <w:tr>
        <w:trPr>
          <w:trHeight w:val="180"/>
        </w:trPr>
        <w:tc>
          <w:tcPr>
            <w:tcW w:w="1920" w:type="dxa"/>
            <w:vAlign w:val="bottom"/>
          </w:tcPr>
          <w:p>
            <w:pPr>
              <w:ind w:left="340"/>
              <w:spacing w:after="0"/>
              <w:rPr>
                <w:sz w:val="20"/>
                <w:szCs w:val="20"/>
                <w:color w:val="auto"/>
              </w:rPr>
            </w:pPr>
            <w:r>
              <w:rPr>
                <w:rFonts w:ascii="Arial" w:cs="Arial" w:eastAsia="Arial" w:hAnsi="Arial"/>
                <w:sz w:val="15"/>
                <w:szCs w:val="15"/>
                <w:color w:val="auto"/>
              </w:rPr>
              <w:t>Total liabilities and</w:t>
            </w:r>
          </w:p>
        </w:tc>
        <w:tc>
          <w:tcPr>
            <w:tcW w:w="180" w:type="dxa"/>
            <w:vAlign w:val="bottom"/>
            <w:tcBorders>
              <w:top w:val="single" w:sz="8" w:color="auto"/>
            </w:tcBorders>
            <w:vMerge w:val="restart"/>
          </w:tcPr>
          <w:p>
            <w:pPr>
              <w:jc w:val="right"/>
              <w:ind w:right="7"/>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788,124</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2,157,066</w:t>
            </w:r>
          </w:p>
        </w:tc>
        <w:tc>
          <w:tcPr>
            <w:tcW w:w="120" w:type="dxa"/>
            <w:vAlign w:val="bottom"/>
          </w:tcPr>
          <w:p>
            <w:pPr>
              <w:spacing w:after="0"/>
              <w:rPr>
                <w:sz w:val="15"/>
                <w:szCs w:val="15"/>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1,165,131</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222,649</w:t>
            </w:r>
          </w:p>
        </w:tc>
        <w:tc>
          <w:tcPr>
            <w:tcW w:w="10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(2,386,373)</w:t>
            </w:r>
          </w:p>
        </w:tc>
        <w:tc>
          <w:tcPr>
            <w:tcW w:w="8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1,946,597</w:t>
            </w:r>
          </w:p>
        </w:tc>
        <w:tc>
          <w:tcPr>
            <w:tcW w:w="0" w:type="dxa"/>
            <w:vAlign w:val="bottom"/>
          </w:tcPr>
          <w:p>
            <w:pPr>
              <w:spacing w:after="0"/>
              <w:rPr>
                <w:sz w:val="1"/>
                <w:szCs w:val="1"/>
                <w:color w:val="auto"/>
              </w:rPr>
            </w:pPr>
          </w:p>
        </w:tc>
      </w:tr>
      <w:tr>
        <w:trPr>
          <w:trHeight w:val="201"/>
        </w:trPr>
        <w:tc>
          <w:tcPr>
            <w:tcW w:w="1920" w:type="dxa"/>
            <w:vAlign w:val="bottom"/>
          </w:tcPr>
          <w:p>
            <w:pPr>
              <w:ind w:left="340"/>
              <w:spacing w:after="0"/>
              <w:rPr>
                <w:sz w:val="20"/>
                <w:szCs w:val="20"/>
                <w:color w:val="auto"/>
              </w:rPr>
            </w:pPr>
            <w:r>
              <w:rPr>
                <w:rFonts w:ascii="Arial" w:cs="Arial" w:eastAsia="Arial" w:hAnsi="Arial"/>
                <w:sz w:val="15"/>
                <w:szCs w:val="15"/>
                <w:color w:val="auto"/>
              </w:rPr>
              <w:t>stockholders' equity</w:t>
            </w:r>
          </w:p>
        </w:tc>
        <w:tc>
          <w:tcPr>
            <w:tcW w:w="18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9019"/>
          </w:cols>
          <w:pgMar w:left="1440" w:top="123" w:right="1440" w:bottom="1440" w:gutter="0" w:footer="0" w:header="0"/>
        </w:sectPr>
      </w:pPr>
    </w:p>
    <w:bookmarkStart w:id="99" w:name="page100"/>
    <w:bookmarkEnd w:id="99"/>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CARTER’S, INC.</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Condensed Consolidating Statement of Operations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For the fiscal year ended December 30, 2017</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6"/>
          <w:szCs w:val="16"/>
          <w:i w:val="1"/>
          <w:iCs w:val="1"/>
          <w:color w:val="auto"/>
        </w:rPr>
        <w:t>(dollars in thousands)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Parent</w:t>
            </w:r>
          </w:p>
        </w:tc>
        <w:tc>
          <w:tcPr>
            <w:tcW w:w="860" w:type="dxa"/>
            <w:vAlign w:val="bottom"/>
            <w:gridSpan w:val="3"/>
            <w:shd w:val="clear" w:color="auto" w:fill="CCEEFF"/>
          </w:tcPr>
          <w:p>
            <w:pPr>
              <w:ind w:left="40"/>
              <w:spacing w:after="0"/>
              <w:rPr>
                <w:sz w:val="20"/>
                <w:szCs w:val="20"/>
                <w:color w:val="auto"/>
              </w:rPr>
            </w:pPr>
            <w:r>
              <w:rPr>
                <w:rFonts w:ascii="Arial" w:cs="Arial" w:eastAsia="Arial" w:hAnsi="Arial"/>
                <w:sz w:val="15"/>
                <w:szCs w:val="15"/>
                <w:b w:val="1"/>
                <w:bCs w:val="1"/>
                <w:color w:val="auto"/>
              </w:rPr>
              <w:t>Subsidiary</w:t>
            </w:r>
          </w:p>
        </w:tc>
        <w:tc>
          <w:tcPr>
            <w:tcW w:w="920" w:type="dxa"/>
            <w:vAlign w:val="bottom"/>
            <w:gridSpan w:val="3"/>
            <w:shd w:val="clear" w:color="auto" w:fill="CCEEFF"/>
          </w:tcPr>
          <w:p>
            <w:pPr>
              <w:ind w:left="80"/>
              <w:spacing w:after="0"/>
              <w:rPr>
                <w:sz w:val="20"/>
                <w:szCs w:val="20"/>
                <w:color w:val="auto"/>
              </w:rPr>
            </w:pPr>
            <w:r>
              <w:rPr>
                <w:rFonts w:ascii="Arial" w:cs="Arial" w:eastAsia="Arial" w:hAnsi="Arial"/>
                <w:sz w:val="15"/>
                <w:szCs w:val="15"/>
                <w:b w:val="1"/>
                <w:bCs w:val="1"/>
                <w:color w:val="auto"/>
              </w:rPr>
              <w:t>Guarantor</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right="280"/>
              <w:spacing w:after="0"/>
              <w:rPr>
                <w:sz w:val="20"/>
                <w:szCs w:val="20"/>
                <w:color w:val="auto"/>
              </w:rPr>
            </w:pPr>
            <w:r>
              <w:rPr>
                <w:rFonts w:ascii="Arial" w:cs="Arial" w:eastAsia="Arial" w:hAnsi="Arial"/>
                <w:sz w:val="15"/>
                <w:szCs w:val="15"/>
                <w:b w:val="1"/>
                <w:bCs w:val="1"/>
                <w:color w:val="auto"/>
                <w:w w:val="87"/>
              </w:rPr>
              <w:t>Non-</w:t>
            </w:r>
          </w:p>
        </w:tc>
        <w:tc>
          <w:tcPr>
            <w:tcW w:w="1120" w:type="dxa"/>
            <w:vAlign w:val="bottom"/>
            <w:gridSpan w:val="3"/>
            <w:shd w:val="clear" w:color="auto" w:fill="CCEEFF"/>
          </w:tcPr>
          <w:p>
            <w:pPr>
              <w:jc w:val="center"/>
              <w:ind w:right="100"/>
              <w:spacing w:after="0"/>
              <w:rPr>
                <w:sz w:val="20"/>
                <w:szCs w:val="20"/>
                <w:color w:val="auto"/>
              </w:rPr>
            </w:pPr>
            <w:r>
              <w:rPr>
                <w:rFonts w:ascii="Arial" w:cs="Arial" w:eastAsia="Arial" w:hAnsi="Arial"/>
                <w:sz w:val="15"/>
                <w:szCs w:val="15"/>
                <w:b w:val="1"/>
                <w:bCs w:val="1"/>
                <w:color w:val="auto"/>
                <w:w w:val="85"/>
              </w:rPr>
              <w:t>Consolidating</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84"/>
              </w:rPr>
              <w:t>Consolidated</w:t>
            </w:r>
          </w:p>
        </w:tc>
      </w:tr>
      <w:tr>
        <w:trPr>
          <w:trHeight w:val="183"/>
        </w:trPr>
        <w:tc>
          <w:tcPr>
            <w:tcW w:w="5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5"/>
                <w:szCs w:val="15"/>
                <w:b w:val="1"/>
                <w:bCs w:val="1"/>
                <w:color w:val="auto"/>
              </w:rPr>
              <w:t>Issuer</w:t>
            </w:r>
          </w:p>
        </w:tc>
        <w:tc>
          <w:tcPr>
            <w:tcW w:w="92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w w:val="98"/>
              </w:rPr>
              <w:t>Subsidiaries</w:t>
            </w:r>
          </w:p>
        </w:tc>
        <w:tc>
          <w:tcPr>
            <w:tcW w:w="920" w:type="dxa"/>
            <w:vAlign w:val="bottom"/>
            <w:gridSpan w:val="3"/>
            <w:shd w:val="clear" w:color="auto" w:fill="CCEEFF"/>
          </w:tcPr>
          <w:p>
            <w:pPr>
              <w:jc w:val="center"/>
              <w:ind w:right="100"/>
              <w:spacing w:after="0"/>
              <w:rPr>
                <w:sz w:val="20"/>
                <w:szCs w:val="20"/>
                <w:color w:val="auto"/>
              </w:rPr>
            </w:pPr>
            <w:r>
              <w:rPr>
                <w:rFonts w:ascii="Arial" w:cs="Arial" w:eastAsia="Arial" w:hAnsi="Arial"/>
                <w:sz w:val="15"/>
                <w:szCs w:val="15"/>
                <w:b w:val="1"/>
                <w:bCs w:val="1"/>
                <w:color w:val="auto"/>
                <w:w w:val="90"/>
              </w:rPr>
              <w:t>Guarantor</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b w:val="1"/>
                <w:bCs w:val="1"/>
                <w:color w:val="auto"/>
                <w:w w:val="85"/>
              </w:rPr>
              <w:t>Adjustments</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0"/>
        </w:trPr>
        <w:tc>
          <w:tcPr>
            <w:tcW w:w="5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w w:val="98"/>
              </w:rPr>
              <w:t>Subsidiaries</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Net sales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86"/>
              </w:rPr>
              <w:t>1,922,930</w:t>
            </w:r>
          </w:p>
        </w:tc>
        <w:tc>
          <w:tcPr>
            <w:tcW w:w="100" w:type="dxa"/>
            <w:vAlign w:val="bottom"/>
          </w:tcPr>
          <w:p>
            <w:pPr>
              <w:spacing w:after="0"/>
              <w:rPr>
                <w:sz w:val="16"/>
                <w:szCs w:val="16"/>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86"/>
              </w:rPr>
              <w:t>1,955,611</w:t>
            </w:r>
          </w:p>
        </w:tc>
        <w:tc>
          <w:tcPr>
            <w:tcW w:w="100" w:type="dxa"/>
            <w:vAlign w:val="bottom"/>
          </w:tcPr>
          <w:p>
            <w:pPr>
              <w:spacing w:after="0"/>
              <w:rPr>
                <w:sz w:val="16"/>
                <w:szCs w:val="16"/>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99"/>
              </w:rPr>
              <w:t>372,312</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(850,443)</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3,400,410</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Cost of goods sold</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1,406,517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86"/>
              </w:rPr>
              <w:t>1,143,815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9"/>
              </w:rPr>
              <w:t>196,389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(829,625)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1,917,096</w:t>
            </w: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516,413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811,796</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99"/>
              </w:rPr>
              <w:t>175,923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(20,818)</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1,483,314</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181,129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837,253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9"/>
              </w:rPr>
              <w:t>126,055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(37,510)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1,106,927</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Royalty income</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(34,816)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(19,725)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11,360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(43,181)</w:t>
            </w:r>
          </w:p>
        </w:tc>
      </w:tr>
      <w:tr>
        <w:trPr>
          <w:trHeight w:val="29"/>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370,100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(5,732)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49,868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5,332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419,568</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29,758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5,498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(5,308)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30,044</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(5,497)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5,308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(345)</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(Income) loss in subsidiaries</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w w:val="93"/>
              </w:rPr>
              <w:t>(302,764)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(25,343)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(38,948)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367,055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income, net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(1,163)</w:t>
            </w: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Income (loss) before income taxes</w:t>
            </w: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84"/>
              </w:rPr>
              <w:t>302,764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372,335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26,437</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51,219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(361,723)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391,032</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74,903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12,269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88,268</w:t>
            </w:r>
          </w:p>
        </w:tc>
      </w:tr>
      <w:tr>
        <w:trPr>
          <w:trHeight w:val="217"/>
        </w:trPr>
        <w:tc>
          <w:tcPr>
            <w:tcW w:w="594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89"/>
              </w:rPr>
              <w:t>$302,764</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297,432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25,341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38,950</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(361,723)</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302,764</w:t>
            </w: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520"/>
          </w:cols>
          <w:pgMar w:left="240" w:top="123" w:right="139" w:bottom="1440" w:gutter="0" w:footer="0" w:header="0"/>
        </w:sectPr>
      </w:pPr>
    </w:p>
    <w:bookmarkStart w:id="100" w:name="page101"/>
    <w:bookmarkEnd w:id="100"/>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CARTER’S, INC.</w:t>
      </w: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Condensed Consolidating Statement of Operations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For the fiscal year ended December 31, 2016</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6"/>
          <w:szCs w:val="16"/>
          <w:i w:val="1"/>
          <w:iCs w:val="1"/>
          <w:color w:val="auto"/>
        </w:rPr>
        <w:t>(dollars in thousands)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Parent</w:t>
            </w:r>
          </w:p>
        </w:tc>
        <w:tc>
          <w:tcPr>
            <w:tcW w:w="860" w:type="dxa"/>
            <w:vAlign w:val="bottom"/>
            <w:gridSpan w:val="3"/>
            <w:shd w:val="clear" w:color="auto" w:fill="CCEEFF"/>
          </w:tcPr>
          <w:p>
            <w:pPr>
              <w:ind w:left="40"/>
              <w:spacing w:after="0"/>
              <w:rPr>
                <w:sz w:val="20"/>
                <w:szCs w:val="20"/>
                <w:color w:val="auto"/>
              </w:rPr>
            </w:pPr>
            <w:r>
              <w:rPr>
                <w:rFonts w:ascii="Arial" w:cs="Arial" w:eastAsia="Arial" w:hAnsi="Arial"/>
                <w:sz w:val="15"/>
                <w:szCs w:val="15"/>
                <w:b w:val="1"/>
                <w:bCs w:val="1"/>
                <w:color w:val="auto"/>
              </w:rPr>
              <w:t>Subsidiary</w:t>
            </w:r>
          </w:p>
        </w:tc>
        <w:tc>
          <w:tcPr>
            <w:tcW w:w="920" w:type="dxa"/>
            <w:vAlign w:val="bottom"/>
            <w:gridSpan w:val="3"/>
            <w:shd w:val="clear" w:color="auto" w:fill="CCEEFF"/>
          </w:tcPr>
          <w:p>
            <w:pPr>
              <w:ind w:left="80"/>
              <w:spacing w:after="0"/>
              <w:rPr>
                <w:sz w:val="20"/>
                <w:szCs w:val="20"/>
                <w:color w:val="auto"/>
              </w:rPr>
            </w:pPr>
            <w:r>
              <w:rPr>
                <w:rFonts w:ascii="Arial" w:cs="Arial" w:eastAsia="Arial" w:hAnsi="Arial"/>
                <w:sz w:val="15"/>
                <w:szCs w:val="15"/>
                <w:b w:val="1"/>
                <w:bCs w:val="1"/>
                <w:color w:val="auto"/>
              </w:rPr>
              <w:t>Guarantor</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right="280"/>
              <w:spacing w:after="0"/>
              <w:rPr>
                <w:sz w:val="20"/>
                <w:szCs w:val="20"/>
                <w:color w:val="auto"/>
              </w:rPr>
            </w:pPr>
            <w:r>
              <w:rPr>
                <w:rFonts w:ascii="Arial" w:cs="Arial" w:eastAsia="Arial" w:hAnsi="Arial"/>
                <w:sz w:val="15"/>
                <w:szCs w:val="15"/>
                <w:b w:val="1"/>
                <w:bCs w:val="1"/>
                <w:color w:val="auto"/>
                <w:w w:val="87"/>
              </w:rPr>
              <w:t>Non-</w:t>
            </w:r>
          </w:p>
        </w:tc>
        <w:tc>
          <w:tcPr>
            <w:tcW w:w="1120" w:type="dxa"/>
            <w:vAlign w:val="bottom"/>
            <w:gridSpan w:val="3"/>
            <w:shd w:val="clear" w:color="auto" w:fill="CCEEFF"/>
          </w:tcPr>
          <w:p>
            <w:pPr>
              <w:jc w:val="center"/>
              <w:ind w:right="100"/>
              <w:spacing w:after="0"/>
              <w:rPr>
                <w:sz w:val="20"/>
                <w:szCs w:val="20"/>
                <w:color w:val="auto"/>
              </w:rPr>
            </w:pPr>
            <w:r>
              <w:rPr>
                <w:rFonts w:ascii="Arial" w:cs="Arial" w:eastAsia="Arial" w:hAnsi="Arial"/>
                <w:sz w:val="15"/>
                <w:szCs w:val="15"/>
                <w:b w:val="1"/>
                <w:bCs w:val="1"/>
                <w:color w:val="auto"/>
                <w:w w:val="85"/>
              </w:rPr>
              <w:t>Consolidating</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84"/>
              </w:rPr>
              <w:t>Consolidated</w:t>
            </w:r>
          </w:p>
        </w:tc>
      </w:tr>
      <w:tr>
        <w:trPr>
          <w:trHeight w:val="183"/>
        </w:trPr>
        <w:tc>
          <w:tcPr>
            <w:tcW w:w="5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5"/>
                <w:szCs w:val="15"/>
                <w:b w:val="1"/>
                <w:bCs w:val="1"/>
                <w:color w:val="auto"/>
              </w:rPr>
              <w:t>Issuer</w:t>
            </w:r>
          </w:p>
        </w:tc>
        <w:tc>
          <w:tcPr>
            <w:tcW w:w="92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w w:val="98"/>
              </w:rPr>
              <w:t>Subsidiaries</w:t>
            </w:r>
          </w:p>
        </w:tc>
        <w:tc>
          <w:tcPr>
            <w:tcW w:w="920" w:type="dxa"/>
            <w:vAlign w:val="bottom"/>
            <w:gridSpan w:val="3"/>
            <w:shd w:val="clear" w:color="auto" w:fill="CCEEFF"/>
          </w:tcPr>
          <w:p>
            <w:pPr>
              <w:jc w:val="center"/>
              <w:ind w:right="100"/>
              <w:spacing w:after="0"/>
              <w:rPr>
                <w:sz w:val="20"/>
                <w:szCs w:val="20"/>
                <w:color w:val="auto"/>
              </w:rPr>
            </w:pPr>
            <w:r>
              <w:rPr>
                <w:rFonts w:ascii="Arial" w:cs="Arial" w:eastAsia="Arial" w:hAnsi="Arial"/>
                <w:sz w:val="15"/>
                <w:szCs w:val="15"/>
                <w:b w:val="1"/>
                <w:bCs w:val="1"/>
                <w:color w:val="auto"/>
                <w:w w:val="90"/>
              </w:rPr>
              <w:t>Guarantor</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b w:val="1"/>
                <w:bCs w:val="1"/>
                <w:color w:val="auto"/>
                <w:w w:val="85"/>
              </w:rPr>
              <w:t>Adjustments</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0"/>
        </w:trPr>
        <w:tc>
          <w:tcPr>
            <w:tcW w:w="5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w w:val="98"/>
              </w:rPr>
              <w:t>Subsidiaries</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Net sales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ind w:left="4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86"/>
              </w:rPr>
              <w:t>1,881,919</w:t>
            </w:r>
          </w:p>
        </w:tc>
        <w:tc>
          <w:tcPr>
            <w:tcW w:w="100" w:type="dxa"/>
            <w:vAlign w:val="bottom"/>
          </w:tcPr>
          <w:p>
            <w:pPr>
              <w:spacing w:after="0"/>
              <w:rPr>
                <w:sz w:val="16"/>
                <w:szCs w:val="16"/>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86"/>
              </w:rPr>
              <w:t>1,762,882</w:t>
            </w:r>
          </w:p>
        </w:tc>
        <w:tc>
          <w:tcPr>
            <w:tcW w:w="100" w:type="dxa"/>
            <w:vAlign w:val="bottom"/>
          </w:tcPr>
          <w:p>
            <w:pPr>
              <w:spacing w:after="0"/>
              <w:rPr>
                <w:sz w:val="16"/>
                <w:szCs w:val="16"/>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99"/>
              </w:rPr>
              <w:t>300,533</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(746,150)</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3,199,184</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Cost of goods sold</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6"/>
              </w:rPr>
              <w:t>1,358,209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86"/>
              </w:rPr>
              <w:t>1,033,403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9"/>
              </w:rPr>
              <w:t>155,571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(727,148)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1,820,035</w:t>
            </w: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523,710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729,479</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99"/>
              </w:rPr>
              <w:t>144,962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(19,002)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1,379,149</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177,605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753,874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9"/>
              </w:rPr>
              <w:t>101,494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(37,567)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995,406</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Royalty income</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(32,728)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(19,660)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9,573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(42,815)</w:t>
            </w:r>
          </w:p>
        </w:tc>
      </w:tr>
      <w:tr>
        <w:trPr>
          <w:trHeight w:val="29"/>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378,833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(4,735)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43,468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8,992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426,558</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26,475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7"/>
              <w:spacing w:after="0"/>
              <w:rPr>
                <w:sz w:val="20"/>
                <w:szCs w:val="20"/>
                <w:color w:val="auto"/>
              </w:rPr>
            </w:pPr>
            <w:r>
              <w:rPr>
                <w:rFonts w:ascii="Arial" w:cs="Arial" w:eastAsia="Arial" w:hAnsi="Arial"/>
                <w:sz w:val="15"/>
                <w:szCs w:val="15"/>
                <w:color w:val="auto"/>
              </w:rPr>
              <w:t>5,435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442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(5,308)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27,044</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5,308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(563)</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(Income) loss in subsidiaries</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w w:val="93"/>
              </w:rPr>
              <w:t>(258,106)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4,413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(29,306)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282,999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3,908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4,007</w:t>
            </w: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Income (loss) before income taxes</w:t>
            </w: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84"/>
              </w:rPr>
              <w:t>258,106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354,084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18,654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39,233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(274,007)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396,070</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104,970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23,067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9,927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137,964</w:t>
            </w:r>
          </w:p>
        </w:tc>
      </w:tr>
      <w:tr>
        <w:trPr>
          <w:trHeight w:val="217"/>
        </w:trPr>
        <w:tc>
          <w:tcPr>
            <w:tcW w:w="594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89"/>
              </w:rPr>
              <w:t>$258,106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249,114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(4,413)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29,306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(274,007)</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258,106</w:t>
            </w: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520"/>
          </w:cols>
          <w:pgMar w:left="240" w:top="123" w:right="139" w:bottom="1440" w:gutter="0" w:footer="0" w:header="0"/>
        </w:sectPr>
      </w:pPr>
    </w:p>
    <w:bookmarkStart w:id="101" w:name="page102"/>
    <w:bookmarkEnd w:id="101"/>
    <w:p>
      <w:pPr>
        <w:ind w:left="522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CARTER’S, INC.</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Consolidating Statement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 the fiscal year ended January 2, 2016</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(dollars in thousands)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Parent</w:t>
            </w:r>
          </w:p>
        </w:tc>
        <w:tc>
          <w:tcPr>
            <w:tcW w:w="84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Subsidiary</w:t>
            </w:r>
          </w:p>
        </w:tc>
        <w:tc>
          <w:tcPr>
            <w:tcW w:w="920" w:type="dxa"/>
            <w:vAlign w:val="bottom"/>
            <w:gridSpan w:val="3"/>
            <w:shd w:val="clear" w:color="auto" w:fill="CCEEFF"/>
          </w:tcPr>
          <w:p>
            <w:pPr>
              <w:ind w:left="80"/>
              <w:spacing w:after="0"/>
              <w:rPr>
                <w:sz w:val="20"/>
                <w:szCs w:val="20"/>
                <w:color w:val="auto"/>
              </w:rPr>
            </w:pPr>
            <w:r>
              <w:rPr>
                <w:rFonts w:ascii="Arial" w:cs="Arial" w:eastAsia="Arial" w:hAnsi="Arial"/>
                <w:sz w:val="15"/>
                <w:szCs w:val="15"/>
                <w:b w:val="1"/>
                <w:bCs w:val="1"/>
                <w:color w:val="auto"/>
              </w:rPr>
              <w:t>Guarantor</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right="280"/>
              <w:spacing w:after="0"/>
              <w:rPr>
                <w:sz w:val="20"/>
                <w:szCs w:val="20"/>
                <w:color w:val="auto"/>
              </w:rPr>
            </w:pPr>
            <w:r>
              <w:rPr>
                <w:rFonts w:ascii="Arial" w:cs="Arial" w:eastAsia="Arial" w:hAnsi="Arial"/>
                <w:sz w:val="15"/>
                <w:szCs w:val="15"/>
                <w:b w:val="1"/>
                <w:bCs w:val="1"/>
                <w:color w:val="auto"/>
                <w:w w:val="87"/>
              </w:rPr>
              <w:t>Non-</w:t>
            </w:r>
          </w:p>
        </w:tc>
        <w:tc>
          <w:tcPr>
            <w:tcW w:w="102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w w:val="97"/>
              </w:rPr>
              <w:t>Consolidating</w:t>
            </w:r>
          </w:p>
        </w:tc>
        <w:tc>
          <w:tcPr>
            <w:tcW w:w="1000" w:type="dxa"/>
            <w:vAlign w:val="bottom"/>
            <w:gridSpan w:val="2"/>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92"/>
              </w:rPr>
              <w:t>Consolidated</w:t>
            </w:r>
          </w:p>
        </w:tc>
      </w:tr>
      <w:tr>
        <w:trPr>
          <w:trHeight w:val="183"/>
        </w:trPr>
        <w:tc>
          <w:tcPr>
            <w:tcW w:w="5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5"/>
                <w:szCs w:val="15"/>
                <w:b w:val="1"/>
                <w:bCs w:val="1"/>
                <w:color w:val="auto"/>
              </w:rPr>
              <w:t>Issuer</w:t>
            </w:r>
          </w:p>
        </w:tc>
        <w:tc>
          <w:tcPr>
            <w:tcW w:w="920" w:type="dxa"/>
            <w:vAlign w:val="bottom"/>
            <w:gridSpan w:val="3"/>
            <w:shd w:val="clear" w:color="auto" w:fill="CCEEFF"/>
          </w:tcPr>
          <w:p>
            <w:pPr>
              <w:ind w:left="20"/>
              <w:spacing w:after="0"/>
              <w:rPr>
                <w:sz w:val="20"/>
                <w:szCs w:val="20"/>
                <w:color w:val="auto"/>
              </w:rPr>
            </w:pPr>
            <w:r>
              <w:rPr>
                <w:rFonts w:ascii="Arial" w:cs="Arial" w:eastAsia="Arial" w:hAnsi="Arial"/>
                <w:sz w:val="15"/>
                <w:szCs w:val="15"/>
                <w:b w:val="1"/>
                <w:bCs w:val="1"/>
                <w:color w:val="auto"/>
                <w:w w:val="98"/>
              </w:rPr>
              <w:t>Subsidiaries</w:t>
            </w:r>
          </w:p>
        </w:tc>
        <w:tc>
          <w:tcPr>
            <w:tcW w:w="920" w:type="dxa"/>
            <w:vAlign w:val="bottom"/>
            <w:gridSpan w:val="3"/>
            <w:shd w:val="clear" w:color="auto" w:fill="CCEEFF"/>
          </w:tcPr>
          <w:p>
            <w:pPr>
              <w:jc w:val="center"/>
              <w:ind w:right="120"/>
              <w:spacing w:after="0"/>
              <w:rPr>
                <w:sz w:val="20"/>
                <w:szCs w:val="20"/>
                <w:color w:val="auto"/>
              </w:rPr>
            </w:pPr>
            <w:r>
              <w:rPr>
                <w:rFonts w:ascii="Arial" w:cs="Arial" w:eastAsia="Arial" w:hAnsi="Arial"/>
                <w:sz w:val="15"/>
                <w:szCs w:val="15"/>
                <w:b w:val="1"/>
                <w:bCs w:val="1"/>
                <w:color w:val="auto"/>
                <w:w w:val="93"/>
              </w:rPr>
              <w:t>Guarantor</w:t>
            </w:r>
          </w:p>
        </w:tc>
        <w:tc>
          <w:tcPr>
            <w:tcW w:w="1020" w:type="dxa"/>
            <w:vAlign w:val="bottom"/>
            <w:gridSpan w:val="3"/>
            <w:shd w:val="clear" w:color="auto" w:fill="CCEEFF"/>
          </w:tcPr>
          <w:p>
            <w:pPr>
              <w:ind w:left="60"/>
              <w:spacing w:after="0"/>
              <w:rPr>
                <w:sz w:val="20"/>
                <w:szCs w:val="20"/>
                <w:color w:val="auto"/>
              </w:rPr>
            </w:pPr>
            <w:r>
              <w:rPr>
                <w:rFonts w:ascii="Arial" w:cs="Arial" w:eastAsia="Arial" w:hAnsi="Arial"/>
                <w:sz w:val="15"/>
                <w:szCs w:val="15"/>
                <w:b w:val="1"/>
                <w:bCs w:val="1"/>
                <w:color w:val="auto"/>
              </w:rPr>
              <w:t>Adjustments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20"/>
        </w:trPr>
        <w:tc>
          <w:tcPr>
            <w:tcW w:w="5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w w:val="98"/>
              </w:rPr>
              <w:t>Subsidiaries</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Net sales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83"/>
              </w:rPr>
              <w:t>1,813,950</w:t>
            </w:r>
          </w:p>
        </w:tc>
        <w:tc>
          <w:tcPr>
            <w:tcW w:w="10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89"/>
              </w:rPr>
              <w:t>1,639,826</w:t>
            </w:r>
          </w:p>
        </w:tc>
        <w:tc>
          <w:tcPr>
            <w:tcW w:w="100" w:type="dxa"/>
            <w:vAlign w:val="bottom"/>
          </w:tcPr>
          <w:p>
            <w:pPr>
              <w:spacing w:after="0"/>
              <w:rPr>
                <w:sz w:val="16"/>
                <w:szCs w:val="16"/>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99"/>
              </w:rPr>
              <w:t>246,158</w:t>
            </w:r>
          </w:p>
        </w:tc>
        <w:tc>
          <w:tcPr>
            <w:tcW w:w="100" w:type="dxa"/>
            <w:vAlign w:val="bottom"/>
          </w:tcPr>
          <w:p>
            <w:pPr>
              <w:spacing w:after="0"/>
              <w:rPr>
                <w:sz w:val="16"/>
                <w:szCs w:val="16"/>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(686,055)</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3,013,879</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Cost of goods sold</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83"/>
              </w:rPr>
              <w:t>1,286,411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989,284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9"/>
              </w:rPr>
              <w:t>136,317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(656,157)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1,755,855</w:t>
            </w: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527,539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650,542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99"/>
              </w:rPr>
              <w:t>109,841</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(29,898)</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1,258,024</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181,150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679,532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88,257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(39,706)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909,233</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Royalty income</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(32,978)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(19,414)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8,326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(44,066)</w:t>
            </w:r>
          </w:p>
        </w:tc>
      </w:tr>
      <w:tr>
        <w:trPr>
          <w:trHeight w:val="29"/>
        </w:trPr>
        <w:tc>
          <w:tcPr>
            <w:tcW w:w="5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379,367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(9,576)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21,584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1,482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392,857</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660" w:type="dxa"/>
            <w:vAlign w:val="bottom"/>
          </w:tcPr>
          <w:p>
            <w:pPr>
              <w:jc w:val="right"/>
              <w:ind w:right="7"/>
              <w:spacing w:after="0"/>
              <w:rPr>
                <w:sz w:val="20"/>
                <w:szCs w:val="20"/>
                <w:color w:val="auto"/>
              </w:rPr>
            </w:pPr>
            <w:r>
              <w:rPr>
                <w:rFonts w:ascii="Arial" w:cs="Arial" w:eastAsia="Arial" w:hAnsi="Arial"/>
                <w:sz w:val="15"/>
                <w:szCs w:val="15"/>
                <w:color w:val="auto"/>
              </w:rPr>
              <w:t>26,550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7"/>
              <w:spacing w:after="0"/>
              <w:rPr>
                <w:sz w:val="20"/>
                <w:szCs w:val="20"/>
                <w:color w:val="auto"/>
              </w:rPr>
            </w:pPr>
            <w:r>
              <w:rPr>
                <w:rFonts w:ascii="Arial" w:cs="Arial" w:eastAsia="Arial" w:hAnsi="Arial"/>
                <w:sz w:val="15"/>
                <w:szCs w:val="15"/>
                <w:color w:val="auto"/>
              </w:rPr>
              <w:t>5,331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7"/>
              <w:spacing w:after="0"/>
              <w:rPr>
                <w:sz w:val="20"/>
                <w:szCs w:val="20"/>
                <w:color w:val="auto"/>
              </w:rPr>
            </w:pPr>
            <w:r>
              <w:rPr>
                <w:rFonts w:ascii="Arial" w:cs="Arial" w:eastAsia="Arial" w:hAnsi="Arial"/>
                <w:sz w:val="15"/>
                <w:szCs w:val="15"/>
                <w:color w:val="auto"/>
              </w:rPr>
              <w:t>557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(5,407)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27,031</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(5,826)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5,407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(500)</w:t>
            </w:r>
          </w:p>
        </w:tc>
      </w:tr>
      <w:tr>
        <w:trPr>
          <w:trHeight w:val="215"/>
        </w:trPr>
        <w:tc>
          <w:tcPr>
            <w:tcW w:w="5940" w:type="dxa"/>
            <w:vAlign w:val="bottom"/>
          </w:tcPr>
          <w:p>
            <w:pPr>
              <w:ind w:left="20"/>
              <w:spacing w:after="0"/>
              <w:rPr>
                <w:sz w:val="20"/>
                <w:szCs w:val="20"/>
                <w:color w:val="auto"/>
              </w:rPr>
            </w:pPr>
            <w:r>
              <w:rPr>
                <w:rFonts w:ascii="Arial" w:cs="Arial" w:eastAsia="Arial" w:hAnsi="Arial"/>
                <w:sz w:val="15"/>
                <w:szCs w:val="15"/>
                <w:color w:val="auto"/>
              </w:rPr>
              <w:t>(Income) loss in subsidiaries</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w w:val="93"/>
              </w:rPr>
              <w:t>(237,822)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7"/>
              <w:spacing w:after="0"/>
              <w:rPr>
                <w:sz w:val="20"/>
                <w:szCs w:val="20"/>
                <w:color w:val="auto"/>
              </w:rPr>
            </w:pPr>
            <w:r>
              <w:rPr>
                <w:rFonts w:ascii="Arial" w:cs="Arial" w:eastAsia="Arial" w:hAnsi="Arial"/>
                <w:sz w:val="15"/>
                <w:szCs w:val="15"/>
                <w:color w:val="auto"/>
              </w:rPr>
              <w:t>19,775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(9,742)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227,789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(1,862)</w:t>
            </w:r>
          </w:p>
        </w:tc>
      </w:tr>
      <w:tr>
        <w:trPr>
          <w:trHeight w:val="195"/>
        </w:trPr>
        <w:tc>
          <w:tcPr>
            <w:tcW w:w="5940" w:type="dxa"/>
            <w:vAlign w:val="bottom"/>
          </w:tcPr>
          <w:p>
            <w:pPr>
              <w:ind w:left="20"/>
              <w:spacing w:after="0"/>
              <w:rPr>
                <w:sz w:val="20"/>
                <w:szCs w:val="20"/>
                <w:color w:val="auto"/>
              </w:rPr>
            </w:pPr>
            <w:r>
              <w:rPr>
                <w:rFonts w:ascii="Arial" w:cs="Arial" w:eastAsia="Arial" w:hAnsi="Arial"/>
                <w:sz w:val="15"/>
                <w:szCs w:val="15"/>
                <w:color w:val="auto"/>
              </w:rPr>
              <w:t>Income (loss) before income taxes</w:t>
            </w: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84"/>
              </w:rPr>
              <w:t>237,822</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338,874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(5,105)</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22,904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(226,307)</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368,188</w:t>
            </w:r>
          </w:p>
        </w:tc>
      </w:tr>
      <w:tr>
        <w:trPr>
          <w:trHeight w:val="29"/>
        </w:trPr>
        <w:tc>
          <w:tcPr>
            <w:tcW w:w="5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102,534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20,590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7,242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130,366</w:t>
            </w:r>
          </w:p>
        </w:tc>
      </w:tr>
      <w:tr>
        <w:trPr>
          <w:trHeight w:val="217"/>
        </w:trPr>
        <w:tc>
          <w:tcPr>
            <w:tcW w:w="5940" w:type="dxa"/>
            <w:vAlign w:val="bottom"/>
          </w:tcPr>
          <w:p>
            <w:pPr>
              <w:spacing w:after="0"/>
              <w:rPr>
                <w:sz w:val="20"/>
                <w:szCs w:val="20"/>
                <w:color w:val="auto"/>
              </w:rPr>
            </w:pPr>
            <w:r>
              <w:rPr>
                <w:rFonts w:ascii="Arial" w:cs="Arial" w:eastAsia="Arial" w:hAnsi="Arial"/>
                <w:sz w:val="15"/>
                <w:szCs w:val="15"/>
                <w:color w:val="auto"/>
              </w:rPr>
              <w:t>Net income (loss)</w:t>
            </w:r>
          </w:p>
        </w:tc>
        <w:tc>
          <w:tcPr>
            <w:tcW w:w="66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89"/>
              </w:rPr>
              <w:t>$237,822</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236,340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(25,695)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15,662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(226,307)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237,822</w:t>
            </w: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00"/>
          </w:cols>
          <w:pgMar w:left="260" w:top="123" w:right="239" w:bottom="1440" w:gutter="0" w:footer="0" w:header="0"/>
        </w:sectPr>
      </w:pPr>
    </w:p>
    <w:bookmarkStart w:id="102" w:name="page103"/>
    <w:bookmarkEnd w:id="102"/>
    <w:p>
      <w:pPr>
        <w:ind w:left="40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CARTER’S, INC.</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Statements of Comprehensive Income (Loss)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fiscal year ended December 30, 2017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(dollars in thousands)</w:t>
      </w:r>
    </w:p>
    <w:p>
      <w:pPr>
        <w:spacing w:after="0" w:line="330"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1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5"/>
                <w:szCs w:val="15"/>
                <w:b w:val="1"/>
                <w:bCs w:val="1"/>
                <w:color w:val="auto"/>
              </w:rPr>
              <w:t>Parent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5"/>
                <w:szCs w:val="15"/>
                <w:b w:val="1"/>
                <w:bCs w:val="1"/>
                <w:color w:val="auto"/>
                <w:w w:val="88"/>
              </w:rPr>
              <w:t>Subsidiary</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b w:val="1"/>
                <w:bCs w:val="1"/>
                <w:color w:val="auto"/>
                <w:w w:val="93"/>
              </w:rPr>
              <w:t>Guarantor</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93"/>
              </w:rPr>
              <w:t>Non-</w:t>
            </w:r>
          </w:p>
        </w:tc>
        <w:tc>
          <w:tcPr>
            <w:tcW w:w="1180" w:type="dxa"/>
            <w:vAlign w:val="bottom"/>
            <w:gridSpan w:val="3"/>
            <w:shd w:val="clear" w:color="auto" w:fill="CCEEFF"/>
          </w:tcPr>
          <w:p>
            <w:pPr>
              <w:jc w:val="center"/>
              <w:ind w:right="120"/>
              <w:spacing w:after="0"/>
              <w:rPr>
                <w:sz w:val="20"/>
                <w:szCs w:val="20"/>
                <w:color w:val="auto"/>
              </w:rPr>
            </w:pPr>
            <w:r>
              <w:rPr>
                <w:rFonts w:ascii="Arial" w:cs="Arial" w:eastAsia="Arial" w:hAnsi="Arial"/>
                <w:sz w:val="15"/>
                <w:szCs w:val="15"/>
                <w:b w:val="1"/>
                <w:bCs w:val="1"/>
                <w:color w:val="auto"/>
                <w:w w:val="85"/>
              </w:rPr>
              <w:t>Consolidating</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2"/>
              </w:rPr>
              <w:t>Consolidated</w:t>
            </w:r>
          </w:p>
        </w:tc>
      </w:tr>
      <w:tr>
        <w:trPr>
          <w:trHeight w:val="183"/>
        </w:trPr>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b w:val="1"/>
                <w:bCs w:val="1"/>
                <w:color w:val="auto"/>
                <w:w w:val="85"/>
              </w:rPr>
              <w:t>Issuer</w:t>
            </w:r>
          </w:p>
        </w:tc>
        <w:tc>
          <w:tcPr>
            <w:tcW w:w="1060" w:type="dxa"/>
            <w:vAlign w:val="bottom"/>
            <w:gridSpan w:val="3"/>
            <w:shd w:val="clear" w:color="auto" w:fill="CCEEFF"/>
          </w:tcPr>
          <w:p>
            <w:pPr>
              <w:jc w:val="center"/>
              <w:ind w:right="140"/>
              <w:spacing w:after="0"/>
              <w:rPr>
                <w:sz w:val="20"/>
                <w:szCs w:val="20"/>
                <w:color w:val="auto"/>
              </w:rPr>
            </w:pPr>
            <w:r>
              <w:rPr>
                <w:rFonts w:ascii="Arial" w:cs="Arial" w:eastAsia="Arial" w:hAnsi="Arial"/>
                <w:sz w:val="15"/>
                <w:szCs w:val="15"/>
                <w:b w:val="1"/>
                <w:bCs w:val="1"/>
                <w:color w:val="auto"/>
                <w:w w:val="85"/>
              </w:rPr>
              <w:t>Subsidiaries</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93"/>
              </w:rPr>
              <w:t>Guarantor</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right="260"/>
              <w:spacing w:after="0"/>
              <w:rPr>
                <w:sz w:val="20"/>
                <w:szCs w:val="20"/>
                <w:color w:val="auto"/>
              </w:rPr>
            </w:pPr>
            <w:r>
              <w:rPr>
                <w:rFonts w:ascii="Arial" w:cs="Arial" w:eastAsia="Arial" w:hAnsi="Arial"/>
                <w:sz w:val="15"/>
                <w:szCs w:val="15"/>
                <w:b w:val="1"/>
                <w:bCs w:val="1"/>
                <w:color w:val="auto"/>
                <w:w w:val="88"/>
              </w:rPr>
              <w:t>Adjustments</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20"/>
        </w:trPr>
        <w:tc>
          <w:tcPr>
            <w:tcW w:w="19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85"/>
              </w:rPr>
              <w:t>Subsidiaries</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r>
      <w:tr>
        <w:trPr>
          <w:trHeight w:val="195"/>
        </w:trPr>
        <w:tc>
          <w:tcPr>
            <w:tcW w:w="192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1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302,764</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297,432</w:t>
            </w: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25,341</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38,950</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(361,723)</w:t>
            </w:r>
          </w:p>
        </w:tc>
        <w:tc>
          <w:tcPr>
            <w:tcW w:w="120" w:type="dxa"/>
            <w:vAlign w:val="bottom"/>
          </w:tcPr>
          <w:p>
            <w:pPr>
              <w:spacing w:after="0"/>
              <w:rPr>
                <w:sz w:val="16"/>
                <w:szCs w:val="16"/>
                <w:color w:val="auto"/>
              </w:rPr>
            </w:pPr>
          </w:p>
        </w:tc>
        <w:tc>
          <w:tcPr>
            <w:tcW w:w="26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302,764</w:t>
            </w: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5"/>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96"/>
              </w:rPr>
              <w:t>Post-retirement benefit plans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(692)</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rPr>
              <w:t>1,122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(692)</w:t>
            </w:r>
          </w:p>
        </w:tc>
      </w:tr>
      <w:tr>
        <w:trPr>
          <w:trHeight w:val="200"/>
        </w:trPr>
        <w:tc>
          <w:tcPr>
            <w:tcW w:w="1920" w:type="dxa"/>
            <w:vAlign w:val="bottom"/>
          </w:tcPr>
          <w:p>
            <w:pPr>
              <w:ind w:left="40"/>
              <w:spacing w:after="0"/>
              <w:rPr>
                <w:sz w:val="20"/>
                <w:szCs w:val="20"/>
                <w:color w:val="auto"/>
              </w:rPr>
            </w:pPr>
            <w:r>
              <w:rPr>
                <w:rFonts w:ascii="Arial" w:cs="Arial" w:eastAsia="Arial" w:hAnsi="Arial"/>
                <w:sz w:val="15"/>
                <w:szCs w:val="15"/>
                <w:color w:val="auto"/>
              </w:rPr>
              <w:t>Foreign currency translation</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87"/>
        </w:trPr>
        <w:tc>
          <w:tcPr>
            <w:tcW w:w="1920" w:type="dxa"/>
            <w:vAlign w:val="bottom"/>
          </w:tcPr>
          <w:p>
            <w:pPr>
              <w:ind w:left="40"/>
              <w:spacing w:after="0"/>
              <w:rPr>
                <w:sz w:val="20"/>
                <w:szCs w:val="20"/>
                <w:color w:val="auto"/>
              </w:rPr>
            </w:pPr>
            <w:r>
              <w:rPr>
                <w:rFonts w:ascii="Arial" w:cs="Arial" w:eastAsia="Arial" w:hAnsi="Arial"/>
                <w:sz w:val="15"/>
                <w:szCs w:val="15"/>
                <w:color w:val="auto"/>
              </w:rPr>
              <w:t>adjustments</w:t>
            </w:r>
          </w:p>
        </w:tc>
        <w:tc>
          <w:tcPr>
            <w:tcW w:w="180" w:type="dxa"/>
            <w:vAlign w:val="bottom"/>
          </w:tcPr>
          <w:p>
            <w:pPr>
              <w:spacing w:after="0"/>
              <w:rPr>
                <w:sz w:val="16"/>
                <w:szCs w:val="16"/>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6,339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6,339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Arial" w:cs="Arial" w:eastAsia="Arial" w:hAnsi="Arial"/>
                <w:sz w:val="15"/>
                <w:szCs w:val="15"/>
                <w:color w:val="auto"/>
              </w:rPr>
              <w:t>6,339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6,339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(19,017)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ind w:right="7"/>
              <w:spacing w:after="0"/>
              <w:rPr>
                <w:sz w:val="20"/>
                <w:szCs w:val="20"/>
                <w:color w:val="auto"/>
              </w:rPr>
            </w:pPr>
            <w:r>
              <w:rPr>
                <w:rFonts w:ascii="Arial" w:cs="Arial" w:eastAsia="Arial" w:hAnsi="Arial"/>
                <w:sz w:val="15"/>
                <w:szCs w:val="15"/>
                <w:color w:val="auto"/>
              </w:rPr>
              <w:t>6,339</w:t>
            </w:r>
          </w:p>
        </w:tc>
      </w:tr>
      <w:tr>
        <w:trPr>
          <w:trHeight w:val="29"/>
        </w:trPr>
        <w:tc>
          <w:tcPr>
            <w:tcW w:w="1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Comprehensive income</w:t>
            </w:r>
          </w:p>
        </w:tc>
        <w:tc>
          <w:tcPr>
            <w:tcW w:w="1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308,411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303,079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31,250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45,289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(379,618)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308,411</w:t>
            </w:r>
          </w:p>
        </w:tc>
      </w:tr>
      <w:tr>
        <w:trPr>
          <w:trHeight w:val="20"/>
        </w:trPr>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fiscal year ended December 31,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(dollars in thousands)</w:t>
      </w:r>
    </w:p>
    <w:p>
      <w:pPr>
        <w:spacing w:after="0" w:line="330"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1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5"/>
                <w:szCs w:val="15"/>
                <w:b w:val="1"/>
                <w:bCs w:val="1"/>
                <w:color w:val="auto"/>
              </w:rPr>
              <w:t>Parent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5"/>
                <w:szCs w:val="15"/>
                <w:b w:val="1"/>
                <w:bCs w:val="1"/>
                <w:color w:val="auto"/>
                <w:w w:val="88"/>
              </w:rPr>
              <w:t>Subsidiary</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b w:val="1"/>
                <w:bCs w:val="1"/>
                <w:color w:val="auto"/>
                <w:w w:val="93"/>
              </w:rPr>
              <w:t>Guarantor</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93"/>
              </w:rPr>
              <w:t>Non-</w:t>
            </w: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5"/>
                <w:szCs w:val="15"/>
                <w:b w:val="1"/>
                <w:bCs w:val="1"/>
                <w:color w:val="auto"/>
                <w:w w:val="87"/>
              </w:rPr>
              <w:t>Consolidating</w:t>
            </w:r>
          </w:p>
        </w:tc>
        <w:tc>
          <w:tcPr>
            <w:tcW w:w="98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92"/>
              </w:rPr>
              <w:t>Consolidated</w:t>
            </w:r>
          </w:p>
        </w:tc>
        <w:tc>
          <w:tcPr>
            <w:tcW w:w="0" w:type="dxa"/>
            <w:vAlign w:val="bottom"/>
          </w:tcPr>
          <w:p>
            <w:pPr>
              <w:spacing w:after="0"/>
              <w:rPr>
                <w:sz w:val="1"/>
                <w:szCs w:val="1"/>
                <w:color w:val="auto"/>
              </w:rPr>
            </w:pPr>
          </w:p>
        </w:tc>
      </w:tr>
      <w:tr>
        <w:trPr>
          <w:trHeight w:val="183"/>
        </w:trPr>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5"/>
                <w:szCs w:val="15"/>
                <w:b w:val="1"/>
                <w:bCs w:val="1"/>
                <w:color w:val="auto"/>
                <w:w w:val="90"/>
              </w:rPr>
              <w:t>Issuer</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87"/>
              </w:rPr>
              <w:t>Subsidiaries</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93"/>
              </w:rPr>
              <w:t>Guarantor</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88"/>
              </w:rPr>
              <w:t>Adjustments</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9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85"/>
              </w:rPr>
              <w:t>Subsidiaries</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2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258,106</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249,114</w:t>
            </w:r>
          </w:p>
        </w:tc>
        <w:tc>
          <w:tcPr>
            <w:tcW w:w="14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(4,413)</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29,306</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(274,007)</w:t>
            </w:r>
          </w:p>
        </w:tc>
        <w:tc>
          <w:tcPr>
            <w:tcW w:w="120" w:type="dxa"/>
            <w:vAlign w:val="bottom"/>
          </w:tcPr>
          <w:p>
            <w:pPr>
              <w:spacing w:after="0"/>
              <w:rPr>
                <w:sz w:val="16"/>
                <w:szCs w:val="16"/>
                <w:color w:val="auto"/>
              </w:rPr>
            </w:pPr>
          </w:p>
        </w:tc>
        <w:tc>
          <w:tcPr>
            <w:tcW w:w="26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258,106</w:t>
            </w:r>
          </w:p>
        </w:tc>
        <w:tc>
          <w:tcPr>
            <w:tcW w:w="0" w:type="dxa"/>
            <w:vAlign w:val="bottom"/>
          </w:tcPr>
          <w:p>
            <w:pPr>
              <w:spacing w:after="0"/>
              <w:rPr>
                <w:sz w:val="1"/>
                <w:szCs w:val="1"/>
                <w:color w:val="auto"/>
              </w:rPr>
            </w:pPr>
          </w:p>
        </w:tc>
      </w:tr>
      <w:tr>
        <w:trPr>
          <w:trHeight w:val="29"/>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8"/>
              </w:rPr>
              <w:t>Post-retirement benefit plans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(666)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1,001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(335)</w:t>
            </w:r>
          </w:p>
        </w:tc>
        <w:tc>
          <w:tcPr>
            <w:tcW w:w="0" w:type="dxa"/>
            <w:vAlign w:val="bottom"/>
          </w:tcPr>
          <w:p>
            <w:pPr>
              <w:spacing w:after="0"/>
              <w:rPr>
                <w:sz w:val="1"/>
                <w:szCs w:val="1"/>
                <w:color w:val="auto"/>
              </w:rPr>
            </w:pPr>
          </w:p>
        </w:tc>
      </w:tr>
      <w:tr>
        <w:trPr>
          <w:trHeight w:val="200"/>
        </w:trPr>
        <w:tc>
          <w:tcPr>
            <w:tcW w:w="1920" w:type="dxa"/>
            <w:vAlign w:val="bottom"/>
          </w:tcPr>
          <w:p>
            <w:pPr>
              <w:ind w:left="20"/>
              <w:spacing w:after="0"/>
              <w:rPr>
                <w:sz w:val="20"/>
                <w:szCs w:val="20"/>
                <w:color w:val="auto"/>
              </w:rPr>
            </w:pPr>
            <w:r>
              <w:rPr>
                <w:rFonts w:ascii="Arial" w:cs="Arial" w:eastAsia="Arial" w:hAnsi="Arial"/>
                <w:sz w:val="15"/>
                <w:szCs w:val="15"/>
                <w:color w:val="auto"/>
              </w:rPr>
              <w:t>Foreign currency translation</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20" w:type="dxa"/>
            <w:vAlign w:val="bottom"/>
          </w:tcPr>
          <w:p>
            <w:pPr>
              <w:ind w:left="20"/>
              <w:spacing w:after="0"/>
              <w:rPr>
                <w:sz w:val="20"/>
                <w:szCs w:val="20"/>
                <w:color w:val="auto"/>
              </w:rPr>
            </w:pPr>
            <w:r>
              <w:rPr>
                <w:rFonts w:ascii="Arial" w:cs="Arial" w:eastAsia="Arial" w:hAnsi="Arial"/>
                <w:sz w:val="15"/>
                <w:szCs w:val="15"/>
                <w:color w:val="auto"/>
              </w:rPr>
              <w:t>adjustments</w:t>
            </w:r>
          </w:p>
        </w:tc>
        <w:tc>
          <w:tcPr>
            <w:tcW w:w="180" w:type="dxa"/>
            <w:vAlign w:val="bottom"/>
          </w:tcPr>
          <w:p>
            <w:pPr>
              <w:spacing w:after="0"/>
              <w:rPr>
                <w:sz w:val="16"/>
                <w:szCs w:val="16"/>
                <w:color w:val="auto"/>
              </w:rPr>
            </w:pPr>
          </w:p>
        </w:tc>
        <w:tc>
          <w:tcPr>
            <w:tcW w:w="780" w:type="dxa"/>
            <w:vAlign w:val="bottom"/>
          </w:tcPr>
          <w:p>
            <w:pPr>
              <w:jc w:val="right"/>
              <w:ind w:right="7"/>
              <w:spacing w:after="0"/>
              <w:rPr>
                <w:sz w:val="20"/>
                <w:szCs w:val="20"/>
                <w:color w:val="auto"/>
              </w:rPr>
            </w:pPr>
            <w:r>
              <w:rPr>
                <w:rFonts w:ascii="Arial" w:cs="Arial" w:eastAsia="Arial" w:hAnsi="Arial"/>
                <w:sz w:val="15"/>
                <w:szCs w:val="15"/>
                <w:color w:val="auto"/>
              </w:rPr>
              <w:t>1,962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7"/>
              <w:spacing w:after="0"/>
              <w:rPr>
                <w:sz w:val="20"/>
                <w:szCs w:val="20"/>
                <w:color w:val="auto"/>
              </w:rPr>
            </w:pPr>
            <w:r>
              <w:rPr>
                <w:rFonts w:ascii="Arial" w:cs="Arial" w:eastAsia="Arial" w:hAnsi="Arial"/>
                <w:sz w:val="15"/>
                <w:szCs w:val="15"/>
                <w:color w:val="auto"/>
              </w:rPr>
              <w:t>1,962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1,962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1,962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(5,886)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1,962</w:t>
            </w:r>
          </w:p>
        </w:tc>
        <w:tc>
          <w:tcPr>
            <w:tcW w:w="0" w:type="dxa"/>
            <w:vAlign w:val="bottom"/>
          </w:tcPr>
          <w:p>
            <w:pPr>
              <w:spacing w:after="0"/>
              <w:rPr>
                <w:sz w:val="1"/>
                <w:szCs w:val="1"/>
                <w:color w:val="auto"/>
              </w:rPr>
            </w:pPr>
          </w:p>
        </w:tc>
      </w:tr>
      <w:tr>
        <w:trPr>
          <w:trHeight w:val="29"/>
        </w:trPr>
        <w:tc>
          <w:tcPr>
            <w:tcW w:w="1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Comprehensive income</w:t>
            </w:r>
          </w:p>
        </w:tc>
        <w:tc>
          <w:tcPr>
            <w:tcW w:w="1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259,733</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250,741</w:t>
            </w:r>
          </w:p>
        </w:tc>
        <w:tc>
          <w:tcPr>
            <w:tcW w:w="14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(3,117)</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31,268</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(278,892)</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259,733</w:t>
            </w: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(loss)</w:t>
            </w: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fiscal year ended January 2,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(dollars in thousands)</w:t>
      </w:r>
    </w:p>
    <w:p>
      <w:pPr>
        <w:spacing w:after="0" w:line="330"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1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5"/>
                <w:szCs w:val="15"/>
                <w:b w:val="1"/>
                <w:bCs w:val="1"/>
                <w:color w:val="auto"/>
              </w:rPr>
              <w:t>Parent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5"/>
                <w:szCs w:val="15"/>
                <w:b w:val="1"/>
                <w:bCs w:val="1"/>
                <w:color w:val="auto"/>
                <w:w w:val="88"/>
              </w:rPr>
              <w:t>Subsidiary</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90"/>
              </w:rPr>
              <w:t>Guarantor</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b w:val="1"/>
                <w:bCs w:val="1"/>
                <w:color w:val="auto"/>
                <w:w w:val="93"/>
              </w:rPr>
              <w:t>Non-</w:t>
            </w:r>
          </w:p>
        </w:tc>
        <w:tc>
          <w:tcPr>
            <w:tcW w:w="1140" w:type="dxa"/>
            <w:vAlign w:val="bottom"/>
            <w:gridSpan w:val="3"/>
            <w:shd w:val="clear" w:color="auto" w:fill="CCEEFF"/>
          </w:tcPr>
          <w:p>
            <w:pPr>
              <w:jc w:val="center"/>
              <w:ind w:right="120"/>
              <w:spacing w:after="0"/>
              <w:rPr>
                <w:sz w:val="20"/>
                <w:szCs w:val="20"/>
                <w:color w:val="auto"/>
              </w:rPr>
            </w:pPr>
            <w:r>
              <w:rPr>
                <w:rFonts w:ascii="Arial" w:cs="Arial" w:eastAsia="Arial" w:hAnsi="Arial"/>
                <w:sz w:val="15"/>
                <w:szCs w:val="15"/>
                <w:b w:val="1"/>
                <w:bCs w:val="1"/>
                <w:color w:val="auto"/>
                <w:w w:val="85"/>
              </w:rPr>
              <w:t>Consolidating</w:t>
            </w:r>
          </w:p>
        </w:tc>
        <w:tc>
          <w:tcPr>
            <w:tcW w:w="98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92"/>
              </w:rPr>
              <w:t>Consolidated</w:t>
            </w:r>
          </w:p>
        </w:tc>
        <w:tc>
          <w:tcPr>
            <w:tcW w:w="0" w:type="dxa"/>
            <w:vAlign w:val="bottom"/>
          </w:tcPr>
          <w:p>
            <w:pPr>
              <w:spacing w:after="0"/>
              <w:rPr>
                <w:sz w:val="1"/>
                <w:szCs w:val="1"/>
                <w:color w:val="auto"/>
              </w:rPr>
            </w:pPr>
          </w:p>
        </w:tc>
      </w:tr>
      <w:tr>
        <w:trPr>
          <w:trHeight w:val="183"/>
        </w:trPr>
        <w:tc>
          <w:tcPr>
            <w:tcW w:w="1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b w:val="1"/>
                <w:bCs w:val="1"/>
                <w:color w:val="auto"/>
                <w:w w:val="85"/>
              </w:rPr>
              <w:t>Issuer</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87"/>
              </w:rPr>
              <w:t>Subsidiaries</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b w:val="1"/>
                <w:bCs w:val="1"/>
                <w:color w:val="auto"/>
                <w:w w:val="93"/>
              </w:rPr>
              <w:t>Guarantor</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b w:val="1"/>
                <w:bCs w:val="1"/>
                <w:color w:val="auto"/>
                <w:w w:val="88"/>
              </w:rPr>
              <w:t>Adjustments</w:t>
            </w: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8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5"/>
                <w:szCs w:val="15"/>
                <w:b w:val="1"/>
                <w:bCs w:val="1"/>
                <w:color w:val="auto"/>
                <w:w w:val="85"/>
              </w:rPr>
              <w:t>Subsidiaries</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88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237,822</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236,340</w:t>
            </w:r>
          </w:p>
        </w:tc>
        <w:tc>
          <w:tcPr>
            <w:tcW w:w="1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(25,695)</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rPr>
              <w:t>15,662</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(226,307)</w:t>
            </w:r>
          </w:p>
        </w:tc>
        <w:tc>
          <w:tcPr>
            <w:tcW w:w="120" w:type="dxa"/>
            <w:vAlign w:val="bottom"/>
          </w:tcPr>
          <w:p>
            <w:pPr>
              <w:spacing w:after="0"/>
              <w:rPr>
                <w:sz w:val="16"/>
                <w:szCs w:val="16"/>
                <w:color w:val="auto"/>
              </w:rPr>
            </w:pPr>
          </w:p>
        </w:tc>
        <w:tc>
          <w:tcPr>
            <w:tcW w:w="26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rPr>
              <w:t>237,822</w:t>
            </w:r>
          </w:p>
        </w:tc>
        <w:tc>
          <w:tcPr>
            <w:tcW w:w="0" w:type="dxa"/>
            <w:vAlign w:val="bottom"/>
          </w:tcPr>
          <w:p>
            <w:pPr>
              <w:spacing w:after="0"/>
              <w:rPr>
                <w:sz w:val="1"/>
                <w:szCs w:val="1"/>
                <w:color w:val="auto"/>
              </w:rPr>
            </w:pPr>
          </w:p>
        </w:tc>
      </w:tr>
      <w:tr>
        <w:trPr>
          <w:trHeight w:val="29"/>
        </w:trPr>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5"/>
              </w:rPr>
              <w:t>Post-retirement benefit plans</w:t>
            </w: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859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859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803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(1,662)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859</w:t>
            </w:r>
          </w:p>
        </w:tc>
        <w:tc>
          <w:tcPr>
            <w:tcW w:w="0" w:type="dxa"/>
            <w:vAlign w:val="bottom"/>
          </w:tcPr>
          <w:p>
            <w:pPr>
              <w:spacing w:after="0"/>
              <w:rPr>
                <w:sz w:val="1"/>
                <w:szCs w:val="1"/>
                <w:color w:val="auto"/>
              </w:rPr>
            </w:pPr>
          </w:p>
        </w:tc>
      </w:tr>
      <w:tr>
        <w:trPr>
          <w:trHeight w:val="200"/>
        </w:trPr>
        <w:tc>
          <w:tcPr>
            <w:tcW w:w="1880" w:type="dxa"/>
            <w:vAlign w:val="bottom"/>
          </w:tcPr>
          <w:p>
            <w:pPr>
              <w:ind w:left="20"/>
              <w:spacing w:after="0"/>
              <w:rPr>
                <w:sz w:val="20"/>
                <w:szCs w:val="20"/>
                <w:color w:val="auto"/>
              </w:rPr>
            </w:pPr>
            <w:r>
              <w:rPr>
                <w:rFonts w:ascii="Arial" w:cs="Arial" w:eastAsia="Arial" w:hAnsi="Arial"/>
                <w:sz w:val="15"/>
                <w:szCs w:val="15"/>
                <w:color w:val="auto"/>
                <w:w w:val="98"/>
              </w:rPr>
              <w:t>Foreign currency translation</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880" w:type="dxa"/>
            <w:vAlign w:val="bottom"/>
          </w:tcPr>
          <w:p>
            <w:pPr>
              <w:ind w:left="20"/>
              <w:spacing w:after="0"/>
              <w:rPr>
                <w:sz w:val="20"/>
                <w:szCs w:val="20"/>
                <w:color w:val="auto"/>
              </w:rPr>
            </w:pPr>
            <w:r>
              <w:rPr>
                <w:rFonts w:ascii="Arial" w:cs="Arial" w:eastAsia="Arial" w:hAnsi="Arial"/>
                <w:sz w:val="15"/>
                <w:szCs w:val="15"/>
                <w:color w:val="auto"/>
              </w:rPr>
              <w:t>adjustments</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(14,189)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(14,189)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(29,574)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(14,189)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57,952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(14,189)</w:t>
            </w:r>
          </w:p>
        </w:tc>
        <w:tc>
          <w:tcPr>
            <w:tcW w:w="0" w:type="dxa"/>
            <w:vAlign w:val="bottom"/>
          </w:tcPr>
          <w:p>
            <w:pPr>
              <w:spacing w:after="0"/>
              <w:rPr>
                <w:sz w:val="1"/>
                <w:szCs w:val="1"/>
                <w:color w:val="auto"/>
              </w:rPr>
            </w:pPr>
          </w:p>
        </w:tc>
      </w:tr>
      <w:tr>
        <w:trPr>
          <w:trHeight w:val="29"/>
        </w:trPr>
        <w:tc>
          <w:tcPr>
            <w:tcW w:w="1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Comprehensive income</w:t>
            </w:r>
          </w:p>
        </w:tc>
        <w:tc>
          <w:tcPr>
            <w:tcW w:w="1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224,492</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223,010</w:t>
            </w:r>
          </w:p>
        </w:tc>
        <w:tc>
          <w:tcPr>
            <w:tcW w:w="12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(54,466)</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1,473</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(170,017)</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72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224,492</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(loss)</w:t>
            </w: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9019"/>
          </w:cols>
          <w:pgMar w:left="1440" w:top="123" w:right="1440" w:bottom="1440" w:gutter="0" w:footer="0" w:header="0"/>
        </w:sectPr>
      </w:pPr>
    </w:p>
    <w:bookmarkStart w:id="103" w:name="page104"/>
    <w:bookmarkEnd w:id="103"/>
    <w:p>
      <w:pPr>
        <w:ind w:left="40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fiscal year ended December 30, 2017</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(dollars in thousands)</w:t>
      </w:r>
    </w:p>
    <w:p>
      <w:pPr>
        <w:spacing w:after="0" w:line="135" w:lineRule="exact"/>
        <w:rPr>
          <w:sz w:val="20"/>
          <w:szCs w:val="20"/>
          <w:color w:val="auto"/>
        </w:rPr>
      </w:pPr>
    </w:p>
    <w:tbl>
      <w:tblPr>
        <w:tblLayout w:type="fixed"/>
        <w:tblInd w:w="360" w:type="dxa"/>
        <w:tblCellMar>
          <w:top w:w="0" w:type="dxa"/>
          <w:left w:w="0" w:type="dxa"/>
          <w:bottom w:w="0" w:type="dxa"/>
          <w:right w:w="0" w:type="dxa"/>
        </w:tblCellMar>
      </w:tblPr>
      <w:tr>
        <w:trPr>
          <w:trHeight w:val="196"/>
        </w:trPr>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5"/>
                <w:szCs w:val="15"/>
                <w:b w:val="1"/>
                <w:bCs w:val="1"/>
                <w:color w:val="auto"/>
              </w:rPr>
              <w:t>Parent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b w:val="1"/>
                <w:bCs w:val="1"/>
                <w:color w:val="auto"/>
                <w:w w:val="88"/>
              </w:rPr>
              <w:t>Subsidiary</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93"/>
              </w:rPr>
              <w:t>Guarantor</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87"/>
              </w:rPr>
              <w:t>Non-</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5"/>
                <w:szCs w:val="15"/>
                <w:b w:val="1"/>
                <w:bCs w:val="1"/>
                <w:color w:val="auto"/>
                <w:w w:val="87"/>
              </w:rPr>
              <w:t>Consolidating</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86"/>
              </w:rPr>
              <w:t>Consolidated</w:t>
            </w:r>
          </w:p>
        </w:tc>
        <w:tc>
          <w:tcPr>
            <w:tcW w:w="0" w:type="dxa"/>
            <w:vAlign w:val="bottom"/>
          </w:tcPr>
          <w:p>
            <w:pPr>
              <w:spacing w:after="0"/>
              <w:rPr>
                <w:sz w:val="1"/>
                <w:szCs w:val="1"/>
                <w:color w:val="auto"/>
              </w:rPr>
            </w:pPr>
          </w:p>
        </w:tc>
      </w:tr>
      <w:tr>
        <w:trPr>
          <w:trHeight w:val="183"/>
        </w:trPr>
        <w:tc>
          <w:tcPr>
            <w:tcW w:w="1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b w:val="1"/>
                <w:bCs w:val="1"/>
                <w:color w:val="auto"/>
                <w:w w:val="90"/>
              </w:rPr>
              <w:t>Issuer</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85"/>
              </w:rPr>
              <w:t>Subsidiaries</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90"/>
              </w:rPr>
              <w:t>Guarantor</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88"/>
              </w:rPr>
              <w:t>Adjustments</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87"/>
              </w:rPr>
              <w:t>Subsidiaries</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20" w:type="dxa"/>
            <w:vAlign w:val="bottom"/>
          </w:tcPr>
          <w:p>
            <w:pPr>
              <w:ind w:left="20"/>
              <w:spacing w:after="0"/>
              <w:rPr>
                <w:sz w:val="20"/>
                <w:szCs w:val="20"/>
                <w:color w:val="auto"/>
              </w:rPr>
            </w:pPr>
            <w:r>
              <w:rPr>
                <w:rFonts w:ascii="Arial" w:cs="Arial" w:eastAsia="Arial" w:hAnsi="Arial"/>
                <w:sz w:val="15"/>
                <w:szCs w:val="15"/>
                <w:b w:val="1"/>
                <w:bCs w:val="1"/>
                <w:color w:val="auto"/>
                <w:w w:val="99"/>
              </w:rPr>
              <w:t>Cash flows provided by</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720" w:type="dxa"/>
            <w:vAlign w:val="bottom"/>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7"/>
              <w:spacing w:after="0"/>
              <w:rPr>
                <w:sz w:val="20"/>
                <w:szCs w:val="20"/>
                <w:color w:val="auto"/>
              </w:rPr>
            </w:pPr>
            <w:r>
              <w:rPr>
                <w:rFonts w:ascii="Arial" w:cs="Arial" w:eastAsia="Arial" w:hAnsi="Arial"/>
                <w:sz w:val="15"/>
                <w:szCs w:val="15"/>
                <w:color w:val="auto"/>
              </w:rPr>
              <w:t>166,999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118,813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43,809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329,621</w:t>
            </w:r>
          </w:p>
        </w:tc>
        <w:tc>
          <w:tcPr>
            <w:tcW w:w="0" w:type="dxa"/>
            <w:vAlign w:val="bottom"/>
          </w:tcPr>
          <w:p>
            <w:pPr>
              <w:spacing w:after="0"/>
              <w:rPr>
                <w:sz w:val="1"/>
                <w:szCs w:val="1"/>
                <w:color w:val="auto"/>
              </w:rPr>
            </w:pPr>
          </w:p>
        </w:tc>
      </w:tr>
      <w:tr>
        <w:trPr>
          <w:trHeight w:val="29"/>
        </w:trPr>
        <w:tc>
          <w:tcPr>
            <w:tcW w:w="1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1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20" w:type="dxa"/>
            <w:vAlign w:val="bottom"/>
          </w:tcPr>
          <w:p>
            <w:pPr>
              <w:ind w:left="20"/>
              <w:spacing w:after="0"/>
              <w:rPr>
                <w:sz w:val="20"/>
                <w:szCs w:val="20"/>
                <w:color w:val="auto"/>
              </w:rPr>
            </w:pPr>
            <w:r>
              <w:rPr>
                <w:rFonts w:ascii="Arial" w:cs="Arial" w:eastAsia="Arial" w:hAnsi="Arial"/>
                <w:sz w:val="15"/>
                <w:szCs w:val="15"/>
                <w:b w:val="1"/>
                <w:bCs w:val="1"/>
                <w:color w:val="auto"/>
              </w:rPr>
              <w:t>Cash flows from</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72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Capital expenditures</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(21,690)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(38,899)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(8,884)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(69,473)</w:t>
            </w: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rPr>
              <w:t>Acquisitions of</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140"/>
              <w:spacing w:after="0"/>
              <w:rPr>
                <w:sz w:val="20"/>
                <w:szCs w:val="20"/>
                <w:color w:val="auto"/>
              </w:rPr>
            </w:pPr>
            <w:r>
              <w:rPr>
                <w:rFonts w:ascii="Arial" w:cs="Arial" w:eastAsia="Arial" w:hAnsi="Arial"/>
                <w:sz w:val="15"/>
                <w:szCs w:val="15"/>
                <w:color w:val="auto"/>
                <w:w w:val="99"/>
              </w:rPr>
              <w:t>businesses, net of cash</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5"/>
                <w:szCs w:val="15"/>
                <w:color w:val="auto"/>
              </w:rPr>
              <w:t>acquired</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(143,270)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746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(15,933)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(158,457)</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Intercompany investing</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activity</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256,991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(25,607)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894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27,397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(259,675)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rPr>
              <w:t>Disposals of property,</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5"/>
                <w:szCs w:val="15"/>
                <w:color w:val="auto"/>
              </w:rPr>
              <w:t>plant and equipment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9"/>
        </w:trPr>
        <w:tc>
          <w:tcPr>
            <w:tcW w:w="1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720" w:type="dxa"/>
            <w:vAlign w:val="bottom"/>
            <w:shd w:val="clear" w:color="auto" w:fill="CCEEFF"/>
          </w:tcPr>
          <w:p>
            <w:pPr>
              <w:ind w:left="300"/>
              <w:spacing w:after="0"/>
              <w:rPr>
                <w:sz w:val="20"/>
                <w:szCs w:val="20"/>
                <w:color w:val="auto"/>
              </w:rPr>
            </w:pPr>
            <w:r>
              <w:rPr>
                <w:rFonts w:ascii="Arial" w:cs="Arial" w:eastAsia="Arial" w:hAnsi="Arial"/>
                <w:sz w:val="15"/>
                <w:szCs w:val="15"/>
                <w:color w:val="auto"/>
                <w:w w:val="99"/>
              </w:rPr>
              <w:t>Net cash provided by</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(used in) investing</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activities</w:t>
            </w: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256,991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(190,567)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(37,244)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2,580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(259,675)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(227,915)</w:t>
            </w: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rPr>
              <w:t>Intercompany financing</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5"/>
                <w:szCs w:val="15"/>
                <w:color w:val="auto"/>
              </w:rPr>
              <w:t>activity</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(128,906)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(83,356)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(47,413)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259,675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Borrowings under</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8"/>
              </w:rPr>
              <w:t>secured revolving credit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facility</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200,000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200,000</w:t>
            </w: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rPr>
              <w:t>Payments on secured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5"/>
                <w:szCs w:val="15"/>
                <w:color w:val="auto"/>
              </w:rPr>
              <w:t>revolving credit facility</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(145,000)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(18,965)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(163,965)</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Payment of debt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issuance costs</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(2,119)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(2,119)</w:t>
            </w:r>
          </w:p>
        </w:tc>
        <w:tc>
          <w:tcPr>
            <w:tcW w:w="0" w:type="dxa"/>
            <w:vAlign w:val="bottom"/>
          </w:tcPr>
          <w:p>
            <w:pPr>
              <w:spacing w:after="0"/>
              <w:rPr>
                <w:sz w:val="1"/>
                <w:szCs w:val="1"/>
                <w:color w:val="auto"/>
              </w:rPr>
            </w:pPr>
          </w:p>
        </w:tc>
      </w:tr>
      <w:tr>
        <w:trPr>
          <w:trHeight w:val="215"/>
        </w:trPr>
        <w:tc>
          <w:tcPr>
            <w:tcW w:w="1720" w:type="dxa"/>
            <w:vAlign w:val="bottom"/>
          </w:tcPr>
          <w:p>
            <w:pPr>
              <w:ind w:left="140"/>
              <w:spacing w:after="0"/>
              <w:rPr>
                <w:sz w:val="20"/>
                <w:szCs w:val="20"/>
                <w:color w:val="auto"/>
              </w:rPr>
            </w:pPr>
            <w:r>
              <w:rPr>
                <w:rFonts w:ascii="Arial" w:cs="Arial" w:eastAsia="Arial" w:hAnsi="Arial"/>
                <w:sz w:val="15"/>
                <w:szCs w:val="15"/>
                <w:color w:val="auto"/>
              </w:rPr>
              <w:t>Dividends paid</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(70,914)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(70,914)</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Repurchases of</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common stock</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(188,762)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(188,762)</w:t>
            </w:r>
          </w:p>
        </w:tc>
        <w:tc>
          <w:tcPr>
            <w:tcW w:w="0" w:type="dxa"/>
            <w:vAlign w:val="bottom"/>
          </w:tcPr>
          <w:p>
            <w:pPr>
              <w:spacing w:after="0"/>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rPr>
              <w:t>Withholdings from</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140"/>
              <w:spacing w:after="0"/>
              <w:rPr>
                <w:sz w:val="20"/>
                <w:szCs w:val="20"/>
                <w:color w:val="auto"/>
              </w:rPr>
            </w:pPr>
            <w:r>
              <w:rPr>
                <w:rFonts w:ascii="Arial" w:cs="Arial" w:eastAsia="Arial" w:hAnsi="Arial"/>
                <w:sz w:val="15"/>
                <w:szCs w:val="15"/>
                <w:color w:val="auto"/>
              </w:rPr>
              <w:t>vesting of restricted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40"/>
              <w:spacing w:after="0"/>
              <w:rPr>
                <w:sz w:val="20"/>
                <w:szCs w:val="20"/>
                <w:color w:val="auto"/>
              </w:rPr>
            </w:pPr>
            <w:r>
              <w:rPr>
                <w:rFonts w:ascii="Arial" w:cs="Arial" w:eastAsia="Arial" w:hAnsi="Arial"/>
                <w:sz w:val="15"/>
                <w:szCs w:val="15"/>
                <w:color w:val="auto"/>
              </w:rPr>
              <w:t>stock</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(5,753)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(5,753)</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4"/>
              </w:rPr>
              <w:t>Proceeds from exercises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of stock options</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8,438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8,438</w:t>
            </w:r>
          </w:p>
        </w:tc>
        <w:tc>
          <w:tcPr>
            <w:tcW w:w="0" w:type="dxa"/>
            <w:vAlign w:val="bottom"/>
          </w:tcPr>
          <w:p>
            <w:pPr>
              <w:spacing w:after="0"/>
              <w:rPr>
                <w:sz w:val="1"/>
                <w:szCs w:val="1"/>
                <w:color w:val="auto"/>
              </w:rPr>
            </w:pPr>
          </w:p>
        </w:tc>
      </w:tr>
      <w:tr>
        <w:trPr>
          <w:trHeight w:val="180"/>
        </w:trPr>
        <w:tc>
          <w:tcPr>
            <w:tcW w:w="1720" w:type="dxa"/>
            <w:vAlign w:val="bottom"/>
          </w:tcPr>
          <w:p>
            <w:pPr>
              <w:ind w:left="300"/>
              <w:spacing w:after="0"/>
              <w:rPr>
                <w:sz w:val="20"/>
                <w:szCs w:val="20"/>
                <w:color w:val="auto"/>
              </w:rPr>
            </w:pPr>
            <w:r>
              <w:rPr>
                <w:rFonts w:ascii="Arial" w:cs="Arial" w:eastAsia="Arial" w:hAnsi="Arial"/>
                <w:sz w:val="15"/>
                <w:szCs w:val="15"/>
                <w:color w:val="auto"/>
              </w:rPr>
              <w:t>Net cash (used in)</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300"/>
              <w:spacing w:after="0"/>
              <w:rPr>
                <w:sz w:val="20"/>
                <w:szCs w:val="20"/>
                <w:color w:val="auto"/>
              </w:rPr>
            </w:pPr>
            <w:r>
              <w:rPr>
                <w:rFonts w:ascii="Arial" w:cs="Arial" w:eastAsia="Arial" w:hAnsi="Arial"/>
                <w:sz w:val="15"/>
                <w:szCs w:val="15"/>
                <w:color w:val="auto"/>
                <w:w w:val="98"/>
              </w:rPr>
              <w:t>provided by financing</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300"/>
              <w:spacing w:after="0"/>
              <w:rPr>
                <w:sz w:val="20"/>
                <w:szCs w:val="20"/>
                <w:color w:val="auto"/>
              </w:rPr>
            </w:pPr>
            <w:r>
              <w:rPr>
                <w:rFonts w:ascii="Arial" w:cs="Arial" w:eastAsia="Arial" w:hAnsi="Arial"/>
                <w:sz w:val="15"/>
                <w:szCs w:val="15"/>
                <w:color w:val="auto"/>
              </w:rPr>
              <w:t>activities</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(256,991)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(76,025)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(83,356)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(66,378)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259,675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(223,075)</w:t>
            </w:r>
          </w:p>
        </w:tc>
        <w:tc>
          <w:tcPr>
            <w:tcW w:w="0" w:type="dxa"/>
            <w:vAlign w:val="bottom"/>
          </w:tcPr>
          <w:p>
            <w:pPr>
              <w:spacing w:after="0"/>
              <w:rPr>
                <w:sz w:val="1"/>
                <w:szCs w:val="1"/>
                <w:color w:val="auto"/>
              </w:rPr>
            </w:pPr>
          </w:p>
        </w:tc>
      </w:tr>
      <w:tr>
        <w:trPr>
          <w:trHeight w:val="29"/>
        </w:trPr>
        <w:tc>
          <w:tcPr>
            <w:tcW w:w="1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exchange rate</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changes on cash</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505</w:t>
            </w:r>
          </w:p>
        </w:tc>
        <w:tc>
          <w:tcPr>
            <w:tcW w:w="0" w:type="dxa"/>
            <w:vAlign w:val="bottom"/>
          </w:tcPr>
          <w:p>
            <w:pPr>
              <w:spacing w:after="0"/>
              <w:rPr>
                <w:sz w:val="1"/>
                <w:szCs w:val="1"/>
                <w:color w:val="auto"/>
              </w:rPr>
            </w:pPr>
          </w:p>
        </w:tc>
      </w:tr>
      <w:tr>
        <w:trPr>
          <w:trHeight w:val="200"/>
        </w:trPr>
        <w:tc>
          <w:tcPr>
            <w:tcW w:w="1720" w:type="dxa"/>
            <w:vAlign w:val="bottom"/>
          </w:tcPr>
          <w:p>
            <w:pPr>
              <w:ind w:left="20"/>
              <w:spacing w:after="0"/>
              <w:rPr>
                <w:sz w:val="20"/>
                <w:szCs w:val="20"/>
                <w:color w:val="auto"/>
              </w:rPr>
            </w:pPr>
            <w:r>
              <w:rPr>
                <w:rFonts w:ascii="Arial" w:cs="Arial" w:eastAsia="Arial" w:hAnsi="Arial"/>
                <w:sz w:val="15"/>
                <w:szCs w:val="15"/>
                <w:color w:val="auto"/>
                <w:w w:val="92"/>
              </w:rPr>
              <w:t>Decrease in cash and cash</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20"/>
              <w:spacing w:after="0"/>
              <w:rPr>
                <w:sz w:val="20"/>
                <w:szCs w:val="20"/>
                <w:color w:val="auto"/>
              </w:rPr>
            </w:pPr>
            <w:r>
              <w:rPr>
                <w:rFonts w:ascii="Arial" w:cs="Arial" w:eastAsia="Arial" w:hAnsi="Arial"/>
                <w:sz w:val="15"/>
                <w:szCs w:val="15"/>
                <w:color w:val="auto"/>
              </w:rPr>
              <w:t>equivalents</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(99,593)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(19,484)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(120,864)</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equivalents, beginning of</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fiscal year</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229,056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11,817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58,485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299,358</w:t>
            </w:r>
          </w:p>
        </w:tc>
        <w:tc>
          <w:tcPr>
            <w:tcW w:w="0" w:type="dxa"/>
            <w:vAlign w:val="bottom"/>
          </w:tcPr>
          <w:p>
            <w:pPr>
              <w:spacing w:after="0"/>
              <w:rPr>
                <w:sz w:val="1"/>
                <w:szCs w:val="1"/>
                <w:color w:val="auto"/>
              </w:rPr>
            </w:pPr>
          </w:p>
        </w:tc>
      </w:tr>
      <w:tr>
        <w:trPr>
          <w:trHeight w:val="180"/>
        </w:trPr>
        <w:tc>
          <w:tcPr>
            <w:tcW w:w="1720" w:type="dxa"/>
            <w:vAlign w:val="bottom"/>
          </w:tcPr>
          <w:p>
            <w:pPr>
              <w:ind w:left="20"/>
              <w:spacing w:after="0"/>
              <w:rPr>
                <w:sz w:val="20"/>
                <w:szCs w:val="20"/>
                <w:color w:val="auto"/>
              </w:rPr>
            </w:pPr>
            <w:r>
              <w:rPr>
                <w:rFonts w:ascii="Arial" w:cs="Arial" w:eastAsia="Arial" w:hAnsi="Arial"/>
                <w:sz w:val="15"/>
                <w:szCs w:val="15"/>
                <w:color w:val="auto"/>
              </w:rPr>
              <w:t>Cash and cash</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20"/>
              <w:spacing w:after="0"/>
              <w:rPr>
                <w:sz w:val="20"/>
                <w:szCs w:val="20"/>
                <w:color w:val="auto"/>
              </w:rPr>
            </w:pPr>
            <w:r>
              <w:rPr>
                <w:rFonts w:ascii="Arial" w:cs="Arial" w:eastAsia="Arial" w:hAnsi="Arial"/>
                <w:sz w:val="15"/>
                <w:szCs w:val="15"/>
                <w:color w:val="auto"/>
              </w:rPr>
              <w:t>equivalents, end of fiscal</w:t>
            </w: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ind w:right="7"/>
              <w:spacing w:after="0"/>
              <w:rPr>
                <w:sz w:val="20"/>
                <w:szCs w:val="20"/>
                <w:color w:val="auto"/>
              </w:rPr>
            </w:pPr>
            <w:r>
              <w:rPr>
                <w:rFonts w:ascii="Arial" w:cs="Arial" w:eastAsia="Arial" w:hAnsi="Arial"/>
                <w:sz w:val="15"/>
                <w:szCs w:val="15"/>
                <w:color w:val="auto"/>
              </w:rPr>
              <w:t>129,463</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vMerge w:val="restart"/>
          </w:tcPr>
          <w:p>
            <w:pPr>
              <w:jc w:val="right"/>
              <w:ind w:right="7"/>
              <w:spacing w:after="0"/>
              <w:rPr>
                <w:sz w:val="20"/>
                <w:szCs w:val="20"/>
                <w:color w:val="auto"/>
              </w:rPr>
            </w:pPr>
            <w:r>
              <w:rPr>
                <w:rFonts w:ascii="Arial" w:cs="Arial" w:eastAsia="Arial" w:hAnsi="Arial"/>
                <w:sz w:val="15"/>
                <w:szCs w:val="15"/>
                <w:color w:val="auto"/>
              </w:rPr>
              <w:t>10,030</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39,001</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vMerge w:val="restart"/>
          </w:tcPr>
          <w:p>
            <w:pPr>
              <w:jc w:val="right"/>
              <w:ind w:right="7"/>
              <w:spacing w:after="0"/>
              <w:rPr>
                <w:sz w:val="20"/>
                <w:szCs w:val="20"/>
                <w:color w:val="auto"/>
              </w:rPr>
            </w:pPr>
            <w:r>
              <w:rPr>
                <w:rFonts w:ascii="Arial" w:cs="Arial" w:eastAsia="Arial" w:hAnsi="Arial"/>
                <w:sz w:val="15"/>
                <w:szCs w:val="15"/>
                <w:color w:val="auto"/>
              </w:rPr>
              <w:t>178,494</w:t>
            </w:r>
          </w:p>
        </w:tc>
        <w:tc>
          <w:tcPr>
            <w:tcW w:w="0" w:type="dxa"/>
            <w:vAlign w:val="bottom"/>
          </w:tcPr>
          <w:p>
            <w:pPr>
              <w:spacing w:after="0"/>
              <w:rPr>
                <w:sz w:val="1"/>
                <w:szCs w:val="1"/>
                <w:color w:val="auto"/>
              </w:rPr>
            </w:pPr>
          </w:p>
        </w:tc>
      </w:tr>
      <w:tr>
        <w:trPr>
          <w:trHeight w:val="196"/>
        </w:trPr>
        <w:tc>
          <w:tcPr>
            <w:tcW w:w="1720" w:type="dxa"/>
            <w:vAlign w:val="bottom"/>
          </w:tcPr>
          <w:p>
            <w:pPr>
              <w:ind w:left="20"/>
              <w:spacing w:after="0"/>
              <w:rPr>
                <w:sz w:val="20"/>
                <w:szCs w:val="20"/>
                <w:color w:val="auto"/>
              </w:rPr>
            </w:pPr>
            <w:r>
              <w:rPr>
                <w:rFonts w:ascii="Arial" w:cs="Arial" w:eastAsia="Arial" w:hAnsi="Arial"/>
                <w:sz w:val="15"/>
                <w:szCs w:val="15"/>
                <w:color w:val="auto"/>
              </w:rPr>
              <w:t>year</w:t>
            </w:r>
          </w:p>
        </w:tc>
        <w:tc>
          <w:tcPr>
            <w:tcW w:w="16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9019"/>
          </w:cols>
          <w:pgMar w:left="1440" w:top="123" w:right="1440"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19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CARTER’S, INC.</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00" w:type="dxa"/>
            <w:vAlign w:val="bottom"/>
            <w:gridSpan w:val="14"/>
          </w:tcPr>
          <w:p>
            <w:pPr>
              <w:jc w:val="center"/>
              <w:ind w:left="226"/>
              <w:spacing w:after="0"/>
              <w:rPr>
                <w:sz w:val="20"/>
                <w:szCs w:val="20"/>
                <w:color w:val="auto"/>
              </w:rPr>
            </w:pPr>
            <w:r>
              <w:rPr>
                <w:rFonts w:ascii="Arial" w:cs="Arial" w:eastAsia="Arial" w:hAnsi="Arial"/>
                <w:sz w:val="16"/>
                <w:szCs w:val="16"/>
                <w:b w:val="1"/>
                <w:bCs w:val="1"/>
                <w:color w:val="auto"/>
              </w:rPr>
              <w:t>NOTES TO CONSOLIDATED FINANCIAL STATEMENTS (Continued)</w:t>
            </w:r>
          </w:p>
        </w:tc>
        <w:tc>
          <w:tcPr>
            <w:tcW w:w="0" w:type="dxa"/>
            <w:vAlign w:val="bottom"/>
          </w:tcPr>
          <w:p>
            <w:pPr>
              <w:spacing w:after="0"/>
              <w:rPr>
                <w:sz w:val="1"/>
                <w:szCs w:val="1"/>
                <w:color w:val="auto"/>
              </w:rPr>
            </w:pPr>
          </w:p>
        </w:tc>
      </w:tr>
      <w:tr>
        <w:trPr>
          <w:trHeight w:val="660"/>
        </w:trPr>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67"/>
              <w:spacing w:after="0"/>
              <w:rPr>
                <w:sz w:val="20"/>
                <w:szCs w:val="20"/>
                <w:color w:val="auto"/>
              </w:rPr>
            </w:pPr>
            <w:r>
              <w:rPr>
                <w:rFonts w:ascii="Arial" w:cs="Arial" w:eastAsia="Arial" w:hAnsi="Arial"/>
                <w:sz w:val="16"/>
                <w:szCs w:val="16"/>
                <w:b w:val="1"/>
                <w:bCs w:val="1"/>
                <w:color w:val="auto"/>
              </w:rPr>
              <w:t>CARTER’S, INC.</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0" w:type="dxa"/>
            <w:vAlign w:val="bottom"/>
            <w:gridSpan w:val="11"/>
          </w:tcPr>
          <w:p>
            <w:pPr>
              <w:jc w:val="center"/>
              <w:ind w:right="747"/>
              <w:spacing w:after="0"/>
              <w:rPr>
                <w:sz w:val="20"/>
                <w:szCs w:val="20"/>
                <w:color w:val="auto"/>
              </w:rPr>
            </w:pPr>
            <w:r>
              <w:rPr>
                <w:rFonts w:ascii="Arial" w:cs="Arial" w:eastAsia="Arial" w:hAnsi="Arial"/>
                <w:sz w:val="16"/>
                <w:szCs w:val="16"/>
                <w:b w:val="1"/>
                <w:bCs w:val="1"/>
                <w:color w:val="auto"/>
                <w:w w:val="90"/>
              </w:rPr>
              <w:t>Condensed Consolidating Statement of Cash Flows</w:t>
            </w: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gridSpan w:val="9"/>
          </w:tcPr>
          <w:p>
            <w:pPr>
              <w:jc w:val="center"/>
              <w:ind w:left="226"/>
              <w:spacing w:after="0"/>
              <w:rPr>
                <w:sz w:val="20"/>
                <w:szCs w:val="20"/>
                <w:color w:val="auto"/>
              </w:rPr>
            </w:pPr>
            <w:r>
              <w:rPr>
                <w:rFonts w:ascii="Arial" w:cs="Arial" w:eastAsia="Arial" w:hAnsi="Arial"/>
                <w:sz w:val="16"/>
                <w:szCs w:val="16"/>
                <w:color w:val="auto"/>
                <w:w w:val="91"/>
              </w:rPr>
              <w:t>For the fiscal year ended December 31, 2016</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700"/>
              <w:spacing w:after="0"/>
              <w:rPr>
                <w:sz w:val="20"/>
                <w:szCs w:val="20"/>
                <w:color w:val="auto"/>
              </w:rPr>
            </w:pPr>
            <w:r>
              <w:rPr>
                <w:rFonts w:ascii="Arial" w:cs="Arial" w:eastAsia="Arial" w:hAnsi="Arial"/>
                <w:sz w:val="16"/>
                <w:szCs w:val="16"/>
                <w:i w:val="1"/>
                <w:iCs w:val="1"/>
                <w:color w:val="auto"/>
                <w:w w:val="92"/>
              </w:rPr>
              <w:t>(dollars in thousands)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1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5"/>
                <w:szCs w:val="15"/>
                <w:b w:val="1"/>
                <w:bCs w:val="1"/>
                <w:color w:val="auto"/>
              </w:rPr>
              <w:t>Parent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b w:val="1"/>
                <w:bCs w:val="1"/>
                <w:color w:val="auto"/>
                <w:w w:val="88"/>
              </w:rPr>
              <w:t>Subsidiary</w:t>
            </w: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center"/>
              <w:ind w:right="240"/>
              <w:spacing w:after="0"/>
              <w:rPr>
                <w:sz w:val="20"/>
                <w:szCs w:val="20"/>
                <w:color w:val="auto"/>
              </w:rPr>
            </w:pPr>
            <w:r>
              <w:rPr>
                <w:rFonts w:ascii="Arial" w:cs="Arial" w:eastAsia="Arial" w:hAnsi="Arial"/>
                <w:sz w:val="15"/>
                <w:szCs w:val="15"/>
                <w:b w:val="1"/>
                <w:bCs w:val="1"/>
                <w:color w:val="auto"/>
                <w:w w:val="93"/>
              </w:rPr>
              <w:t>Guarantor</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87"/>
              </w:rPr>
              <w:t>Non-</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5"/>
                <w:szCs w:val="15"/>
                <w:b w:val="1"/>
                <w:bCs w:val="1"/>
                <w:color w:val="auto"/>
                <w:w w:val="87"/>
              </w:rPr>
              <w:t>Consolidating</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86"/>
              </w:rPr>
              <w:t>Consolidated</w:t>
            </w:r>
          </w:p>
        </w:tc>
        <w:tc>
          <w:tcPr>
            <w:tcW w:w="0" w:type="dxa"/>
            <w:vAlign w:val="bottom"/>
          </w:tcPr>
          <w:p>
            <w:pPr>
              <w:spacing w:after="0"/>
              <w:rPr>
                <w:sz w:val="1"/>
                <w:szCs w:val="1"/>
                <w:color w:val="auto"/>
              </w:rPr>
            </w:pPr>
          </w:p>
        </w:tc>
      </w:tr>
      <w:tr>
        <w:trPr>
          <w:trHeight w:val="183"/>
        </w:trPr>
        <w:tc>
          <w:tcPr>
            <w:tcW w:w="1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5"/>
                <w:szCs w:val="15"/>
                <w:b w:val="1"/>
                <w:bCs w:val="1"/>
                <w:color w:val="auto"/>
                <w:w w:val="90"/>
              </w:rPr>
              <w:t>Issuer</w:t>
            </w:r>
          </w:p>
        </w:tc>
        <w:tc>
          <w:tcPr>
            <w:tcW w:w="10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center"/>
              <w:ind w:right="240"/>
              <w:spacing w:after="0"/>
              <w:rPr>
                <w:sz w:val="20"/>
                <w:szCs w:val="20"/>
                <w:color w:val="auto"/>
              </w:rPr>
            </w:pPr>
            <w:r>
              <w:rPr>
                <w:rFonts w:ascii="Arial" w:cs="Arial" w:eastAsia="Arial" w:hAnsi="Arial"/>
                <w:sz w:val="15"/>
                <w:szCs w:val="15"/>
                <w:b w:val="1"/>
                <w:bCs w:val="1"/>
                <w:color w:val="auto"/>
                <w:w w:val="85"/>
              </w:rPr>
              <w:t>Subsidiaries</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90"/>
              </w:rPr>
              <w:t>Guarantor</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5"/>
                <w:szCs w:val="15"/>
                <w:b w:val="1"/>
                <w:bCs w:val="1"/>
                <w:color w:val="auto"/>
                <w:w w:val="88"/>
              </w:rPr>
              <w:t>Adjustments</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7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87"/>
              </w:rPr>
              <w:t>Subsidiaries</w:t>
            </w:r>
          </w:p>
        </w:tc>
        <w:tc>
          <w:tcPr>
            <w:tcW w:w="4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00" w:type="dxa"/>
            <w:vAlign w:val="bottom"/>
          </w:tcPr>
          <w:p>
            <w:pPr>
              <w:ind w:left="20"/>
              <w:spacing w:after="0"/>
              <w:rPr>
                <w:sz w:val="20"/>
                <w:szCs w:val="20"/>
                <w:color w:val="auto"/>
              </w:rPr>
            </w:pPr>
            <w:r>
              <w:rPr>
                <w:rFonts w:ascii="Arial" w:cs="Arial" w:eastAsia="Arial" w:hAnsi="Arial"/>
                <w:sz w:val="15"/>
                <w:szCs w:val="15"/>
                <w:b w:val="1"/>
                <w:bCs w:val="1"/>
                <w:color w:val="auto"/>
                <w:w w:val="98"/>
              </w:rPr>
              <w:t>Cash flows provided by</w:t>
            </w: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700" w:type="dxa"/>
            <w:vAlign w:val="bottom"/>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6"/>
              <w:spacing w:after="0"/>
              <w:rPr>
                <w:sz w:val="20"/>
                <w:szCs w:val="20"/>
                <w:color w:val="auto"/>
              </w:rPr>
            </w:pPr>
            <w:r>
              <w:rPr>
                <w:rFonts w:ascii="Arial" w:cs="Arial" w:eastAsia="Arial" w:hAnsi="Arial"/>
                <w:sz w:val="15"/>
                <w:szCs w:val="15"/>
                <w:color w:val="auto"/>
              </w:rPr>
              <w:t>206,843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127,018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35,368</w:t>
            </w:r>
          </w:p>
        </w:tc>
        <w:tc>
          <w:tcPr>
            <w:tcW w:w="100" w:type="dxa"/>
            <w:vAlign w:val="bottom"/>
          </w:tcPr>
          <w:p>
            <w:pPr>
              <w:spacing w:after="0"/>
              <w:rPr>
                <w:sz w:val="16"/>
                <w:szCs w:val="16"/>
                <w:color w:val="auto"/>
              </w:rPr>
            </w:pPr>
          </w:p>
        </w:tc>
        <w:tc>
          <w:tcPr>
            <w:tcW w:w="440" w:type="dxa"/>
            <w:vAlign w:val="bottom"/>
          </w:tcPr>
          <w:p>
            <w:pPr>
              <w:jc w:val="right"/>
              <w:ind w:right="267"/>
              <w:spacing w:after="0"/>
              <w:rPr>
                <w:sz w:val="20"/>
                <w:szCs w:val="20"/>
                <w:color w:val="auto"/>
              </w:rPr>
            </w:pPr>
            <w:r>
              <w:rPr>
                <w:rFonts w:ascii="Arial" w:cs="Arial" w:eastAsia="Arial" w:hAnsi="Arial"/>
                <w:sz w:val="15"/>
                <w:szCs w:val="15"/>
                <w:color w:val="auto"/>
                <w:w w:val="95"/>
              </w:rPr>
              <w:t>$</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369,229</w:t>
            </w:r>
          </w:p>
        </w:tc>
        <w:tc>
          <w:tcPr>
            <w:tcW w:w="0" w:type="dxa"/>
            <w:vAlign w:val="bottom"/>
          </w:tcPr>
          <w:p>
            <w:pPr>
              <w:spacing w:after="0"/>
              <w:rPr>
                <w:sz w:val="1"/>
                <w:szCs w:val="1"/>
                <w:color w:val="auto"/>
              </w:rPr>
            </w:pPr>
          </w:p>
        </w:tc>
      </w:tr>
      <w:tr>
        <w:trPr>
          <w:trHeight w:val="29"/>
        </w:trPr>
        <w:tc>
          <w:tcPr>
            <w:tcW w:w="1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1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00" w:type="dxa"/>
            <w:vAlign w:val="bottom"/>
          </w:tcPr>
          <w:p>
            <w:pPr>
              <w:ind w:left="20"/>
              <w:spacing w:after="0"/>
              <w:rPr>
                <w:sz w:val="20"/>
                <w:szCs w:val="20"/>
                <w:color w:val="auto"/>
              </w:rPr>
            </w:pPr>
            <w:r>
              <w:rPr>
                <w:rFonts w:ascii="Arial" w:cs="Arial" w:eastAsia="Arial" w:hAnsi="Arial"/>
                <w:sz w:val="15"/>
                <w:szCs w:val="15"/>
                <w:b w:val="1"/>
                <w:bCs w:val="1"/>
                <w:color w:val="auto"/>
              </w:rPr>
              <w:t>Cash flows from</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70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Capital expenditures</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(22,934)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(55,072)</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(10,550)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(88,556)</w:t>
            </w:r>
          </w:p>
        </w:tc>
        <w:tc>
          <w:tcPr>
            <w:tcW w:w="0" w:type="dxa"/>
            <w:vAlign w:val="bottom"/>
          </w:tcPr>
          <w:p>
            <w:pPr>
              <w:spacing w:after="0"/>
              <w:rPr>
                <w:sz w:val="1"/>
                <w:szCs w:val="1"/>
                <w:color w:val="auto"/>
              </w:rPr>
            </w:pPr>
          </w:p>
        </w:tc>
      </w:tr>
      <w:tr>
        <w:trPr>
          <w:trHeight w:val="200"/>
        </w:trPr>
        <w:tc>
          <w:tcPr>
            <w:tcW w:w="1700" w:type="dxa"/>
            <w:vAlign w:val="bottom"/>
          </w:tcPr>
          <w:p>
            <w:pPr>
              <w:ind w:left="140"/>
              <w:spacing w:after="0"/>
              <w:rPr>
                <w:sz w:val="20"/>
                <w:szCs w:val="20"/>
                <w:color w:val="auto"/>
              </w:rPr>
            </w:pPr>
            <w:r>
              <w:rPr>
                <w:rFonts w:ascii="Arial" w:cs="Arial" w:eastAsia="Arial" w:hAnsi="Arial"/>
                <w:sz w:val="15"/>
                <w:szCs w:val="15"/>
                <w:color w:val="auto"/>
                <w:w w:val="99"/>
              </w:rPr>
              <w:t>Intercompany investing</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00" w:type="dxa"/>
            <w:vAlign w:val="bottom"/>
          </w:tcPr>
          <w:p>
            <w:pPr>
              <w:ind w:left="140"/>
              <w:spacing w:after="0"/>
              <w:rPr>
                <w:sz w:val="20"/>
                <w:szCs w:val="20"/>
                <w:color w:val="auto"/>
              </w:rPr>
            </w:pPr>
            <w:r>
              <w:rPr>
                <w:rFonts w:ascii="Arial" w:cs="Arial" w:eastAsia="Arial" w:hAnsi="Arial"/>
                <w:sz w:val="15"/>
                <w:szCs w:val="15"/>
                <w:color w:val="auto"/>
              </w:rPr>
              <w:t>activity</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368,307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6"/>
              <w:spacing w:after="0"/>
              <w:rPr>
                <w:sz w:val="20"/>
                <w:szCs w:val="20"/>
                <w:color w:val="auto"/>
              </w:rPr>
            </w:pPr>
            <w:r>
              <w:rPr>
                <w:rFonts w:ascii="Arial" w:cs="Arial" w:eastAsia="Arial" w:hAnsi="Arial"/>
                <w:sz w:val="15"/>
                <w:szCs w:val="15"/>
                <w:color w:val="auto"/>
              </w:rPr>
              <w:t>480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(2,118)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w w:val="87"/>
              </w:rPr>
              <w:t>(366,800)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Disposals of property,</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plant and equipment</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216</w:t>
            </w:r>
          </w:p>
        </w:tc>
        <w:tc>
          <w:tcPr>
            <w:tcW w:w="0" w:type="dxa"/>
            <w:vAlign w:val="bottom"/>
          </w:tcPr>
          <w:p>
            <w:pPr>
              <w:spacing w:after="0"/>
              <w:rPr>
                <w:sz w:val="1"/>
                <w:szCs w:val="1"/>
                <w:color w:val="auto"/>
              </w:rPr>
            </w:pPr>
          </w:p>
        </w:tc>
      </w:tr>
      <w:tr>
        <w:trPr>
          <w:trHeight w:val="180"/>
        </w:trPr>
        <w:tc>
          <w:tcPr>
            <w:tcW w:w="1700" w:type="dxa"/>
            <w:vAlign w:val="bottom"/>
          </w:tcPr>
          <w:p>
            <w:pPr>
              <w:ind w:left="300"/>
              <w:spacing w:after="0"/>
              <w:rPr>
                <w:sz w:val="20"/>
                <w:szCs w:val="20"/>
                <w:color w:val="auto"/>
              </w:rPr>
            </w:pPr>
            <w:r>
              <w:rPr>
                <w:rFonts w:ascii="Arial" w:cs="Arial" w:eastAsia="Arial" w:hAnsi="Arial"/>
                <w:sz w:val="15"/>
                <w:szCs w:val="15"/>
                <w:color w:val="auto"/>
                <w:w w:val="97"/>
              </w:rPr>
              <w:t>Net cash provided by</w:t>
            </w: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tcPr>
          <w:p>
            <w:pPr>
              <w:ind w:left="300"/>
              <w:spacing w:after="0"/>
              <w:rPr>
                <w:sz w:val="20"/>
                <w:szCs w:val="20"/>
                <w:color w:val="auto"/>
              </w:rPr>
            </w:pPr>
            <w:r>
              <w:rPr>
                <w:rFonts w:ascii="Arial" w:cs="Arial" w:eastAsia="Arial" w:hAnsi="Arial"/>
                <w:sz w:val="15"/>
                <w:szCs w:val="15"/>
                <w:color w:val="auto"/>
              </w:rPr>
              <w:t>(used in) investing</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00" w:type="dxa"/>
            <w:vAlign w:val="bottom"/>
          </w:tcPr>
          <w:p>
            <w:pPr>
              <w:ind w:left="300"/>
              <w:spacing w:after="0"/>
              <w:rPr>
                <w:sz w:val="20"/>
                <w:szCs w:val="20"/>
                <w:color w:val="auto"/>
              </w:rPr>
            </w:pPr>
            <w:r>
              <w:rPr>
                <w:rFonts w:ascii="Arial" w:cs="Arial" w:eastAsia="Arial" w:hAnsi="Arial"/>
                <w:sz w:val="15"/>
                <w:szCs w:val="15"/>
                <w:color w:val="auto"/>
              </w:rPr>
              <w:t>activities</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368,307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(22,431)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(57,190)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(10,226)</w:t>
            </w:r>
          </w:p>
        </w:tc>
        <w:tc>
          <w:tcPr>
            <w:tcW w:w="100" w:type="dxa"/>
            <w:vAlign w:val="bottom"/>
          </w:tcPr>
          <w:p>
            <w:pPr>
              <w:spacing w:after="0"/>
              <w:rPr>
                <w:sz w:val="16"/>
                <w:szCs w:val="16"/>
                <w:color w:val="auto"/>
              </w:rPr>
            </w:pPr>
          </w:p>
        </w:tc>
        <w:tc>
          <w:tcPr>
            <w:tcW w:w="440" w:type="dxa"/>
            <w:vAlign w:val="bottom"/>
          </w:tcPr>
          <w:p>
            <w:pPr>
              <w:jc w:val="right"/>
              <w:ind w:right="267"/>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rPr>
                <w:sz w:val="20"/>
                <w:szCs w:val="20"/>
                <w:color w:val="auto"/>
              </w:rPr>
            </w:pPr>
            <w:r>
              <w:rPr>
                <w:rFonts w:ascii="Arial" w:cs="Arial" w:eastAsia="Arial" w:hAnsi="Arial"/>
                <w:sz w:val="15"/>
                <w:szCs w:val="15"/>
                <w:color w:val="auto"/>
                <w:w w:val="87"/>
              </w:rPr>
              <w:t>(366,800)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(88,340)</w:t>
            </w:r>
          </w:p>
        </w:tc>
        <w:tc>
          <w:tcPr>
            <w:tcW w:w="0" w:type="dxa"/>
            <w:vAlign w:val="bottom"/>
          </w:tcPr>
          <w:p>
            <w:pPr>
              <w:spacing w:after="0"/>
              <w:rPr>
                <w:sz w:val="1"/>
                <w:szCs w:val="1"/>
                <w:color w:val="auto"/>
              </w:rPr>
            </w:pPr>
          </w:p>
        </w:tc>
      </w:tr>
      <w:tr>
        <w:trPr>
          <w:trHeight w:val="29"/>
        </w:trPr>
        <w:tc>
          <w:tcPr>
            <w:tcW w:w="1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1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00" w:type="dxa"/>
            <w:vAlign w:val="bottom"/>
          </w:tcPr>
          <w:p>
            <w:pPr>
              <w:ind w:left="20"/>
              <w:spacing w:after="0"/>
              <w:rPr>
                <w:sz w:val="20"/>
                <w:szCs w:val="20"/>
                <w:color w:val="auto"/>
              </w:rPr>
            </w:pPr>
            <w:r>
              <w:rPr>
                <w:rFonts w:ascii="Arial" w:cs="Arial" w:eastAsia="Arial" w:hAnsi="Arial"/>
                <w:sz w:val="15"/>
                <w:szCs w:val="15"/>
                <w:b w:val="1"/>
                <w:bCs w:val="1"/>
                <w:color w:val="auto"/>
              </w:rPr>
              <w:t>Cash flows from</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700" w:type="dxa"/>
            <w:vAlign w:val="bottom"/>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9"/>
              </w:rPr>
              <w:t>Intercompany financing</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activity</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(283,909)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(74,681)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(8,210)</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2"/>
              </w:rPr>
              <w:t>366,800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1700" w:type="dxa"/>
            <w:vAlign w:val="bottom"/>
          </w:tcPr>
          <w:p>
            <w:pPr>
              <w:ind w:left="140"/>
              <w:spacing w:after="0"/>
              <w:rPr>
                <w:sz w:val="20"/>
                <w:szCs w:val="20"/>
                <w:color w:val="auto"/>
              </w:rPr>
            </w:pPr>
            <w:r>
              <w:rPr>
                <w:rFonts w:ascii="Arial" w:cs="Arial" w:eastAsia="Arial" w:hAnsi="Arial"/>
                <w:sz w:val="15"/>
                <w:szCs w:val="15"/>
                <w:color w:val="auto"/>
              </w:rPr>
              <w:t>Dividends paid</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(66,355)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(66,355)</w:t>
            </w: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Repurchases of</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common stock</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(300,445)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(300,445)</w:t>
            </w:r>
          </w:p>
        </w:tc>
        <w:tc>
          <w:tcPr>
            <w:tcW w:w="0" w:type="dxa"/>
            <w:vAlign w:val="bottom"/>
          </w:tcPr>
          <w:p>
            <w:pPr>
              <w:spacing w:after="0"/>
              <w:rPr>
                <w:sz w:val="1"/>
                <w:szCs w:val="1"/>
                <w:color w:val="auto"/>
              </w:rPr>
            </w:pPr>
          </w:p>
        </w:tc>
      </w:tr>
      <w:tr>
        <w:trPr>
          <w:trHeight w:val="200"/>
        </w:trPr>
        <w:tc>
          <w:tcPr>
            <w:tcW w:w="1700" w:type="dxa"/>
            <w:vAlign w:val="bottom"/>
          </w:tcPr>
          <w:p>
            <w:pPr>
              <w:ind w:left="140"/>
              <w:spacing w:after="0"/>
              <w:rPr>
                <w:sz w:val="20"/>
                <w:szCs w:val="20"/>
                <w:color w:val="auto"/>
              </w:rPr>
            </w:pPr>
            <w:r>
              <w:rPr>
                <w:rFonts w:ascii="Arial" w:cs="Arial" w:eastAsia="Arial" w:hAnsi="Arial"/>
                <w:sz w:val="15"/>
                <w:szCs w:val="15"/>
                <w:color w:val="auto"/>
                <w:w w:val="98"/>
              </w:rPr>
              <w:t>Income tax benefit from</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00" w:type="dxa"/>
            <w:vAlign w:val="bottom"/>
          </w:tcPr>
          <w:p>
            <w:pPr>
              <w:ind w:left="140"/>
              <w:spacing w:after="0"/>
              <w:rPr>
                <w:sz w:val="20"/>
                <w:szCs w:val="20"/>
                <w:color w:val="auto"/>
              </w:rPr>
            </w:pPr>
            <w:r>
              <w:rPr>
                <w:rFonts w:ascii="Arial" w:cs="Arial" w:eastAsia="Arial" w:hAnsi="Arial"/>
                <w:sz w:val="15"/>
                <w:szCs w:val="15"/>
                <w:color w:val="auto"/>
              </w:rPr>
              <w:t>stock-based</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00" w:type="dxa"/>
            <w:vAlign w:val="bottom"/>
          </w:tcPr>
          <w:p>
            <w:pPr>
              <w:ind w:left="140"/>
              <w:spacing w:after="0"/>
              <w:rPr>
                <w:sz w:val="20"/>
                <w:szCs w:val="20"/>
                <w:color w:val="auto"/>
              </w:rPr>
            </w:pPr>
            <w:r>
              <w:rPr>
                <w:rFonts w:ascii="Arial" w:cs="Arial" w:eastAsia="Arial" w:hAnsi="Arial"/>
                <w:sz w:val="15"/>
                <w:szCs w:val="15"/>
                <w:color w:val="auto"/>
              </w:rPr>
              <w:t>compensation</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00" w:type="dxa"/>
            <w:vAlign w:val="bottom"/>
          </w:tcPr>
          <w:p>
            <w:pPr>
              <w:jc w:val="right"/>
              <w:ind w:right="6"/>
              <w:spacing w:after="0"/>
              <w:rPr>
                <w:sz w:val="20"/>
                <w:szCs w:val="20"/>
                <w:color w:val="auto"/>
              </w:rPr>
            </w:pPr>
            <w:r>
              <w:rPr>
                <w:rFonts w:ascii="Arial" w:cs="Arial" w:eastAsia="Arial" w:hAnsi="Arial"/>
                <w:sz w:val="15"/>
                <w:szCs w:val="15"/>
                <w:color w:val="auto"/>
              </w:rPr>
              <w:t>2,782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2,018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4,800</w:t>
            </w: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Withholdings from</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vesting of restricted</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stock</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(8,673)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(8,673)</w:t>
            </w:r>
          </w:p>
        </w:tc>
        <w:tc>
          <w:tcPr>
            <w:tcW w:w="0" w:type="dxa"/>
            <w:vAlign w:val="bottom"/>
          </w:tcPr>
          <w:p>
            <w:pPr>
              <w:spacing w:after="0"/>
              <w:rPr>
                <w:sz w:val="1"/>
                <w:szCs w:val="1"/>
                <w:color w:val="auto"/>
              </w:rPr>
            </w:pPr>
          </w:p>
        </w:tc>
      </w:tr>
      <w:tr>
        <w:trPr>
          <w:trHeight w:val="200"/>
        </w:trPr>
        <w:tc>
          <w:tcPr>
            <w:tcW w:w="1700" w:type="dxa"/>
            <w:vAlign w:val="bottom"/>
          </w:tcPr>
          <w:p>
            <w:pPr>
              <w:ind w:left="140"/>
              <w:spacing w:after="0"/>
              <w:rPr>
                <w:sz w:val="20"/>
                <w:szCs w:val="20"/>
                <w:color w:val="auto"/>
              </w:rPr>
            </w:pPr>
            <w:r>
              <w:rPr>
                <w:rFonts w:ascii="Arial" w:cs="Arial" w:eastAsia="Arial" w:hAnsi="Arial"/>
                <w:sz w:val="15"/>
                <w:szCs w:val="15"/>
                <w:color w:val="auto"/>
                <w:w w:val="93"/>
              </w:rPr>
              <w:t>Proceeds from exercises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700" w:type="dxa"/>
            <w:vAlign w:val="bottom"/>
          </w:tcPr>
          <w:p>
            <w:pPr>
              <w:ind w:left="140"/>
              <w:spacing w:after="0"/>
              <w:rPr>
                <w:sz w:val="20"/>
                <w:szCs w:val="20"/>
                <w:color w:val="auto"/>
              </w:rPr>
            </w:pPr>
            <w:r>
              <w:rPr>
                <w:rFonts w:ascii="Arial" w:cs="Arial" w:eastAsia="Arial" w:hAnsi="Arial"/>
                <w:sz w:val="15"/>
                <w:szCs w:val="15"/>
                <w:color w:val="auto"/>
              </w:rPr>
              <w:t>of stock options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7,166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7,166</w:t>
            </w:r>
          </w:p>
        </w:tc>
        <w:tc>
          <w:tcPr>
            <w:tcW w:w="0" w:type="dxa"/>
            <w:vAlign w:val="bottom"/>
          </w:tcPr>
          <w:p>
            <w:pPr>
              <w:spacing w:after="0"/>
              <w:rPr>
                <w:sz w:val="1"/>
                <w:szCs w:val="1"/>
                <w:color w:val="auto"/>
              </w:rPr>
            </w:pPr>
          </w:p>
        </w:tc>
      </w:tr>
      <w:tr>
        <w:trPr>
          <w:trHeight w:val="29"/>
        </w:trPr>
        <w:tc>
          <w:tcPr>
            <w:tcW w:w="1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Net cash (used in)</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shd w:val="clear" w:color="auto" w:fill="CCEEFF"/>
          </w:tcPr>
          <w:p>
            <w:pPr>
              <w:ind w:left="300"/>
              <w:spacing w:after="0"/>
              <w:rPr>
                <w:sz w:val="20"/>
                <w:szCs w:val="20"/>
                <w:color w:val="auto"/>
              </w:rPr>
            </w:pPr>
            <w:r>
              <w:rPr>
                <w:rFonts w:ascii="Arial" w:cs="Arial" w:eastAsia="Arial" w:hAnsi="Arial"/>
                <w:sz w:val="15"/>
                <w:szCs w:val="15"/>
                <w:color w:val="auto"/>
                <w:w w:val="97"/>
              </w:rPr>
              <w:t>provided by financing</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activities</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(368,307)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(281,127)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(72,663)</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(8,210)</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92"/>
              </w:rPr>
              <w:t>366,800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(363,507)</w:t>
            </w:r>
          </w:p>
        </w:tc>
        <w:tc>
          <w:tcPr>
            <w:tcW w:w="0" w:type="dxa"/>
            <w:vAlign w:val="bottom"/>
          </w:tcPr>
          <w:p>
            <w:pPr>
              <w:spacing w:after="0"/>
              <w:rPr>
                <w:sz w:val="1"/>
                <w:szCs w:val="1"/>
                <w:color w:val="auto"/>
              </w:rPr>
            </w:pPr>
          </w:p>
        </w:tc>
      </w:tr>
      <w:tr>
        <w:trPr>
          <w:trHeight w:val="180"/>
        </w:trPr>
        <w:tc>
          <w:tcPr>
            <w:tcW w:w="1700" w:type="dxa"/>
            <w:vAlign w:val="bottom"/>
          </w:tcPr>
          <w:p>
            <w:pPr>
              <w:ind w:left="20"/>
              <w:spacing w:after="0"/>
              <w:rPr>
                <w:sz w:val="20"/>
                <w:szCs w:val="20"/>
                <w:color w:val="auto"/>
              </w:rPr>
            </w:pPr>
            <w:r>
              <w:rPr>
                <w:rFonts w:ascii="Arial" w:cs="Arial" w:eastAsia="Arial" w:hAnsi="Arial"/>
                <w:sz w:val="15"/>
                <w:szCs w:val="15"/>
                <w:color w:val="auto"/>
              </w:rPr>
              <w:t>Effect of exchange rate</w:t>
            </w: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00" w:type="dxa"/>
            <w:vAlign w:val="bottom"/>
          </w:tcPr>
          <w:p>
            <w:pPr>
              <w:ind w:left="20"/>
              <w:spacing w:after="0"/>
              <w:rPr>
                <w:sz w:val="20"/>
                <w:szCs w:val="20"/>
                <w:color w:val="auto"/>
              </w:rPr>
            </w:pPr>
            <w:r>
              <w:rPr>
                <w:rFonts w:ascii="Arial" w:cs="Arial" w:eastAsia="Arial" w:hAnsi="Arial"/>
                <w:sz w:val="15"/>
                <w:szCs w:val="15"/>
                <w:color w:val="auto"/>
              </w:rPr>
              <w:t>changes on cash</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767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767</w:t>
            </w: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w w:val="94"/>
              </w:rPr>
              <w:t>Net (decrease) increase in</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3"/>
              </w:rPr>
              <w:t>cash and cash equivalents</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(96,715)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(2,835)</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17,699</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(81,851)</w:t>
            </w:r>
          </w:p>
        </w:tc>
        <w:tc>
          <w:tcPr>
            <w:tcW w:w="0" w:type="dxa"/>
            <w:vAlign w:val="bottom"/>
          </w:tcPr>
          <w:p>
            <w:pPr>
              <w:spacing w:after="0"/>
              <w:rPr>
                <w:sz w:val="1"/>
                <w:szCs w:val="1"/>
                <w:color w:val="auto"/>
              </w:rPr>
            </w:pPr>
          </w:p>
        </w:tc>
      </w:tr>
      <w:tr>
        <w:trPr>
          <w:trHeight w:val="200"/>
        </w:trPr>
        <w:tc>
          <w:tcPr>
            <w:tcW w:w="1700" w:type="dxa"/>
            <w:vAlign w:val="bottom"/>
          </w:tcPr>
          <w:p>
            <w:pPr>
              <w:ind w:left="20"/>
              <w:spacing w:after="0"/>
              <w:rPr>
                <w:sz w:val="20"/>
                <w:szCs w:val="20"/>
                <w:color w:val="auto"/>
              </w:rPr>
            </w:pPr>
            <w:r>
              <w:rPr>
                <w:rFonts w:ascii="Arial" w:cs="Arial" w:eastAsia="Arial" w:hAnsi="Arial"/>
                <w:sz w:val="15"/>
                <w:szCs w:val="15"/>
                <w:color w:val="auto"/>
              </w:rPr>
              <w:t>Cash and cash</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700" w:type="dxa"/>
            <w:vAlign w:val="bottom"/>
          </w:tcPr>
          <w:p>
            <w:pPr>
              <w:ind w:left="20"/>
              <w:spacing w:after="0"/>
              <w:rPr>
                <w:sz w:val="20"/>
                <w:szCs w:val="20"/>
                <w:color w:val="auto"/>
              </w:rPr>
            </w:pPr>
            <w:r>
              <w:rPr>
                <w:rFonts w:ascii="Arial" w:cs="Arial" w:eastAsia="Arial" w:hAnsi="Arial"/>
                <w:sz w:val="15"/>
                <w:szCs w:val="15"/>
                <w:color w:val="auto"/>
              </w:rPr>
              <w:t>equivalents, beginning of</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00" w:type="dxa"/>
            <w:vAlign w:val="bottom"/>
          </w:tcPr>
          <w:p>
            <w:pPr>
              <w:ind w:left="20"/>
              <w:spacing w:after="0"/>
              <w:rPr>
                <w:sz w:val="20"/>
                <w:szCs w:val="20"/>
                <w:color w:val="auto"/>
              </w:rPr>
            </w:pPr>
            <w:r>
              <w:rPr>
                <w:rFonts w:ascii="Arial" w:cs="Arial" w:eastAsia="Arial" w:hAnsi="Arial"/>
                <w:sz w:val="15"/>
                <w:szCs w:val="15"/>
                <w:color w:val="auto"/>
              </w:rPr>
              <w:t>fiscal year</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00" w:type="dxa"/>
            <w:vAlign w:val="bottom"/>
          </w:tcPr>
          <w:p>
            <w:pPr>
              <w:jc w:val="right"/>
              <w:ind w:right="6"/>
              <w:spacing w:after="0"/>
              <w:rPr>
                <w:sz w:val="20"/>
                <w:szCs w:val="20"/>
                <w:color w:val="auto"/>
              </w:rPr>
            </w:pPr>
            <w:r>
              <w:rPr>
                <w:rFonts w:ascii="Arial" w:cs="Arial" w:eastAsia="Arial" w:hAnsi="Arial"/>
                <w:sz w:val="15"/>
                <w:szCs w:val="15"/>
                <w:color w:val="auto"/>
              </w:rPr>
              <w:t>325,771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14,652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40,786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381,209</w:t>
            </w:r>
          </w:p>
        </w:tc>
        <w:tc>
          <w:tcPr>
            <w:tcW w:w="0" w:type="dxa"/>
            <w:vAlign w:val="bottom"/>
          </w:tcPr>
          <w:p>
            <w:pPr>
              <w:spacing w:after="0"/>
              <w:rPr>
                <w:sz w:val="1"/>
                <w:szCs w:val="1"/>
                <w:color w:val="auto"/>
              </w:rPr>
            </w:pPr>
          </w:p>
        </w:tc>
      </w:tr>
      <w:tr>
        <w:trPr>
          <w:trHeight w:val="29"/>
        </w:trPr>
        <w:tc>
          <w:tcPr>
            <w:tcW w:w="1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equivalents, end of fiscal</w:t>
            </w:r>
          </w:p>
        </w:tc>
        <w:tc>
          <w:tcPr>
            <w:tcW w:w="18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229,056</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11,817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58,485</w:t>
            </w:r>
          </w:p>
        </w:tc>
        <w:tc>
          <w:tcPr>
            <w:tcW w:w="1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267"/>
              <w:spacing w:after="0"/>
              <w:rPr>
                <w:sz w:val="20"/>
                <w:szCs w:val="20"/>
                <w:color w:val="auto"/>
              </w:rPr>
            </w:pPr>
            <w:r>
              <w:rPr>
                <w:rFonts w:ascii="Arial" w:cs="Arial" w:eastAsia="Arial" w:hAnsi="Arial"/>
                <w:sz w:val="15"/>
                <w:szCs w:val="15"/>
                <w:color w:val="auto"/>
                <w:w w:val="95"/>
              </w:rPr>
              <w:t>$</w:t>
            </w: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299,358</w:t>
            </w:r>
          </w:p>
        </w:tc>
        <w:tc>
          <w:tcPr>
            <w:tcW w:w="0" w:type="dxa"/>
            <w:vAlign w:val="bottom"/>
          </w:tcPr>
          <w:p>
            <w:pPr>
              <w:spacing w:after="0"/>
              <w:rPr>
                <w:sz w:val="1"/>
                <w:szCs w:val="1"/>
                <w:color w:val="auto"/>
              </w:rPr>
            </w:pPr>
          </w:p>
        </w:tc>
      </w:tr>
      <w:tr>
        <w:trPr>
          <w:trHeight w:val="196"/>
        </w:trPr>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year</w:t>
            </w:r>
          </w:p>
        </w:tc>
        <w:tc>
          <w:tcPr>
            <w:tcW w:w="18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ind w:left="346"/>
              <w:spacing w:after="0"/>
              <w:rPr>
                <w:sz w:val="20"/>
                <w:szCs w:val="20"/>
                <w:color w:val="auto"/>
              </w:rPr>
            </w:pPr>
            <w:r>
              <w:rPr>
                <w:rFonts w:ascii="Arial" w:cs="Arial" w:eastAsia="Arial" w:hAnsi="Arial"/>
                <w:sz w:val="16"/>
                <w:szCs w:val="16"/>
                <w:color w:val="auto"/>
                <w:w w:val="89"/>
              </w:rPr>
              <w:t>102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3" w:right="1440" w:bottom="1440" w:gutter="0" w:footer="0" w:header="0"/>
        </w:sectPr>
      </w:pPr>
    </w:p>
    <w:bookmarkStart w:id="105" w:name="page106"/>
    <w:bookmarkEnd w:id="105"/>
    <w:p>
      <w:pPr>
        <w:ind w:left="40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61"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CARTER’S, INC.</w:t>
      </w:r>
    </w:p>
    <w:p>
      <w:pPr>
        <w:spacing w:after="0" w:line="48"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fiscal year ended January 2, 2016</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(dollars in thousands)</w:t>
      </w:r>
    </w:p>
    <w:p>
      <w:pPr>
        <w:spacing w:after="0" w:line="330"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5"/>
                <w:szCs w:val="15"/>
                <w:b w:val="1"/>
                <w:bCs w:val="1"/>
                <w:color w:val="auto"/>
              </w:rPr>
              <w:t>Parent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85"/>
              </w:rPr>
              <w:t>Subsidiary</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b w:val="1"/>
                <w:bCs w:val="1"/>
                <w:color w:val="auto"/>
                <w:w w:val="93"/>
              </w:rPr>
              <w:t>Guarantor</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b w:val="1"/>
                <w:bCs w:val="1"/>
                <w:color w:val="auto"/>
                <w:w w:val="93"/>
              </w:rPr>
              <w:t>Non-</w:t>
            </w: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5"/>
                <w:szCs w:val="15"/>
                <w:b w:val="1"/>
                <w:bCs w:val="1"/>
                <w:color w:val="auto"/>
                <w:w w:val="87"/>
              </w:rPr>
              <w:t>Consolidating</w:t>
            </w:r>
          </w:p>
        </w:tc>
        <w:tc>
          <w:tcPr>
            <w:tcW w:w="1000" w:type="dxa"/>
            <w:vAlign w:val="bottom"/>
            <w:gridSpan w:val="2"/>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92"/>
              </w:rPr>
              <w:t>Consolidated</w:t>
            </w: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b w:val="1"/>
                <w:bCs w:val="1"/>
                <w:color w:val="auto"/>
                <w:w w:val="85"/>
              </w:rPr>
              <w:t>Issuer</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b w:val="1"/>
                <w:bCs w:val="1"/>
                <w:color w:val="auto"/>
                <w:w w:val="85"/>
              </w:rPr>
              <w:t>Subsidiaries</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b w:val="1"/>
                <w:bCs w:val="1"/>
                <w:color w:val="auto"/>
                <w:w w:val="93"/>
              </w:rPr>
              <w:t>Guarantor</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b w:val="1"/>
                <w:bCs w:val="1"/>
                <w:color w:val="auto"/>
                <w:w w:val="88"/>
              </w:rPr>
              <w:t>Adjustments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5"/>
                <w:szCs w:val="15"/>
                <w:b w:val="1"/>
                <w:bCs w:val="1"/>
                <w:color w:val="auto"/>
                <w:w w:val="85"/>
              </w:rPr>
              <w:t>Subsidiaries</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980" w:type="dxa"/>
            <w:vAlign w:val="bottom"/>
          </w:tcPr>
          <w:p>
            <w:pPr>
              <w:ind w:left="20"/>
              <w:spacing w:after="0"/>
              <w:rPr>
                <w:sz w:val="20"/>
                <w:szCs w:val="20"/>
                <w:color w:val="auto"/>
              </w:rPr>
            </w:pPr>
            <w:r>
              <w:rPr>
                <w:rFonts w:ascii="Arial" w:cs="Arial" w:eastAsia="Arial" w:hAnsi="Arial"/>
                <w:sz w:val="15"/>
                <w:szCs w:val="15"/>
                <w:b w:val="1"/>
                <w:bCs w:val="1"/>
                <w:color w:val="auto"/>
              </w:rPr>
              <w:t>Cash flows provided by</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80" w:type="dxa"/>
            <w:vAlign w:val="bottom"/>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148,656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115,589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43,742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307,987</w:t>
            </w:r>
          </w:p>
        </w:tc>
        <w:tc>
          <w:tcPr>
            <w:tcW w:w="0" w:type="dxa"/>
            <w:vAlign w:val="bottom"/>
          </w:tcPr>
          <w:p>
            <w:pPr>
              <w:spacing w:after="0"/>
              <w:rPr>
                <w:sz w:val="1"/>
                <w:szCs w:val="1"/>
                <w:color w:val="auto"/>
              </w:rPr>
            </w:pPr>
          </w:p>
        </w:tc>
      </w:tr>
      <w:tr>
        <w:trPr>
          <w:trHeight w:val="29"/>
        </w:trPr>
        <w:tc>
          <w:tcPr>
            <w:tcW w:w="1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1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98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80" w:type="dxa"/>
            <w:vAlign w:val="bottom"/>
          </w:tcPr>
          <w:p>
            <w:pPr>
              <w:ind w:left="20"/>
              <w:spacing w:after="0"/>
              <w:rPr>
                <w:sz w:val="20"/>
                <w:szCs w:val="20"/>
                <w:color w:val="auto"/>
              </w:rPr>
            </w:pPr>
            <w:r>
              <w:rPr>
                <w:rFonts w:ascii="Arial" w:cs="Arial" w:eastAsia="Arial" w:hAnsi="Arial"/>
                <w:sz w:val="15"/>
                <w:szCs w:val="15"/>
                <w:b w:val="1"/>
                <w:bCs w:val="1"/>
                <w:color w:val="auto"/>
              </w:rPr>
              <w:t>activities: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Capital expenditures</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(27,813)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(64,707)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(10,977)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(103,497)</w:t>
            </w:r>
          </w:p>
        </w:tc>
        <w:tc>
          <w:tcPr>
            <w:tcW w:w="0" w:type="dxa"/>
            <w:vAlign w:val="bottom"/>
          </w:tcPr>
          <w:p>
            <w:pPr>
              <w:spacing w:after="0"/>
              <w:rPr>
                <w:sz w:val="1"/>
                <w:szCs w:val="1"/>
                <w:color w:val="auto"/>
              </w:rPr>
            </w:pPr>
          </w:p>
        </w:tc>
      </w:tr>
      <w:tr>
        <w:trPr>
          <w:trHeight w:val="200"/>
        </w:trPr>
        <w:tc>
          <w:tcPr>
            <w:tcW w:w="1980" w:type="dxa"/>
            <w:vAlign w:val="bottom"/>
          </w:tcPr>
          <w:p>
            <w:pPr>
              <w:ind w:left="140"/>
              <w:spacing w:after="0"/>
              <w:rPr>
                <w:sz w:val="20"/>
                <w:szCs w:val="20"/>
                <w:color w:val="auto"/>
              </w:rPr>
            </w:pPr>
            <w:r>
              <w:rPr>
                <w:rFonts w:ascii="Arial" w:cs="Arial" w:eastAsia="Arial" w:hAnsi="Arial"/>
                <w:sz w:val="15"/>
                <w:szCs w:val="15"/>
                <w:color w:val="auto"/>
              </w:rPr>
              <w:t>Intercompany investing</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140"/>
              <w:spacing w:after="0"/>
              <w:rPr>
                <w:sz w:val="20"/>
                <w:szCs w:val="20"/>
                <w:color w:val="auto"/>
              </w:rPr>
            </w:pPr>
            <w:r>
              <w:rPr>
                <w:rFonts w:ascii="Arial" w:cs="Arial" w:eastAsia="Arial" w:hAnsi="Arial"/>
                <w:sz w:val="15"/>
                <w:szCs w:val="15"/>
                <w:color w:val="auto"/>
              </w:rPr>
              <w:t>activity</w:t>
            </w:r>
          </w:p>
        </w:tc>
        <w:tc>
          <w:tcPr>
            <w:tcW w:w="160" w:type="dxa"/>
            <w:vAlign w:val="bottom"/>
          </w:tcPr>
          <w:p>
            <w:pPr>
              <w:spacing w:after="0"/>
              <w:rPr>
                <w:sz w:val="16"/>
                <w:szCs w:val="16"/>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161,993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5,642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(2,735)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(8,582)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(156,318)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6"/>
              </w:rPr>
              <w:t>Proceeds from repayment of</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intercompany loan</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35,000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(35,000)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980" w:type="dxa"/>
            <w:vAlign w:val="bottom"/>
          </w:tcPr>
          <w:p>
            <w:pPr>
              <w:ind w:left="140"/>
              <w:spacing w:after="0"/>
              <w:rPr>
                <w:sz w:val="20"/>
                <w:szCs w:val="20"/>
                <w:color w:val="auto"/>
              </w:rPr>
            </w:pPr>
            <w:r>
              <w:rPr>
                <w:rFonts w:ascii="Arial" w:cs="Arial" w:eastAsia="Arial" w:hAnsi="Arial"/>
                <w:sz w:val="15"/>
                <w:szCs w:val="15"/>
                <w:color w:val="auto"/>
              </w:rPr>
              <w:t>Issuance of intercompany</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140"/>
              <w:spacing w:after="0"/>
              <w:rPr>
                <w:sz w:val="20"/>
                <w:szCs w:val="20"/>
                <w:color w:val="auto"/>
              </w:rPr>
            </w:pPr>
            <w:r>
              <w:rPr>
                <w:rFonts w:ascii="Arial" w:cs="Arial" w:eastAsia="Arial" w:hAnsi="Arial"/>
                <w:sz w:val="15"/>
                <w:szCs w:val="15"/>
                <w:color w:val="auto"/>
              </w:rPr>
              <w:t>loan</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Disposals of property, plant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and equipment</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80"/>
        </w:trPr>
        <w:tc>
          <w:tcPr>
            <w:tcW w:w="1980" w:type="dxa"/>
            <w:vAlign w:val="bottom"/>
          </w:tcPr>
          <w:p>
            <w:pPr>
              <w:ind w:left="300"/>
              <w:spacing w:after="0"/>
              <w:rPr>
                <w:sz w:val="20"/>
                <w:szCs w:val="20"/>
                <w:color w:val="auto"/>
              </w:rPr>
            </w:pPr>
            <w:r>
              <w:rPr>
                <w:rFonts w:ascii="Arial" w:cs="Arial" w:eastAsia="Arial" w:hAnsi="Arial"/>
                <w:sz w:val="15"/>
                <w:szCs w:val="15"/>
                <w:color w:val="auto"/>
              </w:rPr>
              <w:t>Net cash provided by</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80" w:type="dxa"/>
            <w:vAlign w:val="bottom"/>
          </w:tcPr>
          <w:p>
            <w:pPr>
              <w:ind w:left="300"/>
              <w:spacing w:after="0"/>
              <w:rPr>
                <w:sz w:val="20"/>
                <w:szCs w:val="20"/>
                <w:color w:val="auto"/>
              </w:rPr>
            </w:pPr>
            <w:r>
              <w:rPr>
                <w:rFonts w:ascii="Arial" w:cs="Arial" w:eastAsia="Arial" w:hAnsi="Arial"/>
                <w:sz w:val="15"/>
                <w:szCs w:val="15"/>
                <w:color w:val="auto"/>
              </w:rPr>
              <w:t>(used in) investing</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300"/>
              <w:spacing w:after="0"/>
              <w:rPr>
                <w:sz w:val="20"/>
                <w:szCs w:val="20"/>
                <w:color w:val="auto"/>
              </w:rPr>
            </w:pPr>
            <w:r>
              <w:rPr>
                <w:rFonts w:ascii="Arial" w:cs="Arial" w:eastAsia="Arial" w:hAnsi="Arial"/>
                <w:sz w:val="15"/>
                <w:szCs w:val="15"/>
                <w:color w:val="auto"/>
              </w:rPr>
              <w:t>activities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161,993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(2,106)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(67,442)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(19,552)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(176,318)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(103,425)</w:t>
            </w:r>
          </w:p>
        </w:tc>
        <w:tc>
          <w:tcPr>
            <w:tcW w:w="0" w:type="dxa"/>
            <w:vAlign w:val="bottom"/>
          </w:tcPr>
          <w:p>
            <w:pPr>
              <w:spacing w:after="0"/>
              <w:rPr>
                <w:sz w:val="1"/>
                <w:szCs w:val="1"/>
                <w:color w:val="auto"/>
              </w:rPr>
            </w:pPr>
          </w:p>
        </w:tc>
      </w:tr>
      <w:tr>
        <w:trPr>
          <w:trHeight w:val="29"/>
        </w:trPr>
        <w:tc>
          <w:tcPr>
            <w:tcW w:w="1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1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98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980" w:type="dxa"/>
            <w:vAlign w:val="bottom"/>
          </w:tcPr>
          <w:p>
            <w:pPr>
              <w:ind w:left="20"/>
              <w:spacing w:after="0"/>
              <w:rPr>
                <w:sz w:val="20"/>
                <w:szCs w:val="20"/>
                <w:color w:val="auto"/>
              </w:rPr>
            </w:pPr>
            <w:r>
              <w:rPr>
                <w:rFonts w:ascii="Arial" w:cs="Arial" w:eastAsia="Arial" w:hAnsi="Arial"/>
                <w:sz w:val="15"/>
                <w:szCs w:val="15"/>
                <w:b w:val="1"/>
                <w:bCs w:val="1"/>
                <w:color w:val="auto"/>
              </w:rPr>
              <w:t>activities: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Intercompany financing</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activity</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(108,761)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(46,672)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(885)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156,318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980" w:type="dxa"/>
            <w:vAlign w:val="bottom"/>
          </w:tcPr>
          <w:p>
            <w:pPr>
              <w:ind w:left="140"/>
              <w:spacing w:after="0"/>
              <w:rPr>
                <w:sz w:val="20"/>
                <w:szCs w:val="20"/>
                <w:color w:val="auto"/>
              </w:rPr>
            </w:pPr>
            <w:r>
              <w:rPr>
                <w:rFonts w:ascii="Arial" w:cs="Arial" w:eastAsia="Arial" w:hAnsi="Arial"/>
                <w:sz w:val="15"/>
                <w:szCs w:val="15"/>
                <w:color w:val="auto"/>
                <w:w w:val="94"/>
              </w:rPr>
              <w:t>Proceeds from intercompany</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140"/>
              <w:spacing w:after="0"/>
              <w:rPr>
                <w:sz w:val="20"/>
                <w:szCs w:val="20"/>
                <w:color w:val="auto"/>
              </w:rPr>
            </w:pPr>
            <w:r>
              <w:rPr>
                <w:rFonts w:ascii="Arial" w:cs="Arial" w:eastAsia="Arial" w:hAnsi="Arial"/>
                <w:sz w:val="15"/>
                <w:szCs w:val="15"/>
                <w:color w:val="auto"/>
              </w:rPr>
              <w:t>loan</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7"/>
              </w:rPr>
              <w:t>Repayment of intercompany</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loan</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(35,000)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35,000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980" w:type="dxa"/>
            <w:vAlign w:val="bottom"/>
          </w:tcPr>
          <w:p>
            <w:pPr>
              <w:ind w:left="140"/>
              <w:spacing w:after="0"/>
              <w:rPr>
                <w:sz w:val="20"/>
                <w:szCs w:val="20"/>
                <w:color w:val="auto"/>
              </w:rPr>
            </w:pPr>
            <w:r>
              <w:rPr>
                <w:rFonts w:ascii="Arial" w:cs="Arial" w:eastAsia="Arial" w:hAnsi="Arial"/>
                <w:sz w:val="15"/>
                <w:szCs w:val="15"/>
                <w:color w:val="auto"/>
              </w:rPr>
              <w:t>Borrowings under secured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140"/>
              <w:spacing w:after="0"/>
              <w:rPr>
                <w:sz w:val="20"/>
                <w:szCs w:val="20"/>
                <w:color w:val="auto"/>
              </w:rPr>
            </w:pPr>
            <w:r>
              <w:rPr>
                <w:rFonts w:ascii="Arial" w:cs="Arial" w:eastAsia="Arial" w:hAnsi="Arial"/>
                <w:sz w:val="15"/>
                <w:szCs w:val="15"/>
                <w:color w:val="auto"/>
              </w:rPr>
              <w:t>revolving credit facility</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166,000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39,586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205,586</w:t>
            </w: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Payments on secured</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revolving credit facility</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(186,000)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(19,237)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(205,237)</w:t>
            </w:r>
          </w:p>
        </w:tc>
        <w:tc>
          <w:tcPr>
            <w:tcW w:w="0" w:type="dxa"/>
            <w:vAlign w:val="bottom"/>
          </w:tcPr>
          <w:p>
            <w:pPr>
              <w:spacing w:after="0"/>
              <w:rPr>
                <w:sz w:val="1"/>
                <w:szCs w:val="1"/>
                <w:color w:val="auto"/>
              </w:rPr>
            </w:pPr>
          </w:p>
        </w:tc>
      </w:tr>
      <w:tr>
        <w:trPr>
          <w:trHeight w:val="200"/>
        </w:trPr>
        <w:tc>
          <w:tcPr>
            <w:tcW w:w="1980" w:type="dxa"/>
            <w:vAlign w:val="bottom"/>
          </w:tcPr>
          <w:p>
            <w:pPr>
              <w:ind w:left="140"/>
              <w:spacing w:after="0"/>
              <w:rPr>
                <w:sz w:val="20"/>
                <w:szCs w:val="20"/>
                <w:color w:val="auto"/>
              </w:rPr>
            </w:pPr>
            <w:r>
              <w:rPr>
                <w:rFonts w:ascii="Arial" w:cs="Arial" w:eastAsia="Arial" w:hAnsi="Arial"/>
                <w:sz w:val="15"/>
                <w:szCs w:val="15"/>
                <w:color w:val="auto"/>
              </w:rPr>
              <w:t>Payment of debt issuance</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140"/>
              <w:spacing w:after="0"/>
              <w:rPr>
                <w:sz w:val="20"/>
                <w:szCs w:val="20"/>
                <w:color w:val="auto"/>
              </w:rPr>
            </w:pPr>
            <w:r>
              <w:rPr>
                <w:rFonts w:ascii="Arial" w:cs="Arial" w:eastAsia="Arial" w:hAnsi="Arial"/>
                <w:sz w:val="15"/>
                <w:szCs w:val="15"/>
                <w:color w:val="auto"/>
              </w:rPr>
              <w:t>costs</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(1,628)</w:t>
            </w: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Payment of contingent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consideration</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(7,572)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(7,572)</w:t>
            </w:r>
          </w:p>
        </w:tc>
        <w:tc>
          <w:tcPr>
            <w:tcW w:w="0" w:type="dxa"/>
            <w:vAlign w:val="bottom"/>
          </w:tcPr>
          <w:p>
            <w:pPr>
              <w:spacing w:after="0"/>
              <w:rPr>
                <w:sz w:val="1"/>
                <w:szCs w:val="1"/>
                <w:color w:val="auto"/>
              </w:rPr>
            </w:pPr>
          </w:p>
        </w:tc>
      </w:tr>
      <w:tr>
        <w:trPr>
          <w:trHeight w:val="215"/>
        </w:trPr>
        <w:tc>
          <w:tcPr>
            <w:tcW w:w="1980" w:type="dxa"/>
            <w:vAlign w:val="bottom"/>
          </w:tcPr>
          <w:p>
            <w:pPr>
              <w:ind w:left="140"/>
              <w:spacing w:after="0"/>
              <w:rPr>
                <w:sz w:val="20"/>
                <w:szCs w:val="20"/>
                <w:color w:val="auto"/>
              </w:rPr>
            </w:pPr>
            <w:r>
              <w:rPr>
                <w:rFonts w:ascii="Arial" w:cs="Arial" w:eastAsia="Arial" w:hAnsi="Arial"/>
                <w:sz w:val="15"/>
                <w:szCs w:val="15"/>
                <w:color w:val="auto"/>
              </w:rPr>
              <w:t>Dividends paid</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(46,028)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(46,028)</w:t>
            </w: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Repurchases of common</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stock</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(110,290)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(110,290)</w:t>
            </w:r>
          </w:p>
        </w:tc>
        <w:tc>
          <w:tcPr>
            <w:tcW w:w="0" w:type="dxa"/>
            <w:vAlign w:val="bottom"/>
          </w:tcPr>
          <w:p>
            <w:pPr>
              <w:spacing w:after="0"/>
              <w:rPr>
                <w:sz w:val="1"/>
                <w:szCs w:val="1"/>
                <w:color w:val="auto"/>
              </w:rPr>
            </w:pPr>
          </w:p>
        </w:tc>
      </w:tr>
      <w:tr>
        <w:trPr>
          <w:trHeight w:val="200"/>
        </w:trPr>
        <w:tc>
          <w:tcPr>
            <w:tcW w:w="1980" w:type="dxa"/>
            <w:vAlign w:val="bottom"/>
          </w:tcPr>
          <w:p>
            <w:pPr>
              <w:ind w:left="140"/>
              <w:spacing w:after="0"/>
              <w:rPr>
                <w:sz w:val="20"/>
                <w:szCs w:val="20"/>
                <w:color w:val="auto"/>
              </w:rPr>
            </w:pPr>
            <w:r>
              <w:rPr>
                <w:rFonts w:ascii="Arial" w:cs="Arial" w:eastAsia="Arial" w:hAnsi="Arial"/>
                <w:sz w:val="15"/>
                <w:szCs w:val="15"/>
                <w:color w:val="auto"/>
              </w:rPr>
              <w:t>Income tax benefit from</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140"/>
              <w:spacing w:after="0"/>
              <w:rPr>
                <w:sz w:val="20"/>
                <w:szCs w:val="20"/>
                <w:color w:val="auto"/>
              </w:rPr>
            </w:pPr>
            <w:r>
              <w:rPr>
                <w:rFonts w:ascii="Arial" w:cs="Arial" w:eastAsia="Arial" w:hAnsi="Arial"/>
                <w:sz w:val="15"/>
                <w:szCs w:val="15"/>
                <w:color w:val="auto"/>
              </w:rPr>
              <w:t>stock-based compensation</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6,104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2,735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8,839</w:t>
            </w: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Withholdings from vesting</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of restricted stock</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(12,651)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(12,651)</w:t>
            </w:r>
          </w:p>
        </w:tc>
        <w:tc>
          <w:tcPr>
            <w:tcW w:w="0" w:type="dxa"/>
            <w:vAlign w:val="bottom"/>
          </w:tcPr>
          <w:p>
            <w:pPr>
              <w:spacing w:after="0"/>
              <w:rPr>
                <w:sz w:val="1"/>
                <w:szCs w:val="1"/>
                <w:color w:val="auto"/>
              </w:rPr>
            </w:pPr>
          </w:p>
        </w:tc>
      </w:tr>
      <w:tr>
        <w:trPr>
          <w:trHeight w:val="200"/>
        </w:trPr>
        <w:tc>
          <w:tcPr>
            <w:tcW w:w="1980" w:type="dxa"/>
            <w:vAlign w:val="bottom"/>
          </w:tcPr>
          <w:p>
            <w:pPr>
              <w:ind w:left="140"/>
              <w:spacing w:after="0"/>
              <w:rPr>
                <w:sz w:val="20"/>
                <w:szCs w:val="20"/>
                <w:color w:val="auto"/>
              </w:rPr>
            </w:pPr>
            <w:r>
              <w:rPr>
                <w:rFonts w:ascii="Arial" w:cs="Arial" w:eastAsia="Arial" w:hAnsi="Arial"/>
                <w:sz w:val="15"/>
                <w:szCs w:val="15"/>
                <w:color w:val="auto"/>
              </w:rPr>
              <w:t>Proceeds from exercises of</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140"/>
              <w:spacing w:after="0"/>
              <w:rPr>
                <w:sz w:val="20"/>
                <w:szCs w:val="20"/>
                <w:color w:val="auto"/>
              </w:rPr>
            </w:pPr>
            <w:r>
              <w:rPr>
                <w:rFonts w:ascii="Arial" w:cs="Arial" w:eastAsia="Arial" w:hAnsi="Arial"/>
                <w:sz w:val="15"/>
                <w:szCs w:val="15"/>
                <w:color w:val="auto"/>
              </w:rPr>
              <w:t>stock options</w:t>
            </w:r>
          </w:p>
        </w:tc>
        <w:tc>
          <w:tcPr>
            <w:tcW w:w="160" w:type="dxa"/>
            <w:vAlign w:val="bottom"/>
          </w:tcPr>
          <w:p>
            <w:pPr>
              <w:spacing w:after="0"/>
              <w:rPr>
                <w:sz w:val="16"/>
                <w:szCs w:val="16"/>
                <w:color w:val="auto"/>
              </w:rPr>
            </w:pPr>
          </w:p>
        </w:tc>
        <w:tc>
          <w:tcPr>
            <w:tcW w:w="720" w:type="dxa"/>
            <w:vAlign w:val="bottom"/>
          </w:tcPr>
          <w:p>
            <w:pPr>
              <w:jc w:val="right"/>
              <w:ind w:right="7"/>
              <w:spacing w:after="0"/>
              <w:rPr>
                <w:sz w:val="20"/>
                <w:szCs w:val="20"/>
                <w:color w:val="auto"/>
              </w:rPr>
            </w:pPr>
            <w:r>
              <w:rPr>
                <w:rFonts w:ascii="Arial" w:cs="Arial" w:eastAsia="Arial" w:hAnsi="Arial"/>
                <w:sz w:val="15"/>
                <w:szCs w:val="15"/>
                <w:color w:val="auto"/>
              </w:rPr>
              <w:t>6,976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6,976</w:t>
            </w:r>
          </w:p>
        </w:tc>
        <w:tc>
          <w:tcPr>
            <w:tcW w:w="0" w:type="dxa"/>
            <w:vAlign w:val="bottom"/>
          </w:tcPr>
          <w:p>
            <w:pPr>
              <w:spacing w:after="0"/>
              <w:rPr>
                <w:sz w:val="1"/>
                <w:szCs w:val="1"/>
                <w:color w:val="auto"/>
              </w:rPr>
            </w:pPr>
          </w:p>
        </w:tc>
      </w:tr>
      <w:tr>
        <w:trPr>
          <w:trHeight w:val="29"/>
        </w:trPr>
        <w:tc>
          <w:tcPr>
            <w:tcW w:w="1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Net cash (used in)</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provided by financing</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5"/>
                <w:szCs w:val="15"/>
                <w:color w:val="auto"/>
              </w:rPr>
              <w:t>activities</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(161,993)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(131,857)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(43,937)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(536)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176,318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(162,005)</w:t>
            </w:r>
          </w:p>
        </w:tc>
        <w:tc>
          <w:tcPr>
            <w:tcW w:w="0" w:type="dxa"/>
            <w:vAlign w:val="bottom"/>
          </w:tcPr>
          <w:p>
            <w:pPr>
              <w:spacing w:after="0"/>
              <w:rPr>
                <w:sz w:val="1"/>
                <w:szCs w:val="1"/>
                <w:color w:val="auto"/>
              </w:rPr>
            </w:pPr>
          </w:p>
        </w:tc>
      </w:tr>
      <w:tr>
        <w:trPr>
          <w:trHeight w:val="180"/>
        </w:trPr>
        <w:tc>
          <w:tcPr>
            <w:tcW w:w="1980" w:type="dxa"/>
            <w:vAlign w:val="bottom"/>
          </w:tcPr>
          <w:p>
            <w:pPr>
              <w:ind w:left="20"/>
              <w:spacing w:after="0"/>
              <w:rPr>
                <w:sz w:val="20"/>
                <w:szCs w:val="20"/>
                <w:color w:val="auto"/>
              </w:rPr>
            </w:pPr>
            <w:r>
              <w:rPr>
                <w:rFonts w:ascii="Arial" w:cs="Arial" w:eastAsia="Arial" w:hAnsi="Arial"/>
                <w:sz w:val="15"/>
                <w:szCs w:val="15"/>
                <w:color w:val="auto"/>
              </w:rPr>
              <w:t>Effect of exchange rate</w:t>
            </w: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20"/>
              <w:spacing w:after="0"/>
              <w:rPr>
                <w:sz w:val="20"/>
                <w:szCs w:val="20"/>
                <w:color w:val="auto"/>
              </w:rPr>
            </w:pPr>
            <w:r>
              <w:rPr>
                <w:rFonts w:ascii="Arial" w:cs="Arial" w:eastAsia="Arial" w:hAnsi="Arial"/>
                <w:sz w:val="15"/>
                <w:szCs w:val="15"/>
                <w:color w:val="auto"/>
              </w:rPr>
              <w:t>changes on cash</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(1,986)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(1,986)</w:t>
            </w:r>
          </w:p>
        </w:tc>
        <w:tc>
          <w:tcPr>
            <w:tcW w:w="0" w:type="dxa"/>
            <w:vAlign w:val="bottom"/>
          </w:tcPr>
          <w:p>
            <w:pPr>
              <w:spacing w:after="0"/>
              <w:rPr>
                <w:sz w:val="1"/>
                <w:szCs w:val="1"/>
                <w:color w:val="auto"/>
              </w:rPr>
            </w:pPr>
          </w:p>
        </w:tc>
      </w:tr>
      <w:tr>
        <w:trPr>
          <w:trHeight w:val="29"/>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19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6"/>
              </w:rPr>
              <w:t>Net increase in cash and cash</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equivalents</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14,693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4,210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21,668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rPr>
              <w:t>40,571</w:t>
            </w:r>
          </w:p>
        </w:tc>
        <w:tc>
          <w:tcPr>
            <w:tcW w:w="0" w:type="dxa"/>
            <w:vAlign w:val="bottom"/>
          </w:tcPr>
          <w:p>
            <w:pPr>
              <w:spacing w:after="0"/>
              <w:rPr>
                <w:sz w:val="1"/>
                <w:szCs w:val="1"/>
                <w:color w:val="auto"/>
              </w:rPr>
            </w:pPr>
          </w:p>
        </w:tc>
      </w:tr>
      <w:tr>
        <w:trPr>
          <w:trHeight w:val="200"/>
        </w:trPr>
        <w:tc>
          <w:tcPr>
            <w:tcW w:w="198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980" w:type="dxa"/>
            <w:vAlign w:val="bottom"/>
          </w:tcPr>
          <w:p>
            <w:pPr>
              <w:ind w:left="20"/>
              <w:spacing w:after="0"/>
              <w:rPr>
                <w:sz w:val="20"/>
                <w:szCs w:val="20"/>
                <w:color w:val="auto"/>
              </w:rPr>
            </w:pPr>
            <w:r>
              <w:rPr>
                <w:rFonts w:ascii="Arial" w:cs="Arial" w:eastAsia="Arial" w:hAnsi="Arial"/>
                <w:sz w:val="15"/>
                <w:szCs w:val="15"/>
                <w:color w:val="auto"/>
              </w:rPr>
              <w:t>beginning of fiscal year</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311,078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10,442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7"/>
              <w:spacing w:after="0"/>
              <w:rPr>
                <w:sz w:val="20"/>
                <w:szCs w:val="20"/>
                <w:color w:val="auto"/>
              </w:rPr>
            </w:pPr>
            <w:r>
              <w:rPr>
                <w:rFonts w:ascii="Arial" w:cs="Arial" w:eastAsia="Arial" w:hAnsi="Arial"/>
                <w:sz w:val="15"/>
                <w:szCs w:val="15"/>
                <w:color w:val="auto"/>
              </w:rPr>
              <w:t>19,118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60" w:type="dxa"/>
            <w:vAlign w:val="bottom"/>
          </w:tcPr>
          <w:p>
            <w:pPr>
              <w:jc w:val="right"/>
              <w:ind w:right="7"/>
              <w:spacing w:after="0"/>
              <w:rPr>
                <w:sz w:val="20"/>
                <w:szCs w:val="20"/>
                <w:color w:val="auto"/>
              </w:rPr>
            </w:pPr>
            <w:r>
              <w:rPr>
                <w:rFonts w:ascii="Arial" w:cs="Arial" w:eastAsia="Arial" w:hAnsi="Arial"/>
                <w:sz w:val="15"/>
                <w:szCs w:val="15"/>
                <w:color w:val="auto"/>
              </w:rPr>
              <w:t>340,638</w:t>
            </w:r>
          </w:p>
        </w:tc>
        <w:tc>
          <w:tcPr>
            <w:tcW w:w="0" w:type="dxa"/>
            <w:vAlign w:val="bottom"/>
          </w:tcPr>
          <w:p>
            <w:pPr>
              <w:spacing w:after="0"/>
              <w:rPr>
                <w:sz w:val="1"/>
                <w:szCs w:val="1"/>
                <w:color w:val="auto"/>
              </w:rPr>
            </w:pPr>
          </w:p>
        </w:tc>
      </w:tr>
      <w:tr>
        <w:trPr>
          <w:trHeight w:val="29"/>
        </w:trPr>
        <w:tc>
          <w:tcPr>
            <w:tcW w:w="1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325,771</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14,652</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40,786</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vMerge w:val="restart"/>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7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381,209</w:t>
            </w:r>
          </w:p>
        </w:tc>
        <w:tc>
          <w:tcPr>
            <w:tcW w:w="0" w:type="dxa"/>
            <w:vAlign w:val="bottom"/>
          </w:tcPr>
          <w:p>
            <w:pPr>
              <w:spacing w:after="0"/>
              <w:rPr>
                <w:sz w:val="1"/>
                <w:szCs w:val="1"/>
                <w:color w:val="auto"/>
              </w:rPr>
            </w:pPr>
          </w:p>
        </w:tc>
      </w:tr>
      <w:tr>
        <w:trPr>
          <w:trHeight w:val="196"/>
        </w:trPr>
        <w:tc>
          <w:tcPr>
            <w:tcW w:w="1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end of fiscal year</w:t>
            </w:r>
          </w:p>
        </w:tc>
        <w:tc>
          <w:tcPr>
            <w:tcW w:w="16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3" w:right="1440" w:bottom="1440" w:gutter="0" w:footer="0" w:header="0"/>
        </w:sect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9019"/>
          </w:cols>
          <w:pgMar w:left="1440" w:top="123" w:right="1440" w:bottom="1440" w:gutter="0" w:footer="0" w:header="0"/>
          <w:type w:val="continuous"/>
        </w:sectPr>
      </w:pPr>
    </w:p>
    <w:bookmarkStart w:id="106" w:name="page107"/>
    <w:bookmarkEnd w:id="106"/>
    <w:p>
      <w:pPr>
        <w:ind w:left="5240"/>
        <w:spacing w:after="0"/>
        <w:rPr>
          <w:sz w:val="20"/>
          <w:szCs w:val="20"/>
          <w:color w:val="auto"/>
        </w:rPr>
      </w:pPr>
      <w:r>
        <w:rPr>
          <w:rFonts w:ascii="Arial" w:cs="Arial" w:eastAsia="Arial" w:hAnsi="Arial"/>
          <w:sz w:val="16"/>
          <w:szCs w:val="16"/>
          <w:b w:val="1"/>
          <w:bCs w:val="1"/>
          <w:color w:val="auto"/>
        </w:rPr>
        <w:t>CARTER’S,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DISCLOSURE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11"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(the "Exchange Act") as of the end of the period covered by this report. Based upon that evaluation, our Chief Executive Officer and Chief Financial Officer have concluded that our disclosure controls and procedures are effective as of December 30, 2017.</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11"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Our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166" w:lineRule="exact"/>
        <w:rPr>
          <w:sz w:val="20"/>
          <w:szCs w:val="20"/>
          <w:color w:val="auto"/>
        </w:rPr>
      </w:pPr>
    </w:p>
    <w:p>
      <w:pPr>
        <w:ind w:left="580" w:hanging="289"/>
        <w:spacing w:after="0"/>
        <w:tabs>
          <w:tab w:leader="none" w:pos="5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pertain to the maintenance of records that, in reasonable detail, accurately and fairly reflect the transactions and dispositions of the assets of the Company;</w:t>
      </w:r>
    </w:p>
    <w:p>
      <w:pPr>
        <w:spacing w:after="0" w:line="218" w:lineRule="exact"/>
        <w:rPr>
          <w:rFonts w:ascii="Arial" w:cs="Arial" w:eastAsia="Arial" w:hAnsi="Arial"/>
          <w:sz w:val="15"/>
          <w:szCs w:val="15"/>
          <w:color w:val="auto"/>
        </w:rPr>
      </w:pPr>
    </w:p>
    <w:p>
      <w:pPr>
        <w:ind w:left="580" w:right="100" w:hanging="289"/>
        <w:spacing w:after="0" w:line="270" w:lineRule="auto"/>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61" w:lineRule="exact"/>
        <w:rPr>
          <w:rFonts w:ascii="Arial" w:cs="Arial" w:eastAsia="Arial" w:hAnsi="Arial"/>
          <w:sz w:val="16"/>
          <w:szCs w:val="16"/>
          <w:color w:val="auto"/>
        </w:rPr>
      </w:pPr>
    </w:p>
    <w:p>
      <w:pPr>
        <w:ind w:left="580" w:right="440" w:hanging="289"/>
        <w:spacing w:after="0" w:line="285" w:lineRule="auto"/>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50" w:lineRule="exact"/>
        <w:rPr>
          <w:sz w:val="20"/>
          <w:szCs w:val="20"/>
          <w:color w:val="auto"/>
        </w:rPr>
      </w:pPr>
    </w:p>
    <w:p>
      <w:pPr>
        <w:jc w:val="both"/>
        <w:ind w:right="200"/>
        <w:spacing w:after="0" w:line="270"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 xml:space="preserve">Management, including our Chief Executive Officer and Chief Financial Officer, assessed the effectiveness of the Company's internal control over financial reporting as of December 30, 2017. In making this assessment, management used the criteria set forth by the Committee of Sponsoring Organizations of the Treadway Commission ("COSO")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Based on this assessment, management has concluded that the Company's internal control over financial reporting was effective as of December 30, 2017.</w:t>
      </w:r>
    </w:p>
    <w:p>
      <w:pPr>
        <w:spacing w:after="0" w:line="16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Company excluded Skip Hop and Carter's Mexico from its assessment of internal control over financial reporting as of December 30, 2017 because these businesses were separately acquired in fiscal 2017. The total assets and net sales of Skip Hop and Carter's Mexico excluded from assessment of internal control over financial reporting collectively represented approximately 4% and 3%, respectively, of the corresponding amounts on the Company's consolidated financial statements as of and for the fiscal year ended December 30, 2017.</w:t>
      </w:r>
    </w:p>
    <w:p>
      <w:pPr>
        <w:spacing w:after="0" w:line="166" w:lineRule="exact"/>
        <w:rPr>
          <w:sz w:val="20"/>
          <w:szCs w:val="20"/>
          <w:color w:val="auto"/>
        </w:rPr>
      </w:pPr>
    </w:p>
    <w:p>
      <w:pPr>
        <w:jc w:val="both"/>
        <w:ind w:right="40"/>
        <w:spacing w:after="0" w:line="296" w:lineRule="auto"/>
        <w:rPr>
          <w:sz w:val="20"/>
          <w:szCs w:val="20"/>
          <w:color w:val="auto"/>
        </w:rPr>
      </w:pPr>
      <w:r>
        <w:rPr>
          <w:rFonts w:ascii="Arial" w:cs="Arial" w:eastAsia="Arial" w:hAnsi="Arial"/>
          <w:sz w:val="15"/>
          <w:szCs w:val="15"/>
          <w:color w:val="auto"/>
        </w:rPr>
        <w:t>The effectiveness of Carter's, Inc. and its subsidiaries' internal control over financial reporting as of December 30, 2017 has been audited by PricewaterhouseCoopers LLP, the independent registered public accounting firm that audited the financial statements included in this Annual Report on Form 10-K. PricewaterhouseCoopers LLP has issued an attestation report on Carter's, Inc.'s internal control over financial reporting containing the required disclosures, which appears herein.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There were no changes in the Company’s internal control over financial reporting during the fourth quarter of fiscal 2017 that have materially affected, or are reasonably likely to materially affect, the Company’s internal control over financial reporting.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420"/>
          </w:cols>
          <w:pgMar w:left="240" w:top="123" w:right="2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color w:val="auto"/>
        </w:rPr>
        <w:t>ITEM 9B. OTHER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81"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PART III</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AND EXECUTIVE OFFICERS OF THE REGISTRANT</w:t>
      </w:r>
    </w:p>
    <w:p>
      <w:pPr>
        <w:spacing w:after="0" w:line="211"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The information called for by Item 10 is incorporated herein by reference to the definitive proxy statement relating to the Annual Meeting of Stockholders of Carter's, Inc. scheduled to be held on May 17, 2018. We intend to file such definitive proxy statement with the SEC pursuant to Regulation 14A within 120 days after the end of the fiscal year covered by this Annual Report on Form 10-K.</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called for by Item 11 is incorporated herein by reference to the definitive proxy statement referenced above in Item 10.</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our equity compensation plan as of our most recent fiscal year end: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Number of securities</w:t>
            </w:r>
          </w:p>
        </w:tc>
      </w:tr>
      <w:tr>
        <w:trPr>
          <w:trHeight w:val="196"/>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2"/>
              </w:rPr>
              <w:t>remaining available for</w:t>
            </w:r>
          </w:p>
        </w:tc>
      </w:tr>
      <w:tr>
        <w:trPr>
          <w:trHeight w:val="196"/>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1"/>
              </w:rPr>
              <w:t>Number of securities to be</w:t>
            </w:r>
          </w:p>
        </w:tc>
        <w:tc>
          <w:tcPr>
            <w:tcW w:w="1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Weighted-average exercise</w:t>
            </w:r>
          </w:p>
        </w:tc>
        <w:tc>
          <w:tcPr>
            <w:tcW w:w="12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future issuance under</w:t>
            </w:r>
          </w:p>
        </w:tc>
      </w:tr>
      <w:tr>
        <w:trPr>
          <w:trHeight w:val="196"/>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6"/>
              </w:rPr>
              <w:t>issued upon exercise of</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90"/>
              </w:rPr>
              <w:t>price of outstanding</w:t>
            </w:r>
          </w:p>
        </w:tc>
        <w:tc>
          <w:tcPr>
            <w:tcW w:w="12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equity compensation plans</w:t>
            </w:r>
          </w:p>
        </w:tc>
      </w:tr>
      <w:tr>
        <w:trPr>
          <w:trHeight w:val="196"/>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outstanding options,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91"/>
              </w:rPr>
              <w:t>options, warrants, and</w:t>
            </w:r>
          </w:p>
        </w:tc>
        <w:tc>
          <w:tcPr>
            <w:tcW w:w="12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(excluding securities</w:t>
            </w:r>
          </w:p>
        </w:tc>
      </w:tr>
      <w:tr>
        <w:trPr>
          <w:trHeight w:val="217"/>
        </w:trPr>
        <w:tc>
          <w:tcPr>
            <w:tcW w:w="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Plan Category</w:t>
            </w:r>
          </w:p>
        </w:tc>
        <w:tc>
          <w:tcPr>
            <w:tcW w:w="19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b w:val="1"/>
                <w:bCs w:val="1"/>
                <w:color w:val="auto"/>
                <w:w w:val="92"/>
              </w:rPr>
              <w:t>warrants, and rights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jc w:val="center"/>
              <w:ind w:right="59"/>
              <w:spacing w:after="0" w:line="175" w:lineRule="exact"/>
              <w:rPr>
                <w:sz w:val="20"/>
                <w:szCs w:val="20"/>
                <w:color w:val="auto"/>
              </w:rPr>
            </w:pPr>
            <w:r>
              <w:rPr>
                <w:rFonts w:ascii="Arial" w:cs="Arial" w:eastAsia="Arial" w:hAnsi="Arial"/>
                <w:sz w:val="16"/>
                <w:szCs w:val="16"/>
                <w:b w:val="1"/>
                <w:bCs w:val="1"/>
                <w:color w:val="auto"/>
                <w:w w:val="89"/>
              </w:rPr>
              <w:t>rights</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b w:val="1"/>
                <w:bCs w:val="1"/>
                <w:color w:val="auto"/>
                <w:w w:val="92"/>
              </w:rPr>
              <w:t>reflected in first column)</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17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shd w:val="clear" w:color="auto" w:fill="000000"/>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Equity compensation plans approved by security holders (1)</w:t>
            </w: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1,494,223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61.76</w:t>
            </w:r>
          </w:p>
        </w:tc>
        <w:tc>
          <w:tcPr>
            <w:tcW w:w="2060" w:type="dxa"/>
            <w:vAlign w:val="bottom"/>
            <w:gridSpan w:val="2"/>
          </w:tcPr>
          <w:p>
            <w:pPr>
              <w:jc w:val="right"/>
              <w:ind w:right="39"/>
              <w:spacing w:after="0"/>
              <w:rPr>
                <w:sz w:val="20"/>
                <w:szCs w:val="20"/>
                <w:color w:val="auto"/>
              </w:rPr>
            </w:pPr>
            <w:r>
              <w:rPr>
                <w:rFonts w:ascii="Arial" w:cs="Arial" w:eastAsia="Arial" w:hAnsi="Arial"/>
                <w:sz w:val="16"/>
                <w:szCs w:val="16"/>
                <w:color w:val="auto"/>
              </w:rPr>
              <w:t>1,100,157</w:t>
            </w:r>
          </w:p>
        </w:tc>
      </w:tr>
      <w:tr>
        <w:trPr>
          <w:trHeight w:val="25"/>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5"/>
        </w:trPr>
        <w:tc>
          <w:tcPr>
            <w:tcW w:w="5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1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0"/>
        </w:trPr>
        <w:tc>
          <w:tcPr>
            <w:tcW w:w="5380" w:type="dxa"/>
            <w:vAlign w:val="bottom"/>
            <w:gridSpan w:val="3"/>
          </w:tcPr>
          <w:p>
            <w:pPr>
              <w:ind w:left="20"/>
              <w:spacing w:after="0"/>
              <w:rPr>
                <w:sz w:val="20"/>
                <w:szCs w:val="20"/>
                <w:color w:val="auto"/>
              </w:rPr>
            </w:pPr>
            <w:r>
              <w:rPr>
                <w:rFonts w:ascii="Arial" w:cs="Arial" w:eastAsia="Arial" w:hAnsi="Arial"/>
                <w:sz w:val="16"/>
                <w:szCs w:val="16"/>
                <w:color w:val="auto"/>
              </w:rPr>
              <w:t>Total</w:t>
            </w:r>
          </w:p>
        </w:tc>
        <w:tc>
          <w:tcPr>
            <w:tcW w:w="1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1,494,223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61.76</w:t>
            </w:r>
          </w:p>
        </w:tc>
        <w:tc>
          <w:tcPr>
            <w:tcW w:w="2060" w:type="dxa"/>
            <w:vAlign w:val="bottom"/>
            <w:tcBorders>
              <w:top w:val="single" w:sz="8" w:color="auto"/>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1,100,157</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360" w:firstLine="340"/>
        <w:spacing w:after="0" w:line="507" w:lineRule="auto"/>
        <w:tabs>
          <w:tab w:leader="none" w:pos="636"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stock options that are outstanding or that are available for future issuance pursuant to the Carter's, Inc. Amended and Restated Equity Incentive Plan. Additional information called for by Item 12 is incorporated herein by reference to the definitive proxy statement referenced above in Item 10.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called for by Item 13 is incorporated herein by reference to the definitive proxy statement referenced above in Item 10.</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called for by Item 14 is incorporated herein by reference to the definitive proxy statement referenced above in Item 10.</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440"/>
          </w:cols>
          <w:pgMar w:left="240" w:top="343" w:right="219" w:bottom="1440" w:gutter="0" w:footer="0" w:header="0"/>
        </w:sectPr>
      </w:pPr>
    </w:p>
    <w:bookmarkStart w:id="108" w:name="page109"/>
    <w:bookmarkEnd w:id="108"/>
    <w:p>
      <w:pPr>
        <w:jc w:val="center"/>
        <w:ind w:right="-219"/>
        <w:spacing w:after="0"/>
        <w:rPr>
          <w:sz w:val="20"/>
          <w:szCs w:val="20"/>
          <w:color w:val="auto"/>
        </w:rPr>
      </w:pPr>
      <w:r>
        <w:rPr>
          <w:rFonts w:ascii="Arial" w:cs="Arial" w:eastAsia="Arial" w:hAnsi="Arial"/>
          <w:sz w:val="16"/>
          <w:szCs w:val="16"/>
          <w:b w:val="1"/>
          <w:bCs w:val="1"/>
          <w:color w:val="auto"/>
        </w:rPr>
        <w:t>PART IV</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660" w:type="dxa"/>
            <w:vAlign w:val="bottom"/>
            <w:gridSpan w:val="12"/>
          </w:tcPr>
          <w:p>
            <w:pPr>
              <w:spacing w:after="0"/>
              <w:rPr>
                <w:sz w:val="20"/>
                <w:szCs w:val="20"/>
                <w:color w:val="auto"/>
              </w:rPr>
            </w:pPr>
            <w:r>
              <w:rPr>
                <w:rFonts w:ascii="Arial" w:cs="Arial" w:eastAsia="Arial" w:hAnsi="Arial"/>
                <w:sz w:val="16"/>
                <w:szCs w:val="16"/>
                <w:b w:val="1"/>
                <w:bCs w:val="1"/>
                <w:color w:val="auto"/>
              </w:rPr>
              <w:t>ITEM 15. EXHIBITS AND FINANCIAL STATEMENT SCHEDULES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502"/>
        </w:trPr>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gridSpan w:val="4"/>
          </w:tcPr>
          <w:p>
            <w:pPr>
              <w:jc w:val="center"/>
              <w:ind w:left="139"/>
              <w:spacing w:after="0"/>
              <w:rPr>
                <w:sz w:val="20"/>
                <w:szCs w:val="20"/>
                <w:color w:val="auto"/>
              </w:rPr>
            </w:pPr>
            <w:r>
              <w:rPr>
                <w:rFonts w:ascii="Arial" w:cs="Arial" w:eastAsia="Arial" w:hAnsi="Arial"/>
                <w:sz w:val="16"/>
                <w:szCs w:val="16"/>
                <w:color w:val="auto"/>
                <w:w w:val="85"/>
              </w:rPr>
              <w:t>Page</w:t>
            </w:r>
          </w:p>
        </w:tc>
      </w:tr>
      <w:tr>
        <w:trPr>
          <w:trHeight w:val="225"/>
        </w:trPr>
        <w:tc>
          <w:tcPr>
            <w:tcW w:w="480" w:type="dxa"/>
            <w:vAlign w:val="bottom"/>
          </w:tcPr>
          <w:p>
            <w:pPr>
              <w:ind w:left="80"/>
              <w:spacing w:after="0"/>
              <w:rPr>
                <w:sz w:val="20"/>
                <w:szCs w:val="20"/>
                <w:color w:val="auto"/>
              </w:rPr>
            </w:pPr>
            <w:r>
              <w:rPr>
                <w:rFonts w:ascii="Arial" w:cs="Arial" w:eastAsia="Arial" w:hAnsi="Arial"/>
                <w:sz w:val="16"/>
                <w:szCs w:val="16"/>
                <w:color w:val="auto"/>
              </w:rPr>
              <w:t>(A)</w:t>
            </w:r>
          </w:p>
        </w:tc>
        <w:tc>
          <w:tcPr>
            <w:tcW w:w="640" w:type="dxa"/>
            <w:vAlign w:val="bottom"/>
          </w:tcPr>
          <w:p>
            <w:pPr>
              <w:jc w:val="right"/>
              <w:ind w:right="259"/>
              <w:spacing w:after="0"/>
              <w:rPr>
                <w:sz w:val="20"/>
                <w:szCs w:val="20"/>
                <w:color w:val="auto"/>
              </w:rPr>
            </w:pPr>
            <w:r>
              <w:rPr>
                <w:rFonts w:ascii="Arial" w:cs="Arial" w:eastAsia="Arial" w:hAnsi="Arial"/>
                <w:sz w:val="16"/>
                <w:szCs w:val="16"/>
                <w:color w:val="auto"/>
              </w:rPr>
              <w:t>1.</w:t>
            </w:r>
          </w:p>
        </w:tc>
        <w:tc>
          <w:tcPr>
            <w:tcW w:w="9540" w:type="dxa"/>
            <w:vAlign w:val="bottom"/>
            <w:gridSpan w:val="10"/>
          </w:tcPr>
          <w:p>
            <w:pPr>
              <w:spacing w:after="0"/>
              <w:rPr>
                <w:rFonts w:ascii="Arial" w:cs="Arial" w:eastAsia="Arial" w:hAnsi="Arial"/>
                <w:sz w:val="16"/>
                <w:szCs w:val="16"/>
                <w:color w:val="0000FF"/>
              </w:rPr>
            </w:pPr>
            <w:hyperlink w:anchor="page53">
              <w:r>
                <w:rPr>
                  <w:rFonts w:ascii="Arial" w:cs="Arial" w:eastAsia="Arial" w:hAnsi="Arial"/>
                  <w:sz w:val="16"/>
                  <w:szCs w:val="16"/>
                  <w:color w:val="0000FF"/>
                </w:rPr>
                <w:t>Financial Statements filed as part of this report</w:t>
              </w:r>
            </w:hyperlink>
          </w:p>
        </w:tc>
        <w:tc>
          <w:tcPr>
            <w:tcW w:w="220" w:type="dxa"/>
            <w:vAlign w:val="bottom"/>
          </w:tcPr>
          <w:p>
            <w:pPr>
              <w:spacing w:after="0"/>
              <w:rPr>
                <w:sz w:val="19"/>
                <w:szCs w:val="19"/>
                <w:color w:val="auto"/>
              </w:rPr>
            </w:pPr>
          </w:p>
        </w:tc>
        <w:tc>
          <w:tcPr>
            <w:tcW w:w="320" w:type="dxa"/>
            <w:vAlign w:val="bottom"/>
            <w:tcBorders>
              <w:top w:val="single" w:sz="8" w:color="auto"/>
            </w:tcBorders>
            <w:gridSpan w:val="3"/>
          </w:tcPr>
          <w:p>
            <w:pPr>
              <w:jc w:val="center"/>
              <w:spacing w:after="0"/>
              <w:rPr>
                <w:rFonts w:ascii="Arial" w:cs="Arial" w:eastAsia="Arial" w:hAnsi="Arial"/>
                <w:sz w:val="16"/>
                <w:szCs w:val="16"/>
                <w:color w:val="0000FF"/>
                <w:w w:val="89"/>
              </w:rPr>
            </w:pPr>
            <w:hyperlink w:anchor="page53">
              <w:r>
                <w:rPr>
                  <w:rFonts w:ascii="Arial" w:cs="Arial" w:eastAsia="Arial" w:hAnsi="Arial"/>
                  <w:sz w:val="16"/>
                  <w:szCs w:val="16"/>
                  <w:color w:val="0000FF"/>
                  <w:w w:val="89"/>
                </w:rPr>
                <w:t>50</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20" w:type="dxa"/>
            <w:vAlign w:val="bottom"/>
            <w:gridSpan w:val="4"/>
          </w:tcPr>
          <w:p>
            <w:pPr>
              <w:spacing w:after="0"/>
              <w:rPr>
                <w:rFonts w:ascii="Arial" w:cs="Arial" w:eastAsia="Arial" w:hAnsi="Arial"/>
                <w:sz w:val="16"/>
                <w:szCs w:val="16"/>
                <w:color w:val="0000FF"/>
                <w:w w:val="92"/>
              </w:rPr>
            </w:pPr>
            <w:hyperlink w:anchor="page54">
              <w:r>
                <w:rPr>
                  <w:rFonts w:ascii="Arial" w:cs="Arial" w:eastAsia="Arial" w:hAnsi="Arial"/>
                  <w:sz w:val="16"/>
                  <w:szCs w:val="16"/>
                  <w:color w:val="0000FF"/>
                  <w:w w:val="92"/>
                </w:rPr>
                <w:t>Report of Independent Registered Public Accounting Firm</w:t>
              </w:r>
            </w:hyperlink>
          </w:p>
        </w:tc>
        <w:tc>
          <w:tcPr>
            <w:tcW w:w="5720" w:type="dxa"/>
            <w:vAlign w:val="bottom"/>
            <w:gridSpan w:val="6"/>
          </w:tcPr>
          <w:p>
            <w:pPr>
              <w:spacing w:after="0"/>
              <w:rPr>
                <w:sz w:val="19"/>
                <w:szCs w:val="19"/>
                <w:color w:val="auto"/>
              </w:rPr>
            </w:pPr>
          </w:p>
        </w:tc>
        <w:tc>
          <w:tcPr>
            <w:tcW w:w="540" w:type="dxa"/>
            <w:vAlign w:val="bottom"/>
            <w:gridSpan w:val="4"/>
          </w:tcPr>
          <w:p>
            <w:pPr>
              <w:jc w:val="center"/>
              <w:ind w:left="139"/>
              <w:spacing w:after="0"/>
              <w:rPr>
                <w:rFonts w:ascii="Arial" w:cs="Arial" w:eastAsia="Arial" w:hAnsi="Arial"/>
                <w:sz w:val="16"/>
                <w:szCs w:val="16"/>
                <w:color w:val="0000FF"/>
                <w:w w:val="89"/>
              </w:rPr>
            </w:pPr>
            <w:hyperlink w:anchor="page54">
              <w:r>
                <w:rPr>
                  <w:rFonts w:ascii="Arial" w:cs="Arial" w:eastAsia="Arial" w:hAnsi="Arial"/>
                  <w:sz w:val="16"/>
                  <w:szCs w:val="16"/>
                  <w:color w:val="0000FF"/>
                  <w:w w:val="89"/>
                </w:rPr>
                <w:t>51</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960" w:type="dxa"/>
            <w:vAlign w:val="bottom"/>
            <w:gridSpan w:val="5"/>
          </w:tcPr>
          <w:p>
            <w:pPr>
              <w:spacing w:after="0"/>
              <w:rPr>
                <w:sz w:val="20"/>
                <w:szCs w:val="20"/>
                <w:color w:val="auto"/>
              </w:rPr>
            </w:pPr>
            <w:r>
              <w:rPr>
                <w:rFonts w:ascii="Arial" w:cs="Arial" w:eastAsia="Arial" w:hAnsi="Arial"/>
                <w:sz w:val="16"/>
                <w:szCs w:val="16"/>
                <w:color w:val="0000FF"/>
                <w:w w:val="90"/>
              </w:rPr>
              <w:t>Consolidated Balance Sheets at December 30, 2017 and December 31, 2016</w:t>
            </w:r>
          </w:p>
        </w:tc>
        <w:tc>
          <w:tcPr>
            <w:tcW w:w="4580" w:type="dxa"/>
            <w:vAlign w:val="bottom"/>
            <w:gridSpan w:val="5"/>
          </w:tcPr>
          <w:p>
            <w:pPr>
              <w:spacing w:after="0"/>
              <w:rPr>
                <w:sz w:val="19"/>
                <w:szCs w:val="19"/>
                <w:color w:val="auto"/>
              </w:rPr>
            </w:pPr>
          </w:p>
        </w:tc>
        <w:tc>
          <w:tcPr>
            <w:tcW w:w="540" w:type="dxa"/>
            <w:vAlign w:val="bottom"/>
            <w:gridSpan w:val="4"/>
          </w:tcPr>
          <w:p>
            <w:pPr>
              <w:jc w:val="center"/>
              <w:ind w:left="139"/>
              <w:spacing w:after="0"/>
              <w:rPr>
                <w:rFonts w:ascii="Arial" w:cs="Arial" w:eastAsia="Arial" w:hAnsi="Arial"/>
                <w:sz w:val="16"/>
                <w:szCs w:val="16"/>
                <w:color w:val="0000FF"/>
                <w:w w:val="89"/>
              </w:rPr>
            </w:pPr>
            <w:hyperlink w:anchor="page56">
              <w:r>
                <w:rPr>
                  <w:rFonts w:ascii="Arial" w:cs="Arial" w:eastAsia="Arial" w:hAnsi="Arial"/>
                  <w:sz w:val="16"/>
                  <w:szCs w:val="16"/>
                  <w:color w:val="0000FF"/>
                  <w:w w:val="89"/>
                </w:rPr>
                <w:t>53</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300" w:type="dxa"/>
            <w:vAlign w:val="bottom"/>
            <w:gridSpan w:val="6"/>
          </w:tcPr>
          <w:p>
            <w:pPr>
              <w:spacing w:after="0"/>
              <w:rPr>
                <w:sz w:val="20"/>
                <w:szCs w:val="20"/>
                <w:color w:val="auto"/>
              </w:rPr>
            </w:pPr>
            <w:r>
              <w:rPr>
                <w:rFonts w:ascii="Arial" w:cs="Arial" w:eastAsia="Arial" w:hAnsi="Arial"/>
                <w:sz w:val="16"/>
                <w:szCs w:val="16"/>
                <w:color w:val="0000FF"/>
                <w:w w:val="90"/>
              </w:rPr>
              <w:t>Consolidated Statements of Operations for the fiscal years ended December 30, 2017, December 31, 2016, and January 2, 2016</w:t>
            </w:r>
          </w:p>
        </w:tc>
        <w:tc>
          <w:tcPr>
            <w:tcW w:w="1240" w:type="dxa"/>
            <w:vAlign w:val="bottom"/>
            <w:gridSpan w:val="4"/>
          </w:tcPr>
          <w:p>
            <w:pPr>
              <w:spacing w:after="0"/>
              <w:rPr>
                <w:sz w:val="19"/>
                <w:szCs w:val="19"/>
                <w:color w:val="auto"/>
              </w:rPr>
            </w:pPr>
          </w:p>
        </w:tc>
        <w:tc>
          <w:tcPr>
            <w:tcW w:w="540" w:type="dxa"/>
            <w:vAlign w:val="bottom"/>
            <w:gridSpan w:val="4"/>
          </w:tcPr>
          <w:p>
            <w:pPr>
              <w:jc w:val="center"/>
              <w:ind w:left="139"/>
              <w:spacing w:after="0"/>
              <w:rPr>
                <w:rFonts w:ascii="Arial" w:cs="Arial" w:eastAsia="Arial" w:hAnsi="Arial"/>
                <w:sz w:val="16"/>
                <w:szCs w:val="16"/>
                <w:color w:val="0000FF"/>
                <w:w w:val="89"/>
              </w:rPr>
            </w:pPr>
            <w:hyperlink w:anchor="page57">
              <w:r>
                <w:rPr>
                  <w:rFonts w:ascii="Arial" w:cs="Arial" w:eastAsia="Arial" w:hAnsi="Arial"/>
                  <w:sz w:val="16"/>
                  <w:szCs w:val="16"/>
                  <w:color w:val="0000FF"/>
                  <w:w w:val="89"/>
                </w:rPr>
                <w:t>54</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54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140" w:type="dxa"/>
            <w:vAlign w:val="bottom"/>
            <w:gridSpan w:val="8"/>
          </w:tcPr>
          <w:p>
            <w:pPr>
              <w:spacing w:after="0"/>
              <w:rPr>
                <w:sz w:val="20"/>
                <w:szCs w:val="20"/>
                <w:color w:val="auto"/>
              </w:rPr>
            </w:pPr>
            <w:r>
              <w:rPr>
                <w:rFonts w:ascii="Arial" w:cs="Arial" w:eastAsia="Arial" w:hAnsi="Arial"/>
                <w:sz w:val="16"/>
                <w:szCs w:val="16"/>
                <w:color w:val="0000FF"/>
                <w:w w:val="90"/>
              </w:rPr>
              <w:t>Consolidated Statements of Comprehensive Income for the fiscal years ended December 30, 2017, December 31, 2016, and January 2, 2016</w:t>
            </w:r>
          </w:p>
        </w:tc>
        <w:tc>
          <w:tcPr>
            <w:tcW w:w="400" w:type="dxa"/>
            <w:vAlign w:val="bottom"/>
            <w:gridSpan w:val="2"/>
          </w:tcPr>
          <w:p>
            <w:pPr>
              <w:spacing w:after="0"/>
              <w:rPr>
                <w:sz w:val="19"/>
                <w:szCs w:val="19"/>
                <w:color w:val="auto"/>
              </w:rPr>
            </w:pPr>
          </w:p>
        </w:tc>
        <w:tc>
          <w:tcPr>
            <w:tcW w:w="540" w:type="dxa"/>
            <w:vAlign w:val="bottom"/>
            <w:gridSpan w:val="4"/>
          </w:tcPr>
          <w:p>
            <w:pPr>
              <w:jc w:val="center"/>
              <w:ind w:left="139"/>
              <w:spacing w:after="0"/>
              <w:rPr>
                <w:rFonts w:ascii="Arial" w:cs="Arial" w:eastAsia="Arial" w:hAnsi="Arial"/>
                <w:sz w:val="16"/>
                <w:szCs w:val="16"/>
                <w:color w:val="0000FF"/>
                <w:w w:val="89"/>
              </w:rPr>
            </w:pPr>
            <w:hyperlink w:anchor="page58">
              <w:r>
                <w:rPr>
                  <w:rFonts w:ascii="Arial" w:cs="Arial" w:eastAsia="Arial" w:hAnsi="Arial"/>
                  <w:sz w:val="16"/>
                  <w:szCs w:val="16"/>
                  <w:color w:val="0000FF"/>
                  <w:w w:val="89"/>
                </w:rPr>
                <w:t>55</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5500" w:type="dxa"/>
            <w:vAlign w:val="bottom"/>
            <w:gridSpan w:val="5"/>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140" w:type="dxa"/>
            <w:vAlign w:val="bottom"/>
            <w:gridSpan w:val="8"/>
          </w:tcPr>
          <w:p>
            <w:pPr>
              <w:spacing w:after="0"/>
              <w:rPr>
                <w:sz w:val="20"/>
                <w:szCs w:val="20"/>
                <w:color w:val="auto"/>
              </w:rPr>
            </w:pPr>
            <w:r>
              <w:rPr>
                <w:rFonts w:ascii="Arial" w:cs="Arial" w:eastAsia="Arial" w:hAnsi="Arial"/>
                <w:sz w:val="16"/>
                <w:szCs w:val="16"/>
                <w:color w:val="0000FF"/>
                <w:w w:val="99"/>
              </w:rPr>
              <w:t>Consolidated Statements of Cash Flows for the fiscal years ended December 30, 2017, December 31, 2016, and January 2, 2016</w:t>
            </w:r>
          </w:p>
        </w:tc>
        <w:tc>
          <w:tcPr>
            <w:tcW w:w="400" w:type="dxa"/>
            <w:vAlign w:val="bottom"/>
            <w:gridSpan w:val="2"/>
          </w:tcPr>
          <w:p>
            <w:pPr>
              <w:spacing w:after="0"/>
              <w:rPr>
                <w:sz w:val="19"/>
                <w:szCs w:val="19"/>
                <w:color w:val="auto"/>
              </w:rPr>
            </w:pPr>
          </w:p>
        </w:tc>
        <w:tc>
          <w:tcPr>
            <w:tcW w:w="540" w:type="dxa"/>
            <w:vAlign w:val="bottom"/>
            <w:gridSpan w:val="4"/>
          </w:tcPr>
          <w:p>
            <w:pPr>
              <w:jc w:val="center"/>
              <w:ind w:left="139"/>
              <w:spacing w:after="0"/>
              <w:rPr>
                <w:rFonts w:ascii="Arial" w:cs="Arial" w:eastAsia="Arial" w:hAnsi="Arial"/>
                <w:sz w:val="16"/>
                <w:szCs w:val="16"/>
                <w:color w:val="0000FF"/>
                <w:w w:val="89"/>
              </w:rPr>
            </w:pPr>
            <w:hyperlink w:anchor="page59">
              <w:r>
                <w:rPr>
                  <w:rFonts w:ascii="Arial" w:cs="Arial" w:eastAsia="Arial" w:hAnsi="Arial"/>
                  <w:sz w:val="16"/>
                  <w:szCs w:val="16"/>
                  <w:color w:val="0000FF"/>
                  <w:w w:val="89"/>
                </w:rPr>
                <w:t>56</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5500" w:type="dxa"/>
            <w:vAlign w:val="bottom"/>
            <w:gridSpan w:val="5"/>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540" w:type="dxa"/>
            <w:vAlign w:val="bottom"/>
            <w:gridSpan w:val="10"/>
          </w:tcPr>
          <w:p>
            <w:pPr>
              <w:spacing w:after="0"/>
              <w:rPr>
                <w:sz w:val="20"/>
                <w:szCs w:val="20"/>
                <w:color w:val="auto"/>
              </w:rPr>
            </w:pPr>
            <w:r>
              <w:rPr>
                <w:rFonts w:ascii="Arial" w:cs="Arial" w:eastAsia="Arial" w:hAnsi="Arial"/>
                <w:sz w:val="16"/>
                <w:szCs w:val="16"/>
                <w:color w:val="0000FF"/>
                <w:w w:val="93"/>
              </w:rPr>
              <w:t>Consolidated Statements of Changes in Stockholders' Equity for the fiscal years ended December 30, 2017, December 31, 2016, and January 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6"/>
        </w:trPr>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Borders>
              <w:top w:val="single" w:sz="8" w:color="0000FF"/>
            </w:tcBorders>
          </w:tcPr>
          <w:p>
            <w:pPr>
              <w:spacing w:after="0" w:line="176" w:lineRule="exact"/>
              <w:rPr>
                <w:sz w:val="20"/>
                <w:szCs w:val="20"/>
                <w:color w:val="auto"/>
              </w:rPr>
            </w:pPr>
            <w:r>
              <w:rPr>
                <w:rFonts w:ascii="Arial" w:cs="Arial" w:eastAsia="Arial" w:hAnsi="Arial"/>
                <w:sz w:val="16"/>
                <w:szCs w:val="16"/>
                <w:color w:val="0000FF"/>
                <w:w w:val="84"/>
              </w:rPr>
              <w:t>2016</w:t>
            </w:r>
          </w:p>
        </w:tc>
        <w:tc>
          <w:tcPr>
            <w:tcW w:w="25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1140" w:type="dxa"/>
            <w:vAlign w:val="bottom"/>
            <w:tcBorders>
              <w:top w:val="single" w:sz="8" w:color="0000FF"/>
            </w:tcBorders>
          </w:tcPr>
          <w:p>
            <w:pPr>
              <w:spacing w:after="0"/>
              <w:rPr>
                <w:sz w:val="15"/>
                <w:szCs w:val="15"/>
                <w:color w:val="auto"/>
              </w:rPr>
            </w:pPr>
          </w:p>
        </w:tc>
        <w:tc>
          <w:tcPr>
            <w:tcW w:w="33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4"/>
          </w:tcPr>
          <w:p>
            <w:pPr>
              <w:jc w:val="center"/>
              <w:ind w:left="139"/>
              <w:spacing w:after="0" w:line="176" w:lineRule="exact"/>
              <w:rPr>
                <w:rFonts w:ascii="Arial" w:cs="Arial" w:eastAsia="Arial" w:hAnsi="Arial"/>
                <w:sz w:val="16"/>
                <w:szCs w:val="16"/>
                <w:color w:val="0000FF"/>
                <w:w w:val="89"/>
              </w:rPr>
            </w:pPr>
            <w:hyperlink w:anchor="page60">
              <w:r>
                <w:rPr>
                  <w:rFonts w:ascii="Arial" w:cs="Arial" w:eastAsia="Arial" w:hAnsi="Arial"/>
                  <w:sz w:val="16"/>
                  <w:szCs w:val="16"/>
                  <w:color w:val="0000FF"/>
                  <w:w w:val="89"/>
                </w:rPr>
                <w:t>57</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70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540" w:type="dxa"/>
            <w:vAlign w:val="bottom"/>
            <w:gridSpan w:val="10"/>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Notes to Consolidated Financial Statements</w:t>
              </w:r>
            </w:hyperlink>
          </w:p>
        </w:tc>
        <w:tc>
          <w:tcPr>
            <w:tcW w:w="540" w:type="dxa"/>
            <w:vAlign w:val="bottom"/>
            <w:gridSpan w:val="4"/>
          </w:tcPr>
          <w:p>
            <w:pPr>
              <w:jc w:val="center"/>
              <w:ind w:left="139"/>
              <w:spacing w:after="0"/>
              <w:rPr>
                <w:rFonts w:ascii="Arial" w:cs="Arial" w:eastAsia="Arial" w:hAnsi="Arial"/>
                <w:sz w:val="16"/>
                <w:szCs w:val="16"/>
                <w:color w:val="0000FF"/>
                <w:w w:val="89"/>
              </w:rPr>
            </w:pPr>
            <w:hyperlink w:anchor="page61">
              <w:r>
                <w:rPr>
                  <w:rFonts w:ascii="Arial" w:cs="Arial" w:eastAsia="Arial" w:hAnsi="Arial"/>
                  <w:sz w:val="16"/>
                  <w:szCs w:val="16"/>
                  <w:color w:val="0000FF"/>
                  <w:w w:val="89"/>
                </w:rPr>
                <w:t>58</w:t>
              </w:r>
            </w:hyperlink>
          </w:p>
        </w:tc>
      </w:tr>
      <w:tr>
        <w:trPr>
          <w:trHeight w:val="20"/>
        </w:trPr>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1" w:lineRule="exact"/>
        <w:rPr>
          <w:sz w:val="20"/>
          <w:szCs w:val="20"/>
          <w:color w:val="auto"/>
        </w:rPr>
      </w:pPr>
    </w:p>
    <w:p>
      <w:pPr>
        <w:ind w:left="1120" w:hanging="462"/>
        <w:spacing w:after="0"/>
        <w:tabs>
          <w:tab w:leader="none" w:pos="11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Financial Statement Schedules: None</w:t>
      </w:r>
    </w:p>
    <w:p>
      <w:pPr>
        <w:spacing w:after="0" w:line="329" w:lineRule="exact"/>
        <w:rPr>
          <w:rFonts w:ascii="Arial" w:cs="Arial" w:eastAsia="Arial" w:hAnsi="Arial"/>
          <w:sz w:val="16"/>
          <w:szCs w:val="16"/>
          <w:color w:val="auto"/>
        </w:rPr>
      </w:pPr>
    </w:p>
    <w:p>
      <w:pPr>
        <w:ind w:left="1120" w:hanging="1037"/>
        <w:spacing w:after="0"/>
        <w:tabs>
          <w:tab w:leader="none" w:pos="11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200"/>
          </w:cols>
          <w:pgMar w:left="240" w:top="343" w:right="45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Arial" w:cs="Arial" w:eastAsia="Arial" w:hAnsi="Arial"/>
                <w:sz w:val="16"/>
                <w:szCs w:val="16"/>
                <w:b w:val="1"/>
                <w:bCs w:val="1"/>
                <w:color w:val="auto"/>
                <w:w w:val="94"/>
              </w:rPr>
              <w:t>Exhibit Number</w:t>
            </w:r>
          </w:p>
        </w:tc>
        <w:tc>
          <w:tcPr>
            <w:tcW w:w="580" w:type="dxa"/>
            <w:vAlign w:val="bottom"/>
          </w:tcPr>
          <w:p>
            <w:pPr>
              <w:spacing w:after="0"/>
              <w:rPr>
                <w:sz w:val="16"/>
                <w:szCs w:val="16"/>
                <w:color w:val="auto"/>
              </w:rPr>
            </w:pPr>
          </w:p>
        </w:tc>
        <w:tc>
          <w:tcPr>
            <w:tcW w:w="9660" w:type="dxa"/>
            <w:vAlign w:val="bottom"/>
            <w:gridSpan w:val="28"/>
          </w:tcPr>
          <w:p>
            <w:pPr>
              <w:spacing w:after="0"/>
              <w:rPr>
                <w:sz w:val="20"/>
                <w:szCs w:val="20"/>
                <w:color w:val="auto"/>
              </w:rPr>
            </w:pPr>
            <w:r>
              <w:rPr>
                <w:rFonts w:ascii="Arial" w:cs="Arial" w:eastAsia="Arial" w:hAnsi="Arial"/>
                <w:sz w:val="16"/>
                <w:szCs w:val="16"/>
                <w:b w:val="1"/>
                <w:bCs w:val="1"/>
                <w:color w:val="auto"/>
              </w:rPr>
              <w:t>Description of Exhibits</w:t>
            </w:r>
          </w:p>
        </w:tc>
      </w:tr>
      <w:tr>
        <w:trPr>
          <w:trHeight w:val="20"/>
        </w:trPr>
        <w:tc>
          <w:tcPr>
            <w:tcW w:w="11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3.1</w:t>
            </w:r>
          </w:p>
        </w:tc>
        <w:tc>
          <w:tcPr>
            <w:tcW w:w="580" w:type="dxa"/>
            <w:vAlign w:val="bottom"/>
          </w:tcPr>
          <w:p>
            <w:pPr>
              <w:spacing w:after="0"/>
              <w:rPr>
                <w:sz w:val="19"/>
                <w:szCs w:val="19"/>
                <w:color w:val="auto"/>
              </w:rPr>
            </w:pPr>
          </w:p>
        </w:tc>
        <w:tc>
          <w:tcPr>
            <w:tcW w:w="9660" w:type="dxa"/>
            <w:vAlign w:val="bottom"/>
            <w:gridSpan w:val="28"/>
          </w:tcPr>
          <w:p>
            <w:pPr>
              <w:spacing w:after="0"/>
              <w:rPr>
                <w:rFonts w:ascii="Arial" w:cs="Arial" w:eastAsia="Arial" w:hAnsi="Arial"/>
                <w:sz w:val="16"/>
                <w:szCs w:val="16"/>
                <w:color w:val="0000FF"/>
                <w:w w:val="97"/>
              </w:rPr>
            </w:pPr>
            <w:hyperlink r:id="rId16">
              <w:r>
                <w:rPr>
                  <w:rFonts w:ascii="Arial" w:cs="Arial" w:eastAsia="Arial" w:hAnsi="Arial"/>
                  <w:sz w:val="16"/>
                  <w:szCs w:val="16"/>
                  <w:color w:val="0000FF"/>
                  <w:w w:val="97"/>
                </w:rPr>
                <w:t>Certificate of Incorporation of Carter's, Inc., as amended on May 22, 2017 (incorporated by reference to Exhibit 3.1 of Carter's, Inc.'s Current</w:t>
              </w:r>
            </w:hyperlink>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940" w:type="dxa"/>
            <w:vAlign w:val="bottom"/>
            <w:tcBorders>
              <w:top w:val="single" w:sz="8" w:color="0000FF"/>
              <w:bottom w:val="single" w:sz="8" w:color="0000FF"/>
            </w:tcBorders>
            <w:gridSpan w:val="6"/>
          </w:tcPr>
          <w:p>
            <w:pPr>
              <w:spacing w:after="0" w:line="176" w:lineRule="exact"/>
              <w:rPr>
                <w:rFonts w:ascii="Arial" w:cs="Arial" w:eastAsia="Arial" w:hAnsi="Arial"/>
                <w:sz w:val="16"/>
                <w:szCs w:val="16"/>
                <w:color w:val="0000FF"/>
                <w:w w:val="94"/>
              </w:rPr>
            </w:pPr>
            <w:hyperlink r:id="rId16">
              <w:r>
                <w:rPr>
                  <w:rFonts w:ascii="Arial" w:cs="Arial" w:eastAsia="Arial" w:hAnsi="Arial"/>
                  <w:sz w:val="16"/>
                  <w:szCs w:val="16"/>
                  <w:color w:val="0000FF"/>
                  <w:w w:val="94"/>
                </w:rPr>
                <w:t>Report on Form 8-K filed on May 23, 2017).</w:t>
              </w:r>
            </w:hyperlink>
          </w:p>
        </w:tc>
        <w:tc>
          <w:tcPr>
            <w:tcW w:w="6280" w:type="dxa"/>
            <w:vAlign w:val="bottom"/>
            <w:tcBorders>
              <w:top w:val="single" w:sz="8" w:color="0000FF"/>
            </w:tcBorders>
            <w:gridSpan w:val="8"/>
          </w:tcPr>
          <w:p>
            <w:pPr>
              <w:spacing w:after="0"/>
              <w:rPr>
                <w:sz w:val="15"/>
                <w:szCs w:val="15"/>
                <w:color w:val="auto"/>
              </w:rPr>
            </w:pPr>
          </w:p>
        </w:tc>
        <w:tc>
          <w:tcPr>
            <w:tcW w:w="440" w:type="dxa"/>
            <w:vAlign w:val="bottom"/>
            <w:gridSpan w:val="14"/>
          </w:tcPr>
          <w:p>
            <w:pPr>
              <w:spacing w:after="0"/>
              <w:rPr>
                <w:sz w:val="15"/>
                <w:szCs w:val="15"/>
                <w:color w:val="auto"/>
              </w:rPr>
            </w:pPr>
          </w:p>
        </w:tc>
      </w:tr>
      <w:tr>
        <w:trPr>
          <w:trHeight w:val="225"/>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3.2</w:t>
            </w:r>
          </w:p>
        </w:tc>
        <w:tc>
          <w:tcPr>
            <w:tcW w:w="580" w:type="dxa"/>
            <w:vAlign w:val="bottom"/>
          </w:tcPr>
          <w:p>
            <w:pPr>
              <w:spacing w:after="0"/>
              <w:rPr>
                <w:sz w:val="19"/>
                <w:szCs w:val="19"/>
                <w:color w:val="auto"/>
              </w:rPr>
            </w:pPr>
          </w:p>
        </w:tc>
        <w:tc>
          <w:tcPr>
            <w:tcW w:w="9540" w:type="dxa"/>
            <w:vAlign w:val="bottom"/>
            <w:tcBorders>
              <w:bottom w:val="single" w:sz="8" w:color="0000FF"/>
            </w:tcBorders>
            <w:gridSpan w:val="22"/>
          </w:tcPr>
          <w:p>
            <w:pPr>
              <w:spacing w:after="0"/>
              <w:rPr>
                <w:rFonts w:ascii="Arial" w:cs="Arial" w:eastAsia="Arial" w:hAnsi="Arial"/>
                <w:sz w:val="16"/>
                <w:szCs w:val="16"/>
                <w:color w:val="0000FF"/>
                <w:w w:val="92"/>
              </w:rPr>
            </w:pPr>
            <w:hyperlink r:id="rId17">
              <w:r>
                <w:rPr>
                  <w:rFonts w:ascii="Arial" w:cs="Arial" w:eastAsia="Arial" w:hAnsi="Arial"/>
                  <w:sz w:val="16"/>
                  <w:szCs w:val="16"/>
                  <w:color w:val="0000FF"/>
                  <w:w w:val="92"/>
                </w:rPr>
                <w:t>Amended and Restated By-laws of Carter's, Inc., as amended on May 22, 2017 (incorporated by reference to Exhibit 3.2 of Carter's, Inc.'s Current</w:t>
              </w:r>
            </w:hyperlink>
          </w:p>
        </w:tc>
        <w:tc>
          <w:tcPr>
            <w:tcW w:w="120" w:type="dxa"/>
            <w:vAlign w:val="bottom"/>
            <w:gridSpan w:val="6"/>
          </w:tcPr>
          <w:p>
            <w:pPr>
              <w:spacing w:after="0"/>
              <w:rPr>
                <w:sz w:val="19"/>
                <w:szCs w:val="19"/>
                <w:color w:val="auto"/>
              </w:rPr>
            </w:pPr>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940" w:type="dxa"/>
            <w:vAlign w:val="bottom"/>
            <w:tcBorders>
              <w:bottom w:val="single" w:sz="8" w:color="0000FF"/>
            </w:tcBorders>
            <w:gridSpan w:val="6"/>
          </w:tcPr>
          <w:p>
            <w:pPr>
              <w:spacing w:after="0" w:line="176" w:lineRule="exact"/>
              <w:rPr>
                <w:rFonts w:ascii="Arial" w:cs="Arial" w:eastAsia="Arial" w:hAnsi="Arial"/>
                <w:sz w:val="16"/>
                <w:szCs w:val="16"/>
                <w:color w:val="0000FF"/>
                <w:w w:val="94"/>
              </w:rPr>
            </w:pPr>
            <w:hyperlink r:id="rId17">
              <w:r>
                <w:rPr>
                  <w:rFonts w:ascii="Arial" w:cs="Arial" w:eastAsia="Arial" w:hAnsi="Arial"/>
                  <w:sz w:val="16"/>
                  <w:szCs w:val="16"/>
                  <w:color w:val="0000FF"/>
                  <w:w w:val="94"/>
                </w:rPr>
                <w:t>Report on Form 8-K filed on May 23, 2017).</w:t>
              </w:r>
            </w:hyperlink>
          </w:p>
        </w:tc>
        <w:tc>
          <w:tcPr>
            <w:tcW w:w="6720" w:type="dxa"/>
            <w:vAlign w:val="bottom"/>
            <w:gridSpan w:val="22"/>
          </w:tcPr>
          <w:p>
            <w:pPr>
              <w:spacing w:after="0"/>
              <w:rPr>
                <w:sz w:val="15"/>
                <w:szCs w:val="15"/>
                <w:color w:val="auto"/>
              </w:rPr>
            </w:pPr>
          </w:p>
        </w:tc>
      </w:tr>
      <w:tr>
        <w:trPr>
          <w:trHeight w:val="225"/>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4.1</w:t>
            </w:r>
          </w:p>
        </w:tc>
        <w:tc>
          <w:tcPr>
            <w:tcW w:w="580" w:type="dxa"/>
            <w:vAlign w:val="bottom"/>
          </w:tcPr>
          <w:p>
            <w:pPr>
              <w:spacing w:after="0"/>
              <w:rPr>
                <w:sz w:val="19"/>
                <w:szCs w:val="19"/>
                <w:color w:val="auto"/>
              </w:rPr>
            </w:pPr>
          </w:p>
        </w:tc>
        <w:tc>
          <w:tcPr>
            <w:tcW w:w="9660" w:type="dxa"/>
            <w:vAlign w:val="bottom"/>
            <w:gridSpan w:val="28"/>
          </w:tcPr>
          <w:p>
            <w:pPr>
              <w:spacing w:after="0"/>
              <w:rPr>
                <w:rFonts w:ascii="Arial" w:cs="Arial" w:eastAsia="Arial" w:hAnsi="Arial"/>
                <w:sz w:val="16"/>
                <w:szCs w:val="16"/>
                <w:color w:val="0000FF"/>
                <w:w w:val="94"/>
              </w:rPr>
            </w:pPr>
            <w:hyperlink r:id="rId18">
              <w:r>
                <w:rPr>
                  <w:rFonts w:ascii="Arial" w:cs="Arial" w:eastAsia="Arial" w:hAnsi="Arial"/>
                  <w:sz w:val="16"/>
                  <w:szCs w:val="16"/>
                  <w:color w:val="0000FF"/>
                  <w:w w:val="94"/>
                </w:rPr>
                <w:t>Specimen Certificate of Common Stock (incorporated by reference to Exhibit 4.1 of Carter's, Inc.'s Registration Statement on Form S-1 (No. 333-</w:t>
              </w:r>
            </w:hyperlink>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520" w:type="dxa"/>
            <w:vAlign w:val="bottom"/>
            <w:tcBorders>
              <w:top w:val="single" w:sz="8" w:color="0000FF"/>
            </w:tcBorders>
            <w:gridSpan w:val="21"/>
          </w:tcPr>
          <w:p>
            <w:pPr>
              <w:spacing w:after="0" w:line="176" w:lineRule="exact"/>
              <w:rPr>
                <w:rFonts w:ascii="Arial" w:cs="Arial" w:eastAsia="Arial" w:hAnsi="Arial"/>
                <w:sz w:val="16"/>
                <w:szCs w:val="16"/>
                <w:color w:val="0000FF"/>
              </w:rPr>
            </w:pPr>
            <w:hyperlink r:id="rId18">
              <w:r>
                <w:rPr>
                  <w:rFonts w:ascii="Arial" w:cs="Arial" w:eastAsia="Arial" w:hAnsi="Arial"/>
                  <w:sz w:val="16"/>
                  <w:szCs w:val="16"/>
                  <w:color w:val="0000FF"/>
                </w:rPr>
                <w:t>98679) filed on October 10, 2003).</w:t>
              </w:r>
            </w:hyperlink>
          </w:p>
        </w:tc>
        <w:tc>
          <w:tcPr>
            <w:tcW w:w="140" w:type="dxa"/>
            <w:vAlign w:val="bottom"/>
            <w:gridSpan w:val="7"/>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4.2</w:t>
            </w:r>
          </w:p>
        </w:tc>
        <w:tc>
          <w:tcPr>
            <w:tcW w:w="580" w:type="dxa"/>
            <w:vAlign w:val="bottom"/>
          </w:tcPr>
          <w:p>
            <w:pPr>
              <w:spacing w:after="0"/>
              <w:rPr>
                <w:sz w:val="19"/>
                <w:szCs w:val="19"/>
                <w:color w:val="auto"/>
              </w:rPr>
            </w:pPr>
          </w:p>
        </w:tc>
        <w:tc>
          <w:tcPr>
            <w:tcW w:w="9640" w:type="dxa"/>
            <w:vAlign w:val="bottom"/>
            <w:tcBorders>
              <w:bottom w:val="single" w:sz="8" w:color="0000FF"/>
            </w:tcBorders>
            <w:gridSpan w:val="27"/>
          </w:tcPr>
          <w:p>
            <w:pPr>
              <w:spacing w:after="0"/>
              <w:rPr>
                <w:rFonts w:ascii="Arial" w:cs="Arial" w:eastAsia="Arial" w:hAnsi="Arial"/>
                <w:sz w:val="16"/>
                <w:szCs w:val="16"/>
                <w:color w:val="0000FF"/>
                <w:w w:val="92"/>
              </w:rPr>
            </w:pPr>
            <w:hyperlink r:id="rId19">
              <w:r>
                <w:rPr>
                  <w:rFonts w:ascii="Arial" w:cs="Arial" w:eastAsia="Arial" w:hAnsi="Arial"/>
                  <w:sz w:val="16"/>
                  <w:szCs w:val="16"/>
                  <w:color w:val="0000FF"/>
                  <w:w w:val="92"/>
                </w:rPr>
                <w:t>Indenture, dated August 12, 2013, by and among The William Carter Company, certain guarantors party thereto from time to time, and Wells Fargo</w:t>
              </w:r>
            </w:hyperlink>
          </w:p>
        </w:tc>
        <w:tc>
          <w:tcPr>
            <w:tcW w:w="20" w:type="dxa"/>
            <w:vAlign w:val="bottom"/>
          </w:tcPr>
          <w:p>
            <w:pPr>
              <w:spacing w:after="0"/>
              <w:rPr>
                <w:sz w:val="19"/>
                <w:szCs w:val="19"/>
                <w:color w:val="auto"/>
              </w:rPr>
            </w:pPr>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580" w:type="dxa"/>
            <w:vAlign w:val="bottom"/>
            <w:tcBorders>
              <w:bottom w:val="single" w:sz="8" w:color="0000FF"/>
            </w:tcBorders>
            <w:gridSpan w:val="24"/>
          </w:tcPr>
          <w:p>
            <w:pPr>
              <w:spacing w:after="0" w:line="176" w:lineRule="exact"/>
              <w:rPr>
                <w:rFonts w:ascii="Arial" w:cs="Arial" w:eastAsia="Arial" w:hAnsi="Arial"/>
                <w:sz w:val="16"/>
                <w:szCs w:val="16"/>
                <w:color w:val="0000FF"/>
                <w:w w:val="93"/>
              </w:rPr>
            </w:pPr>
            <w:hyperlink r:id="rId19">
              <w:r>
                <w:rPr>
                  <w:rFonts w:ascii="Arial" w:cs="Arial" w:eastAsia="Arial" w:hAnsi="Arial"/>
                  <w:sz w:val="16"/>
                  <w:szCs w:val="16"/>
                  <w:color w:val="0000FF"/>
                  <w:w w:val="93"/>
                </w:rPr>
                <w:t>Bank, National Association, as trustee (incorporated by reference to Exhibit 4.1 of Carter’s, Inc.'s Current Report on Form 8-K filed on August 12,</w:t>
              </w:r>
            </w:hyperlink>
          </w:p>
        </w:tc>
        <w:tc>
          <w:tcPr>
            <w:tcW w:w="80" w:type="dxa"/>
            <w:vAlign w:val="bottom"/>
            <w:gridSpan w:val="4"/>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Borders>
              <w:bottom w:val="single" w:sz="8" w:color="0000FF"/>
            </w:tcBorders>
            <w:gridSpan w:val="2"/>
          </w:tcPr>
          <w:p>
            <w:pPr>
              <w:spacing w:after="0" w:line="176" w:lineRule="exact"/>
              <w:rPr>
                <w:rFonts w:ascii="Arial" w:cs="Arial" w:eastAsia="Arial" w:hAnsi="Arial"/>
                <w:sz w:val="16"/>
                <w:szCs w:val="16"/>
                <w:color w:val="0000FF"/>
                <w:w w:val="88"/>
              </w:rPr>
            </w:pPr>
            <w:hyperlink r:id="rId19">
              <w:r>
                <w:rPr>
                  <w:rFonts w:ascii="Arial" w:cs="Arial" w:eastAsia="Arial" w:hAnsi="Arial"/>
                  <w:sz w:val="16"/>
                  <w:szCs w:val="16"/>
                  <w:color w:val="0000FF"/>
                  <w:w w:val="88"/>
                </w:rPr>
                <w:t>2013).</w:t>
              </w:r>
            </w:hyperlink>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5"/>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4.3</w:t>
            </w:r>
          </w:p>
        </w:tc>
        <w:tc>
          <w:tcPr>
            <w:tcW w:w="580" w:type="dxa"/>
            <w:vAlign w:val="bottom"/>
          </w:tcPr>
          <w:p>
            <w:pPr>
              <w:spacing w:after="0"/>
              <w:rPr>
                <w:sz w:val="19"/>
                <w:szCs w:val="19"/>
                <w:color w:val="auto"/>
              </w:rPr>
            </w:pPr>
          </w:p>
        </w:tc>
        <w:tc>
          <w:tcPr>
            <w:tcW w:w="9640" w:type="dxa"/>
            <w:vAlign w:val="bottom"/>
            <w:tcBorders>
              <w:bottom w:val="single" w:sz="8" w:color="0000FF"/>
            </w:tcBorders>
            <w:gridSpan w:val="27"/>
          </w:tcPr>
          <w:p>
            <w:pPr>
              <w:spacing w:after="0"/>
              <w:rPr>
                <w:rFonts w:ascii="Arial" w:cs="Arial" w:eastAsia="Arial" w:hAnsi="Arial"/>
                <w:sz w:val="16"/>
                <w:szCs w:val="16"/>
                <w:color w:val="0000FF"/>
                <w:w w:val="92"/>
              </w:rPr>
            </w:pPr>
            <w:hyperlink r:id="rId20">
              <w:r>
                <w:rPr>
                  <w:rFonts w:ascii="Arial" w:cs="Arial" w:eastAsia="Arial" w:hAnsi="Arial"/>
                  <w:sz w:val="16"/>
                  <w:szCs w:val="16"/>
                  <w:color w:val="0000FF"/>
                  <w:w w:val="92"/>
                </w:rPr>
                <w:t>First Supplemental Indenture, dated June 25, 2014, by and among The William Carter Company, certain guarantors party thereto from time to time,</w:t>
              </w:r>
            </w:hyperlink>
          </w:p>
        </w:tc>
        <w:tc>
          <w:tcPr>
            <w:tcW w:w="20" w:type="dxa"/>
            <w:vAlign w:val="bottom"/>
          </w:tcPr>
          <w:p>
            <w:pPr>
              <w:spacing w:after="0"/>
              <w:rPr>
                <w:sz w:val="19"/>
                <w:szCs w:val="19"/>
                <w:color w:val="auto"/>
              </w:rPr>
            </w:pPr>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60" w:type="dxa"/>
            <w:vAlign w:val="bottom"/>
            <w:gridSpan w:val="28"/>
          </w:tcPr>
          <w:p>
            <w:pPr>
              <w:spacing w:after="0" w:line="176" w:lineRule="exact"/>
              <w:rPr>
                <w:rFonts w:ascii="Arial" w:cs="Arial" w:eastAsia="Arial" w:hAnsi="Arial"/>
                <w:sz w:val="16"/>
                <w:szCs w:val="16"/>
                <w:color w:val="0000FF"/>
              </w:rPr>
            </w:pPr>
            <w:hyperlink r:id="rId20">
              <w:r>
                <w:rPr>
                  <w:rFonts w:ascii="Arial" w:cs="Arial" w:eastAsia="Arial" w:hAnsi="Arial"/>
                  <w:sz w:val="16"/>
                  <w:szCs w:val="16"/>
                  <w:color w:val="0000FF"/>
                </w:rPr>
                <w:t>and Wells Fargo Bank, National Association, as Trustee (incorporated by reference to Exhibit 4.2 of Carter’s, Inc.'s Amendment No. 1 to</w:t>
              </w:r>
            </w:hyperlink>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920" w:type="dxa"/>
            <w:vAlign w:val="bottom"/>
            <w:tcBorders>
              <w:top w:val="single" w:sz="8" w:color="0000FF"/>
            </w:tcBorders>
            <w:gridSpan w:val="10"/>
          </w:tcPr>
          <w:p>
            <w:pPr>
              <w:spacing w:after="0" w:line="176" w:lineRule="exact"/>
              <w:rPr>
                <w:rFonts w:ascii="Arial" w:cs="Arial" w:eastAsia="Arial" w:hAnsi="Arial"/>
                <w:sz w:val="16"/>
                <w:szCs w:val="16"/>
                <w:color w:val="0000FF"/>
              </w:rPr>
            </w:pPr>
            <w:hyperlink r:id="rId20">
              <w:r>
                <w:rPr>
                  <w:rFonts w:ascii="Arial" w:cs="Arial" w:eastAsia="Arial" w:hAnsi="Arial"/>
                  <w:sz w:val="16"/>
                  <w:szCs w:val="16"/>
                  <w:color w:val="0000FF"/>
                </w:rPr>
                <w:t>Registration Statement on Form S-4 (No. 333-194896) filed on June 27, 2014).</w:t>
              </w:r>
            </w:hyperlink>
          </w:p>
        </w:tc>
        <w:tc>
          <w:tcPr>
            <w:tcW w:w="740" w:type="dxa"/>
            <w:vAlign w:val="bottom"/>
            <w:gridSpan w:val="18"/>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4.4</w:t>
            </w:r>
          </w:p>
        </w:tc>
        <w:tc>
          <w:tcPr>
            <w:tcW w:w="580" w:type="dxa"/>
            <w:vAlign w:val="bottom"/>
          </w:tcPr>
          <w:p>
            <w:pPr>
              <w:spacing w:after="0"/>
              <w:rPr>
                <w:sz w:val="19"/>
                <w:szCs w:val="19"/>
                <w:color w:val="auto"/>
              </w:rPr>
            </w:pPr>
          </w:p>
        </w:tc>
        <w:tc>
          <w:tcPr>
            <w:tcW w:w="9320" w:type="dxa"/>
            <w:vAlign w:val="bottom"/>
            <w:tcBorders>
              <w:bottom w:val="single" w:sz="8" w:color="0000FF"/>
            </w:tcBorders>
            <w:gridSpan w:val="17"/>
          </w:tcPr>
          <w:p>
            <w:pPr>
              <w:spacing w:after="0"/>
              <w:rPr>
                <w:rFonts w:ascii="Arial" w:cs="Arial" w:eastAsia="Arial" w:hAnsi="Arial"/>
                <w:sz w:val="16"/>
                <w:szCs w:val="16"/>
                <w:color w:val="0000FF"/>
                <w:w w:val="92"/>
              </w:rPr>
            </w:pPr>
            <w:hyperlink w:anchor="page114">
              <w:r>
                <w:rPr>
                  <w:rFonts w:ascii="Arial" w:cs="Arial" w:eastAsia="Arial" w:hAnsi="Arial"/>
                  <w:sz w:val="16"/>
                  <w:szCs w:val="16"/>
                  <w:color w:val="0000FF"/>
                  <w:w w:val="92"/>
                </w:rPr>
                <w:t>Second Supplemental Indenture, dated May 11, 2017, by and among Skip Hop Holdings, Inc., Skip Hop, Inc., and Wells Fargo Bank, National</w:t>
              </w:r>
            </w:hyperlink>
          </w:p>
        </w:tc>
        <w:tc>
          <w:tcPr>
            <w:tcW w:w="340" w:type="dxa"/>
            <w:vAlign w:val="bottom"/>
            <w:gridSpan w:val="11"/>
          </w:tcPr>
          <w:p>
            <w:pPr>
              <w:spacing w:after="0"/>
              <w:rPr>
                <w:sz w:val="19"/>
                <w:szCs w:val="19"/>
                <w:color w:val="auto"/>
              </w:rPr>
            </w:pPr>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0" w:type="dxa"/>
            <w:vAlign w:val="bottom"/>
            <w:tcBorders>
              <w:bottom w:val="single" w:sz="8" w:color="0000FF"/>
            </w:tcBorders>
            <w:gridSpan w:val="3"/>
          </w:tcPr>
          <w:p>
            <w:pPr>
              <w:spacing w:after="0" w:line="176" w:lineRule="exact"/>
              <w:rPr>
                <w:rFonts w:ascii="Arial" w:cs="Arial" w:eastAsia="Arial" w:hAnsi="Arial"/>
                <w:sz w:val="16"/>
                <w:szCs w:val="16"/>
                <w:color w:val="0000FF"/>
                <w:w w:val="91"/>
              </w:rPr>
            </w:pPr>
            <w:hyperlink w:anchor="page114">
              <w:r>
                <w:rPr>
                  <w:rFonts w:ascii="Arial" w:cs="Arial" w:eastAsia="Arial" w:hAnsi="Arial"/>
                  <w:sz w:val="16"/>
                  <w:szCs w:val="16"/>
                  <w:color w:val="0000FF"/>
                  <w:w w:val="91"/>
                </w:rPr>
                <w:t>Association, as Trustee.</w:t>
              </w:r>
            </w:hyperlink>
          </w:p>
        </w:tc>
        <w:tc>
          <w:tcPr>
            <w:tcW w:w="8060" w:type="dxa"/>
            <w:vAlign w:val="bottom"/>
            <w:gridSpan w:val="25"/>
          </w:tcPr>
          <w:p>
            <w:pPr>
              <w:spacing w:after="0"/>
              <w:rPr>
                <w:sz w:val="15"/>
                <w:szCs w:val="15"/>
                <w:color w:val="auto"/>
              </w:rPr>
            </w:pPr>
          </w:p>
        </w:tc>
      </w:tr>
      <w:tr>
        <w:trPr>
          <w:trHeight w:val="225"/>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10.1</w:t>
            </w:r>
          </w:p>
        </w:tc>
        <w:tc>
          <w:tcPr>
            <w:tcW w:w="580" w:type="dxa"/>
            <w:vAlign w:val="bottom"/>
          </w:tcPr>
          <w:p>
            <w:pPr>
              <w:spacing w:after="0"/>
              <w:rPr>
                <w:sz w:val="19"/>
                <w:szCs w:val="19"/>
                <w:color w:val="auto"/>
              </w:rPr>
            </w:pPr>
          </w:p>
        </w:tc>
        <w:tc>
          <w:tcPr>
            <w:tcW w:w="9320" w:type="dxa"/>
            <w:vAlign w:val="bottom"/>
            <w:tcBorders>
              <w:bottom w:val="single" w:sz="8" w:color="0000FF"/>
            </w:tcBorders>
            <w:gridSpan w:val="17"/>
          </w:tcPr>
          <w:p>
            <w:pPr>
              <w:spacing w:after="0"/>
              <w:rPr>
                <w:rFonts w:ascii="Arial" w:cs="Arial" w:eastAsia="Arial" w:hAnsi="Arial"/>
                <w:sz w:val="16"/>
                <w:szCs w:val="16"/>
                <w:color w:val="0000FF"/>
                <w:w w:val="91"/>
              </w:rPr>
            </w:pPr>
            <w:hyperlink r:id="rId21">
              <w:r>
                <w:rPr>
                  <w:rFonts w:ascii="Arial" w:cs="Arial" w:eastAsia="Arial" w:hAnsi="Arial"/>
                  <w:sz w:val="16"/>
                  <w:szCs w:val="16"/>
                  <w:color w:val="0000FF"/>
                  <w:w w:val="91"/>
                </w:rPr>
                <w:t>Third Amended and Restated Credit Agreement, dated as of September 16, 2015, among The William Carter Company, as U.S. Borrower, The</w:t>
              </w:r>
            </w:hyperlink>
          </w:p>
        </w:tc>
        <w:tc>
          <w:tcPr>
            <w:tcW w:w="340" w:type="dxa"/>
            <w:vAlign w:val="bottom"/>
            <w:gridSpan w:val="11"/>
          </w:tcPr>
          <w:p>
            <w:pPr>
              <w:spacing w:after="0"/>
              <w:rPr>
                <w:sz w:val="19"/>
                <w:szCs w:val="19"/>
                <w:color w:val="auto"/>
              </w:rPr>
            </w:pPr>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0" w:type="dxa"/>
            <w:vAlign w:val="bottom"/>
            <w:tcBorders>
              <w:bottom w:val="single" w:sz="8" w:color="0000FF"/>
            </w:tcBorders>
            <w:gridSpan w:val="25"/>
          </w:tcPr>
          <w:p>
            <w:pPr>
              <w:spacing w:after="0" w:line="176" w:lineRule="exact"/>
              <w:rPr>
                <w:rFonts w:ascii="Arial" w:cs="Arial" w:eastAsia="Arial" w:hAnsi="Arial"/>
                <w:sz w:val="16"/>
                <w:szCs w:val="16"/>
                <w:color w:val="0000FF"/>
                <w:w w:val="92"/>
              </w:rPr>
            </w:pPr>
            <w:hyperlink r:id="rId21">
              <w:r>
                <w:rPr>
                  <w:rFonts w:ascii="Arial" w:cs="Arial" w:eastAsia="Arial" w:hAnsi="Arial"/>
                  <w:sz w:val="16"/>
                  <w:szCs w:val="16"/>
                  <w:color w:val="0000FF"/>
                  <w:w w:val="92"/>
                </w:rPr>
                <w:t>Genuine Canada Corp., as Canadian Borrower, Carter’s Holdings B.V., as Dutch Borrower, JPMorgan Chase Bank, N.A., as Administrative Agent,</w:t>
              </w:r>
            </w:hyperlink>
          </w:p>
        </w:tc>
        <w:tc>
          <w:tcPr>
            <w:tcW w:w="60" w:type="dxa"/>
            <w:vAlign w:val="bottom"/>
            <w:gridSpan w:val="3"/>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300" w:type="dxa"/>
            <w:vAlign w:val="bottom"/>
            <w:tcBorders>
              <w:bottom w:val="single" w:sz="8" w:color="0000FF"/>
            </w:tcBorders>
            <w:gridSpan w:val="16"/>
          </w:tcPr>
          <w:p>
            <w:pPr>
              <w:spacing w:after="0" w:line="176" w:lineRule="exact"/>
              <w:rPr>
                <w:rFonts w:ascii="Arial" w:cs="Arial" w:eastAsia="Arial" w:hAnsi="Arial"/>
                <w:sz w:val="16"/>
                <w:szCs w:val="16"/>
                <w:color w:val="0000FF"/>
                <w:w w:val="94"/>
              </w:rPr>
            </w:pPr>
            <w:hyperlink r:id="rId21">
              <w:r>
                <w:rPr>
                  <w:rFonts w:ascii="Arial" w:cs="Arial" w:eastAsia="Arial" w:hAnsi="Arial"/>
                  <w:sz w:val="16"/>
                  <w:szCs w:val="16"/>
                  <w:color w:val="0000FF"/>
                  <w:w w:val="94"/>
                </w:rPr>
                <w:t>U.S. Dollar Facility swing Line Lender, U.S. Dollar Facility L/C Issuer and Collateral Agent, JPMorgan Chase Bank, N.A. Toronto Branch, as</w:t>
              </w:r>
            </w:hyperlink>
          </w:p>
        </w:tc>
        <w:tc>
          <w:tcPr>
            <w:tcW w:w="360" w:type="dxa"/>
            <w:vAlign w:val="bottom"/>
            <w:gridSpan w:val="12"/>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60" w:type="dxa"/>
            <w:vAlign w:val="bottom"/>
            <w:gridSpan w:val="28"/>
          </w:tcPr>
          <w:p>
            <w:pPr>
              <w:spacing w:after="0" w:line="176" w:lineRule="exact"/>
              <w:rPr>
                <w:rFonts w:ascii="Arial" w:cs="Arial" w:eastAsia="Arial" w:hAnsi="Arial"/>
                <w:sz w:val="16"/>
                <w:szCs w:val="16"/>
                <w:color w:val="0000FF"/>
                <w:w w:val="96"/>
              </w:rPr>
            </w:pPr>
            <w:hyperlink r:id="rId21">
              <w:r>
                <w:rPr>
                  <w:rFonts w:ascii="Arial" w:cs="Arial" w:eastAsia="Arial" w:hAnsi="Arial"/>
                  <w:sz w:val="16"/>
                  <w:szCs w:val="16"/>
                  <w:color w:val="0000FF"/>
                  <w:w w:val="96"/>
                </w:rPr>
                <w:t>Canadian Agent, a Multicurrency Facility swing Line Lender and a Multicurrency Facility L/A Issuer, J.P. Morgan Europe Limited, as European</w:t>
              </w:r>
            </w:hyperlink>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40" w:type="dxa"/>
            <w:vAlign w:val="bottom"/>
            <w:tcBorders>
              <w:bottom w:val="single" w:sz="8" w:color="0000FF"/>
            </w:tcBorders>
            <w:gridSpan w:val="27"/>
          </w:tcPr>
          <w:p>
            <w:pPr>
              <w:spacing w:after="0" w:line="176" w:lineRule="exact"/>
              <w:rPr>
                <w:rFonts w:ascii="Arial" w:cs="Arial" w:eastAsia="Arial" w:hAnsi="Arial"/>
                <w:sz w:val="16"/>
                <w:szCs w:val="16"/>
                <w:color w:val="0000FF"/>
                <w:w w:val="94"/>
              </w:rPr>
            </w:pPr>
            <w:hyperlink r:id="rId21">
              <w:r>
                <w:rPr>
                  <w:rFonts w:ascii="Arial" w:cs="Arial" w:eastAsia="Arial" w:hAnsi="Arial"/>
                  <w:sz w:val="16"/>
                  <w:szCs w:val="16"/>
                  <w:color w:val="0000FF"/>
                  <w:w w:val="94"/>
                </w:rPr>
                <w:t>Agent, JPMorgan Chase Bank, N.A., London Branch, as a Multicurrency Facility swing Line Lender and a Multicurrency Facility L/C Issuer, Bank</w:t>
              </w:r>
            </w:hyperlink>
          </w:p>
        </w:tc>
        <w:tc>
          <w:tcPr>
            <w:tcW w:w="2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60" w:type="dxa"/>
            <w:vAlign w:val="bottom"/>
            <w:tcBorders>
              <w:bottom w:val="single" w:sz="8" w:color="0000FF"/>
            </w:tcBorders>
            <w:gridSpan w:val="28"/>
          </w:tcPr>
          <w:p>
            <w:pPr>
              <w:spacing w:after="0" w:line="176" w:lineRule="exact"/>
              <w:rPr>
                <w:rFonts w:ascii="Arial" w:cs="Arial" w:eastAsia="Arial" w:hAnsi="Arial"/>
                <w:sz w:val="16"/>
                <w:szCs w:val="16"/>
                <w:color w:val="0000FF"/>
                <w:w w:val="93"/>
              </w:rPr>
            </w:pPr>
            <w:hyperlink r:id="rId21">
              <w:r>
                <w:rPr>
                  <w:rFonts w:ascii="Arial" w:cs="Arial" w:eastAsia="Arial" w:hAnsi="Arial"/>
                  <w:sz w:val="16"/>
                  <w:szCs w:val="16"/>
                  <w:color w:val="0000FF"/>
                  <w:w w:val="93"/>
                </w:rPr>
                <w:t>of America, N.A., as Syndication Agent, and certain other lenders party thereto (incorporated by reference to Exhibit 10.1 of Carter’s, Inc.'s Current</w:t>
              </w:r>
            </w:hyperlink>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60" w:type="dxa"/>
            <w:vAlign w:val="bottom"/>
            <w:gridSpan w:val="28"/>
          </w:tcPr>
          <w:p>
            <w:pPr>
              <w:spacing w:after="0" w:line="176" w:lineRule="exact"/>
              <w:rPr>
                <w:rFonts w:ascii="Arial" w:cs="Arial" w:eastAsia="Arial" w:hAnsi="Arial"/>
                <w:sz w:val="16"/>
                <w:szCs w:val="16"/>
                <w:color w:val="0000FF"/>
              </w:rPr>
            </w:pPr>
            <w:hyperlink r:id="rId21">
              <w:r>
                <w:rPr>
                  <w:rFonts w:ascii="Arial" w:cs="Arial" w:eastAsia="Arial" w:hAnsi="Arial"/>
                  <w:sz w:val="16"/>
                  <w:szCs w:val="16"/>
                  <w:color w:val="0000FF"/>
                </w:rPr>
                <w:t>Report on Form 8-K filed on September 22, 2015).</w:t>
              </w:r>
            </w:hyperlink>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0"/>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10.2</w:t>
            </w:r>
          </w:p>
        </w:tc>
        <w:tc>
          <w:tcPr>
            <w:tcW w:w="580" w:type="dxa"/>
            <w:vAlign w:val="bottom"/>
          </w:tcPr>
          <w:p>
            <w:pPr>
              <w:spacing w:after="0"/>
              <w:rPr>
                <w:sz w:val="24"/>
                <w:szCs w:val="24"/>
                <w:color w:val="auto"/>
              </w:rPr>
            </w:pPr>
          </w:p>
        </w:tc>
        <w:tc>
          <w:tcPr>
            <w:tcW w:w="9640" w:type="dxa"/>
            <w:vAlign w:val="bottom"/>
            <w:tcBorders>
              <w:bottom w:val="single" w:sz="8" w:color="0000FF"/>
            </w:tcBorders>
            <w:gridSpan w:val="27"/>
          </w:tcPr>
          <w:p>
            <w:pPr>
              <w:spacing w:after="0"/>
              <w:rPr>
                <w:rFonts w:ascii="Arial" w:cs="Arial" w:eastAsia="Arial" w:hAnsi="Arial"/>
                <w:sz w:val="16"/>
                <w:szCs w:val="16"/>
                <w:color w:val="0000FF"/>
                <w:w w:val="92"/>
              </w:rPr>
            </w:pPr>
            <w:hyperlink r:id="rId22">
              <w:r>
                <w:rPr>
                  <w:rFonts w:ascii="Arial" w:cs="Arial" w:eastAsia="Arial" w:hAnsi="Arial"/>
                  <w:sz w:val="16"/>
                  <w:szCs w:val="16"/>
                  <w:color w:val="0000FF"/>
                  <w:w w:val="92"/>
                </w:rPr>
                <w:t>Fourth Amended and Restated Credit Agreement, dated as of August 25, 2017, by and among The William Carter Company, as U.S. Borrower, The</w:t>
              </w:r>
            </w:hyperlink>
          </w:p>
        </w:tc>
        <w:tc>
          <w:tcPr>
            <w:tcW w:w="20" w:type="dxa"/>
            <w:vAlign w:val="bottom"/>
          </w:tcPr>
          <w:p>
            <w:pPr>
              <w:spacing w:after="0"/>
              <w:rPr>
                <w:sz w:val="24"/>
                <w:szCs w:val="24"/>
                <w:color w:val="auto"/>
              </w:rPr>
            </w:pPr>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60" w:type="dxa"/>
            <w:vAlign w:val="bottom"/>
            <w:gridSpan w:val="28"/>
          </w:tcPr>
          <w:p>
            <w:pPr>
              <w:spacing w:after="0" w:line="176" w:lineRule="exact"/>
              <w:rPr>
                <w:rFonts w:ascii="Arial" w:cs="Arial" w:eastAsia="Arial" w:hAnsi="Arial"/>
                <w:sz w:val="16"/>
                <w:szCs w:val="16"/>
                <w:color w:val="0000FF"/>
                <w:w w:val="96"/>
              </w:rPr>
            </w:pPr>
            <w:hyperlink r:id="rId22">
              <w:r>
                <w:rPr>
                  <w:rFonts w:ascii="Arial" w:cs="Arial" w:eastAsia="Arial" w:hAnsi="Arial"/>
                  <w:sz w:val="16"/>
                  <w:szCs w:val="16"/>
                  <w:color w:val="0000FF"/>
                  <w:w w:val="96"/>
                </w:rPr>
                <w:t>Genuine Canadian Corp., as Canadian Borrower, Carter’s Holdings B.V., as Dutch Borrower, JPMorgan Chase Bank, N.A., as Administrative</w:t>
              </w:r>
            </w:hyperlink>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120" w:type="dxa"/>
            <w:vAlign w:val="bottom"/>
            <w:tcBorders>
              <w:top w:val="single" w:sz="8" w:color="0000FF"/>
              <w:bottom w:val="single" w:sz="8" w:color="0000FF"/>
            </w:tcBorders>
            <w:gridSpan w:val="12"/>
          </w:tcPr>
          <w:p>
            <w:pPr>
              <w:spacing w:after="0" w:line="176" w:lineRule="exact"/>
              <w:rPr>
                <w:rFonts w:ascii="Arial" w:cs="Arial" w:eastAsia="Arial" w:hAnsi="Arial"/>
                <w:sz w:val="16"/>
                <w:szCs w:val="16"/>
                <w:color w:val="0000FF"/>
                <w:w w:val="94"/>
              </w:rPr>
            </w:pPr>
            <w:hyperlink r:id="rId22">
              <w:r>
                <w:rPr>
                  <w:rFonts w:ascii="Arial" w:cs="Arial" w:eastAsia="Arial" w:hAnsi="Arial"/>
                  <w:sz w:val="16"/>
                  <w:szCs w:val="16"/>
                  <w:color w:val="0000FF"/>
                  <w:w w:val="94"/>
                </w:rPr>
                <w:t>Agent, U.S. Dollar Facility Swing Line Lender, U.S. Dollar Facility L/C Issuer and Collateral Agent, JPMorgan Chase Bank, N.A., Toronto</w:t>
              </w:r>
            </w:hyperlink>
          </w:p>
        </w:tc>
        <w:tc>
          <w:tcPr>
            <w:tcW w:w="120" w:type="dxa"/>
            <w:vAlign w:val="bottom"/>
            <w:tcBorders>
              <w:top w:val="single" w:sz="8" w:color="0000FF"/>
            </w:tcBorders>
            <w:gridSpan w:val="3"/>
          </w:tcPr>
          <w:p>
            <w:pPr>
              <w:spacing w:after="0"/>
              <w:rPr>
                <w:sz w:val="15"/>
                <w:szCs w:val="15"/>
                <w:color w:val="auto"/>
              </w:rPr>
            </w:pPr>
          </w:p>
        </w:tc>
        <w:tc>
          <w:tcPr>
            <w:tcW w:w="420" w:type="dxa"/>
            <w:vAlign w:val="bottom"/>
            <w:gridSpan w:val="13"/>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60" w:type="dxa"/>
            <w:vAlign w:val="bottom"/>
            <w:gridSpan w:val="28"/>
          </w:tcPr>
          <w:p>
            <w:pPr>
              <w:spacing w:after="0" w:line="176" w:lineRule="exact"/>
              <w:rPr>
                <w:rFonts w:ascii="Arial" w:cs="Arial" w:eastAsia="Arial" w:hAnsi="Arial"/>
                <w:sz w:val="16"/>
                <w:szCs w:val="16"/>
                <w:color w:val="0000FF"/>
                <w:w w:val="95"/>
              </w:rPr>
            </w:pPr>
            <w:hyperlink r:id="rId22">
              <w:r>
                <w:rPr>
                  <w:rFonts w:ascii="Arial" w:cs="Arial" w:eastAsia="Arial" w:hAnsi="Arial"/>
                  <w:sz w:val="16"/>
                  <w:szCs w:val="16"/>
                  <w:color w:val="0000FF"/>
                  <w:w w:val="95"/>
                </w:rPr>
                <w:t>Branch, as Canadian Agent, a Multicurrency Facility Swing Line Lender and a Multicurrency Facility L/C Issuer, J.P. Morgan Europe Limited, as</w:t>
              </w:r>
            </w:hyperlink>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80" w:type="dxa"/>
            <w:vAlign w:val="bottom"/>
            <w:tcBorders>
              <w:top w:val="single" w:sz="8" w:color="0000FF"/>
              <w:bottom w:val="single" w:sz="8" w:color="0000FF"/>
            </w:tcBorders>
            <w:gridSpan w:val="19"/>
          </w:tcPr>
          <w:p>
            <w:pPr>
              <w:spacing w:after="0" w:line="176" w:lineRule="exact"/>
              <w:rPr>
                <w:rFonts w:ascii="Arial" w:cs="Arial" w:eastAsia="Arial" w:hAnsi="Arial"/>
                <w:sz w:val="16"/>
                <w:szCs w:val="16"/>
                <w:color w:val="0000FF"/>
                <w:w w:val="94"/>
              </w:rPr>
            </w:pPr>
            <w:hyperlink r:id="rId22">
              <w:r>
                <w:rPr>
                  <w:rFonts w:ascii="Arial" w:cs="Arial" w:eastAsia="Arial" w:hAnsi="Arial"/>
                  <w:sz w:val="16"/>
                  <w:szCs w:val="16"/>
                  <w:color w:val="0000FF"/>
                  <w:w w:val="94"/>
                </w:rPr>
                <w:t>European Agent, JPMorgan Chase Bank, N.A., London Branch, as a Multicurrency Facility Swing Line Lender and a Multicurrency Facility L/C</w:t>
              </w:r>
            </w:hyperlink>
          </w:p>
        </w:tc>
        <w:tc>
          <w:tcPr>
            <w:tcW w:w="20" w:type="dxa"/>
            <w:vAlign w:val="bottom"/>
            <w:tcBorders>
              <w:top w:val="single" w:sz="8" w:color="0000FF"/>
            </w:tcBorders>
          </w:tcPr>
          <w:p>
            <w:pPr>
              <w:spacing w:after="0"/>
              <w:rPr>
                <w:sz w:val="15"/>
                <w:szCs w:val="15"/>
                <w:color w:val="auto"/>
              </w:rPr>
            </w:pPr>
          </w:p>
        </w:tc>
        <w:tc>
          <w:tcPr>
            <w:tcW w:w="160" w:type="dxa"/>
            <w:vAlign w:val="bottom"/>
            <w:gridSpan w:val="8"/>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60" w:type="dxa"/>
            <w:vAlign w:val="bottom"/>
            <w:gridSpan w:val="28"/>
          </w:tcPr>
          <w:p>
            <w:pPr>
              <w:spacing w:after="0" w:line="176" w:lineRule="exact"/>
              <w:rPr>
                <w:rFonts w:ascii="Arial" w:cs="Arial" w:eastAsia="Arial" w:hAnsi="Arial"/>
                <w:sz w:val="16"/>
                <w:szCs w:val="16"/>
                <w:color w:val="0000FF"/>
                <w:w w:val="96"/>
              </w:rPr>
            </w:pPr>
            <w:hyperlink r:id="rId22">
              <w:r>
                <w:rPr>
                  <w:rFonts w:ascii="Arial" w:cs="Arial" w:eastAsia="Arial" w:hAnsi="Arial"/>
                  <w:sz w:val="16"/>
                  <w:szCs w:val="16"/>
                  <w:color w:val="0000FF"/>
                  <w:w w:val="96"/>
                </w:rPr>
                <w:t>Issuer, Bank of America, N.A. and Bank of Montreal, as Co-Syndication Agents, JPMorgan Chase Bank, N.A., Merrill Lynch, Pierce, Fenner &amp;</w:t>
              </w:r>
            </w:hyperlink>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20" w:type="dxa"/>
            <w:vAlign w:val="bottom"/>
            <w:tcBorders>
              <w:top w:val="single" w:sz="8" w:color="0000FF"/>
            </w:tcBorders>
            <w:gridSpan w:val="18"/>
          </w:tcPr>
          <w:p>
            <w:pPr>
              <w:spacing w:after="0" w:line="176" w:lineRule="exact"/>
              <w:rPr>
                <w:rFonts w:ascii="Arial" w:cs="Arial" w:eastAsia="Arial" w:hAnsi="Arial"/>
                <w:sz w:val="16"/>
                <w:szCs w:val="16"/>
                <w:color w:val="0000FF"/>
                <w:w w:val="96"/>
              </w:rPr>
            </w:pPr>
            <w:hyperlink r:id="rId22">
              <w:r>
                <w:rPr>
                  <w:rFonts w:ascii="Arial" w:cs="Arial" w:eastAsia="Arial" w:hAnsi="Arial"/>
                  <w:sz w:val="16"/>
                  <w:szCs w:val="16"/>
                  <w:color w:val="0000FF"/>
                  <w:w w:val="96"/>
                </w:rPr>
                <w:t>Smith Incorporated and BMO Capital Markets Corp., as Joint Lead Arrangers and Bookrunners, Branch Banking &amp; Trust Company, HSBC</w:t>
              </w:r>
            </w:hyperlink>
          </w:p>
        </w:tc>
        <w:tc>
          <w:tcPr>
            <w:tcW w:w="240" w:type="dxa"/>
            <w:vAlign w:val="bottom"/>
            <w:gridSpan w:val="10"/>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80" w:type="dxa"/>
            <w:vAlign w:val="bottom"/>
            <w:gridSpan w:val="5"/>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60" w:type="dxa"/>
            <w:vAlign w:val="bottom"/>
            <w:gridSpan w:val="28"/>
          </w:tcPr>
          <w:p>
            <w:pPr>
              <w:spacing w:after="0" w:line="176" w:lineRule="exact"/>
              <w:rPr>
                <w:rFonts w:ascii="Arial" w:cs="Arial" w:eastAsia="Arial" w:hAnsi="Arial"/>
                <w:sz w:val="16"/>
                <w:szCs w:val="16"/>
                <w:color w:val="0000FF"/>
                <w:w w:val="93"/>
              </w:rPr>
            </w:pPr>
            <w:hyperlink r:id="rId22">
              <w:r>
                <w:rPr>
                  <w:rFonts w:ascii="Arial" w:cs="Arial" w:eastAsia="Arial" w:hAnsi="Arial"/>
                  <w:sz w:val="16"/>
                  <w:szCs w:val="16"/>
                  <w:color w:val="0000FF"/>
                  <w:w w:val="93"/>
                </w:rPr>
                <w:t>Securities (USA) Inc., Royal Bank of Canada, SunTrust Bank, U.S. Bank National Association and Wells Fargo Bank, National Association, as Co-</w:t>
              </w:r>
            </w:hyperlink>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20" w:type="dxa"/>
            <w:vAlign w:val="bottom"/>
            <w:tcBorders>
              <w:top w:val="single" w:sz="8" w:color="0000FF"/>
              <w:bottom w:val="single" w:sz="8" w:color="0000FF"/>
            </w:tcBorders>
            <w:gridSpan w:val="26"/>
          </w:tcPr>
          <w:p>
            <w:pPr>
              <w:spacing w:after="0" w:line="176" w:lineRule="exact"/>
              <w:rPr>
                <w:rFonts w:ascii="Arial" w:cs="Arial" w:eastAsia="Arial" w:hAnsi="Arial"/>
                <w:sz w:val="16"/>
                <w:szCs w:val="16"/>
                <w:color w:val="0000FF"/>
                <w:w w:val="92"/>
              </w:rPr>
            </w:pPr>
            <w:hyperlink r:id="rId22">
              <w:r>
                <w:rPr>
                  <w:rFonts w:ascii="Arial" w:cs="Arial" w:eastAsia="Arial" w:hAnsi="Arial"/>
                  <w:sz w:val="16"/>
                  <w:szCs w:val="16"/>
                  <w:color w:val="0000FF"/>
                  <w:w w:val="92"/>
                </w:rPr>
                <w:t>Documentation Agents and certain other lenders party thereto (incorporated by reference to Exhibit 10.1 of Carter’s, Inc.’s Current Report on Form</w:t>
              </w:r>
            </w:hyperlink>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60" w:type="dxa"/>
            <w:vAlign w:val="bottom"/>
            <w:gridSpan w:val="28"/>
          </w:tcPr>
          <w:p>
            <w:pPr>
              <w:spacing w:after="0" w:line="176" w:lineRule="exact"/>
              <w:rPr>
                <w:rFonts w:ascii="Arial" w:cs="Arial" w:eastAsia="Arial" w:hAnsi="Arial"/>
                <w:sz w:val="16"/>
                <w:szCs w:val="16"/>
                <w:color w:val="0000FF"/>
              </w:rPr>
            </w:pPr>
            <w:hyperlink r:id="rId22">
              <w:r>
                <w:rPr>
                  <w:rFonts w:ascii="Arial" w:cs="Arial" w:eastAsia="Arial" w:hAnsi="Arial"/>
                  <w:sz w:val="16"/>
                  <w:szCs w:val="16"/>
                  <w:color w:val="0000FF"/>
                </w:rPr>
                <w:t>8-K filed on August 31, 2017).</w:t>
              </w:r>
            </w:hyperlink>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25"/>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95"/>
              </w:rPr>
              <w:t>10.3 *</w:t>
            </w:r>
          </w:p>
        </w:tc>
        <w:tc>
          <w:tcPr>
            <w:tcW w:w="580" w:type="dxa"/>
            <w:vAlign w:val="bottom"/>
          </w:tcPr>
          <w:p>
            <w:pPr>
              <w:spacing w:after="0"/>
              <w:rPr>
                <w:sz w:val="19"/>
                <w:szCs w:val="19"/>
                <w:color w:val="auto"/>
              </w:rPr>
            </w:pPr>
          </w:p>
        </w:tc>
        <w:tc>
          <w:tcPr>
            <w:tcW w:w="9180" w:type="dxa"/>
            <w:vAlign w:val="bottom"/>
            <w:tcBorders>
              <w:bottom w:val="single" w:sz="8" w:color="0000FF"/>
            </w:tcBorders>
            <w:gridSpan w:val="13"/>
          </w:tcPr>
          <w:p>
            <w:pPr>
              <w:spacing w:after="0"/>
              <w:rPr>
                <w:rFonts w:ascii="Arial" w:cs="Arial" w:eastAsia="Arial" w:hAnsi="Arial"/>
                <w:sz w:val="16"/>
                <w:szCs w:val="16"/>
                <w:color w:val="0000FF"/>
                <w:w w:val="92"/>
              </w:rPr>
            </w:pPr>
            <w:hyperlink r:id="rId23">
              <w:r>
                <w:rPr>
                  <w:rFonts w:ascii="Arial" w:cs="Arial" w:eastAsia="Arial" w:hAnsi="Arial"/>
                  <w:sz w:val="16"/>
                  <w:szCs w:val="16"/>
                  <w:color w:val="0000FF"/>
                  <w:w w:val="92"/>
                </w:rPr>
                <w:t>Form of Severance Agreement entered into from time to time between The William Carter Company and executive officers (incorporated by</w:t>
              </w:r>
            </w:hyperlink>
          </w:p>
        </w:tc>
        <w:tc>
          <w:tcPr>
            <w:tcW w:w="480" w:type="dxa"/>
            <w:vAlign w:val="bottom"/>
            <w:gridSpan w:val="15"/>
          </w:tcPr>
          <w:p>
            <w:pPr>
              <w:spacing w:after="0"/>
              <w:rPr>
                <w:sz w:val="19"/>
                <w:szCs w:val="19"/>
                <w:color w:val="auto"/>
              </w:rPr>
            </w:pPr>
          </w:p>
        </w:tc>
      </w:tr>
      <w:tr>
        <w:trPr>
          <w:trHeight w:val="176"/>
        </w:trPr>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60" w:type="dxa"/>
            <w:vAlign w:val="bottom"/>
            <w:gridSpan w:val="28"/>
          </w:tcPr>
          <w:p>
            <w:pPr>
              <w:spacing w:after="0" w:line="176" w:lineRule="exact"/>
              <w:rPr>
                <w:rFonts w:ascii="Arial" w:cs="Arial" w:eastAsia="Arial" w:hAnsi="Arial"/>
                <w:sz w:val="16"/>
                <w:szCs w:val="16"/>
                <w:color w:val="0000FF"/>
              </w:rPr>
            </w:pPr>
            <w:hyperlink r:id="rId23">
              <w:r>
                <w:rPr>
                  <w:rFonts w:ascii="Arial" w:cs="Arial" w:eastAsia="Arial" w:hAnsi="Arial"/>
                  <w:sz w:val="16"/>
                  <w:szCs w:val="16"/>
                  <w:color w:val="0000FF"/>
                </w:rPr>
                <w:t>reference to Exhibit 10.2 of Carter’s Inc.’s Quarterly Report on Form 10-Q filed on October 29, 2015).</w:t>
              </w:r>
            </w:hyperlink>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700" w:type="dxa"/>
            <w:vAlign w:val="bottom"/>
            <w:gridSpan w:val="9"/>
            <w:shd w:val="clear" w:color="auto" w:fill="0000FF"/>
          </w:tcPr>
          <w:p>
            <w:pPr>
              <w:spacing w:after="0" w:line="20" w:lineRule="exact"/>
              <w:rPr>
                <w:sz w:val="1"/>
                <w:szCs w:val="1"/>
                <w:color w:val="auto"/>
              </w:rPr>
            </w:pPr>
          </w:p>
        </w:tc>
        <w:tc>
          <w:tcPr>
            <w:tcW w:w="2860" w:type="dxa"/>
            <w:vAlign w:val="bottom"/>
            <w:gridSpan w:val="1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420"/>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95"/>
              </w:rPr>
              <w:t>10.4 *</w:t>
            </w:r>
          </w:p>
        </w:tc>
        <w:tc>
          <w:tcPr>
            <w:tcW w:w="580" w:type="dxa"/>
            <w:vAlign w:val="bottom"/>
          </w:tcPr>
          <w:p>
            <w:pPr>
              <w:spacing w:after="0"/>
              <w:rPr>
                <w:sz w:val="24"/>
                <w:szCs w:val="24"/>
                <w:color w:val="auto"/>
              </w:rPr>
            </w:pPr>
          </w:p>
        </w:tc>
        <w:tc>
          <w:tcPr>
            <w:tcW w:w="9660" w:type="dxa"/>
            <w:vAlign w:val="bottom"/>
            <w:gridSpan w:val="28"/>
          </w:tcPr>
          <w:p>
            <w:pPr>
              <w:spacing w:after="0"/>
              <w:rPr>
                <w:rFonts w:ascii="Arial" w:cs="Arial" w:eastAsia="Arial" w:hAnsi="Arial"/>
                <w:sz w:val="16"/>
                <w:szCs w:val="16"/>
                <w:color w:val="0000FF"/>
                <w:w w:val="93"/>
              </w:rPr>
            </w:pPr>
            <w:hyperlink r:id="rId24">
              <w:r>
                <w:rPr>
                  <w:rFonts w:ascii="Arial" w:cs="Arial" w:eastAsia="Arial" w:hAnsi="Arial"/>
                  <w:sz w:val="16"/>
                  <w:szCs w:val="16"/>
                  <w:color w:val="0000FF"/>
                  <w:w w:val="93"/>
                </w:rPr>
                <w:t>Amended and Restated Equity Incentive Plan (incorporated by reference to Appendix B of Carter's, Inc.'s Schedule 14A filed on March 31, 2016).</w:t>
              </w:r>
            </w:hyperlink>
          </w:p>
        </w:tc>
      </w:tr>
      <w:tr>
        <w:trPr>
          <w:trHeight w:val="652"/>
        </w:trPr>
        <w:tc>
          <w:tcPr>
            <w:tcW w:w="114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5140" w:type="dxa"/>
            <w:vAlign w:val="bottom"/>
            <w:tcBorders>
              <w:top w:val="single" w:sz="8" w:color="0000FF"/>
            </w:tcBorders>
            <w:gridSpan w:val="7"/>
          </w:tcPr>
          <w:p>
            <w:pPr>
              <w:jc w:val="right"/>
              <w:ind w:right="1060"/>
              <w:spacing w:after="0"/>
              <w:rPr>
                <w:sz w:val="20"/>
                <w:szCs w:val="20"/>
                <w:color w:val="auto"/>
              </w:rPr>
            </w:pPr>
            <w:r>
              <w:rPr>
                <w:rFonts w:ascii="Arial" w:cs="Arial" w:eastAsia="Arial" w:hAnsi="Arial"/>
                <w:sz w:val="16"/>
                <w:szCs w:val="16"/>
                <w:color w:val="auto"/>
              </w:rPr>
              <w:t>107</w:t>
            </w:r>
          </w:p>
        </w:tc>
        <w:tc>
          <w:tcPr>
            <w:tcW w:w="1540" w:type="dxa"/>
            <w:vAlign w:val="bottom"/>
            <w:tcBorders>
              <w:top w:val="single" w:sz="8" w:color="0000FF"/>
            </w:tcBorders>
          </w:tcPr>
          <w:p>
            <w:pPr>
              <w:spacing w:after="0"/>
              <w:rPr>
                <w:sz w:val="24"/>
                <w:szCs w:val="24"/>
                <w:color w:val="auto"/>
              </w:rPr>
            </w:pPr>
          </w:p>
        </w:tc>
        <w:tc>
          <w:tcPr>
            <w:tcW w:w="2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60" w:top="481" w:right="259" w:bottom="1440" w:gutter="0" w:footer="0" w:header="0"/>
        </w:sectPr>
      </w:pPr>
    </w:p>
    <w:bookmarkStart w:id="110" w:name="page111"/>
    <w:bookmarkEnd w:id="110"/>
    <w:p>
      <w:pPr>
        <w:spacing w:after="0" w:line="1"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1140" w:type="dxa"/>
            <w:vAlign w:val="bottom"/>
          </w:tcPr>
          <w:p>
            <w:pPr>
              <w:jc w:val="center"/>
              <w:ind w:right="659"/>
              <w:spacing w:after="0"/>
              <w:rPr>
                <w:sz w:val="20"/>
                <w:szCs w:val="20"/>
                <w:color w:val="auto"/>
              </w:rPr>
            </w:pPr>
            <w:r>
              <w:rPr>
                <w:rFonts w:ascii="Arial" w:cs="Arial" w:eastAsia="Arial" w:hAnsi="Arial"/>
                <w:sz w:val="16"/>
                <w:szCs w:val="16"/>
                <w:color w:val="auto"/>
                <w:w w:val="95"/>
              </w:rPr>
              <w:t>10.5 *</w:t>
            </w:r>
          </w:p>
        </w:tc>
        <w:tc>
          <w:tcPr>
            <w:tcW w:w="9520" w:type="dxa"/>
            <w:vAlign w:val="bottom"/>
            <w:gridSpan w:val="14"/>
          </w:tcPr>
          <w:p>
            <w:pPr>
              <w:spacing w:after="0"/>
              <w:rPr>
                <w:rFonts w:ascii="Arial" w:cs="Arial" w:eastAsia="Arial" w:hAnsi="Arial"/>
                <w:sz w:val="16"/>
                <w:szCs w:val="16"/>
                <w:color w:val="0000FF"/>
                <w:w w:val="93"/>
              </w:rPr>
            </w:pPr>
            <w:hyperlink r:id="rId25">
              <w:r>
                <w:rPr>
                  <w:rFonts w:ascii="Arial" w:cs="Arial" w:eastAsia="Arial" w:hAnsi="Arial"/>
                  <w:sz w:val="16"/>
                  <w:szCs w:val="16"/>
                  <w:color w:val="0000FF"/>
                  <w:w w:val="93"/>
                </w:rPr>
                <w:t>Amended and Restated Annual Incentive Compensation Plan (incorporated by reference to Appendix C of Carter's, Inc.'s Schedule 14A filed on</w:t>
              </w:r>
            </w:hyperlink>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9400" w:type="dxa"/>
            <w:vAlign w:val="bottom"/>
            <w:tcBorders>
              <w:top w:val="single" w:sz="8" w:color="0000FF"/>
            </w:tcBorders>
            <w:gridSpan w:val="13"/>
          </w:tcPr>
          <w:p>
            <w:pPr>
              <w:spacing w:after="0" w:line="176" w:lineRule="exact"/>
              <w:rPr>
                <w:rFonts w:ascii="Arial" w:cs="Arial" w:eastAsia="Arial" w:hAnsi="Arial"/>
                <w:sz w:val="16"/>
                <w:szCs w:val="16"/>
                <w:color w:val="0000FF"/>
              </w:rPr>
            </w:pPr>
            <w:hyperlink r:id="rId25">
              <w:r>
                <w:rPr>
                  <w:rFonts w:ascii="Arial" w:cs="Arial" w:eastAsia="Arial" w:hAnsi="Arial"/>
                  <w:sz w:val="16"/>
                  <w:szCs w:val="16"/>
                  <w:color w:val="0000FF"/>
                </w:rPr>
                <w:t>March 31, 2016).</w:t>
              </w:r>
            </w:hyperlink>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40" w:type="dxa"/>
            <w:vAlign w:val="bottom"/>
          </w:tcPr>
          <w:p>
            <w:pPr>
              <w:jc w:val="center"/>
              <w:ind w:right="659"/>
              <w:spacing w:after="0"/>
              <w:rPr>
                <w:sz w:val="20"/>
                <w:szCs w:val="20"/>
                <w:color w:val="auto"/>
              </w:rPr>
            </w:pPr>
            <w:r>
              <w:rPr>
                <w:rFonts w:ascii="Arial" w:cs="Arial" w:eastAsia="Arial" w:hAnsi="Arial"/>
                <w:sz w:val="16"/>
                <w:szCs w:val="16"/>
                <w:color w:val="auto"/>
                <w:w w:val="95"/>
              </w:rPr>
              <w:t>10.6 *</w:t>
            </w:r>
          </w:p>
        </w:tc>
        <w:tc>
          <w:tcPr>
            <w:tcW w:w="9520" w:type="dxa"/>
            <w:vAlign w:val="bottom"/>
            <w:gridSpan w:val="14"/>
          </w:tcPr>
          <w:p>
            <w:pPr>
              <w:spacing w:after="0"/>
              <w:rPr>
                <w:rFonts w:ascii="Arial" w:cs="Arial" w:eastAsia="Arial" w:hAnsi="Arial"/>
                <w:sz w:val="16"/>
                <w:szCs w:val="16"/>
                <w:color w:val="0000FF"/>
                <w:w w:val="94"/>
              </w:rPr>
            </w:pPr>
            <w:hyperlink r:id="rId26">
              <w:r>
                <w:rPr>
                  <w:rFonts w:ascii="Arial" w:cs="Arial" w:eastAsia="Arial" w:hAnsi="Arial"/>
                  <w:sz w:val="16"/>
                  <w:szCs w:val="16"/>
                  <w:color w:val="0000FF"/>
                  <w:w w:val="94"/>
                </w:rPr>
                <w:t>The William Carter Company Severance Plan, dated as of March 1, 2009 (incorporated by reference to Exhibit 10.19 of Carter's, Inc.'s Annual</w:t>
              </w:r>
            </w:hyperlink>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9280" w:type="dxa"/>
            <w:vAlign w:val="bottom"/>
            <w:tcBorders>
              <w:top w:val="single" w:sz="8" w:color="0000FF"/>
            </w:tcBorders>
            <w:gridSpan w:val="12"/>
          </w:tcPr>
          <w:p>
            <w:pPr>
              <w:spacing w:after="0" w:line="176" w:lineRule="exact"/>
              <w:rPr>
                <w:rFonts w:ascii="Arial" w:cs="Arial" w:eastAsia="Arial" w:hAnsi="Arial"/>
                <w:sz w:val="16"/>
                <w:szCs w:val="16"/>
                <w:color w:val="0000FF"/>
              </w:rPr>
            </w:pPr>
            <w:hyperlink r:id="rId26">
              <w:r>
                <w:rPr>
                  <w:rFonts w:ascii="Arial" w:cs="Arial" w:eastAsia="Arial" w:hAnsi="Arial"/>
                  <w:sz w:val="16"/>
                  <w:szCs w:val="16"/>
                  <w:color w:val="0000FF"/>
                </w:rPr>
                <w:t>Report on Form 10-K filed on March 2, 2011).</w:t>
              </w:r>
            </w:hyperlink>
          </w:p>
        </w:tc>
        <w:tc>
          <w:tcPr>
            <w:tcW w:w="2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40" w:type="dxa"/>
            <w:vAlign w:val="bottom"/>
          </w:tcPr>
          <w:p>
            <w:pPr>
              <w:jc w:val="center"/>
              <w:ind w:right="659"/>
              <w:spacing w:after="0"/>
              <w:rPr>
                <w:sz w:val="20"/>
                <w:szCs w:val="20"/>
                <w:color w:val="auto"/>
              </w:rPr>
            </w:pPr>
            <w:r>
              <w:rPr>
                <w:rFonts w:ascii="Arial" w:cs="Arial" w:eastAsia="Arial" w:hAnsi="Arial"/>
                <w:sz w:val="16"/>
                <w:szCs w:val="16"/>
                <w:color w:val="auto"/>
                <w:w w:val="95"/>
              </w:rPr>
              <w:t>10.7 *</w:t>
            </w:r>
          </w:p>
        </w:tc>
        <w:tc>
          <w:tcPr>
            <w:tcW w:w="9520" w:type="dxa"/>
            <w:vAlign w:val="bottom"/>
            <w:gridSpan w:val="14"/>
          </w:tcPr>
          <w:p>
            <w:pPr>
              <w:spacing w:after="0"/>
              <w:rPr>
                <w:rFonts w:ascii="Arial" w:cs="Arial" w:eastAsia="Arial" w:hAnsi="Arial"/>
                <w:sz w:val="16"/>
                <w:szCs w:val="16"/>
                <w:color w:val="0000FF"/>
                <w:w w:val="97"/>
              </w:rPr>
            </w:pPr>
            <w:hyperlink r:id="rId27">
              <w:r>
                <w:rPr>
                  <w:rFonts w:ascii="Arial" w:cs="Arial" w:eastAsia="Arial" w:hAnsi="Arial"/>
                  <w:sz w:val="16"/>
                  <w:szCs w:val="16"/>
                  <w:color w:val="0000FF"/>
                  <w:w w:val="97"/>
                </w:rPr>
                <w:t>The William Carter Company Deferred Compensation Plan, dated as of November 10, 2010 (incorporated by reference to Exhibit 10.20 of</w:t>
              </w:r>
            </w:hyperlink>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9040" w:type="dxa"/>
            <w:vAlign w:val="bottom"/>
            <w:tcBorders>
              <w:top w:val="single" w:sz="8" w:color="0000FF"/>
            </w:tcBorders>
            <w:gridSpan w:val="9"/>
          </w:tcPr>
          <w:p>
            <w:pPr>
              <w:spacing w:after="0" w:line="176" w:lineRule="exact"/>
              <w:rPr>
                <w:rFonts w:ascii="Arial" w:cs="Arial" w:eastAsia="Arial" w:hAnsi="Arial"/>
                <w:sz w:val="16"/>
                <w:szCs w:val="16"/>
                <w:color w:val="0000FF"/>
              </w:rPr>
            </w:pPr>
            <w:hyperlink r:id="rId27">
              <w:r>
                <w:rPr>
                  <w:rFonts w:ascii="Arial" w:cs="Arial" w:eastAsia="Arial" w:hAnsi="Arial"/>
                  <w:sz w:val="16"/>
                  <w:szCs w:val="16"/>
                  <w:color w:val="0000FF"/>
                </w:rPr>
                <w:t>Carter's, Inc.'s Annual Report on Form 10-K filed on March 2, 2011).</w:t>
              </w:r>
            </w:hyperlink>
          </w:p>
        </w:tc>
        <w:tc>
          <w:tcPr>
            <w:tcW w:w="48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40" w:type="dxa"/>
            <w:vAlign w:val="bottom"/>
          </w:tcPr>
          <w:p>
            <w:pPr>
              <w:jc w:val="center"/>
              <w:ind w:right="659"/>
              <w:spacing w:after="0"/>
              <w:rPr>
                <w:sz w:val="20"/>
                <w:szCs w:val="20"/>
                <w:color w:val="auto"/>
              </w:rPr>
            </w:pPr>
            <w:r>
              <w:rPr>
                <w:rFonts w:ascii="Arial" w:cs="Arial" w:eastAsia="Arial" w:hAnsi="Arial"/>
                <w:sz w:val="16"/>
                <w:szCs w:val="16"/>
                <w:color w:val="auto"/>
                <w:w w:val="89"/>
              </w:rPr>
              <w:t>10.8</w:t>
            </w:r>
          </w:p>
        </w:tc>
        <w:tc>
          <w:tcPr>
            <w:tcW w:w="9520" w:type="dxa"/>
            <w:vAlign w:val="bottom"/>
            <w:tcBorders>
              <w:bottom w:val="single" w:sz="8" w:color="0000FF"/>
            </w:tcBorders>
            <w:gridSpan w:val="14"/>
          </w:tcPr>
          <w:p>
            <w:pPr>
              <w:spacing w:after="0"/>
              <w:rPr>
                <w:rFonts w:ascii="Arial" w:cs="Arial" w:eastAsia="Arial" w:hAnsi="Arial"/>
                <w:sz w:val="16"/>
                <w:szCs w:val="16"/>
                <w:color w:val="0000FF"/>
                <w:w w:val="92"/>
              </w:rPr>
            </w:pPr>
            <w:hyperlink r:id="rId28">
              <w:r>
                <w:rPr>
                  <w:rFonts w:ascii="Arial" w:cs="Arial" w:eastAsia="Arial" w:hAnsi="Arial"/>
                  <w:sz w:val="16"/>
                  <w:szCs w:val="16"/>
                  <w:color w:val="0000FF"/>
                  <w:w w:val="92"/>
                </w:rPr>
                <w:t>Lease Agreement dated March 29, 2012, between The William Carter Company and Duke Secured Financing 2009-1 ALZ, LLC (incorporated by</w:t>
              </w:r>
            </w:hyperlink>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6600" w:type="dxa"/>
            <w:vAlign w:val="bottom"/>
            <w:tcBorders>
              <w:bottom w:val="single" w:sz="8" w:color="0000FF"/>
            </w:tcBorders>
            <w:gridSpan w:val="4"/>
          </w:tcPr>
          <w:p>
            <w:pPr>
              <w:spacing w:after="0" w:line="176" w:lineRule="exact"/>
              <w:rPr>
                <w:rFonts w:ascii="Arial" w:cs="Arial" w:eastAsia="Arial" w:hAnsi="Arial"/>
                <w:sz w:val="16"/>
                <w:szCs w:val="16"/>
                <w:color w:val="0000FF"/>
                <w:w w:val="93"/>
              </w:rPr>
            </w:pPr>
            <w:hyperlink r:id="rId28">
              <w:r>
                <w:rPr>
                  <w:rFonts w:ascii="Arial" w:cs="Arial" w:eastAsia="Arial" w:hAnsi="Arial"/>
                  <w:sz w:val="16"/>
                  <w:szCs w:val="16"/>
                  <w:color w:val="0000FF"/>
                  <w:w w:val="93"/>
                </w:rPr>
                <w:t>reference to Exhibit 10.21 of Carter's, Inc.'s Quarterly Report on Form 10-Q filed on April 27, 2012).</w:t>
              </w:r>
            </w:hyperlink>
          </w:p>
        </w:tc>
        <w:tc>
          <w:tcPr>
            <w:tcW w:w="292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420"/>
        </w:trPr>
        <w:tc>
          <w:tcPr>
            <w:tcW w:w="1140" w:type="dxa"/>
            <w:vAlign w:val="bottom"/>
          </w:tcPr>
          <w:p>
            <w:pPr>
              <w:jc w:val="center"/>
              <w:ind w:right="659"/>
              <w:spacing w:after="0"/>
              <w:rPr>
                <w:sz w:val="20"/>
                <w:szCs w:val="20"/>
                <w:color w:val="auto"/>
              </w:rPr>
            </w:pPr>
            <w:r>
              <w:rPr>
                <w:rFonts w:ascii="Arial" w:cs="Arial" w:eastAsia="Arial" w:hAnsi="Arial"/>
                <w:sz w:val="16"/>
                <w:szCs w:val="16"/>
                <w:color w:val="auto"/>
                <w:w w:val="89"/>
              </w:rPr>
              <w:t>10.9</w:t>
            </w:r>
          </w:p>
        </w:tc>
        <w:tc>
          <w:tcPr>
            <w:tcW w:w="9520" w:type="dxa"/>
            <w:vAlign w:val="bottom"/>
            <w:gridSpan w:val="14"/>
          </w:tcPr>
          <w:p>
            <w:pPr>
              <w:spacing w:after="0"/>
              <w:rPr>
                <w:rFonts w:ascii="Arial" w:cs="Arial" w:eastAsia="Arial" w:hAnsi="Arial"/>
                <w:sz w:val="16"/>
                <w:szCs w:val="16"/>
                <w:color w:val="0000FF"/>
                <w:w w:val="95"/>
              </w:rPr>
            </w:pPr>
            <w:hyperlink r:id="rId29">
              <w:r>
                <w:rPr>
                  <w:rFonts w:ascii="Arial" w:cs="Arial" w:eastAsia="Arial" w:hAnsi="Arial"/>
                  <w:sz w:val="16"/>
                  <w:szCs w:val="16"/>
                  <w:color w:val="0000FF"/>
                  <w:w w:val="95"/>
                </w:rPr>
                <w:t>Lease Termination Agreement dated December 14, 2012, between The William Carter Company and John Hancock Life Insurance Company</w:t>
              </w:r>
            </w:hyperlink>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8360" w:type="dxa"/>
            <w:vAlign w:val="bottom"/>
            <w:tcBorders>
              <w:top w:val="single" w:sz="8" w:color="0000FF"/>
              <w:bottom w:val="single" w:sz="8" w:color="0000FF"/>
            </w:tcBorders>
            <w:gridSpan w:val="7"/>
          </w:tcPr>
          <w:p>
            <w:pPr>
              <w:spacing w:after="0" w:line="176" w:lineRule="exact"/>
              <w:rPr>
                <w:rFonts w:ascii="Arial" w:cs="Arial" w:eastAsia="Arial" w:hAnsi="Arial"/>
                <w:sz w:val="16"/>
                <w:szCs w:val="16"/>
                <w:color w:val="0000FF"/>
                <w:w w:val="93"/>
              </w:rPr>
            </w:pPr>
            <w:hyperlink r:id="rId29">
              <w:r>
                <w:rPr>
                  <w:rFonts w:ascii="Arial" w:cs="Arial" w:eastAsia="Arial" w:hAnsi="Arial"/>
                  <w:sz w:val="16"/>
                  <w:szCs w:val="16"/>
                  <w:color w:val="0000FF"/>
                  <w:w w:val="93"/>
                </w:rPr>
                <w:t>(U.S.A.) (incorporated by reference to Exhibit 10.2 of Carter's, Inc.'s Current Report on Form 8-K filed on December 14, 2012).</w:t>
              </w:r>
            </w:hyperlink>
          </w:p>
        </w:tc>
        <w:tc>
          <w:tcPr>
            <w:tcW w:w="840" w:type="dxa"/>
            <w:vAlign w:val="bottom"/>
            <w:tcBorders>
              <w:top w:val="single" w:sz="8" w:color="0000FF"/>
            </w:tcBorders>
            <w:gridSpan w:val="3"/>
          </w:tcPr>
          <w:p>
            <w:pPr>
              <w:spacing w:after="0"/>
              <w:rPr>
                <w:sz w:val="15"/>
                <w:szCs w:val="15"/>
                <w:color w:val="auto"/>
              </w:rPr>
            </w:pPr>
          </w:p>
        </w:tc>
        <w:tc>
          <w:tcPr>
            <w:tcW w:w="3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445"/>
        </w:trPr>
        <w:tc>
          <w:tcPr>
            <w:tcW w:w="1140" w:type="dxa"/>
            <w:vAlign w:val="bottom"/>
          </w:tcPr>
          <w:p>
            <w:pPr>
              <w:jc w:val="center"/>
              <w:ind w:right="659"/>
              <w:spacing w:after="0"/>
              <w:rPr>
                <w:sz w:val="20"/>
                <w:szCs w:val="20"/>
                <w:color w:val="auto"/>
              </w:rPr>
            </w:pPr>
            <w:r>
              <w:rPr>
                <w:rFonts w:ascii="Arial" w:cs="Arial" w:eastAsia="Arial" w:hAnsi="Arial"/>
                <w:sz w:val="16"/>
                <w:szCs w:val="16"/>
                <w:color w:val="auto"/>
                <w:w w:val="89"/>
              </w:rPr>
              <w:t>10.10</w:t>
            </w:r>
          </w:p>
        </w:tc>
        <w:tc>
          <w:tcPr>
            <w:tcW w:w="9520" w:type="dxa"/>
            <w:vAlign w:val="bottom"/>
            <w:gridSpan w:val="14"/>
          </w:tcPr>
          <w:p>
            <w:pPr>
              <w:spacing w:after="0"/>
              <w:rPr>
                <w:rFonts w:ascii="Arial" w:cs="Arial" w:eastAsia="Arial" w:hAnsi="Arial"/>
                <w:sz w:val="16"/>
                <w:szCs w:val="16"/>
                <w:color w:val="0000FF"/>
                <w:w w:val="98"/>
              </w:rPr>
            </w:pPr>
            <w:hyperlink r:id="rId30">
              <w:r>
                <w:rPr>
                  <w:rFonts w:ascii="Arial" w:cs="Arial" w:eastAsia="Arial" w:hAnsi="Arial"/>
                  <w:sz w:val="16"/>
                  <w:szCs w:val="16"/>
                  <w:color w:val="0000FF"/>
                  <w:w w:val="98"/>
                </w:rPr>
                <w:t>Lease Agreement dated December 14, 2012, between The William Carter Company and Phipps Tower Associates, LLC (incorporated by</w:t>
              </w:r>
            </w:hyperlink>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8920" w:type="dxa"/>
            <w:vAlign w:val="bottom"/>
            <w:tcBorders>
              <w:top w:val="single" w:sz="8" w:color="0000FF"/>
            </w:tcBorders>
            <w:gridSpan w:val="8"/>
          </w:tcPr>
          <w:p>
            <w:pPr>
              <w:spacing w:after="0" w:line="176" w:lineRule="exact"/>
              <w:rPr>
                <w:rFonts w:ascii="Arial" w:cs="Arial" w:eastAsia="Arial" w:hAnsi="Arial"/>
                <w:sz w:val="16"/>
                <w:szCs w:val="16"/>
                <w:color w:val="0000FF"/>
              </w:rPr>
            </w:pPr>
            <w:hyperlink r:id="rId30">
              <w:r>
                <w:rPr>
                  <w:rFonts w:ascii="Arial" w:cs="Arial" w:eastAsia="Arial" w:hAnsi="Arial"/>
                  <w:sz w:val="16"/>
                  <w:szCs w:val="16"/>
                  <w:color w:val="0000FF"/>
                </w:rPr>
                <w:t>reference to Exhibit 10.1 of Carter’s, Inc.’s Current Report on Form 8-K filed on December 14, 2012).</w:t>
              </w:r>
            </w:hyperlink>
          </w:p>
        </w:tc>
        <w:tc>
          <w:tcPr>
            <w:tcW w:w="6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jc w:val="center"/>
              <w:ind w:right="659"/>
              <w:spacing w:after="0"/>
              <w:rPr>
                <w:sz w:val="20"/>
                <w:szCs w:val="20"/>
                <w:color w:val="auto"/>
              </w:rPr>
            </w:pPr>
            <w:r>
              <w:rPr>
                <w:rFonts w:ascii="Arial" w:cs="Arial" w:eastAsia="Arial" w:hAnsi="Arial"/>
                <w:sz w:val="16"/>
                <w:szCs w:val="16"/>
                <w:color w:val="auto"/>
                <w:w w:val="89"/>
              </w:rPr>
              <w:t>10.11</w:t>
            </w:r>
          </w:p>
        </w:tc>
        <w:tc>
          <w:tcPr>
            <w:tcW w:w="6660" w:type="dxa"/>
            <w:vAlign w:val="bottom"/>
            <w:gridSpan w:val="5"/>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1140" w:type="dxa"/>
            <w:vAlign w:val="bottom"/>
            <w:vMerge w:val="continue"/>
          </w:tcPr>
          <w:p>
            <w:pPr>
              <w:spacing w:after="0"/>
              <w:rPr>
                <w:sz w:val="24"/>
                <w:szCs w:val="24"/>
                <w:color w:val="auto"/>
              </w:rPr>
            </w:pPr>
          </w:p>
        </w:tc>
        <w:tc>
          <w:tcPr>
            <w:tcW w:w="9220" w:type="dxa"/>
            <w:vAlign w:val="bottom"/>
            <w:tcBorders>
              <w:bottom w:val="single" w:sz="8" w:color="0000FF"/>
            </w:tcBorders>
            <w:gridSpan w:val="11"/>
          </w:tcPr>
          <w:p>
            <w:pPr>
              <w:spacing w:after="0"/>
              <w:rPr>
                <w:rFonts w:ascii="Arial" w:cs="Arial" w:eastAsia="Arial" w:hAnsi="Arial"/>
                <w:sz w:val="16"/>
                <w:szCs w:val="16"/>
                <w:color w:val="0000FF"/>
                <w:w w:val="91"/>
              </w:rPr>
            </w:pPr>
            <w:hyperlink r:id="rId31">
              <w:r>
                <w:rPr>
                  <w:rFonts w:ascii="Arial" w:cs="Arial" w:eastAsia="Arial" w:hAnsi="Arial"/>
                  <w:sz w:val="16"/>
                  <w:szCs w:val="16"/>
                  <w:color w:val="0000FF"/>
                  <w:w w:val="91"/>
                </w:rPr>
                <w:t>Second Amendment to the Lease Agreement dated June 17, 2013, between The William Carter Company and Phipps Tower Associates, LLC</w:t>
              </w:r>
            </w:hyperlink>
          </w:p>
        </w:tc>
        <w:tc>
          <w:tcPr>
            <w:tcW w:w="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7940" w:type="dxa"/>
            <w:vAlign w:val="bottom"/>
            <w:tcBorders>
              <w:bottom w:val="single" w:sz="8" w:color="0000FF"/>
            </w:tcBorders>
            <w:gridSpan w:val="6"/>
          </w:tcPr>
          <w:p>
            <w:pPr>
              <w:spacing w:after="0" w:line="176" w:lineRule="exact"/>
              <w:rPr>
                <w:rFonts w:ascii="Arial" w:cs="Arial" w:eastAsia="Arial" w:hAnsi="Arial"/>
                <w:sz w:val="16"/>
                <w:szCs w:val="16"/>
                <w:color w:val="0000FF"/>
                <w:w w:val="93"/>
              </w:rPr>
            </w:pPr>
            <w:hyperlink r:id="rId31">
              <w:r>
                <w:rPr>
                  <w:rFonts w:ascii="Arial" w:cs="Arial" w:eastAsia="Arial" w:hAnsi="Arial"/>
                  <w:sz w:val="16"/>
                  <w:szCs w:val="16"/>
                  <w:color w:val="0000FF"/>
                  <w:w w:val="93"/>
                </w:rPr>
                <w:t>(incorporated by reference to Exhibit 10.19 of Carter’s, Inc.’s Quarterly Report on Form 10-Q filed on October 24, 2013).</w:t>
              </w:r>
            </w:hyperlink>
          </w:p>
        </w:tc>
        <w:tc>
          <w:tcPr>
            <w:tcW w:w="158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1860" w:hanging="1027"/>
        <w:spacing w:after="0"/>
        <w:tabs>
          <w:tab w:leader="none" w:pos="1860" w:val="left"/>
        </w:tabs>
        <w:numPr>
          <w:ilvl w:val="0"/>
          <w:numId w:val="45"/>
        </w:numPr>
        <w:rPr>
          <w:rFonts w:ascii="Arial" w:cs="Arial" w:eastAsia="Arial" w:hAnsi="Arial"/>
          <w:sz w:val="16"/>
          <w:szCs w:val="16"/>
          <w:u w:val="single" w:color="auto"/>
          <w:color w:val="0000FF"/>
        </w:rPr>
      </w:pPr>
      <w:hyperlink w:anchor="page118">
        <w:r>
          <w:rPr>
            <w:rFonts w:ascii="Arial" w:cs="Arial" w:eastAsia="Arial" w:hAnsi="Arial"/>
            <w:sz w:val="16"/>
            <w:szCs w:val="16"/>
            <w:u w:val="single" w:color="auto"/>
            <w:color w:val="0000FF"/>
          </w:rPr>
          <w:t>Subsidiaries of Carter's, Inc.</w:t>
        </w:r>
      </w:hyperlink>
    </w:p>
    <w:p>
      <w:pPr>
        <w:spacing w:after="0" w:line="61" w:lineRule="exact"/>
        <w:rPr>
          <w:sz w:val="20"/>
          <w:szCs w:val="20"/>
          <w:color w:val="auto"/>
        </w:rPr>
      </w:pPr>
    </w:p>
    <w:p>
      <w:pPr>
        <w:ind w:left="1860" w:hanging="1027"/>
        <w:spacing w:after="0"/>
        <w:tabs>
          <w:tab w:leader="none" w:pos="1860" w:val="left"/>
        </w:tabs>
        <w:numPr>
          <w:ilvl w:val="0"/>
          <w:numId w:val="46"/>
        </w:numPr>
        <w:rPr>
          <w:rFonts w:ascii="Arial" w:cs="Arial" w:eastAsia="Arial" w:hAnsi="Arial"/>
          <w:sz w:val="16"/>
          <w:szCs w:val="16"/>
          <w:u w:val="single" w:color="auto"/>
          <w:color w:val="0000FF"/>
        </w:rPr>
      </w:pPr>
      <w:hyperlink w:anchor="page119">
        <w:r>
          <w:rPr>
            <w:rFonts w:ascii="Arial" w:cs="Arial" w:eastAsia="Arial" w:hAnsi="Arial"/>
            <w:sz w:val="16"/>
            <w:szCs w:val="16"/>
            <w:u w:val="single" w:color="auto"/>
            <w:color w:val="0000FF"/>
          </w:rPr>
          <w:t>Consent of Independent Registered Public Accounting Firm.</w:t>
        </w:r>
      </w:hyperlink>
    </w:p>
    <w:p>
      <w:pPr>
        <w:spacing w:after="0" w:line="48"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1080" w:type="dxa"/>
            <w:vAlign w:val="bottom"/>
          </w:tcPr>
          <w:p>
            <w:pPr>
              <w:jc w:val="right"/>
              <w:ind w:right="719"/>
              <w:spacing w:after="0"/>
              <w:rPr>
                <w:sz w:val="20"/>
                <w:szCs w:val="20"/>
                <w:color w:val="auto"/>
              </w:rPr>
            </w:pPr>
            <w:r>
              <w:rPr>
                <w:rFonts w:ascii="Arial" w:cs="Arial" w:eastAsia="Arial" w:hAnsi="Arial"/>
                <w:sz w:val="16"/>
                <w:szCs w:val="16"/>
                <w:color w:val="auto"/>
                <w:w w:val="83"/>
              </w:rPr>
              <w:t>31.1</w:t>
            </w:r>
          </w:p>
        </w:tc>
        <w:tc>
          <w:tcPr>
            <w:tcW w:w="4180" w:type="dxa"/>
            <w:vAlign w:val="bottom"/>
            <w:tcBorders>
              <w:bottom w:val="single" w:sz="8" w:color="0000FF"/>
            </w:tcBorders>
          </w:tcPr>
          <w:p>
            <w:pPr>
              <w:spacing w:after="0"/>
              <w:rPr>
                <w:rFonts w:ascii="Arial" w:cs="Arial" w:eastAsia="Arial" w:hAnsi="Arial"/>
                <w:sz w:val="16"/>
                <w:szCs w:val="16"/>
                <w:color w:val="0000FF"/>
                <w:w w:val="93"/>
              </w:rPr>
            </w:pPr>
            <w:hyperlink w:anchor="page120">
              <w:r>
                <w:rPr>
                  <w:rFonts w:ascii="Arial" w:cs="Arial" w:eastAsia="Arial" w:hAnsi="Arial"/>
                  <w:sz w:val="16"/>
                  <w:szCs w:val="16"/>
                  <w:color w:val="0000FF"/>
                  <w:w w:val="93"/>
                </w:rPr>
                <w:t>Rule 13a-15(e)/15d-15(e) and 13a-15(f)/15d-15(f) Certification.</w:t>
              </w:r>
            </w:hyperlink>
          </w:p>
        </w:tc>
      </w:tr>
      <w:tr>
        <w:trPr>
          <w:trHeight w:val="225"/>
        </w:trPr>
        <w:tc>
          <w:tcPr>
            <w:tcW w:w="1080" w:type="dxa"/>
            <w:vAlign w:val="bottom"/>
          </w:tcPr>
          <w:p>
            <w:pPr>
              <w:jc w:val="right"/>
              <w:ind w:right="719"/>
              <w:spacing w:after="0"/>
              <w:rPr>
                <w:sz w:val="20"/>
                <w:szCs w:val="20"/>
                <w:color w:val="auto"/>
              </w:rPr>
            </w:pPr>
            <w:r>
              <w:rPr>
                <w:rFonts w:ascii="Arial" w:cs="Arial" w:eastAsia="Arial" w:hAnsi="Arial"/>
                <w:sz w:val="16"/>
                <w:szCs w:val="16"/>
                <w:color w:val="auto"/>
                <w:w w:val="83"/>
              </w:rPr>
              <w:t>31.2</w:t>
            </w:r>
          </w:p>
        </w:tc>
        <w:tc>
          <w:tcPr>
            <w:tcW w:w="4180" w:type="dxa"/>
            <w:vAlign w:val="bottom"/>
            <w:tcBorders>
              <w:bottom w:val="single" w:sz="8" w:color="0000FF"/>
            </w:tcBorders>
          </w:tcPr>
          <w:p>
            <w:pPr>
              <w:spacing w:after="0"/>
              <w:rPr>
                <w:rFonts w:ascii="Arial" w:cs="Arial" w:eastAsia="Arial" w:hAnsi="Arial"/>
                <w:sz w:val="16"/>
                <w:szCs w:val="16"/>
                <w:color w:val="0000FF"/>
                <w:w w:val="93"/>
              </w:rPr>
            </w:pPr>
            <w:hyperlink w:anchor="page121">
              <w:r>
                <w:rPr>
                  <w:rFonts w:ascii="Arial" w:cs="Arial" w:eastAsia="Arial" w:hAnsi="Arial"/>
                  <w:sz w:val="16"/>
                  <w:szCs w:val="16"/>
                  <w:color w:val="0000FF"/>
                  <w:w w:val="93"/>
                </w:rPr>
                <w:t>Rule 13a-15(e)/15d-15(e) and 13a-15(f)/15d-15(f) Certification.</w:t>
              </w:r>
            </w:hyperlink>
          </w:p>
        </w:tc>
      </w:tr>
    </w:tbl>
    <w:p>
      <w:pPr>
        <w:spacing w:after="0" w:line="61" w:lineRule="exact"/>
        <w:rPr>
          <w:sz w:val="20"/>
          <w:szCs w:val="20"/>
          <w:color w:val="auto"/>
        </w:rPr>
      </w:pPr>
    </w:p>
    <w:p>
      <w:pPr>
        <w:ind w:left="1860" w:hanging="1027"/>
        <w:spacing w:after="0"/>
        <w:tabs>
          <w:tab w:leader="none" w:pos="1860" w:val="left"/>
        </w:tabs>
        <w:numPr>
          <w:ilvl w:val="0"/>
          <w:numId w:val="47"/>
        </w:numPr>
        <w:rPr>
          <w:rFonts w:ascii="Arial" w:cs="Arial" w:eastAsia="Arial" w:hAnsi="Arial"/>
          <w:sz w:val="16"/>
          <w:szCs w:val="16"/>
          <w:u w:val="single" w:color="auto"/>
          <w:color w:val="0000FF"/>
        </w:rPr>
      </w:pPr>
      <w:hyperlink w:anchor="page122">
        <w:r>
          <w:rPr>
            <w:rFonts w:ascii="Arial" w:cs="Arial" w:eastAsia="Arial" w:hAnsi="Arial"/>
            <w:sz w:val="16"/>
            <w:szCs w:val="16"/>
            <w:u w:val="single" w:color="auto"/>
            <w:color w:val="0000FF"/>
          </w:rPr>
          <w:t>Section 1350 Certification.</w:t>
        </w:r>
      </w:hyperlink>
    </w:p>
    <w:p>
      <w:pPr>
        <w:spacing w:after="0" w:line="61" w:lineRule="exact"/>
        <w:rPr>
          <w:sz w:val="20"/>
          <w:szCs w:val="20"/>
          <w:color w:val="auto"/>
        </w:rPr>
      </w:pPr>
    </w:p>
    <w:p>
      <w:pPr>
        <w:ind w:left="1860" w:hanging="1067"/>
        <w:spacing w:after="0"/>
        <w:tabs>
          <w:tab w:leader="none" w:pos="18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Interactive Data File</w:t>
      </w:r>
    </w:p>
    <w:p>
      <w:pPr>
        <w:spacing w:after="0" w:line="23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Indicates a management contract or compensatory plan.</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380"/>
          </w:cols>
          <w:pgMar w:left="240" w:top="481" w:right="27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b w:val="1"/>
          <w:bCs w:val="1"/>
          <w:color w:val="auto"/>
        </w:rPr>
        <w:t>ITEM 16. FORM 10-K SUMMARY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Omitted at registrant's option.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400"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Pursuant to the requirements of Section 13 or 15(a) of the Securities Exchange Act of 1934, the Registrant has duly caused this report to be signed on their behalf by the undersigned, thereunto duly authorized.</w:t>
      </w:r>
    </w:p>
    <w:p>
      <w:pPr>
        <w:spacing w:after="0" w:line="200" w:lineRule="exact"/>
        <w:rPr>
          <w:sz w:val="20"/>
          <w:szCs w:val="20"/>
          <w:color w:val="auto"/>
        </w:rPr>
      </w:pPr>
    </w:p>
    <w:p>
      <w:pPr>
        <w:spacing w:after="0" w:line="292"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CARTER'S, INC.</w:t>
      </w: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31115</wp:posOffset>
            </wp:positionV>
            <wp:extent cx="36880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extLst>
                    </a:blip>
                    <a:srcRect/>
                    <a:stretch>
                      <a:fillRect/>
                    </a:stretch>
                  </pic:blipFill>
                  <pic:spPr bwMode="auto">
                    <a:xfrm>
                      <a:off x="0" y="0"/>
                      <a:ext cx="3688080" cy="7620"/>
                    </a:xfrm>
                    <a:prstGeom prst="rect">
                      <a:avLst/>
                    </a:prstGeom>
                    <a:noFill/>
                  </pic:spPr>
                </pic:pic>
              </a:graphicData>
            </a:graphic>
          </wp:anchor>
        </w:drawing>
      </w:r>
    </w:p>
    <w:p>
      <w:pPr>
        <w:spacing w:after="0" w:line="53"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Michael D. Casey</w:t>
      </w:r>
    </w:p>
    <w:p>
      <w:pPr>
        <w:spacing w:after="0" w:line="61"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Chief Executive Officer</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27, 2018</w:t>
      </w:r>
    </w:p>
    <w:p>
      <w:pPr>
        <w:spacing w:after="0" w:line="207"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80"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Arial" w:cs="Arial" w:eastAsia="Arial" w:hAnsi="Arial"/>
                <w:sz w:val="16"/>
                <w:szCs w:val="16"/>
                <w:b w:val="1"/>
                <w:bCs w:val="1"/>
                <w:color w:val="auto"/>
                <w:w w:val="96"/>
              </w:rPr>
              <w:t>Name</w:t>
            </w:r>
          </w:p>
        </w:tc>
        <w:tc>
          <w:tcPr>
            <w:tcW w:w="16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Arial" w:cs="Arial" w:eastAsia="Arial" w:hAnsi="Arial"/>
                <w:sz w:val="16"/>
                <w:szCs w:val="16"/>
                <w:b w:val="1"/>
                <w:bCs w:val="1"/>
                <w:color w:val="auto"/>
                <w:w w:val="97"/>
              </w:rPr>
              <w:t>Title</w:t>
            </w:r>
          </w:p>
        </w:tc>
        <w:tc>
          <w:tcPr>
            <w:tcW w:w="1940" w:type="dxa"/>
            <w:vAlign w:val="bottom"/>
          </w:tcPr>
          <w:p>
            <w:pPr>
              <w:spacing w:after="0"/>
              <w:rPr>
                <w:sz w:val="16"/>
                <w:szCs w:val="16"/>
                <w:color w:val="auto"/>
              </w:rPr>
            </w:pPr>
          </w:p>
        </w:tc>
        <w:tc>
          <w:tcPr>
            <w:tcW w:w="2320" w:type="dxa"/>
            <w:vAlign w:val="bottom"/>
            <w:gridSpan w:val="3"/>
          </w:tcPr>
          <w:p>
            <w:pPr>
              <w:ind w:left="1220"/>
              <w:spacing w:after="0"/>
              <w:rPr>
                <w:sz w:val="20"/>
                <w:szCs w:val="20"/>
                <w:color w:val="auto"/>
              </w:rPr>
            </w:pPr>
            <w:r>
              <w:rPr>
                <w:rFonts w:ascii="Arial" w:cs="Arial" w:eastAsia="Arial" w:hAnsi="Arial"/>
                <w:sz w:val="16"/>
                <w:szCs w:val="16"/>
                <w:b w:val="1"/>
                <w:bCs w:val="1"/>
                <w:color w:val="auto"/>
              </w:rPr>
              <w:t>Date</w:t>
            </w:r>
          </w:p>
        </w:tc>
      </w:tr>
      <w:tr>
        <w:trPr>
          <w:trHeight w:val="20"/>
        </w:trPr>
        <w:tc>
          <w:tcPr>
            <w:tcW w:w="1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652"/>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9"/>
              </w:rPr>
              <w:t>/s/ MICHAEL D. CASEY</w:t>
            </w:r>
          </w:p>
        </w:tc>
        <w:tc>
          <w:tcPr>
            <w:tcW w:w="4620" w:type="dxa"/>
            <w:vAlign w:val="bottom"/>
            <w:gridSpan w:val="3"/>
          </w:tcPr>
          <w:p>
            <w:pPr>
              <w:ind w:left="20"/>
              <w:spacing w:after="0"/>
              <w:rPr>
                <w:sz w:val="20"/>
                <w:szCs w:val="20"/>
                <w:color w:val="auto"/>
              </w:rPr>
            </w:pPr>
            <w:r>
              <w:rPr>
                <w:rFonts w:ascii="Arial" w:cs="Arial" w:eastAsia="Arial" w:hAnsi="Arial"/>
                <w:sz w:val="16"/>
                <w:szCs w:val="16"/>
                <w:color w:val="auto"/>
              </w:rPr>
              <w:t>Chairman and Chief Executive Officer</w:t>
            </w:r>
          </w:p>
        </w:tc>
        <w:tc>
          <w:tcPr>
            <w:tcW w:w="2320" w:type="dxa"/>
            <w:vAlign w:val="bottom"/>
            <w:gridSpan w:val="3"/>
          </w:tcPr>
          <w:p>
            <w:pPr>
              <w:ind w:left="1120"/>
              <w:spacing w:after="0"/>
              <w:rPr>
                <w:sz w:val="20"/>
                <w:szCs w:val="20"/>
                <w:color w:val="auto"/>
              </w:rPr>
            </w:pPr>
            <w:r>
              <w:rPr>
                <w:rFonts w:ascii="Arial" w:cs="Arial" w:eastAsia="Arial" w:hAnsi="Arial"/>
                <w:sz w:val="16"/>
                <w:szCs w:val="16"/>
                <w:color w:val="auto"/>
                <w:w w:val="90"/>
              </w:rPr>
              <w:t>February 27, 2018</w:t>
            </w:r>
          </w:p>
        </w:tc>
      </w:tr>
      <w:tr>
        <w:trPr>
          <w:trHeight w:val="25"/>
        </w:trPr>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4"/>
              </w:rPr>
              <w:t>Michael D. Casey</w:t>
            </w:r>
          </w:p>
        </w:tc>
        <w:tc>
          <w:tcPr>
            <w:tcW w:w="4620" w:type="dxa"/>
            <w:vAlign w:val="bottom"/>
            <w:gridSpan w:val="3"/>
          </w:tcPr>
          <w:p>
            <w:pPr>
              <w:ind w:left="20"/>
              <w:spacing w:after="0"/>
              <w:rPr>
                <w:sz w:val="20"/>
                <w:szCs w:val="20"/>
                <w:color w:val="auto"/>
              </w:rPr>
            </w:pPr>
            <w:r>
              <w:rPr>
                <w:rFonts w:ascii="Arial" w:cs="Arial" w:eastAsia="Arial" w:hAnsi="Arial"/>
                <w:sz w:val="16"/>
                <w:szCs w:val="16"/>
                <w:color w:val="auto"/>
              </w:rPr>
              <w:t>(Principal Executive Officer)</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94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5"/>
              </w:rPr>
              <w:t>/s/ RICHARD F. WESTENBERGER</w:t>
            </w:r>
          </w:p>
        </w:tc>
        <w:tc>
          <w:tcPr>
            <w:tcW w:w="4620" w:type="dxa"/>
            <w:vAlign w:val="bottom"/>
            <w:gridSpan w:val="3"/>
          </w:tcPr>
          <w:p>
            <w:pPr>
              <w:ind w:left="20"/>
              <w:spacing w:after="0"/>
              <w:rPr>
                <w:sz w:val="20"/>
                <w:szCs w:val="20"/>
                <w:color w:val="auto"/>
              </w:rPr>
            </w:pPr>
            <w:r>
              <w:rPr>
                <w:rFonts w:ascii="Arial" w:cs="Arial" w:eastAsia="Arial" w:hAnsi="Arial"/>
                <w:sz w:val="16"/>
                <w:szCs w:val="16"/>
                <w:color w:val="auto"/>
              </w:rPr>
              <w:t>Executive Vice President and Chief Financial Officer</w:t>
            </w:r>
          </w:p>
        </w:tc>
        <w:tc>
          <w:tcPr>
            <w:tcW w:w="2320" w:type="dxa"/>
            <w:vAlign w:val="bottom"/>
            <w:gridSpan w:val="3"/>
          </w:tcPr>
          <w:p>
            <w:pPr>
              <w:ind w:left="1120"/>
              <w:spacing w:after="0"/>
              <w:rPr>
                <w:sz w:val="20"/>
                <w:szCs w:val="20"/>
                <w:color w:val="auto"/>
              </w:rPr>
            </w:pPr>
            <w:r>
              <w:rPr>
                <w:rFonts w:ascii="Arial" w:cs="Arial" w:eastAsia="Arial" w:hAnsi="Arial"/>
                <w:sz w:val="16"/>
                <w:szCs w:val="16"/>
                <w:color w:val="auto"/>
                <w:w w:val="90"/>
              </w:rPr>
              <w:t>February 27, 2018</w:t>
            </w:r>
          </w:p>
        </w:tc>
      </w:tr>
      <w:tr>
        <w:trPr>
          <w:trHeight w:val="25"/>
        </w:trPr>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0"/>
              </w:rPr>
              <w:t>Richard F. Westenberger</w:t>
            </w:r>
          </w:p>
        </w:tc>
        <w:tc>
          <w:tcPr>
            <w:tcW w:w="4620" w:type="dxa"/>
            <w:vAlign w:val="bottom"/>
            <w:gridSpan w:val="3"/>
          </w:tcPr>
          <w:p>
            <w:pPr>
              <w:ind w:left="20"/>
              <w:spacing w:after="0"/>
              <w:rPr>
                <w:sz w:val="20"/>
                <w:szCs w:val="20"/>
                <w:color w:val="auto"/>
              </w:rPr>
            </w:pPr>
            <w:r>
              <w:rPr>
                <w:rFonts w:ascii="Arial" w:cs="Arial" w:eastAsia="Arial" w:hAnsi="Arial"/>
                <w:sz w:val="16"/>
                <w:szCs w:val="16"/>
                <w:color w:val="auto"/>
              </w:rPr>
              <w:t>(Principal Financial and Accounting Officer)</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94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9"/>
              </w:rPr>
              <w:t>/s/ AMY WOODS BRINKLEY</w:t>
            </w:r>
          </w:p>
        </w:tc>
        <w:tc>
          <w:tcPr>
            <w:tcW w:w="4620" w:type="dxa"/>
            <w:vAlign w:val="bottom"/>
            <w:gridSpan w:val="3"/>
          </w:tcPr>
          <w:p>
            <w:pPr>
              <w:ind w:left="20"/>
              <w:spacing w:after="0"/>
              <w:rPr>
                <w:sz w:val="20"/>
                <w:szCs w:val="20"/>
                <w:color w:val="auto"/>
              </w:rPr>
            </w:pPr>
            <w:r>
              <w:rPr>
                <w:rFonts w:ascii="Arial" w:cs="Arial" w:eastAsia="Arial" w:hAnsi="Arial"/>
                <w:sz w:val="16"/>
                <w:szCs w:val="16"/>
                <w:color w:val="auto"/>
              </w:rPr>
              <w:t>Director</w:t>
            </w:r>
          </w:p>
        </w:tc>
        <w:tc>
          <w:tcPr>
            <w:tcW w:w="2320" w:type="dxa"/>
            <w:vAlign w:val="bottom"/>
            <w:gridSpan w:val="3"/>
          </w:tcPr>
          <w:p>
            <w:pPr>
              <w:ind w:left="1120"/>
              <w:spacing w:after="0"/>
              <w:rPr>
                <w:sz w:val="20"/>
                <w:szCs w:val="20"/>
                <w:color w:val="auto"/>
              </w:rPr>
            </w:pPr>
            <w:r>
              <w:rPr>
                <w:rFonts w:ascii="Arial" w:cs="Arial" w:eastAsia="Arial" w:hAnsi="Arial"/>
                <w:sz w:val="16"/>
                <w:szCs w:val="16"/>
                <w:color w:val="auto"/>
                <w:w w:val="90"/>
              </w:rPr>
              <w:t>February 27, 2018</w:t>
            </w:r>
          </w:p>
        </w:tc>
      </w:tr>
      <w:tr>
        <w:trPr>
          <w:trHeight w:val="25"/>
        </w:trPr>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6"/>
              </w:rPr>
              <w:t>Amy Woods Brinkley</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94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7"/>
              </w:rPr>
              <w:t>/s/ GIUSEPPINA BUONFANTINO</w:t>
            </w:r>
          </w:p>
        </w:tc>
        <w:tc>
          <w:tcPr>
            <w:tcW w:w="4620" w:type="dxa"/>
            <w:vAlign w:val="bottom"/>
            <w:gridSpan w:val="3"/>
          </w:tcPr>
          <w:p>
            <w:pPr>
              <w:ind w:left="20"/>
              <w:spacing w:after="0"/>
              <w:rPr>
                <w:sz w:val="20"/>
                <w:szCs w:val="20"/>
                <w:color w:val="auto"/>
              </w:rPr>
            </w:pPr>
            <w:r>
              <w:rPr>
                <w:rFonts w:ascii="Arial" w:cs="Arial" w:eastAsia="Arial" w:hAnsi="Arial"/>
                <w:sz w:val="16"/>
                <w:szCs w:val="16"/>
                <w:color w:val="auto"/>
              </w:rPr>
              <w:t>Director</w:t>
            </w:r>
          </w:p>
        </w:tc>
        <w:tc>
          <w:tcPr>
            <w:tcW w:w="2320" w:type="dxa"/>
            <w:vAlign w:val="bottom"/>
            <w:gridSpan w:val="3"/>
          </w:tcPr>
          <w:p>
            <w:pPr>
              <w:ind w:left="1120"/>
              <w:spacing w:after="0"/>
              <w:rPr>
                <w:sz w:val="20"/>
                <w:szCs w:val="20"/>
                <w:color w:val="auto"/>
              </w:rPr>
            </w:pPr>
            <w:r>
              <w:rPr>
                <w:rFonts w:ascii="Arial" w:cs="Arial" w:eastAsia="Arial" w:hAnsi="Arial"/>
                <w:sz w:val="16"/>
                <w:szCs w:val="16"/>
                <w:color w:val="auto"/>
                <w:w w:val="90"/>
              </w:rPr>
              <w:t>February 27, 2018</w:t>
            </w:r>
          </w:p>
        </w:tc>
      </w:tr>
      <w:tr>
        <w:trPr>
          <w:trHeight w:val="25"/>
        </w:trPr>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2"/>
              </w:rPr>
              <w:t>Giuseppina Buonfantino</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94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95"/>
              </w:rPr>
              <w:t>/s/ VANESSA J. CASTAGNA</w:t>
            </w:r>
          </w:p>
        </w:tc>
        <w:tc>
          <w:tcPr>
            <w:tcW w:w="4620" w:type="dxa"/>
            <w:vAlign w:val="bottom"/>
            <w:gridSpan w:val="3"/>
          </w:tcPr>
          <w:p>
            <w:pPr>
              <w:ind w:left="20"/>
              <w:spacing w:after="0"/>
              <w:rPr>
                <w:sz w:val="20"/>
                <w:szCs w:val="20"/>
                <w:color w:val="auto"/>
              </w:rPr>
            </w:pPr>
            <w:r>
              <w:rPr>
                <w:rFonts w:ascii="Arial" w:cs="Arial" w:eastAsia="Arial" w:hAnsi="Arial"/>
                <w:sz w:val="16"/>
                <w:szCs w:val="16"/>
                <w:color w:val="auto"/>
              </w:rPr>
              <w:t>Director</w:t>
            </w:r>
          </w:p>
        </w:tc>
        <w:tc>
          <w:tcPr>
            <w:tcW w:w="2320" w:type="dxa"/>
            <w:vAlign w:val="bottom"/>
            <w:gridSpan w:val="3"/>
          </w:tcPr>
          <w:p>
            <w:pPr>
              <w:ind w:left="1120"/>
              <w:spacing w:after="0"/>
              <w:rPr>
                <w:sz w:val="20"/>
                <w:szCs w:val="20"/>
                <w:color w:val="auto"/>
              </w:rPr>
            </w:pPr>
            <w:r>
              <w:rPr>
                <w:rFonts w:ascii="Arial" w:cs="Arial" w:eastAsia="Arial" w:hAnsi="Arial"/>
                <w:sz w:val="16"/>
                <w:szCs w:val="16"/>
                <w:color w:val="auto"/>
                <w:w w:val="90"/>
              </w:rPr>
              <w:t>February 27, 2018</w:t>
            </w:r>
          </w:p>
        </w:tc>
      </w:tr>
      <w:tr>
        <w:trPr>
          <w:trHeight w:val="25"/>
        </w:trPr>
        <w:tc>
          <w:tcPr>
            <w:tcW w:w="1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1"/>
        </w:trPr>
        <w:tc>
          <w:tcPr>
            <w:tcW w:w="3760" w:type="dxa"/>
            <w:vAlign w:val="bottom"/>
            <w:gridSpan w:val="3"/>
          </w:tcPr>
          <w:p>
            <w:pPr>
              <w:jc w:val="center"/>
              <w:ind w:right="20"/>
              <w:spacing w:after="0"/>
              <w:rPr>
                <w:sz w:val="20"/>
                <w:szCs w:val="20"/>
                <w:color w:val="auto"/>
              </w:rPr>
            </w:pPr>
            <w:r>
              <w:rPr>
                <w:rFonts w:ascii="Arial" w:cs="Arial" w:eastAsia="Arial" w:hAnsi="Arial"/>
                <w:sz w:val="16"/>
                <w:szCs w:val="16"/>
                <w:color w:val="auto"/>
                <w:w w:val="85"/>
              </w:rPr>
              <w:t>Vanessa J. Castagna</w:t>
            </w: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40"/>
        </w:trPr>
        <w:tc>
          <w:tcPr>
            <w:tcW w:w="1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40" w:type="dxa"/>
            <w:vAlign w:val="bottom"/>
          </w:tcPr>
          <w:p>
            <w:pPr>
              <w:ind w:left="1480"/>
              <w:spacing w:after="0"/>
              <w:rPr>
                <w:sz w:val="20"/>
                <w:szCs w:val="20"/>
                <w:color w:val="auto"/>
              </w:rPr>
            </w:pPr>
            <w:r>
              <w:rPr>
                <w:rFonts w:ascii="Arial" w:cs="Arial" w:eastAsia="Arial" w:hAnsi="Arial"/>
                <w:sz w:val="16"/>
                <w:szCs w:val="16"/>
                <w:color w:val="auto"/>
              </w:rPr>
              <w:t>109</w:t>
            </w: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060"/>
          </w:cols>
          <w:pgMar w:left="240" w:top="343" w:right="59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jc w:val="center"/>
              <w:spacing w:after="0"/>
              <w:rPr>
                <w:sz w:val="20"/>
                <w:szCs w:val="20"/>
                <w:color w:val="auto"/>
              </w:rPr>
            </w:pPr>
            <w:r>
              <w:rPr>
                <w:rFonts w:ascii="Arial" w:cs="Arial" w:eastAsia="Arial" w:hAnsi="Arial"/>
                <w:sz w:val="16"/>
                <w:szCs w:val="16"/>
                <w:color w:val="auto"/>
                <w:w w:val="98"/>
              </w:rPr>
              <w:t>/s/ A. BRUCE CLEVERLY</w:t>
            </w:r>
          </w:p>
        </w:tc>
        <w:tc>
          <w:tcPr>
            <w:tcW w:w="1020" w:type="dxa"/>
            <w:vAlign w:val="bottom"/>
          </w:tcPr>
          <w:p>
            <w:pPr>
              <w:ind w:left="20"/>
              <w:spacing w:after="0"/>
              <w:rPr>
                <w:sz w:val="20"/>
                <w:szCs w:val="20"/>
                <w:color w:val="auto"/>
              </w:rPr>
            </w:pPr>
            <w:r>
              <w:rPr>
                <w:rFonts w:ascii="Arial" w:cs="Arial" w:eastAsia="Arial" w:hAnsi="Arial"/>
                <w:sz w:val="16"/>
                <w:szCs w:val="16"/>
                <w:color w:val="auto"/>
              </w:rPr>
              <w:t>Director</w:t>
            </w:r>
          </w:p>
        </w:tc>
        <w:tc>
          <w:tcPr>
            <w:tcW w:w="5920" w:type="dxa"/>
            <w:vAlign w:val="bottom"/>
          </w:tcPr>
          <w:p>
            <w:pPr>
              <w:ind w:left="4720"/>
              <w:spacing w:after="0"/>
              <w:rPr>
                <w:sz w:val="20"/>
                <w:szCs w:val="20"/>
                <w:color w:val="auto"/>
              </w:rPr>
            </w:pPr>
            <w:r>
              <w:rPr>
                <w:rFonts w:ascii="Arial" w:cs="Arial" w:eastAsia="Arial" w:hAnsi="Arial"/>
                <w:sz w:val="16"/>
                <w:szCs w:val="16"/>
                <w:color w:val="auto"/>
                <w:w w:val="90"/>
              </w:rPr>
              <w:t>February 27, 2018</w:t>
            </w:r>
          </w:p>
        </w:tc>
      </w:tr>
      <w:tr>
        <w:trPr>
          <w:trHeight w:val="25"/>
        </w:trPr>
        <w:tc>
          <w:tcPr>
            <w:tcW w:w="37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11"/>
        </w:trPr>
        <w:tc>
          <w:tcPr>
            <w:tcW w:w="3760" w:type="dxa"/>
            <w:vAlign w:val="bottom"/>
          </w:tcPr>
          <w:p>
            <w:pPr>
              <w:jc w:val="center"/>
              <w:spacing w:after="0"/>
              <w:rPr>
                <w:sz w:val="20"/>
                <w:szCs w:val="20"/>
                <w:color w:val="auto"/>
              </w:rPr>
            </w:pPr>
            <w:r>
              <w:rPr>
                <w:rFonts w:ascii="Arial" w:cs="Arial" w:eastAsia="Arial" w:hAnsi="Arial"/>
                <w:sz w:val="16"/>
                <w:szCs w:val="16"/>
                <w:color w:val="auto"/>
                <w:w w:val="95"/>
              </w:rPr>
              <w:t>A. Bruce Cleverly</w:t>
            </w: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941"/>
        </w:trPr>
        <w:tc>
          <w:tcPr>
            <w:tcW w:w="3760" w:type="dxa"/>
            <w:vAlign w:val="bottom"/>
          </w:tcPr>
          <w:p>
            <w:pPr>
              <w:jc w:val="center"/>
              <w:spacing w:after="0"/>
              <w:rPr>
                <w:sz w:val="20"/>
                <w:szCs w:val="20"/>
                <w:color w:val="auto"/>
              </w:rPr>
            </w:pPr>
            <w:r>
              <w:rPr>
                <w:rFonts w:ascii="Arial" w:cs="Arial" w:eastAsia="Arial" w:hAnsi="Arial"/>
                <w:sz w:val="16"/>
                <w:szCs w:val="16"/>
                <w:color w:val="auto"/>
                <w:w w:val="95"/>
              </w:rPr>
              <w:t>/s/ JEVIN S. EAGLE</w:t>
            </w:r>
          </w:p>
        </w:tc>
        <w:tc>
          <w:tcPr>
            <w:tcW w:w="1020" w:type="dxa"/>
            <w:vAlign w:val="bottom"/>
          </w:tcPr>
          <w:p>
            <w:pPr>
              <w:ind w:left="20"/>
              <w:spacing w:after="0"/>
              <w:rPr>
                <w:sz w:val="20"/>
                <w:szCs w:val="20"/>
                <w:color w:val="auto"/>
              </w:rPr>
            </w:pPr>
            <w:r>
              <w:rPr>
                <w:rFonts w:ascii="Arial" w:cs="Arial" w:eastAsia="Arial" w:hAnsi="Arial"/>
                <w:sz w:val="16"/>
                <w:szCs w:val="16"/>
                <w:color w:val="auto"/>
              </w:rPr>
              <w:t>Director</w:t>
            </w:r>
          </w:p>
        </w:tc>
        <w:tc>
          <w:tcPr>
            <w:tcW w:w="5920" w:type="dxa"/>
            <w:vAlign w:val="bottom"/>
          </w:tcPr>
          <w:p>
            <w:pPr>
              <w:ind w:left="4720"/>
              <w:spacing w:after="0"/>
              <w:rPr>
                <w:sz w:val="20"/>
                <w:szCs w:val="20"/>
                <w:color w:val="auto"/>
              </w:rPr>
            </w:pPr>
            <w:r>
              <w:rPr>
                <w:rFonts w:ascii="Arial" w:cs="Arial" w:eastAsia="Arial" w:hAnsi="Arial"/>
                <w:sz w:val="16"/>
                <w:szCs w:val="16"/>
                <w:color w:val="auto"/>
                <w:w w:val="90"/>
              </w:rPr>
              <w:t>February 27, 2018</w:t>
            </w:r>
          </w:p>
        </w:tc>
      </w:tr>
      <w:tr>
        <w:trPr>
          <w:trHeight w:val="25"/>
        </w:trPr>
        <w:tc>
          <w:tcPr>
            <w:tcW w:w="37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11"/>
        </w:trPr>
        <w:tc>
          <w:tcPr>
            <w:tcW w:w="3760" w:type="dxa"/>
            <w:vAlign w:val="bottom"/>
          </w:tcPr>
          <w:p>
            <w:pPr>
              <w:jc w:val="center"/>
              <w:spacing w:after="0"/>
              <w:rPr>
                <w:sz w:val="20"/>
                <w:szCs w:val="20"/>
                <w:color w:val="auto"/>
              </w:rPr>
            </w:pPr>
            <w:r>
              <w:rPr>
                <w:rFonts w:ascii="Arial" w:cs="Arial" w:eastAsia="Arial" w:hAnsi="Arial"/>
                <w:sz w:val="16"/>
                <w:szCs w:val="16"/>
                <w:color w:val="auto"/>
                <w:w w:val="91"/>
              </w:rPr>
              <w:t>Jevin S. Eagle</w:t>
            </w: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941"/>
        </w:trPr>
        <w:tc>
          <w:tcPr>
            <w:tcW w:w="3760" w:type="dxa"/>
            <w:vAlign w:val="bottom"/>
          </w:tcPr>
          <w:p>
            <w:pPr>
              <w:jc w:val="center"/>
              <w:spacing w:after="0"/>
              <w:rPr>
                <w:sz w:val="20"/>
                <w:szCs w:val="20"/>
                <w:color w:val="auto"/>
              </w:rPr>
            </w:pPr>
            <w:r>
              <w:rPr>
                <w:rFonts w:ascii="Arial" w:cs="Arial" w:eastAsia="Arial" w:hAnsi="Arial"/>
                <w:sz w:val="16"/>
                <w:szCs w:val="16"/>
                <w:color w:val="auto"/>
                <w:w w:val="95"/>
              </w:rPr>
              <w:t>/s/ PAUL FULTON</w:t>
            </w:r>
          </w:p>
        </w:tc>
        <w:tc>
          <w:tcPr>
            <w:tcW w:w="1020" w:type="dxa"/>
            <w:vAlign w:val="bottom"/>
          </w:tcPr>
          <w:p>
            <w:pPr>
              <w:ind w:left="20"/>
              <w:spacing w:after="0"/>
              <w:rPr>
                <w:sz w:val="20"/>
                <w:szCs w:val="20"/>
                <w:color w:val="auto"/>
              </w:rPr>
            </w:pPr>
            <w:r>
              <w:rPr>
                <w:rFonts w:ascii="Arial" w:cs="Arial" w:eastAsia="Arial" w:hAnsi="Arial"/>
                <w:sz w:val="16"/>
                <w:szCs w:val="16"/>
                <w:color w:val="auto"/>
              </w:rPr>
              <w:t>Director</w:t>
            </w:r>
          </w:p>
        </w:tc>
        <w:tc>
          <w:tcPr>
            <w:tcW w:w="5920" w:type="dxa"/>
            <w:vAlign w:val="bottom"/>
          </w:tcPr>
          <w:p>
            <w:pPr>
              <w:ind w:left="4720"/>
              <w:spacing w:after="0"/>
              <w:rPr>
                <w:sz w:val="20"/>
                <w:szCs w:val="20"/>
                <w:color w:val="auto"/>
              </w:rPr>
            </w:pPr>
            <w:r>
              <w:rPr>
                <w:rFonts w:ascii="Arial" w:cs="Arial" w:eastAsia="Arial" w:hAnsi="Arial"/>
                <w:sz w:val="16"/>
                <w:szCs w:val="16"/>
                <w:color w:val="auto"/>
                <w:w w:val="90"/>
              </w:rPr>
              <w:t>February 27, 2018</w:t>
            </w:r>
          </w:p>
        </w:tc>
      </w:tr>
      <w:tr>
        <w:trPr>
          <w:trHeight w:val="25"/>
        </w:trPr>
        <w:tc>
          <w:tcPr>
            <w:tcW w:w="37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11"/>
        </w:trPr>
        <w:tc>
          <w:tcPr>
            <w:tcW w:w="3760" w:type="dxa"/>
            <w:vAlign w:val="bottom"/>
          </w:tcPr>
          <w:p>
            <w:pPr>
              <w:jc w:val="center"/>
              <w:spacing w:after="0"/>
              <w:rPr>
                <w:sz w:val="20"/>
                <w:szCs w:val="20"/>
                <w:color w:val="auto"/>
              </w:rPr>
            </w:pPr>
            <w:r>
              <w:rPr>
                <w:rFonts w:ascii="Arial" w:cs="Arial" w:eastAsia="Arial" w:hAnsi="Arial"/>
                <w:sz w:val="16"/>
                <w:szCs w:val="16"/>
                <w:color w:val="auto"/>
                <w:w w:val="91"/>
              </w:rPr>
              <w:t>Paul Fulton</w:t>
            </w: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941"/>
        </w:trPr>
        <w:tc>
          <w:tcPr>
            <w:tcW w:w="3760" w:type="dxa"/>
            <w:vAlign w:val="bottom"/>
          </w:tcPr>
          <w:p>
            <w:pPr>
              <w:jc w:val="center"/>
              <w:spacing w:after="0"/>
              <w:rPr>
                <w:sz w:val="20"/>
                <w:szCs w:val="20"/>
                <w:color w:val="auto"/>
              </w:rPr>
            </w:pPr>
            <w:r>
              <w:rPr>
                <w:rFonts w:ascii="Arial" w:cs="Arial" w:eastAsia="Arial" w:hAnsi="Arial"/>
                <w:sz w:val="16"/>
                <w:szCs w:val="16"/>
                <w:color w:val="auto"/>
                <w:w w:val="99"/>
              </w:rPr>
              <w:t>/s/ WILLIAM J. MONTGORIS</w:t>
            </w:r>
          </w:p>
        </w:tc>
        <w:tc>
          <w:tcPr>
            <w:tcW w:w="1020" w:type="dxa"/>
            <w:vAlign w:val="bottom"/>
          </w:tcPr>
          <w:p>
            <w:pPr>
              <w:ind w:left="20"/>
              <w:spacing w:after="0"/>
              <w:rPr>
                <w:sz w:val="20"/>
                <w:szCs w:val="20"/>
                <w:color w:val="auto"/>
              </w:rPr>
            </w:pPr>
            <w:r>
              <w:rPr>
                <w:rFonts w:ascii="Arial" w:cs="Arial" w:eastAsia="Arial" w:hAnsi="Arial"/>
                <w:sz w:val="16"/>
                <w:szCs w:val="16"/>
                <w:color w:val="auto"/>
              </w:rPr>
              <w:t>Director</w:t>
            </w:r>
          </w:p>
        </w:tc>
        <w:tc>
          <w:tcPr>
            <w:tcW w:w="5920" w:type="dxa"/>
            <w:vAlign w:val="bottom"/>
          </w:tcPr>
          <w:p>
            <w:pPr>
              <w:ind w:left="4720"/>
              <w:spacing w:after="0"/>
              <w:rPr>
                <w:sz w:val="20"/>
                <w:szCs w:val="20"/>
                <w:color w:val="auto"/>
              </w:rPr>
            </w:pPr>
            <w:r>
              <w:rPr>
                <w:rFonts w:ascii="Arial" w:cs="Arial" w:eastAsia="Arial" w:hAnsi="Arial"/>
                <w:sz w:val="16"/>
                <w:szCs w:val="16"/>
                <w:color w:val="auto"/>
                <w:w w:val="90"/>
              </w:rPr>
              <w:t>February 27, 2018</w:t>
            </w:r>
          </w:p>
        </w:tc>
      </w:tr>
      <w:tr>
        <w:trPr>
          <w:trHeight w:val="25"/>
        </w:trPr>
        <w:tc>
          <w:tcPr>
            <w:tcW w:w="37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11"/>
        </w:trPr>
        <w:tc>
          <w:tcPr>
            <w:tcW w:w="3760" w:type="dxa"/>
            <w:vAlign w:val="bottom"/>
          </w:tcPr>
          <w:p>
            <w:pPr>
              <w:jc w:val="center"/>
              <w:spacing w:after="0"/>
              <w:rPr>
                <w:sz w:val="20"/>
                <w:szCs w:val="20"/>
                <w:color w:val="auto"/>
              </w:rPr>
            </w:pPr>
            <w:r>
              <w:rPr>
                <w:rFonts w:ascii="Arial" w:cs="Arial" w:eastAsia="Arial" w:hAnsi="Arial"/>
                <w:sz w:val="16"/>
                <w:szCs w:val="16"/>
                <w:color w:val="auto"/>
                <w:w w:val="96"/>
              </w:rPr>
              <w:t>William J. Montgoris</w:t>
            </w: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941"/>
        </w:trPr>
        <w:tc>
          <w:tcPr>
            <w:tcW w:w="3760" w:type="dxa"/>
            <w:vAlign w:val="bottom"/>
          </w:tcPr>
          <w:p>
            <w:pPr>
              <w:jc w:val="center"/>
              <w:spacing w:after="0"/>
              <w:rPr>
                <w:sz w:val="20"/>
                <w:szCs w:val="20"/>
                <w:color w:val="auto"/>
              </w:rPr>
            </w:pPr>
            <w:r>
              <w:rPr>
                <w:rFonts w:ascii="Arial" w:cs="Arial" w:eastAsia="Arial" w:hAnsi="Arial"/>
                <w:sz w:val="16"/>
                <w:szCs w:val="16"/>
                <w:color w:val="auto"/>
                <w:w w:val="96"/>
              </w:rPr>
              <w:t>/s/ DAVID PULVER</w:t>
            </w:r>
          </w:p>
        </w:tc>
        <w:tc>
          <w:tcPr>
            <w:tcW w:w="1020" w:type="dxa"/>
            <w:vAlign w:val="bottom"/>
          </w:tcPr>
          <w:p>
            <w:pPr>
              <w:ind w:left="20"/>
              <w:spacing w:after="0"/>
              <w:rPr>
                <w:sz w:val="20"/>
                <w:szCs w:val="20"/>
                <w:color w:val="auto"/>
              </w:rPr>
            </w:pPr>
            <w:r>
              <w:rPr>
                <w:rFonts w:ascii="Arial" w:cs="Arial" w:eastAsia="Arial" w:hAnsi="Arial"/>
                <w:sz w:val="16"/>
                <w:szCs w:val="16"/>
                <w:color w:val="auto"/>
              </w:rPr>
              <w:t>Director</w:t>
            </w:r>
          </w:p>
        </w:tc>
        <w:tc>
          <w:tcPr>
            <w:tcW w:w="5920" w:type="dxa"/>
            <w:vAlign w:val="bottom"/>
          </w:tcPr>
          <w:p>
            <w:pPr>
              <w:ind w:left="4720"/>
              <w:spacing w:after="0"/>
              <w:rPr>
                <w:sz w:val="20"/>
                <w:szCs w:val="20"/>
                <w:color w:val="auto"/>
              </w:rPr>
            </w:pPr>
            <w:r>
              <w:rPr>
                <w:rFonts w:ascii="Arial" w:cs="Arial" w:eastAsia="Arial" w:hAnsi="Arial"/>
                <w:sz w:val="16"/>
                <w:szCs w:val="16"/>
                <w:color w:val="auto"/>
                <w:w w:val="90"/>
              </w:rPr>
              <w:t>February 27, 2018</w:t>
            </w:r>
          </w:p>
        </w:tc>
      </w:tr>
      <w:tr>
        <w:trPr>
          <w:trHeight w:val="25"/>
        </w:trPr>
        <w:tc>
          <w:tcPr>
            <w:tcW w:w="37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11"/>
        </w:trPr>
        <w:tc>
          <w:tcPr>
            <w:tcW w:w="3760" w:type="dxa"/>
            <w:vAlign w:val="bottom"/>
          </w:tcPr>
          <w:p>
            <w:pPr>
              <w:jc w:val="center"/>
              <w:spacing w:after="0"/>
              <w:rPr>
                <w:sz w:val="20"/>
                <w:szCs w:val="20"/>
                <w:color w:val="auto"/>
              </w:rPr>
            </w:pPr>
            <w:r>
              <w:rPr>
                <w:rFonts w:ascii="Arial" w:cs="Arial" w:eastAsia="Arial" w:hAnsi="Arial"/>
                <w:sz w:val="16"/>
                <w:szCs w:val="16"/>
                <w:color w:val="auto"/>
                <w:w w:val="94"/>
              </w:rPr>
              <w:t>David Pulver</w:t>
            </w: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941"/>
        </w:trPr>
        <w:tc>
          <w:tcPr>
            <w:tcW w:w="3760" w:type="dxa"/>
            <w:vAlign w:val="bottom"/>
          </w:tcPr>
          <w:p>
            <w:pPr>
              <w:jc w:val="center"/>
              <w:spacing w:after="0"/>
              <w:rPr>
                <w:sz w:val="20"/>
                <w:szCs w:val="20"/>
                <w:color w:val="auto"/>
              </w:rPr>
            </w:pPr>
            <w:r>
              <w:rPr>
                <w:rFonts w:ascii="Arial" w:cs="Arial" w:eastAsia="Arial" w:hAnsi="Arial"/>
                <w:sz w:val="16"/>
                <w:szCs w:val="16"/>
                <w:color w:val="auto"/>
                <w:w w:val="98"/>
              </w:rPr>
              <w:t>/s/ THOMAS E. WHIDDON</w:t>
            </w:r>
          </w:p>
        </w:tc>
        <w:tc>
          <w:tcPr>
            <w:tcW w:w="1020" w:type="dxa"/>
            <w:vAlign w:val="bottom"/>
          </w:tcPr>
          <w:p>
            <w:pPr>
              <w:ind w:left="20"/>
              <w:spacing w:after="0"/>
              <w:rPr>
                <w:sz w:val="20"/>
                <w:szCs w:val="20"/>
                <w:color w:val="auto"/>
              </w:rPr>
            </w:pPr>
            <w:r>
              <w:rPr>
                <w:rFonts w:ascii="Arial" w:cs="Arial" w:eastAsia="Arial" w:hAnsi="Arial"/>
                <w:sz w:val="16"/>
                <w:szCs w:val="16"/>
                <w:color w:val="auto"/>
              </w:rPr>
              <w:t>Director</w:t>
            </w:r>
          </w:p>
        </w:tc>
        <w:tc>
          <w:tcPr>
            <w:tcW w:w="5920" w:type="dxa"/>
            <w:vAlign w:val="bottom"/>
          </w:tcPr>
          <w:p>
            <w:pPr>
              <w:ind w:left="4720"/>
              <w:spacing w:after="0"/>
              <w:rPr>
                <w:sz w:val="20"/>
                <w:szCs w:val="20"/>
                <w:color w:val="auto"/>
              </w:rPr>
            </w:pPr>
            <w:r>
              <w:rPr>
                <w:rFonts w:ascii="Arial" w:cs="Arial" w:eastAsia="Arial" w:hAnsi="Arial"/>
                <w:sz w:val="16"/>
                <w:szCs w:val="16"/>
                <w:color w:val="auto"/>
                <w:w w:val="90"/>
              </w:rPr>
              <w:t>February 27, 2018</w:t>
            </w:r>
          </w:p>
        </w:tc>
      </w:tr>
      <w:tr>
        <w:trPr>
          <w:trHeight w:val="25"/>
        </w:trPr>
        <w:tc>
          <w:tcPr>
            <w:tcW w:w="37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r>
      <w:tr>
        <w:trPr>
          <w:trHeight w:val="211"/>
        </w:trPr>
        <w:tc>
          <w:tcPr>
            <w:tcW w:w="3760" w:type="dxa"/>
            <w:vAlign w:val="bottom"/>
          </w:tcPr>
          <w:p>
            <w:pPr>
              <w:jc w:val="center"/>
              <w:spacing w:after="0"/>
              <w:rPr>
                <w:sz w:val="20"/>
                <w:szCs w:val="20"/>
                <w:color w:val="auto"/>
              </w:rPr>
            </w:pPr>
            <w:r>
              <w:rPr>
                <w:rFonts w:ascii="Arial" w:cs="Arial" w:eastAsia="Arial" w:hAnsi="Arial"/>
                <w:sz w:val="16"/>
                <w:szCs w:val="16"/>
                <w:color w:val="auto"/>
                <w:w w:val="92"/>
              </w:rPr>
              <w:t>Thomas E. Whiddon</w:t>
            </w: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r>
      <w:tr>
        <w:trPr>
          <w:trHeight w:val="1137"/>
        </w:trPr>
        <w:tc>
          <w:tcPr>
            <w:tcW w:w="3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20" w:type="dxa"/>
            <w:vAlign w:val="bottom"/>
          </w:tcPr>
          <w:p>
            <w:pPr>
              <w:ind w:left="460"/>
              <w:spacing w:after="0"/>
              <w:rPr>
                <w:sz w:val="20"/>
                <w:szCs w:val="20"/>
                <w:color w:val="auto"/>
              </w:rPr>
            </w:pPr>
            <w:r>
              <w:rPr>
                <w:rFonts w:ascii="Arial" w:cs="Arial" w:eastAsia="Arial" w:hAnsi="Arial"/>
                <w:sz w:val="16"/>
                <w:szCs w:val="16"/>
                <w:color w:val="auto"/>
              </w:rPr>
              <w:t>110</w:t>
            </w:r>
          </w:p>
        </w:tc>
      </w:tr>
    </w:tbl>
    <w:p>
      <w:pPr>
        <w:sectPr>
          <w:pgSz w:w="11900" w:h="16838" w:orient="portrait"/>
          <w:cols w:equalWidth="0" w:num="1">
            <w:col w:w="10700"/>
          </w:cols>
          <w:pgMar w:left="600" w:top="1191" w:right="599" w:bottom="1440" w:gutter="0" w:footer="0" w:header="0"/>
        </w:sectPr>
      </w:pPr>
    </w:p>
    <w:bookmarkStart w:id="113" w:name="page114"/>
    <w:bookmarkEnd w:id="113"/>
    <w:p>
      <w:pPr>
        <w:jc w:val="right"/>
        <w:spacing w:after="0"/>
        <w:rPr>
          <w:sz w:val="20"/>
          <w:szCs w:val="20"/>
          <w:color w:val="auto"/>
        </w:rPr>
      </w:pPr>
      <w:r>
        <w:rPr>
          <w:rFonts w:ascii="Arial" w:cs="Arial" w:eastAsia="Arial" w:hAnsi="Arial"/>
          <w:sz w:val="16"/>
          <w:szCs w:val="16"/>
          <w:color w:val="auto"/>
        </w:rPr>
        <w:t>Exhibit 4.4</w:t>
      </w:r>
    </w:p>
    <w:p>
      <w:pPr>
        <w:spacing w:after="0" w:line="200" w:lineRule="exact"/>
        <w:rPr>
          <w:sz w:val="20"/>
          <w:szCs w:val="20"/>
          <w:color w:val="auto"/>
        </w:rPr>
      </w:pPr>
    </w:p>
    <w:p>
      <w:pPr>
        <w:spacing w:after="0" w:line="203"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SECOND SUPPLEMENTAL INDENTURE</w:t>
      </w:r>
    </w:p>
    <w:p>
      <w:pPr>
        <w:spacing w:after="0" w:line="207" w:lineRule="exact"/>
        <w:rPr>
          <w:sz w:val="20"/>
          <w:szCs w:val="20"/>
          <w:color w:val="auto"/>
        </w:rPr>
      </w:pPr>
    </w:p>
    <w:p>
      <w:pPr>
        <w:ind w:left="580" w:right="4840" w:firstLine="73"/>
        <w:spacing w:after="0" w:line="280" w:lineRule="auto"/>
        <w:rPr>
          <w:sz w:val="20"/>
          <w:szCs w:val="20"/>
          <w:color w:val="auto"/>
        </w:rPr>
      </w:pPr>
      <w:r>
        <w:rPr>
          <w:rFonts w:ascii="Arial" w:cs="Arial" w:eastAsia="Arial" w:hAnsi="Arial"/>
          <w:sz w:val="15"/>
          <w:szCs w:val="15"/>
          <w:color w:val="auto"/>
        </w:rPr>
        <w:t>Second Supplemental Indenture (this “</w:t>
      </w:r>
      <w:r>
        <w:rPr>
          <w:rFonts w:ascii="Arial" w:cs="Arial" w:eastAsia="Arial" w:hAnsi="Arial"/>
          <w:sz w:val="15"/>
          <w:szCs w:val="15"/>
          <w:u w:val="single" w:color="auto"/>
          <w:color w:val="auto"/>
        </w:rPr>
        <w:t>Supplemental Indenture</w:t>
      </w:r>
      <w:r>
        <w:rPr>
          <w:rFonts w:ascii="Arial" w:cs="Arial" w:eastAsia="Arial" w:hAnsi="Arial"/>
          <w:sz w:val="15"/>
          <w:szCs w:val="15"/>
          <w:color w:val="auto"/>
        </w:rPr>
        <w:t>”), dated as of May 11, 2017, among Skip Hop Holdings, Inc., a Delaware corporation (“</w:t>
      </w:r>
      <w:r>
        <w:rPr>
          <w:rFonts w:ascii="Arial" w:cs="Arial" w:eastAsia="Arial" w:hAnsi="Arial"/>
          <w:sz w:val="15"/>
          <w:szCs w:val="15"/>
          <w:u w:val="single" w:color="auto"/>
          <w:color w:val="auto"/>
        </w:rPr>
        <w:t>Skip Hop Holdings</w:t>
      </w:r>
      <w:r>
        <w:rPr>
          <w:rFonts w:ascii="Arial" w:cs="Arial" w:eastAsia="Arial" w:hAnsi="Arial"/>
          <w:sz w:val="15"/>
          <w:szCs w:val="15"/>
          <w:color w:val="auto"/>
        </w:rPr>
        <w:t>”), Skip</w:t>
      </w:r>
    </w:p>
    <w:p>
      <w:pPr>
        <w:ind w:right="5280"/>
        <w:spacing w:after="0" w:line="260" w:lineRule="auto"/>
        <w:rPr>
          <w:sz w:val="20"/>
          <w:szCs w:val="20"/>
          <w:color w:val="auto"/>
        </w:rPr>
      </w:pPr>
      <w:r>
        <w:rPr>
          <w:rFonts w:ascii="Arial" w:cs="Arial" w:eastAsia="Arial" w:hAnsi="Arial"/>
          <w:sz w:val="16"/>
          <w:szCs w:val="16"/>
          <w:color w:val="auto"/>
        </w:rPr>
        <w:t>Hop, Inc., a New York corporation (together with Skip Hop Holdings, the “</w:t>
      </w:r>
      <w:r>
        <w:rPr>
          <w:rFonts w:ascii="Arial" w:cs="Arial" w:eastAsia="Arial" w:hAnsi="Arial"/>
          <w:sz w:val="16"/>
          <w:szCs w:val="16"/>
          <w:u w:val="single" w:color="auto"/>
          <w:color w:val="auto"/>
        </w:rPr>
        <w:t>Guaranteeing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Subsidiaries</w:t>
      </w:r>
      <w:r>
        <w:rPr>
          <w:rFonts w:ascii="Arial" w:cs="Arial" w:eastAsia="Arial" w:hAnsi="Arial"/>
          <w:sz w:val="16"/>
          <w:szCs w:val="16"/>
          <w:color w:val="auto"/>
        </w:rPr>
        <w:t>”), a subsidiary of The William Carter Company, a Massachusetts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Wells Fargo Bank, National Association, a national banking association,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w:t>
      </w:r>
    </w:p>
    <w:p>
      <w:pPr>
        <w:spacing w:after="0" w:line="169"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W I T N E S S E T H</w:t>
      </w:r>
    </w:p>
    <w:p>
      <w:pPr>
        <w:spacing w:after="0" w:line="207" w:lineRule="exact"/>
        <w:rPr>
          <w:sz w:val="20"/>
          <w:szCs w:val="20"/>
          <w:color w:val="auto"/>
        </w:rPr>
      </w:pPr>
    </w:p>
    <w:p>
      <w:pPr>
        <w:ind w:right="5260" w:firstLine="587"/>
        <w:spacing w:after="0" w:line="288" w:lineRule="auto"/>
        <w:rPr>
          <w:sz w:val="20"/>
          <w:szCs w:val="20"/>
          <w:color w:val="auto"/>
        </w:rPr>
      </w:pPr>
      <w:r>
        <w:rPr>
          <w:rFonts w:ascii="Arial" w:cs="Arial" w:eastAsia="Arial" w:hAnsi="Arial"/>
          <w:sz w:val="15"/>
          <w:szCs w:val="15"/>
          <w:color w:val="auto"/>
        </w:rPr>
        <w:t>WHEREAS, the Company and the initial Guarantors have heretofore executed and delivered to the Trustee an Indenture (the “Indenture”), dated as of August 12, 2013, providing for the issuance of an unlimited aggregate principal amount of 5.250% Senior Notes due 2021 (the “</w:t>
      </w:r>
      <w:r>
        <w:rPr>
          <w:rFonts w:ascii="Arial" w:cs="Arial" w:eastAsia="Arial" w:hAnsi="Arial"/>
          <w:sz w:val="15"/>
          <w:szCs w:val="15"/>
          <w:u w:val="single" w:color="auto"/>
          <w:color w:val="auto"/>
        </w:rPr>
        <w:t>Notes</w:t>
      </w:r>
      <w:r>
        <w:rPr>
          <w:rFonts w:ascii="Arial" w:cs="Arial" w:eastAsia="Arial" w:hAnsi="Arial"/>
          <w:sz w:val="15"/>
          <w:szCs w:val="15"/>
          <w:color w:val="auto"/>
        </w:rPr>
        <w:t>”), of which $400,000,000 were initially issued on the Issue Date;</w:t>
      </w:r>
    </w:p>
    <w:p>
      <w:pPr>
        <w:spacing w:after="0" w:line="150" w:lineRule="exact"/>
        <w:rPr>
          <w:sz w:val="20"/>
          <w:szCs w:val="20"/>
          <w:color w:val="auto"/>
        </w:rPr>
      </w:pPr>
    </w:p>
    <w:p>
      <w:pPr>
        <w:ind w:right="5180" w:firstLine="587"/>
        <w:spacing w:after="0" w:line="270" w:lineRule="auto"/>
        <w:rPr>
          <w:sz w:val="20"/>
          <w:szCs w:val="20"/>
          <w:color w:val="auto"/>
        </w:rPr>
      </w:pPr>
      <w:r>
        <w:rPr>
          <w:rFonts w:ascii="Arial" w:cs="Arial" w:eastAsia="Arial" w:hAnsi="Arial"/>
          <w:sz w:val="16"/>
          <w:szCs w:val="16"/>
          <w:color w:val="auto"/>
        </w:rPr>
        <w:t xml:space="preserve">WHEREAS, pursuant to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of the Indenture, a Person may be joined as a “Guarantor” under the Indenture upon execution and delivery by such Person and the Trustee of a supplemental indenture to the Indenture;</w:t>
      </w:r>
    </w:p>
    <w:p>
      <w:pPr>
        <w:spacing w:after="0" w:line="162" w:lineRule="exact"/>
        <w:rPr>
          <w:sz w:val="20"/>
          <w:szCs w:val="20"/>
          <w:color w:val="auto"/>
        </w:rPr>
      </w:pPr>
    </w:p>
    <w:p>
      <w:pPr>
        <w:ind w:right="5180" w:firstLine="587"/>
        <w:spacing w:after="0" w:line="262" w:lineRule="auto"/>
        <w:rPr>
          <w:sz w:val="20"/>
          <w:szCs w:val="20"/>
          <w:color w:val="auto"/>
        </w:rPr>
      </w:pPr>
      <w:r>
        <w:rPr>
          <w:rFonts w:ascii="Arial" w:cs="Arial" w:eastAsia="Arial" w:hAnsi="Arial"/>
          <w:sz w:val="16"/>
          <w:szCs w:val="16"/>
          <w:color w:val="auto"/>
        </w:rPr>
        <w:t>WHEREAS, the Indenture provides that under certain circumstances the Guaranteeing Subsidiaries shall execute and deliver to the Trustee a supplemental indenture pursuant to which each of the Guaranteeing Subsidiaries shall unconditionally guarantee all of the Company’s Obligations under the Notes and the Indenture on the terms and conditions set forth herein and under the Indenture (the “Guarantee”);</w:t>
      </w:r>
    </w:p>
    <w:p>
      <w:pPr>
        <w:spacing w:after="0" w:line="170" w:lineRule="exact"/>
        <w:rPr>
          <w:sz w:val="20"/>
          <w:szCs w:val="20"/>
          <w:color w:val="auto"/>
        </w:rPr>
      </w:pPr>
    </w:p>
    <w:p>
      <w:pPr>
        <w:ind w:right="5240" w:firstLine="587"/>
        <w:spacing w:after="0" w:line="265" w:lineRule="auto"/>
        <w:rPr>
          <w:sz w:val="20"/>
          <w:szCs w:val="20"/>
          <w:color w:val="auto"/>
        </w:rPr>
      </w:pPr>
      <w:r>
        <w:rPr>
          <w:rFonts w:ascii="Arial" w:cs="Arial" w:eastAsia="Arial" w:hAnsi="Arial"/>
          <w:sz w:val="16"/>
          <w:szCs w:val="16"/>
          <w:color w:val="auto"/>
        </w:rPr>
        <w:t>WHEREAS, solely for purposes of determining withholding Taxes imposed under the Foreign Account Tax Compliance Account (“FATCA”), the Trustee shall treat the Notes as qualifying as a “grandfathered obligation” within the meaning of Treasury Regulation Section 1.1471-2(b)(2)(i);</w:t>
      </w:r>
    </w:p>
    <w:p>
      <w:pPr>
        <w:spacing w:after="0" w:line="166" w:lineRule="exact"/>
        <w:rPr>
          <w:sz w:val="20"/>
          <w:szCs w:val="20"/>
          <w:color w:val="auto"/>
        </w:rPr>
      </w:pPr>
    </w:p>
    <w:p>
      <w:pPr>
        <w:ind w:right="5120" w:firstLine="587"/>
        <w:spacing w:after="0" w:line="270" w:lineRule="auto"/>
        <w:rPr>
          <w:sz w:val="20"/>
          <w:szCs w:val="20"/>
          <w:color w:val="auto"/>
        </w:rPr>
      </w:pPr>
      <w:r>
        <w:rPr>
          <w:rFonts w:ascii="Arial" w:cs="Arial" w:eastAsia="Arial" w:hAnsi="Arial"/>
          <w:sz w:val="16"/>
          <w:szCs w:val="16"/>
          <w:color w:val="auto"/>
        </w:rPr>
        <w:t>WHEREAS, each party hereto has duly authorized the execution and delivery of this Supplemental Indenture and has done all things necessary to make this Supplemental Indenture a valid agreement in accordance with its terms; and</w:t>
      </w:r>
    </w:p>
    <w:p>
      <w:pPr>
        <w:spacing w:after="0" w:line="162" w:lineRule="exact"/>
        <w:rPr>
          <w:sz w:val="20"/>
          <w:szCs w:val="20"/>
          <w:color w:val="auto"/>
        </w:rPr>
      </w:pPr>
    </w:p>
    <w:p>
      <w:pPr>
        <w:ind w:right="5700" w:firstLine="587"/>
        <w:spacing w:after="0" w:line="285" w:lineRule="auto"/>
        <w:rPr>
          <w:sz w:val="20"/>
          <w:szCs w:val="20"/>
          <w:color w:val="auto"/>
        </w:rPr>
      </w:pPr>
      <w:r>
        <w:rPr>
          <w:rFonts w:ascii="Arial" w:cs="Arial" w:eastAsia="Arial" w:hAnsi="Arial"/>
          <w:sz w:val="16"/>
          <w:szCs w:val="16"/>
          <w:color w:val="auto"/>
        </w:rPr>
        <w:t xml:space="preserve">WHEREAS, pursuant to </w:t>
      </w:r>
      <w:r>
        <w:rPr>
          <w:rFonts w:ascii="Arial" w:cs="Arial" w:eastAsia="Arial" w:hAnsi="Arial"/>
          <w:sz w:val="16"/>
          <w:szCs w:val="16"/>
          <w:u w:val="single" w:color="auto"/>
          <w:color w:val="auto"/>
        </w:rPr>
        <w:t>Sections 9.01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9.06</w:t>
      </w:r>
      <w:r>
        <w:rPr>
          <w:rFonts w:ascii="Arial" w:cs="Arial" w:eastAsia="Arial" w:hAnsi="Arial"/>
          <w:sz w:val="16"/>
          <w:szCs w:val="16"/>
          <w:color w:val="auto"/>
        </w:rPr>
        <w:t xml:space="preserve"> of the Indenture, the Trustee is authorized to execute and deliver this Supplemental Indenture.</w:t>
      </w:r>
    </w:p>
    <w:p>
      <w:pPr>
        <w:spacing w:after="0" w:line="150" w:lineRule="exact"/>
        <w:rPr>
          <w:sz w:val="20"/>
          <w:szCs w:val="20"/>
          <w:color w:val="auto"/>
        </w:rPr>
      </w:pPr>
    </w:p>
    <w:p>
      <w:pPr>
        <w:ind w:right="5100" w:firstLine="587"/>
        <w:spacing w:after="0" w:line="326" w:lineRule="auto"/>
        <w:rPr>
          <w:sz w:val="20"/>
          <w:szCs w:val="20"/>
          <w:color w:val="auto"/>
        </w:rPr>
      </w:pPr>
      <w:r>
        <w:rPr>
          <w:rFonts w:ascii="Arial" w:cs="Arial" w:eastAsia="Arial" w:hAnsi="Arial"/>
          <w:sz w:val="14"/>
          <w:szCs w:val="14"/>
          <w:color w:val="auto"/>
        </w:rPr>
        <w:t>NOW THEREFORE, in consideration of the foregoing, and for other good and valuable consideration, the receipt and sufficiency of which are hereby acknowledged, the parties hereto mutually covenant and agree for the equal and ratable benefit of the Holders as follows:</w:t>
      </w:r>
    </w:p>
    <w:p>
      <w:pPr>
        <w:spacing w:after="0" w:line="126" w:lineRule="exact"/>
        <w:rPr>
          <w:sz w:val="20"/>
          <w:szCs w:val="20"/>
          <w:color w:val="auto"/>
        </w:rPr>
      </w:pPr>
    </w:p>
    <w:p>
      <w:pPr>
        <w:ind w:right="5280" w:firstLine="585"/>
        <w:spacing w:after="0" w:line="285" w:lineRule="auto"/>
        <w:tabs>
          <w:tab w:leader="none" w:pos="818"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Capitalized Terms</w:t>
      </w:r>
      <w:r>
        <w:rPr>
          <w:rFonts w:ascii="Arial" w:cs="Arial" w:eastAsia="Arial" w:hAnsi="Arial"/>
          <w:sz w:val="16"/>
          <w:szCs w:val="16"/>
          <w:color w:val="auto"/>
        </w:rPr>
        <w:t>. Capitalized terms used herein without definition shall have the meanings assigned to such terms in the Indenture.</w:t>
      </w:r>
    </w:p>
    <w:p>
      <w:pPr>
        <w:spacing w:after="0" w:line="149" w:lineRule="exact"/>
        <w:rPr>
          <w:rFonts w:ascii="Arial" w:cs="Arial" w:eastAsia="Arial" w:hAnsi="Arial"/>
          <w:sz w:val="16"/>
          <w:szCs w:val="16"/>
          <w:color w:val="auto"/>
        </w:rPr>
      </w:pPr>
    </w:p>
    <w:p>
      <w:pPr>
        <w:jc w:val="both"/>
        <w:ind w:right="5340" w:firstLine="585"/>
        <w:spacing w:after="0" w:line="270" w:lineRule="auto"/>
        <w:tabs>
          <w:tab w:leader="none" w:pos="818"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Agreement to Guarantee</w:t>
      </w:r>
      <w:r>
        <w:rPr>
          <w:rFonts w:ascii="Arial" w:cs="Arial" w:eastAsia="Arial" w:hAnsi="Arial"/>
          <w:sz w:val="16"/>
          <w:szCs w:val="16"/>
          <w:color w:val="auto"/>
        </w:rPr>
        <w:t xml:space="preserve">. Each of the Guaranteeing Subsidiaries hereby agrees to provide an unconditional Guarantee on the terms and subject to the conditions set forth in the Indenture, including, but not limited to,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thereof.</w:t>
      </w:r>
    </w:p>
    <w:p>
      <w:pPr>
        <w:spacing w:after="0" w:line="357" w:lineRule="exact"/>
        <w:rPr>
          <w:rFonts w:ascii="Arial" w:cs="Arial" w:eastAsia="Arial" w:hAnsi="Arial"/>
          <w:sz w:val="16"/>
          <w:szCs w:val="16"/>
          <w:color w:val="auto"/>
        </w:rPr>
      </w:pPr>
    </w:p>
    <w:p>
      <w:pPr>
        <w:ind w:right="5120" w:firstLine="585"/>
        <w:spacing w:after="0" w:line="305" w:lineRule="auto"/>
        <w:tabs>
          <w:tab w:leader="none" w:pos="818" w:val="left"/>
        </w:tabs>
        <w:numPr>
          <w:ilvl w:val="0"/>
          <w:numId w:val="49"/>
        </w:numPr>
        <w:rPr>
          <w:rFonts w:ascii="Arial" w:cs="Arial" w:eastAsia="Arial" w:hAnsi="Arial"/>
          <w:sz w:val="14"/>
          <w:szCs w:val="14"/>
          <w:color w:val="auto"/>
        </w:rPr>
      </w:pPr>
      <w:r>
        <w:rPr>
          <w:rFonts w:ascii="Arial" w:cs="Arial" w:eastAsia="Arial" w:hAnsi="Arial"/>
          <w:sz w:val="14"/>
          <w:szCs w:val="14"/>
          <w:u w:val="single" w:color="auto"/>
          <w:color w:val="auto"/>
        </w:rPr>
        <w:t>No Recourse Against Others</w:t>
      </w:r>
      <w:r>
        <w:rPr>
          <w:rFonts w:ascii="Arial" w:cs="Arial" w:eastAsia="Arial" w:hAnsi="Arial"/>
          <w:sz w:val="14"/>
          <w:szCs w:val="14"/>
          <w:color w:val="auto"/>
        </w:rPr>
        <w:t>. No past, present, or future director, officer, employee, member, manager, partner, incorporator, or stockholder of the Company or any Guarantor, or any parent companies or subsidiaries of the Company and the Guarantors (other than the Company and the Guarantors) shall have any liability for any obligations of the Company or the Guarantors under the Notes, the Indenture, this Supplemental Indenture, the Guarantees or for any claim based on, in respect of, or by reason of, such obligations or their creation. Each Holder</w:t>
      </w:r>
    </w:p>
    <w:p>
      <w:pPr>
        <w:sectPr>
          <w:pgSz w:w="11900" w:h="16838" w:orient="portrait"/>
          <w:cols w:equalWidth="0" w:num="1">
            <w:col w:w="11440"/>
          </w:cols>
          <w:pgMar w:left="240" w:top="543" w:right="219" w:bottom="1440" w:gutter="0" w:footer="0" w:header="0"/>
        </w:sectPr>
      </w:pPr>
    </w:p>
    <w:bookmarkStart w:id="114" w:name="page115"/>
    <w:bookmarkEnd w:id="114"/>
    <w:p>
      <w:pPr>
        <w:ind w:left="2" w:right="4019"/>
        <w:spacing w:after="0" w:line="285" w:lineRule="auto"/>
        <w:rPr>
          <w:sz w:val="20"/>
          <w:szCs w:val="20"/>
          <w:color w:val="auto"/>
        </w:rPr>
      </w:pPr>
      <w:r>
        <w:rPr>
          <w:rFonts w:ascii="Arial" w:cs="Arial" w:eastAsia="Arial" w:hAnsi="Arial"/>
          <w:sz w:val="16"/>
          <w:szCs w:val="16"/>
          <w:color w:val="auto"/>
        </w:rPr>
        <w:t>of Notes, by accepting a Note, waives and releases all such liability. The waiver and release are part of the consideration for issuance of the Notes.</w:t>
      </w:r>
    </w:p>
    <w:p>
      <w:pPr>
        <w:spacing w:after="0" w:line="150" w:lineRule="exact"/>
        <w:rPr>
          <w:sz w:val="20"/>
          <w:szCs w:val="20"/>
          <w:color w:val="auto"/>
        </w:rPr>
      </w:pPr>
    </w:p>
    <w:p>
      <w:pPr>
        <w:ind w:left="2" w:right="4039" w:firstLine="585"/>
        <w:spacing w:after="0" w:line="270" w:lineRule="auto"/>
        <w:tabs>
          <w:tab w:leader="none" w:pos="820"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SUPPLEMENTAL INDENTURE WILL BE GOVERNED BY AND CONSTRUED IN ACCORDANCE WITH THE LAWS OF THE STATE OF NEW YORK.</w:t>
      </w:r>
    </w:p>
    <w:p>
      <w:pPr>
        <w:spacing w:after="0" w:line="161" w:lineRule="exact"/>
        <w:rPr>
          <w:rFonts w:ascii="Arial" w:cs="Arial" w:eastAsia="Arial" w:hAnsi="Arial"/>
          <w:sz w:val="16"/>
          <w:szCs w:val="16"/>
          <w:color w:val="auto"/>
        </w:rPr>
      </w:pPr>
    </w:p>
    <w:p>
      <w:pPr>
        <w:ind w:left="2" w:right="3839" w:firstLine="585"/>
        <w:spacing w:after="0" w:line="301" w:lineRule="auto"/>
        <w:tabs>
          <w:tab w:leader="none" w:pos="820" w:val="left"/>
        </w:tabs>
        <w:numPr>
          <w:ilvl w:val="1"/>
          <w:numId w:val="50"/>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The parties hereto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145" w:lineRule="exact"/>
        <w:rPr>
          <w:rFonts w:ascii="Arial" w:cs="Arial" w:eastAsia="Arial" w:hAnsi="Arial"/>
          <w:sz w:val="14"/>
          <w:szCs w:val="14"/>
          <w:color w:val="auto"/>
        </w:rPr>
      </w:pPr>
    </w:p>
    <w:p>
      <w:pPr>
        <w:ind w:left="2" w:right="3959" w:firstLine="585"/>
        <w:spacing w:after="0" w:line="285" w:lineRule="auto"/>
        <w:tabs>
          <w:tab w:leader="none" w:pos="820"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headings herein are for convenience only and shall not affect the construction hereof.</w:t>
      </w:r>
    </w:p>
    <w:p>
      <w:pPr>
        <w:spacing w:after="0" w:line="149" w:lineRule="exact"/>
        <w:rPr>
          <w:rFonts w:ascii="Arial" w:cs="Arial" w:eastAsia="Arial" w:hAnsi="Arial"/>
          <w:sz w:val="16"/>
          <w:szCs w:val="16"/>
          <w:color w:val="auto"/>
        </w:rPr>
      </w:pPr>
    </w:p>
    <w:p>
      <w:pPr>
        <w:ind w:left="2" w:right="3939" w:firstLine="585"/>
        <w:spacing w:after="0" w:line="297" w:lineRule="auto"/>
        <w:tabs>
          <w:tab w:leader="none" w:pos="820" w:val="left"/>
        </w:tabs>
        <w:numPr>
          <w:ilvl w:val="1"/>
          <w:numId w:val="50"/>
        </w:numPr>
        <w:rPr>
          <w:rFonts w:ascii="Arial" w:cs="Arial" w:eastAsia="Arial" w:hAnsi="Arial"/>
          <w:sz w:val="14"/>
          <w:szCs w:val="14"/>
          <w:color w:val="auto"/>
        </w:rPr>
      </w:pPr>
      <w:r>
        <w:rPr>
          <w:rFonts w:ascii="Arial" w:cs="Arial" w:eastAsia="Arial" w:hAnsi="Arial"/>
          <w:sz w:val="14"/>
          <w:szCs w:val="14"/>
          <w:u w:val="single" w:color="auto"/>
          <w:color w:val="auto"/>
        </w:rPr>
        <w:t>The Trustee</w:t>
      </w:r>
      <w:r>
        <w:rPr>
          <w:rFonts w:ascii="Arial" w:cs="Arial" w:eastAsia="Arial" w:hAnsi="Arial"/>
          <w:sz w:val="14"/>
          <w:szCs w:val="14"/>
          <w:color w:val="auto"/>
        </w:rPr>
        <w:t>. The Trustee accepts the amendments of the Indenture effected by this Supplemental Indenture, but on the terms and conditions set forth in the Indenture, including the terms and provisions defining and limiting the liabilities and responsibilities of the Trustee.</w:t>
      </w:r>
    </w:p>
    <w:p>
      <w:pPr>
        <w:ind w:left="2" w:right="3899"/>
        <w:spacing w:after="0" w:line="272" w:lineRule="auto"/>
        <w:rPr>
          <w:rFonts w:ascii="Arial" w:cs="Arial" w:eastAsia="Arial" w:hAnsi="Arial"/>
          <w:sz w:val="14"/>
          <w:szCs w:val="14"/>
          <w:color w:val="auto"/>
        </w:rPr>
      </w:pPr>
      <w:r>
        <w:rPr>
          <w:rFonts w:ascii="Arial" w:cs="Arial" w:eastAsia="Arial" w:hAnsi="Arial"/>
          <w:sz w:val="15"/>
          <w:szCs w:val="15"/>
          <w:color w:val="auto"/>
        </w:rPr>
        <w:t>Without limiting the generality of the foregoing, the Trustee shall not be responsible in any manner whatsoever for or with respect to any of the recitals or statements contained herein, all of which recitals or statements are made solely by the Company, or for or with respect to (i) the validity or sufficiency of this Supplemental Indenture or any of the terms or provisions hereof,</w:t>
      </w:r>
    </w:p>
    <w:p>
      <w:pPr>
        <w:ind w:left="2" w:right="4059" w:hanging="2"/>
        <w:spacing w:after="0" w:line="288" w:lineRule="auto"/>
        <w:tabs>
          <w:tab w:leader="none" w:pos="242"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proper authorization hereof by the Company by action or otherwise, (iii) the due execution hereof by the Company or (iv) the consequences of any amendment herein provided for, and the Trustee makes no representation with respect to any such matters.</w:t>
      </w:r>
    </w:p>
    <w:p>
      <w:pPr>
        <w:spacing w:after="0" w:line="150" w:lineRule="exact"/>
        <w:rPr>
          <w:rFonts w:ascii="Arial" w:cs="Arial" w:eastAsia="Arial" w:hAnsi="Arial"/>
          <w:sz w:val="15"/>
          <w:szCs w:val="15"/>
          <w:color w:val="auto"/>
        </w:rPr>
      </w:pPr>
    </w:p>
    <w:p>
      <w:pPr>
        <w:ind w:left="2" w:right="3899" w:firstLine="585"/>
        <w:spacing w:after="0" w:line="265" w:lineRule="auto"/>
        <w:tabs>
          <w:tab w:leader="none" w:pos="820"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All agreements of each of the Guaranteeing Subsidiaries in this Supplemental Indenture shall bind its respective Successors, except as otherwise provided in this Supplemental Indenture. All agreements of the Trustee in this Supplemental Indenture shall bind its successors.</w:t>
      </w:r>
    </w:p>
    <w:p>
      <w:pPr>
        <w:sectPr>
          <w:pgSz w:w="11900" w:h="16838" w:orient="portrait"/>
          <w:cols w:equalWidth="0" w:num="1">
            <w:col w:w="10221"/>
          </w:cols>
          <w:pgMar w:left="238" w:top="543" w:right="1440" w:bottom="1440" w:gutter="0" w:footer="0" w:header="0"/>
        </w:sectPr>
      </w:pPr>
    </w:p>
    <w:bookmarkStart w:id="115" w:name="page116"/>
    <w:bookmarkEnd w:id="115"/>
    <w:p>
      <w:pPr>
        <w:spacing w:after="0" w:line="265" w:lineRule="auto"/>
        <w:tabs>
          <w:tab w:leader="none" w:pos="8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601345</wp:posOffset>
            </wp:positionV>
            <wp:extent cx="4053205" cy="5248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4053205" cy="5248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65" w:lineRule="auto"/>
        <w:tabs>
          <w:tab w:leader="none" w:pos="8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601345</wp:posOffset>
            </wp:positionV>
            <wp:extent cx="4053205" cy="5248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4053205" cy="5248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right"/>
        <w:spacing w:after="0"/>
        <w:rPr>
          <w:sz w:val="20"/>
          <w:szCs w:val="20"/>
          <w:color w:val="auto"/>
        </w:rPr>
      </w:pPr>
      <w:r>
        <w:rPr>
          <w:rFonts w:ascii="Arial" w:cs="Arial" w:eastAsia="Arial" w:hAnsi="Arial"/>
          <w:sz w:val="16"/>
          <w:szCs w:val="16"/>
          <w:color w:val="auto"/>
        </w:rPr>
        <w:t>Exhibit 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Subsidiaries of Carter's, Inc.</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William Carter Company is incorporated in Massachusetts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OshKosh B'Gosh, Inc. is incorporated in Delaware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Retail, Inc. is incorporated in Delaware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OshKosh International, LLC is incorporated in Delaware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International Holdings C.V. is formed in the Netherlands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TWCC Product Development and Sales, Inc. is incorporated in Delaware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Giftcard Company, Inc. is incorporated in Florida</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Canadian Holdings, B.V. is formed in the Netherlands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Holdings B.V. is formed in the Netherlands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Genuine Canadian Corp. is incorporated in Ontario, Canada</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Global Sourcing Limited is formed in Hong Kong</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International Trading Company Limited is formed on Hong Kong</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Shanghai Trading Co., Ltd is formed in China</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Shanghai Business Information Consulting Co., Ltd is formed in China</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Skip Hop Holdings, Inc. is incorporated in Delaware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Skip Hop, Inc. is incorporated in New York</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Skip Hop UK Limited is formed in England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Skip Hop (Shenzhen) Trading Company Limited is formed in China</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Carter's Mexico LLC is incorporated in Delaware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Industrias Bunny Baby, S.A. de C.V. is formed in Mexico</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Operacion Efficaz, S.A. de C.V. is formed in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359" w:right="219" w:bottom="1440" w:gutter="0" w:footer="0" w:header="0"/>
        </w:sectPr>
      </w:pPr>
    </w:p>
    <w:bookmarkStart w:id="118" w:name="page119"/>
    <w:bookmarkEnd w:id="118"/>
    <w:p>
      <w:pPr>
        <w:ind w:left="5860"/>
        <w:spacing w:after="0"/>
        <w:rPr>
          <w:sz w:val="20"/>
          <w:szCs w:val="20"/>
          <w:color w:val="auto"/>
        </w:rPr>
      </w:pPr>
      <w:r>
        <w:rPr>
          <w:rFonts w:ascii="Arial" w:cs="Arial" w:eastAsia="Arial" w:hAnsi="Arial"/>
          <w:sz w:val="16"/>
          <w:szCs w:val="16"/>
          <w:color w:val="auto"/>
        </w:rPr>
        <w:t>Exhibit 23</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11"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We hereby consent to the incorporation by reference in the Registration Statement on Form S-8 (Nos. 333-177724, 333-168446 and 333-125306) of Carter's, Inc. of our report dated February 27, 2018 relating to the financial statements and the effectiveness of internal control over financial reporting, which appears in this Form 10-K.</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Atlanta, Georgia</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February 27, 2018</w:t>
      </w:r>
    </w:p>
    <w:p>
      <w:pPr>
        <w:sectPr>
          <w:pgSz w:w="11900" w:h="16838" w:orient="portrait"/>
          <w:cols w:equalWidth="0" w:num="1">
            <w:col w:w="11420"/>
          </w:cols>
          <w:pgMar w:left="240" w:top="543"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6"/>
          <w:szCs w:val="16"/>
          <w:color w:val="auto"/>
        </w:rPr>
        <w:t>Exhibit 31.1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I, Michael D. Casey, certify that:</w:t>
      </w:r>
    </w:p>
    <w:p>
      <w:pPr>
        <w:spacing w:after="0" w:line="232" w:lineRule="exact"/>
        <w:rPr>
          <w:sz w:val="20"/>
          <w:szCs w:val="20"/>
          <w:color w:val="auto"/>
        </w:rPr>
      </w:pPr>
    </w:p>
    <w:p>
      <w:pPr>
        <w:ind w:left="580" w:hanging="289"/>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Carter’s, Inc.;</w:t>
      </w:r>
    </w:p>
    <w:p>
      <w:pPr>
        <w:spacing w:after="0" w:line="231" w:lineRule="exact"/>
        <w:rPr>
          <w:rFonts w:ascii="Arial" w:cs="Arial" w:eastAsia="Arial" w:hAnsi="Arial"/>
          <w:sz w:val="16"/>
          <w:szCs w:val="16"/>
          <w:color w:val="auto"/>
        </w:rPr>
      </w:pPr>
    </w:p>
    <w:p>
      <w:pPr>
        <w:ind w:left="580" w:right="40" w:hanging="289"/>
        <w:spacing w:after="0" w:line="320" w:lineRule="auto"/>
        <w:tabs>
          <w:tab w:leader="none" w:pos="5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5"/>
          <w:szCs w:val="15"/>
          <w:color w:val="auto"/>
        </w:rPr>
      </w:pPr>
    </w:p>
    <w:p>
      <w:pPr>
        <w:ind w:left="580" w:right="40" w:hanging="289"/>
        <w:spacing w:after="0" w:line="285" w:lineRule="auto"/>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6"/>
          <w:szCs w:val="16"/>
          <w:color w:val="auto"/>
        </w:rPr>
      </w:pPr>
    </w:p>
    <w:p>
      <w:pPr>
        <w:ind w:left="580" w:hanging="289"/>
        <w:spacing w:after="0"/>
        <w:tabs>
          <w:tab w:leader="none" w:pos="5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34" w:lineRule="exact"/>
        <w:rPr>
          <w:rFonts w:ascii="Arial" w:cs="Arial" w:eastAsia="Arial" w:hAnsi="Arial"/>
          <w:sz w:val="15"/>
          <w:szCs w:val="15"/>
          <w:color w:val="auto"/>
        </w:rPr>
      </w:pPr>
    </w:p>
    <w:p>
      <w:pPr>
        <w:ind w:left="58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31" w:lineRule="exact"/>
        <w:rPr>
          <w:rFonts w:ascii="Arial" w:cs="Arial" w:eastAsia="Arial" w:hAnsi="Arial"/>
          <w:sz w:val="15"/>
          <w:szCs w:val="15"/>
          <w:color w:val="auto"/>
        </w:rPr>
      </w:pPr>
    </w:p>
    <w:p>
      <w:pPr>
        <w:jc w:val="both"/>
        <w:ind w:left="1180" w:right="40" w:hanging="8"/>
        <w:spacing w:after="0" w:line="270" w:lineRule="auto"/>
        <w:tabs>
          <w:tab w:leader="none" w:pos="1402"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jc w:val="both"/>
        <w:ind w:left="1180" w:right="140" w:hanging="8"/>
        <w:spacing w:after="0" w:line="270" w:lineRule="auto"/>
        <w:tabs>
          <w:tab w:leader="none" w:pos="1411"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6"/>
          <w:szCs w:val="16"/>
          <w:color w:val="auto"/>
        </w:rPr>
      </w:pPr>
    </w:p>
    <w:p>
      <w:pPr>
        <w:ind w:left="1180" w:right="200" w:hanging="8"/>
        <w:spacing w:after="0" w:line="285" w:lineRule="auto"/>
        <w:tabs>
          <w:tab w:leader="none" w:pos="1402"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6"/>
          <w:szCs w:val="16"/>
          <w:color w:val="auto"/>
        </w:rPr>
      </w:pPr>
    </w:p>
    <w:p>
      <w:pPr>
        <w:ind w:left="1180" w:right="400" w:hanging="8"/>
        <w:spacing w:after="0" w:line="270" w:lineRule="auto"/>
        <w:tabs>
          <w:tab w:leader="none" w:pos="1411" w:val="left"/>
        </w:tabs>
        <w:numPr>
          <w:ilvl w:val="1"/>
          <w:numId w:val="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6"/>
          <w:szCs w:val="16"/>
          <w:color w:val="auto"/>
        </w:rPr>
      </w:pPr>
    </w:p>
    <w:p>
      <w:pPr>
        <w:ind w:left="580" w:right="540" w:hanging="289"/>
        <w:spacing w:after="0" w:line="285" w:lineRule="auto"/>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6"/>
          <w:szCs w:val="16"/>
          <w:color w:val="auto"/>
        </w:rPr>
      </w:pPr>
    </w:p>
    <w:p>
      <w:pPr>
        <w:ind w:left="1180" w:right="140" w:hanging="8"/>
        <w:spacing w:after="0" w:line="285" w:lineRule="auto"/>
        <w:tabs>
          <w:tab w:leader="none" w:pos="1402"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6"/>
          <w:szCs w:val="16"/>
          <w:color w:val="auto"/>
        </w:rPr>
      </w:pPr>
    </w:p>
    <w:p>
      <w:pPr>
        <w:ind w:left="1180" w:right="360" w:hanging="8"/>
        <w:spacing w:after="0" w:line="285" w:lineRule="auto"/>
        <w:tabs>
          <w:tab w:leader="none" w:pos="1411" w:val="left"/>
        </w:tabs>
        <w:numPr>
          <w:ilvl w:val="1"/>
          <w:numId w:val="5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420"/>
        <w:spacing w:after="0"/>
        <w:tabs>
          <w:tab w:leader="none" w:pos="6860" w:val="left"/>
        </w:tabs>
        <w:rPr>
          <w:sz w:val="20"/>
          <w:szCs w:val="20"/>
          <w:color w:val="auto"/>
        </w:rPr>
      </w:pPr>
      <w:r>
        <w:rPr>
          <w:rFonts w:ascii="Arial" w:cs="Arial" w:eastAsia="Arial" w:hAnsi="Arial"/>
          <w:sz w:val="16"/>
          <w:szCs w:val="16"/>
          <w:color w:val="auto"/>
        </w:rPr>
        <w:t>February 27, 2018</w:t>
      </w:r>
      <w:r>
        <w:rPr>
          <w:sz w:val="20"/>
          <w:szCs w:val="20"/>
          <w:color w:val="auto"/>
        </w:rPr>
        <w:tab/>
      </w:r>
      <w:r>
        <w:rPr>
          <w:rFonts w:ascii="Arial" w:cs="Arial" w:eastAsia="Arial" w:hAnsi="Arial"/>
          <w:sz w:val="15"/>
          <w:szCs w:val="15"/>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4082415</wp:posOffset>
            </wp:positionH>
            <wp:positionV relativeFrom="paragraph">
              <wp:posOffset>31115</wp:posOffset>
            </wp:positionV>
            <wp:extent cx="16617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extLst>
                    </a:blip>
                    <a:srcRect/>
                    <a:stretch>
                      <a:fillRect/>
                    </a:stretch>
                  </pic:blipFill>
                  <pic:spPr bwMode="auto">
                    <a:xfrm>
                      <a:off x="0" y="0"/>
                      <a:ext cx="1661795" cy="15240"/>
                    </a:xfrm>
                    <a:prstGeom prst="rect">
                      <a:avLst/>
                    </a:prstGeom>
                    <a:noFill/>
                  </pic:spPr>
                </pic:pic>
              </a:graphicData>
            </a:graphic>
          </wp:anchor>
        </w:drawing>
      </w:r>
    </w:p>
    <w:p>
      <w:pPr>
        <w:spacing w:after="0" w:line="65" w:lineRule="exact"/>
        <w:rPr>
          <w:sz w:val="20"/>
          <w:szCs w:val="20"/>
          <w:color w:val="auto"/>
        </w:rPr>
      </w:pPr>
    </w:p>
    <w:p>
      <w:pPr>
        <w:jc w:val="center"/>
        <w:ind w:left="4060"/>
        <w:spacing w:after="0"/>
        <w:rPr>
          <w:sz w:val="20"/>
          <w:szCs w:val="20"/>
          <w:color w:val="auto"/>
        </w:rPr>
      </w:pPr>
      <w:r>
        <w:rPr>
          <w:rFonts w:ascii="Arial" w:cs="Arial" w:eastAsia="Arial" w:hAnsi="Arial"/>
          <w:sz w:val="16"/>
          <w:szCs w:val="16"/>
          <w:color w:val="auto"/>
        </w:rPr>
        <w:t>Michael D. Casey</w:t>
      </w:r>
    </w:p>
    <w:p>
      <w:pPr>
        <w:spacing w:after="0" w:line="61" w:lineRule="exact"/>
        <w:rPr>
          <w:sz w:val="20"/>
          <w:szCs w:val="20"/>
          <w:color w:val="auto"/>
        </w:rPr>
      </w:pPr>
    </w:p>
    <w:p>
      <w:pPr>
        <w:jc w:val="center"/>
        <w:ind w:left="4060"/>
        <w:spacing w:after="0"/>
        <w:rPr>
          <w:sz w:val="20"/>
          <w:szCs w:val="20"/>
          <w:color w:val="auto"/>
        </w:rPr>
      </w:pPr>
      <w:r>
        <w:rPr>
          <w:rFonts w:ascii="Arial" w:cs="Arial" w:eastAsia="Arial" w:hAnsi="Arial"/>
          <w:sz w:val="16"/>
          <w:szCs w:val="16"/>
          <w:i w:val="1"/>
          <w:iCs w:val="1"/>
          <w:color w:val="auto"/>
        </w:rPr>
        <w:t>Chief Executive Officer</w:t>
      </w:r>
    </w:p>
    <w:p>
      <w:pPr>
        <w:sectPr>
          <w:pgSz w:w="11900" w:h="16838" w:orient="portrait"/>
          <w:cols w:equalWidth="0" w:num="1">
            <w:col w:w="11440"/>
          </w:cols>
          <w:pgMar w:left="240" w:top="323" w:right="219" w:bottom="1440" w:gutter="0" w:footer="0" w:header="0"/>
        </w:sectPr>
      </w:pPr>
    </w:p>
    <w:bookmarkStart w:id="120" w:name="page121"/>
    <w:bookmarkEnd w:id="120"/>
    <w:p>
      <w:pPr>
        <w:jc w:val="right"/>
        <w:spacing w:after="0"/>
        <w:rPr>
          <w:sz w:val="20"/>
          <w:szCs w:val="20"/>
          <w:color w:val="auto"/>
        </w:rPr>
      </w:pPr>
      <w:r>
        <w:rPr>
          <w:rFonts w:ascii="Arial" w:cs="Arial" w:eastAsia="Arial" w:hAnsi="Arial"/>
          <w:sz w:val="16"/>
          <w:szCs w:val="16"/>
          <w:color w:val="auto"/>
        </w:rPr>
        <w:t>Exhibit 31.2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I, Richard F. Westenberger, certify that:</w:t>
      </w:r>
    </w:p>
    <w:p>
      <w:pPr>
        <w:spacing w:after="0" w:line="232" w:lineRule="exact"/>
        <w:rPr>
          <w:sz w:val="20"/>
          <w:szCs w:val="20"/>
          <w:color w:val="auto"/>
        </w:rPr>
      </w:pPr>
    </w:p>
    <w:p>
      <w:pPr>
        <w:ind w:left="580" w:hanging="289"/>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Carter’s, Inc.;</w:t>
      </w:r>
    </w:p>
    <w:p>
      <w:pPr>
        <w:spacing w:after="0" w:line="231" w:lineRule="exact"/>
        <w:rPr>
          <w:rFonts w:ascii="Arial" w:cs="Arial" w:eastAsia="Arial" w:hAnsi="Arial"/>
          <w:sz w:val="16"/>
          <w:szCs w:val="16"/>
          <w:color w:val="auto"/>
        </w:rPr>
      </w:pPr>
    </w:p>
    <w:p>
      <w:pPr>
        <w:ind w:left="580" w:right="40" w:hanging="289"/>
        <w:spacing w:after="0" w:line="320" w:lineRule="auto"/>
        <w:tabs>
          <w:tab w:leader="none" w:pos="5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5"/>
          <w:szCs w:val="15"/>
          <w:color w:val="auto"/>
        </w:rPr>
      </w:pPr>
    </w:p>
    <w:p>
      <w:pPr>
        <w:ind w:left="580" w:right="40" w:hanging="289"/>
        <w:spacing w:after="0" w:line="285" w:lineRule="auto"/>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6"/>
          <w:szCs w:val="16"/>
          <w:color w:val="auto"/>
        </w:rPr>
      </w:pPr>
    </w:p>
    <w:p>
      <w:pPr>
        <w:ind w:left="580" w:hanging="289"/>
        <w:spacing w:after="0"/>
        <w:tabs>
          <w:tab w:leader="none" w:pos="5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34" w:lineRule="exact"/>
        <w:rPr>
          <w:rFonts w:ascii="Arial" w:cs="Arial" w:eastAsia="Arial" w:hAnsi="Arial"/>
          <w:sz w:val="15"/>
          <w:szCs w:val="15"/>
          <w:color w:val="auto"/>
        </w:rPr>
      </w:pPr>
    </w:p>
    <w:p>
      <w:pPr>
        <w:ind w:left="58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31" w:lineRule="exact"/>
        <w:rPr>
          <w:rFonts w:ascii="Arial" w:cs="Arial" w:eastAsia="Arial" w:hAnsi="Arial"/>
          <w:sz w:val="15"/>
          <w:szCs w:val="15"/>
          <w:color w:val="auto"/>
        </w:rPr>
      </w:pPr>
    </w:p>
    <w:p>
      <w:pPr>
        <w:jc w:val="both"/>
        <w:ind w:left="1180" w:right="40" w:hanging="8"/>
        <w:spacing w:after="0" w:line="270" w:lineRule="auto"/>
        <w:tabs>
          <w:tab w:leader="none" w:pos="1402"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jc w:val="both"/>
        <w:ind w:left="1180" w:right="140" w:hanging="8"/>
        <w:spacing w:after="0" w:line="270" w:lineRule="auto"/>
        <w:tabs>
          <w:tab w:leader="none" w:pos="1411"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6"/>
          <w:szCs w:val="16"/>
          <w:color w:val="auto"/>
        </w:rPr>
      </w:pPr>
    </w:p>
    <w:p>
      <w:pPr>
        <w:ind w:left="1180" w:right="200" w:hanging="8"/>
        <w:spacing w:after="0" w:line="285" w:lineRule="auto"/>
        <w:tabs>
          <w:tab w:leader="none" w:pos="1402"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6"/>
          <w:szCs w:val="16"/>
          <w:color w:val="auto"/>
        </w:rPr>
      </w:pPr>
    </w:p>
    <w:p>
      <w:pPr>
        <w:ind w:left="1180" w:right="400" w:hanging="8"/>
        <w:spacing w:after="0" w:line="270" w:lineRule="auto"/>
        <w:tabs>
          <w:tab w:leader="none" w:pos="1411" w:val="left"/>
        </w:tabs>
        <w:numPr>
          <w:ilvl w:val="1"/>
          <w:numId w:val="5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6"/>
          <w:szCs w:val="16"/>
          <w:color w:val="auto"/>
        </w:rPr>
      </w:pPr>
    </w:p>
    <w:p>
      <w:pPr>
        <w:ind w:left="580" w:right="540" w:hanging="289"/>
        <w:spacing w:after="0" w:line="285" w:lineRule="auto"/>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6"/>
          <w:szCs w:val="16"/>
          <w:color w:val="auto"/>
        </w:rPr>
      </w:pPr>
    </w:p>
    <w:p>
      <w:pPr>
        <w:ind w:left="1180" w:right="140" w:hanging="8"/>
        <w:spacing w:after="0" w:line="285" w:lineRule="auto"/>
        <w:tabs>
          <w:tab w:leader="none" w:pos="1402"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6"/>
          <w:szCs w:val="16"/>
          <w:color w:val="auto"/>
        </w:rPr>
      </w:pPr>
    </w:p>
    <w:p>
      <w:pPr>
        <w:ind w:left="1180" w:right="360" w:hanging="8"/>
        <w:spacing w:after="0" w:line="285" w:lineRule="auto"/>
        <w:tabs>
          <w:tab w:leader="none" w:pos="1411" w:val="left"/>
        </w:tabs>
        <w:numPr>
          <w:ilvl w:val="1"/>
          <w:numId w:val="5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320"/>
        <w:spacing w:after="0"/>
        <w:tabs>
          <w:tab w:leader="none" w:pos="6340" w:val="left"/>
        </w:tabs>
        <w:rPr>
          <w:sz w:val="20"/>
          <w:szCs w:val="20"/>
          <w:color w:val="auto"/>
        </w:rPr>
      </w:pPr>
      <w:r>
        <w:rPr>
          <w:rFonts w:ascii="Arial" w:cs="Arial" w:eastAsia="Arial" w:hAnsi="Arial"/>
          <w:sz w:val="16"/>
          <w:szCs w:val="16"/>
          <w:color w:val="auto"/>
        </w:rPr>
        <w:t>February 27, 2018</w:t>
      </w:r>
      <w:r>
        <w:rPr>
          <w:sz w:val="20"/>
          <w:szCs w:val="20"/>
          <w:color w:val="auto"/>
        </w:rPr>
        <w:tab/>
      </w:r>
      <w:r>
        <w:rPr>
          <w:rFonts w:ascii="Arial" w:cs="Arial" w:eastAsia="Arial" w:hAnsi="Arial"/>
          <w:sz w:val="15"/>
          <w:szCs w:val="15"/>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31115</wp:posOffset>
            </wp:positionV>
            <wp:extent cx="196405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1964055" cy="15240"/>
                    </a:xfrm>
                    <a:prstGeom prst="rect">
                      <a:avLst/>
                    </a:prstGeom>
                    <a:noFill/>
                  </pic:spPr>
                </pic:pic>
              </a:graphicData>
            </a:graphic>
          </wp:anchor>
        </w:drawing>
      </w:r>
    </w:p>
    <w:p>
      <w:pPr>
        <w:spacing w:after="0" w:line="77"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Richard F. Westenberger</w:t>
      </w:r>
    </w:p>
    <w:p>
      <w:pPr>
        <w:spacing w:after="0" w:line="61" w:lineRule="exact"/>
        <w:rPr>
          <w:sz w:val="20"/>
          <w:szCs w:val="20"/>
          <w:color w:val="auto"/>
        </w:rPr>
      </w:pPr>
    </w:p>
    <w:p>
      <w:pPr>
        <w:ind w:left="6820"/>
        <w:spacing w:after="0"/>
        <w:rPr>
          <w:sz w:val="20"/>
          <w:szCs w:val="20"/>
          <w:color w:val="auto"/>
        </w:rPr>
      </w:pPr>
      <w:r>
        <w:rPr>
          <w:rFonts w:ascii="Arial" w:cs="Arial" w:eastAsia="Arial" w:hAnsi="Arial"/>
          <w:sz w:val="16"/>
          <w:szCs w:val="16"/>
          <w:i w:val="1"/>
          <w:iCs w:val="1"/>
          <w:color w:val="auto"/>
        </w:rPr>
        <w:t>Chief Financial Officer</w:t>
      </w:r>
    </w:p>
    <w:p>
      <w:pPr>
        <w:sectPr>
          <w:pgSz w:w="11900" w:h="16838" w:orient="portrait"/>
          <w:cols w:equalWidth="0" w:num="1">
            <w:col w:w="11440"/>
          </w:cols>
          <w:pgMar w:left="240" w:top="237" w:right="219" w:bottom="1440" w:gutter="0" w:footer="0" w:header="0"/>
        </w:sectPr>
      </w:pPr>
    </w:p>
    <w:bookmarkStart w:id="121" w:name="page122"/>
    <w:bookmarkEnd w:id="121"/>
    <w:p>
      <w:pPr>
        <w:jc w:val="right"/>
        <w:spacing w:after="0"/>
        <w:rPr>
          <w:sz w:val="20"/>
          <w:szCs w:val="20"/>
          <w:color w:val="auto"/>
        </w:rPr>
      </w:pPr>
      <w:r>
        <w:rPr>
          <w:rFonts w:ascii="Arial" w:cs="Arial" w:eastAsia="Arial" w:hAnsi="Arial"/>
          <w:sz w:val="16"/>
          <w:szCs w:val="16"/>
          <w:color w:val="auto"/>
        </w:rPr>
        <w:t>Exhibit 32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11" w:lineRule="exact"/>
        <w:rPr>
          <w:sz w:val="20"/>
          <w:szCs w:val="20"/>
          <w:color w:val="auto"/>
        </w:rPr>
      </w:pPr>
    </w:p>
    <w:p>
      <w:pPr>
        <w:ind w:right="180" w:firstLine="293"/>
        <w:spacing w:after="0" w:line="270" w:lineRule="auto"/>
        <w:rPr>
          <w:sz w:val="20"/>
          <w:szCs w:val="20"/>
          <w:color w:val="auto"/>
        </w:rPr>
      </w:pPr>
      <w:r>
        <w:rPr>
          <w:rFonts w:ascii="Arial" w:cs="Arial" w:eastAsia="Arial" w:hAnsi="Arial"/>
          <w:sz w:val="16"/>
          <w:szCs w:val="16"/>
          <w:color w:val="auto"/>
        </w:rPr>
        <w:t>Each of the undersigned in the capacity indicated hereby certifies that, to his knowledge, this Annual Report on Form 10-K for the fiscal year ended December 30, 2017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660"/>
        <w:spacing w:after="0"/>
        <w:tabs>
          <w:tab w:leader="none" w:pos="6680" w:val="left"/>
        </w:tabs>
        <w:rPr>
          <w:sz w:val="20"/>
          <w:szCs w:val="20"/>
          <w:color w:val="auto"/>
        </w:rPr>
      </w:pPr>
      <w:r>
        <w:rPr>
          <w:rFonts w:ascii="Arial" w:cs="Arial" w:eastAsia="Arial" w:hAnsi="Arial"/>
          <w:sz w:val="16"/>
          <w:szCs w:val="16"/>
          <w:color w:val="auto"/>
        </w:rPr>
        <w:t>February 27, 2018</w:t>
      </w:r>
      <w:r>
        <w:rPr>
          <w:sz w:val="20"/>
          <w:szCs w:val="20"/>
          <w:color w:val="auto"/>
        </w:rPr>
        <w:tab/>
      </w:r>
      <w:r>
        <w:rPr>
          <w:rFonts w:ascii="Arial" w:cs="Arial" w:eastAsia="Arial" w:hAnsi="Arial"/>
          <w:sz w:val="15"/>
          <w:szCs w:val="15"/>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31115</wp:posOffset>
            </wp:positionV>
            <wp:extent cx="284924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2849245" cy="15240"/>
                    </a:xfrm>
                    <a:prstGeom prst="rect">
                      <a:avLst/>
                    </a:prstGeom>
                    <a:noFill/>
                  </pic:spPr>
                </pic:pic>
              </a:graphicData>
            </a:graphic>
          </wp:anchor>
        </w:drawing>
      </w:r>
    </w:p>
    <w:p>
      <w:pPr>
        <w:spacing w:after="0" w:line="77" w:lineRule="exact"/>
        <w:rPr>
          <w:sz w:val="20"/>
          <w:szCs w:val="20"/>
          <w:color w:val="auto"/>
        </w:rPr>
      </w:pPr>
    </w:p>
    <w:p>
      <w:pPr>
        <w:jc w:val="center"/>
        <w:ind w:left="3700"/>
        <w:spacing w:after="0"/>
        <w:rPr>
          <w:sz w:val="20"/>
          <w:szCs w:val="20"/>
          <w:color w:val="auto"/>
        </w:rPr>
      </w:pPr>
      <w:r>
        <w:rPr>
          <w:rFonts w:ascii="Arial" w:cs="Arial" w:eastAsia="Arial" w:hAnsi="Arial"/>
          <w:sz w:val="16"/>
          <w:szCs w:val="16"/>
          <w:color w:val="auto"/>
        </w:rPr>
        <w:t>Michael D. Casey</w:t>
      </w:r>
    </w:p>
    <w:p>
      <w:pPr>
        <w:spacing w:after="0" w:line="61" w:lineRule="exact"/>
        <w:rPr>
          <w:sz w:val="20"/>
          <w:szCs w:val="20"/>
          <w:color w:val="auto"/>
        </w:rPr>
      </w:pPr>
    </w:p>
    <w:p>
      <w:pPr>
        <w:jc w:val="center"/>
        <w:ind w:left="3700"/>
        <w:spacing w:after="0"/>
        <w:rPr>
          <w:sz w:val="20"/>
          <w:szCs w:val="20"/>
          <w:color w:val="auto"/>
        </w:rPr>
      </w:pPr>
      <w:r>
        <w:rPr>
          <w:rFonts w:ascii="Arial" w:cs="Arial" w:eastAsia="Arial" w:hAnsi="Arial"/>
          <w:sz w:val="16"/>
          <w:szCs w:val="16"/>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660"/>
        <w:spacing w:after="0"/>
        <w:tabs>
          <w:tab w:leader="none" w:pos="6320" w:val="left"/>
        </w:tabs>
        <w:rPr>
          <w:sz w:val="20"/>
          <w:szCs w:val="20"/>
          <w:color w:val="auto"/>
        </w:rPr>
      </w:pPr>
      <w:r>
        <w:rPr>
          <w:rFonts w:ascii="Arial" w:cs="Arial" w:eastAsia="Arial" w:hAnsi="Arial"/>
          <w:sz w:val="16"/>
          <w:szCs w:val="16"/>
          <w:color w:val="auto"/>
        </w:rPr>
        <w:t>February 27, 2018</w:t>
      </w:r>
      <w:r>
        <w:rPr>
          <w:sz w:val="20"/>
          <w:szCs w:val="20"/>
          <w:color w:val="auto"/>
        </w:rPr>
        <w:tab/>
      </w:r>
      <w:r>
        <w:rPr>
          <w:rFonts w:ascii="Arial" w:cs="Arial" w:eastAsia="Arial" w:hAnsi="Arial"/>
          <w:sz w:val="15"/>
          <w:szCs w:val="15"/>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31115</wp:posOffset>
            </wp:positionV>
            <wp:extent cx="284924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2849245" cy="15240"/>
                    </a:xfrm>
                    <a:prstGeom prst="rect">
                      <a:avLst/>
                    </a:prstGeom>
                    <a:noFill/>
                  </pic:spPr>
                </pic:pic>
              </a:graphicData>
            </a:graphic>
          </wp:anchor>
        </w:drawing>
      </w:r>
    </w:p>
    <w:p>
      <w:pPr>
        <w:spacing w:after="0" w:line="77"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Richard F. Westenberger</w:t>
      </w:r>
    </w:p>
    <w:p>
      <w:pPr>
        <w:spacing w:after="0" w:line="61" w:lineRule="exact"/>
        <w:rPr>
          <w:sz w:val="20"/>
          <w:szCs w:val="20"/>
          <w:color w:val="auto"/>
        </w:rPr>
      </w:pPr>
    </w:p>
    <w:p>
      <w:pPr>
        <w:ind w:left="6780"/>
        <w:spacing w:after="0"/>
        <w:rPr>
          <w:sz w:val="20"/>
          <w:szCs w:val="20"/>
          <w:color w:val="auto"/>
        </w:rPr>
      </w:pPr>
      <w:r>
        <w:rPr>
          <w:rFonts w:ascii="Arial" w:cs="Arial" w:eastAsia="Arial" w:hAnsi="Arial"/>
          <w:sz w:val="16"/>
          <w:szCs w:val="16"/>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firstLine="293"/>
        <w:spacing w:after="0" w:line="285" w:lineRule="auto"/>
        <w:rPr>
          <w:sz w:val="20"/>
          <w:szCs w:val="20"/>
          <w:color w:val="auto"/>
        </w:rPr>
      </w:pPr>
      <w:r>
        <w:rPr>
          <w:rFonts w:ascii="Arial" w:cs="Arial" w:eastAsia="Arial" w:hAnsi="Arial"/>
          <w:sz w:val="16"/>
          <w:szCs w:val="16"/>
          <w:color w:val="auto"/>
        </w:rPr>
        <w:t>The foregoing certifications are being furnished solely pursuant to 18 U.S.C. § 1350 and are not being filed as part of the Annual Report on Form 10-K or as a separate disclosure document.</w:t>
      </w:r>
    </w:p>
    <w:sectPr>
      <w:pgSz w:w="11900" w:h="16838" w:orient="portrait"/>
      <w:cols w:equalWidth="0" w:num="1">
        <w:col w:w="11440"/>
      </w:cols>
      <w:pgMar w:left="240" w:top="23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x"/>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lvl w:ilvl="1">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lowerLetter"/>
      <w:start w:val="2"/>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21">
    <w:nsid w:val="7724C67E"/>
    <w:multiLevelType w:val="hybridMultilevel"/>
    <w:lvl w:ilvl="0">
      <w:lvlJc w:val="left"/>
      <w:lvlText w:val="•"/>
      <w:numFmt w:val="bullet"/>
      <w:start w:val="1"/>
    </w:lvl>
    <w:lvl w:ilvl="1">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lowerRoman"/>
      <w:start w:val="9"/>
    </w:lvl>
  </w:abstractNum>
  <w:abstractNum w:abstractNumId="31">
    <w:nsid w:val="6A2342EC"/>
    <w:multiLevelType w:val="hybridMultilevel"/>
    <w:lvl w:ilvl="0">
      <w:lvlJc w:val="left"/>
      <w:lvlText w:val="(%1)"/>
      <w:numFmt w:val="lowerLetter"/>
      <w:start w:val="1"/>
    </w:lvl>
  </w:abstractNum>
  <w:abstractNum w:abstractNumId="32">
    <w:nsid w:val="2A487CB0"/>
    <w:multiLevelType w:val="hybridMultilevel"/>
    <w:lvl w:ilvl="0">
      <w:lvlJc w:val="left"/>
      <w:lvlText w:val="(%1)"/>
      <w:numFmt w:val="decimal"/>
    </w:lvl>
    <w:lvl w:ilvl="1">
      <w:lvlJc w:val="left"/>
      <w:lvlText w:val="*"/>
      <w:numFmt w:val="bullet"/>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lowerLetter"/>
      <w:start w:val="11"/>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1)"/>
      <w:numFmt w:val="lowerLetter"/>
      <w:start w:val="1"/>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upperLetter"/>
      <w:start w:val="1"/>
    </w:lvl>
    <w:lvl w:ilvl="1">
      <w:lvlJc w:val="left"/>
      <w:lvlText w:val="%2."/>
      <w:numFmt w:val="decimal"/>
      <w:start w:val="2"/>
    </w:lvl>
  </w:abstractNum>
  <w:abstractNum w:abstractNumId="43">
    <w:nsid w:val="32FFF902"/>
    <w:multiLevelType w:val="hybridMultilevel"/>
    <w:lvl w:ilvl="0">
      <w:lvlJc w:val="left"/>
      <w:lvlText w:val="(%1)"/>
      <w:numFmt w:val="upperLetter"/>
      <w:start w:val="2"/>
    </w:lvl>
    <w:lvl w:ilvl="1">
      <w:lvlJc w:val="left"/>
      <w:lvlText w:val="%2"/>
      <w:numFmt w:val="decimal"/>
      <w:start w:val="1"/>
    </w:lvl>
  </w:abstractNum>
  <w:abstractNum w:abstractNumId="44">
    <w:nsid w:val="684A481A"/>
    <w:multiLevelType w:val="hybridMultilevel"/>
    <w:lvl w:ilvl="0">
      <w:lvlJc w:val="left"/>
      <w:lvlText w:val="%1"/>
      <w:numFmt w:val="decimal"/>
      <w:start w:val="21"/>
    </w:lvl>
  </w:abstractNum>
  <w:abstractNum w:abstractNumId="45">
    <w:nsid w:val="579478FE"/>
    <w:multiLevelType w:val="hybridMultilevel"/>
    <w:lvl w:ilvl="0">
      <w:lvlJc w:val="left"/>
      <w:lvlText w:val="%1"/>
      <w:numFmt w:val="decimal"/>
      <w:start w:val="23"/>
    </w:lvl>
  </w:abstractNum>
  <w:abstractNum w:abstractNumId="46">
    <w:nsid w:val="749ABB43"/>
    <w:multiLevelType w:val="hybridMultilevel"/>
    <w:lvl w:ilvl="0">
      <w:lvlJc w:val="left"/>
      <w:lvlText w:val="%1"/>
      <w:numFmt w:val="decimal"/>
      <w:start w:val="32"/>
    </w:lvl>
  </w:abstractNum>
  <w:abstractNum w:abstractNumId="47">
    <w:nsid w:val="3DC240FB"/>
    <w:multiLevelType w:val="hybridMultilevel"/>
    <w:lvl w:ilvl="0">
      <w:lvlJc w:val="left"/>
      <w:lvlText w:val="*"/>
      <w:numFmt w:val="bullet"/>
      <w:start w:val="1"/>
    </w:lvl>
    <w:lvl w:ilvl="1">
      <w:lvlJc w:val="left"/>
      <w:lvlText w:val="%2"/>
      <w:numFmt w:val="decimal"/>
      <w:start w:val="10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lowerRoman"/>
      <w:start w:val="1"/>
    </w:lvl>
    <w:lvl w:ilvl="1">
      <w:lvlJc w:val="left"/>
      <w:lvlText w:val="(%2)"/>
      <w:numFmt w:val="decimal"/>
      <w:start w:val="4"/>
    </w:lvl>
  </w:abstractNum>
  <w:abstractNum w:abstractNumId="50">
    <w:nsid w:val="75C6C33A"/>
    <w:multiLevelType w:val="hybridMultilevel"/>
    <w:lvl w:ilvl="0">
      <w:lvlJc w:val="left"/>
      <w:lvlText w:val="(%1)"/>
      <w:numFmt w:val="lowerRoman"/>
      <w:start w:val="2"/>
    </w:lvl>
    <w:lvl w:ilvl="1">
      <w:lvlJc w:val="left"/>
      <w:lvlText w:val="(%2)"/>
      <w:numFmt w:val="decimal"/>
      <w:start w:val="8"/>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32" Type="http://schemas.openxmlformats.org/officeDocument/2006/relationships/image" Target="media/image9.png"/><Relationship Id="rId33" Type="http://schemas.openxmlformats.org/officeDocument/2006/relationships/image" Target="media/image10.jpeg"/><Relationship Id="rId34" Type="http://schemas.openxmlformats.org/officeDocument/2006/relationships/image" Target="media/image11.jpeg"/><Relationship Id="rId35"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16" Type="http://schemas.openxmlformats.org/officeDocument/2006/relationships/hyperlink" Target="http://www.sec.gov/Archives/edgar/data/1060822/000119312517179483/d400342dex31.htm" TargetMode="External"/><Relationship Id="rId17" Type="http://schemas.openxmlformats.org/officeDocument/2006/relationships/hyperlink" Target="http://www.sec.gov/Archives/edgar/data/1060822/000119312517179483/d400342dex32.htm" TargetMode="External"/><Relationship Id="rId18" Type="http://schemas.openxmlformats.org/officeDocument/2006/relationships/hyperlink" Target="http://www.sec.gov/Archives/edgar/data/1060822/000104746903033160/a2120070zex-4_1.txt" TargetMode="External"/><Relationship Id="rId19" Type="http://schemas.openxmlformats.org/officeDocument/2006/relationships/hyperlink" Target="http://www.sec.gov/Archives/edgar/data/1060822/000119312513331022/d582999dex41.htm" TargetMode="External"/><Relationship Id="rId20" Type="http://schemas.openxmlformats.org/officeDocument/2006/relationships/hyperlink" Target="http://www.sec.gov/Archives/edgar/data/795363/000119312514253010/d693002dex42.htm" TargetMode="External"/><Relationship Id="rId21" Type="http://schemas.openxmlformats.org/officeDocument/2006/relationships/hyperlink" Target="http://www.sec.gov/Archives/edgar/data/1060822/000119312515325541/d35273dex101.htm" TargetMode="External"/><Relationship Id="rId22" Type="http://schemas.openxmlformats.org/officeDocument/2006/relationships/hyperlink" Target="http://www.sec.gov/Archives/edgar/data/1060822/000119312517273645/d428481dex101.htm" TargetMode="External"/><Relationship Id="rId23" Type="http://schemas.openxmlformats.org/officeDocument/2006/relationships/hyperlink" Target="http://www.sec.gov/Archives/edgar/data/1060822/000106082215000029/cri-20151003exh102.htm" TargetMode="External"/><Relationship Id="rId24" Type="http://schemas.openxmlformats.org/officeDocument/2006/relationships/hyperlink" Target="http://www.sec.gov/Archives/edgar/data/1060822/000119312516526057/d149556ddef14a.htm#toc149556_22" TargetMode="External"/><Relationship Id="rId25" Type="http://schemas.openxmlformats.org/officeDocument/2006/relationships/hyperlink" Target="http://www.sec.gov/Archives/edgar/data/1060822/000119312516526057/d149556ddef14a.htm#toc149556_23" TargetMode="External"/><Relationship Id="rId26" Type="http://schemas.openxmlformats.org/officeDocument/2006/relationships/hyperlink" Target="http://www.sec.gov/Archives/edgar/data/1060822/000106082211000006/ex10_19.htm" TargetMode="External"/><Relationship Id="rId27" Type="http://schemas.openxmlformats.org/officeDocument/2006/relationships/hyperlink" Target="http://www.sec.gov/Archives/edgar/data/1060822/000106082211000006/ex10_20.htm" TargetMode="External"/><Relationship Id="rId28" Type="http://schemas.openxmlformats.org/officeDocument/2006/relationships/hyperlink" Target="http://www.sec.gov/Archives/edgar/data/1060822/000106082212000017/cri-2012331exh1021.htm" TargetMode="External"/><Relationship Id="rId29" Type="http://schemas.openxmlformats.org/officeDocument/2006/relationships/hyperlink" Target="http://www.sec.gov/Archives/edgar/data/1060822/000106082212000036/exhibit102.htm" TargetMode="External"/><Relationship Id="rId30" Type="http://schemas.openxmlformats.org/officeDocument/2006/relationships/hyperlink" Target="http://www.sec.gov/Archives/edgar/data/1060822/000106082212000036/exhibit101.htm" TargetMode="External"/><Relationship Id="rId31" Type="http://schemas.openxmlformats.org/officeDocument/2006/relationships/hyperlink" Target="http://www.sec.gov/Archives/edgar/data/1060822/000106082213000034/a1019phippstowerlease-sec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2019-12-29T01:19:43Z</dcterms:created>
  <dcterms:modified xsi:type="dcterms:W3CDTF">2019-12-29T01:19:43Z</dcterms:modified>
</cp:coreProperties>
</file>