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 (Do not check if a smaller reporting company) Smaller Reporting Company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4"/>
          <w:szCs w:val="24"/>
          <w:color w:val="auto"/>
        </w:rPr>
      </w:pPr>
    </w:p>
    <w:p>
      <w:pPr>
        <w:spacing w:after="0" w:line="26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770"/>
              <w:spacing w:after="0"/>
              <w:rPr>
                <w:sz w:val="20"/>
                <w:szCs w:val="20"/>
                <w:color w:val="auto"/>
              </w:rPr>
            </w:pPr>
            <w:r>
              <w:rPr>
                <w:rFonts w:ascii="Arial" w:cs="Arial" w:eastAsia="Arial" w:hAnsi="Arial"/>
                <w:sz w:val="18"/>
                <w:szCs w:val="18"/>
                <w:b w:val="1"/>
                <w:bCs w:val="1"/>
                <w:color w:val="auto"/>
              </w:rPr>
              <w:t>Outstanding Shares at April 20, 2018</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46,940,990</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10"/>
          </w:tcPr>
          <w:p>
            <w:pPr>
              <w:jc w:val="center"/>
              <w:ind w:right="2200"/>
              <w:spacing w:after="0"/>
              <w:rPr>
                <w:sz w:val="20"/>
                <w:szCs w:val="20"/>
                <w:color w:val="auto"/>
              </w:rPr>
            </w:pPr>
            <w:r>
              <w:rPr>
                <w:rFonts w:ascii="Arial" w:cs="Arial" w:eastAsia="Arial" w:hAnsi="Arial"/>
                <w:sz w:val="20"/>
                <w:szCs w:val="20"/>
                <w:b w:val="1"/>
                <w:bCs w:val="1"/>
                <w:color w:val="auto"/>
                <w:w w:val="99"/>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40" w:type="dxa"/>
            <w:vAlign w:val="bottom"/>
            <w:gridSpan w:val="10"/>
          </w:tcPr>
          <w:p>
            <w:pPr>
              <w:jc w:val="center"/>
              <w:ind w:right="2200"/>
              <w:spacing w:after="0"/>
              <w:rPr>
                <w:sz w:val="20"/>
                <w:szCs w:val="20"/>
                <w:color w:val="auto"/>
              </w:rPr>
            </w:pPr>
            <w:r>
              <w:rPr>
                <w:rFonts w:ascii="Arial" w:cs="Arial" w:eastAsia="Arial" w:hAnsi="Arial"/>
                <w:sz w:val="20"/>
                <w:szCs w:val="20"/>
                <w:b w:val="1"/>
                <w:bCs w:val="1"/>
                <w:color w:val="auto"/>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340" w:type="dxa"/>
            <w:vAlign w:val="bottom"/>
            <w:gridSpan w:val="30"/>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340" w:type="dxa"/>
            <w:vAlign w:val="bottom"/>
            <w:gridSpan w:val="30"/>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w w:val="93"/>
              </w:rPr>
              <w:t>Unaudited Condensed Consolidated Balance Sheets as of March 31, 2018, December 30, 2017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0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18"/>
                <w:szCs w:val="18"/>
                <w:color w:val="0000FF"/>
              </w:rPr>
              <w:t>April 1, 2017</w:t>
            </w:r>
          </w:p>
        </w:tc>
        <w:tc>
          <w:tcPr>
            <w:tcW w:w="400" w:type="dxa"/>
            <w:vAlign w:val="bottom"/>
            <w:gridSpan w:val="5"/>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0000FF"/>
            </w:tcBorders>
            <w:gridSpan w:val="19"/>
            <w:shd w:val="clear" w:color="auto" w:fill="CCEEFF"/>
          </w:tcPr>
          <w:p>
            <w:pPr>
              <w:spacing w:after="0" w:line="202" w:lineRule="exact"/>
              <w:rPr>
                <w:sz w:val="20"/>
                <w:szCs w:val="20"/>
                <w:color w:val="auto"/>
              </w:rPr>
            </w:pPr>
            <w:r>
              <w:rPr>
                <w:rFonts w:ascii="Arial" w:cs="Arial" w:eastAsia="Arial" w:hAnsi="Arial"/>
                <w:sz w:val="18"/>
                <w:szCs w:val="18"/>
                <w:color w:val="0000FF"/>
                <w:w w:val="89"/>
                <w:shd w:val="clear" w:color="auto" w:fill="CCEEFF"/>
              </w:rPr>
              <w:t>Unaudited Condensed Consolidated Statements of Operations for the fiscal quarter ended March 31,</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6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FF"/>
                <w:w w:val="90"/>
                <w:shd w:val="clear" w:color="auto" w:fill="CCEEFF"/>
              </w:rPr>
              <w:t>2018 and April 1, 2017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60" w:type="dxa"/>
            <w:vAlign w:val="bottom"/>
            <w:tcBorders>
              <w:bottom w:val="single" w:sz="8" w:color="0000FF"/>
            </w:tcBorders>
            <w:gridSpan w:val="21"/>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Comprehensive Income for the fiscal quarter ended</w:t>
            </w:r>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196" w:lineRule="exact"/>
              <w:rPr>
                <w:sz w:val="20"/>
                <w:szCs w:val="20"/>
                <w:color w:val="auto"/>
              </w:rPr>
            </w:pPr>
            <w:r>
              <w:rPr>
                <w:rFonts w:ascii="Arial" w:cs="Arial" w:eastAsia="Arial" w:hAnsi="Arial"/>
                <w:sz w:val="18"/>
                <w:szCs w:val="18"/>
                <w:color w:val="0000FF"/>
              </w:rPr>
              <w:t>March 31, 2018 and April 1, 2017</w:t>
            </w: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gridSpan w:val="22"/>
            <w:shd w:val="clear" w:color="auto" w:fill="CCEEFF"/>
          </w:tcPr>
          <w:p>
            <w:pPr>
              <w:spacing w:after="0" w:line="202" w:lineRule="exact"/>
              <w:rPr>
                <w:sz w:val="20"/>
                <w:szCs w:val="20"/>
                <w:color w:val="auto"/>
              </w:rPr>
            </w:pPr>
            <w:r>
              <w:rPr>
                <w:rFonts w:ascii="Arial" w:cs="Arial" w:eastAsia="Arial" w:hAnsi="Arial"/>
                <w:sz w:val="18"/>
                <w:szCs w:val="18"/>
                <w:color w:val="0000FF"/>
                <w:w w:val="90"/>
                <w:shd w:val="clear" w:color="auto" w:fill="CCEEFF"/>
              </w:rPr>
              <w:t>Unaudited Condensed Consolidated Statement of Changes in Stockholders' Equity for the fiscal quarter</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2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0000FF"/>
                <w:w w:val="88"/>
                <w:shd w:val="clear" w:color="auto" w:fill="CCEEFF"/>
              </w:rPr>
              <w:t>ended March 31, 2018</w:t>
            </w:r>
          </w:p>
        </w:tc>
        <w:tc>
          <w:tcPr>
            <w:tcW w:w="140" w:type="dxa"/>
            <w:vAlign w:val="bottom"/>
            <w:gridSpan w:val="2"/>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w w:val="92"/>
              </w:rPr>
              <w:t>Unaudited Condensed Consolidated Statements of Cash Flows for the fiscal quarter ended March 31,</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2018 and April 1, 2017</w:t>
            </w:r>
          </w:p>
        </w:tc>
        <w:tc>
          <w:tcPr>
            <w:tcW w:w="240" w:type="dxa"/>
            <w:vAlign w:val="bottom"/>
            <w:gridSpan w:val="3"/>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0"/>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5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Item 2</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500" w:type="dxa"/>
            <w:vAlign w:val="bottom"/>
            <w:gridSpan w:val="23"/>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Item 4</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7500" w:type="dxa"/>
            <w:vAlign w:val="bottom"/>
            <w:gridSpan w:val="23"/>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7500" w:type="dxa"/>
            <w:vAlign w:val="bottom"/>
            <w:gridSpan w:val="23"/>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8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8"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April 1, 2017</w:t>
            </w:r>
          </w:p>
        </w:tc>
      </w:tr>
      <w:tr>
        <w:trPr>
          <w:trHeight w:val="23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180,256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178,494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154,278</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206,707</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479,344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548,722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434,712</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48,396</w:t>
            </w: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935,083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1,020,712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844,093</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Property, plant, and equipment, net of accumulated depreciation of $416,153, $404,173,</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$365,733,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377,924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386,275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365,506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365,551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365,684</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232,925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47,369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47,996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35,695</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23,034</w:t>
            </w:r>
          </w:p>
        </w:tc>
      </w:tr>
      <w:tr>
        <w:trPr>
          <w:trHeight w:val="284"/>
        </w:trPr>
        <w:tc>
          <w:tcPr>
            <w:tcW w:w="58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1,975,206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1,887,706</w:t>
            </w:r>
          </w:p>
        </w:tc>
      </w:tr>
      <w:tr>
        <w:trPr>
          <w:trHeight w:val="203"/>
        </w:trPr>
        <w:tc>
          <w:tcPr>
            <w:tcW w:w="5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116,310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182,114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101,386</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125,634</w:t>
            </w:r>
          </w:p>
        </w:tc>
      </w:tr>
      <w:tr>
        <w:trPr>
          <w:trHeight w:val="217"/>
        </w:trPr>
        <w:tc>
          <w:tcPr>
            <w:tcW w:w="58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225,936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331,248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227,020</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617,541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617,306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581,621</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133,652</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189,493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180,128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173,280</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1,120,392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1,213,626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1,115,573</w:t>
            </w:r>
          </w:p>
        </w:tc>
      </w:tr>
      <w:tr>
        <w:trPr>
          <w:trHeight w:val="189"/>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 - Note 14</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176"/>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5820" w:type="dxa"/>
            <w:vAlign w:val="bottom"/>
          </w:tcPr>
          <w:p>
            <w:pPr>
              <w:ind w:left="40"/>
              <w:spacing w:after="0"/>
              <w:rPr>
                <w:sz w:val="20"/>
                <w:szCs w:val="20"/>
                <w:color w:val="auto"/>
              </w:rPr>
            </w:pPr>
            <w:r>
              <w:rPr>
                <w:rFonts w:ascii="Arial" w:cs="Arial" w:eastAsia="Arial" w:hAnsi="Arial"/>
                <w:sz w:val="16"/>
                <w:szCs w:val="16"/>
                <w:color w:val="auto"/>
                <w:w w:val="95"/>
              </w:rPr>
              <w:t>Preferred stock; par value $.01 per share; 100,000 shares authorized; none issued or</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5820" w:type="dxa"/>
            <w:vAlign w:val="bottom"/>
          </w:tcPr>
          <w:p>
            <w:pPr>
              <w:ind w:left="40"/>
              <w:spacing w:after="0"/>
              <w:rPr>
                <w:sz w:val="20"/>
                <w:szCs w:val="20"/>
                <w:color w:val="auto"/>
              </w:rPr>
            </w:pPr>
            <w:r>
              <w:rPr>
                <w:rFonts w:ascii="Arial" w:cs="Arial" w:eastAsia="Arial" w:hAnsi="Arial"/>
                <w:sz w:val="16"/>
                <w:szCs w:val="16"/>
                <w:color w:val="auto"/>
              </w:rPr>
              <w:t>outstanding at March 31, 2018, December 30, 2017, and April 1, 2017</w:t>
            </w:r>
          </w:p>
        </w:tc>
        <w:tc>
          <w:tcPr>
            <w:tcW w:w="280" w:type="dxa"/>
            <w:vAlign w:val="bottom"/>
          </w:tcPr>
          <w:p>
            <w:pPr>
              <w:spacing w:after="0"/>
              <w:rPr>
                <w:sz w:val="17"/>
                <w:szCs w:val="17"/>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Common stock, voting; par value $.01 per share; 150,000,000 shares authorized;</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shd w:val="clear" w:color="auto" w:fill="CCEEFF"/>
              </w:rPr>
              <w:t>47,113,576, 47,178,346 and 48,517,417 shares issued and outstanding at March 31,</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2018, December 30, 2017 and April 1, 2017,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(30,855)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(33,793)</w:t>
            </w:r>
          </w:p>
        </w:tc>
      </w:tr>
      <w:tr>
        <w:trPr>
          <w:trHeight w:val="33"/>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885,198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805,441</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854,814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857,416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772,133</w:t>
            </w:r>
          </w:p>
        </w:tc>
      </w:tr>
      <w:tr>
        <w:trPr>
          <w:trHeight w:val="33"/>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1,975,206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1,887,706</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4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4"/>
            <w:shd w:val="clear" w:color="auto" w:fill="CCEEFF"/>
          </w:tcPr>
          <w:p>
            <w:pPr>
              <w:jc w:val="right"/>
              <w:ind w:right="979"/>
              <w:spacing w:after="0"/>
              <w:rPr>
                <w:sz w:val="20"/>
                <w:szCs w:val="20"/>
                <w:color w:val="auto"/>
              </w:rPr>
            </w:pPr>
            <w:r>
              <w:rPr>
                <w:rFonts w:ascii="Arial" w:cs="Arial" w:eastAsia="Arial" w:hAnsi="Arial"/>
                <w:sz w:val="16"/>
                <w:szCs w:val="16"/>
                <w:b w:val="1"/>
                <w:bCs w:val="1"/>
                <w:color w:val="auto"/>
                <w:shd w:val="clear" w:color="auto" w:fill="CCEEFF"/>
              </w:rPr>
              <w:t>Fiscal quarter ended</w:t>
            </w:r>
          </w:p>
        </w:tc>
      </w:tr>
      <w:tr>
        <w:trPr>
          <w:trHeight w:val="231"/>
        </w:trPr>
        <w:tc>
          <w:tcPr>
            <w:tcW w:w="4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April 1, 2017</w:t>
            </w:r>
          </w:p>
        </w:tc>
      </w:tr>
      <w:tr>
        <w:trPr>
          <w:trHeight w:val="33"/>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755,786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732,827</w:t>
            </w: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423,309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417,135</w:t>
            </w:r>
          </w:p>
        </w:tc>
      </w:tr>
      <w:tr>
        <w:trPr>
          <w:trHeight w:val="33"/>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332,477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315,692</w:t>
            </w: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7,994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10,558</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280,162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247,794</w:t>
            </w: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60,309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78,456</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w:t>
            </w: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52,872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71,712</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25,117</w:t>
            </w:r>
          </w:p>
        </w:tc>
      </w:tr>
      <w:tr>
        <w:trPr>
          <w:trHeight w:val="28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46,595</w:t>
            </w:r>
          </w:p>
        </w:tc>
      </w:tr>
      <w:tr>
        <w:trPr>
          <w:trHeight w:val="311"/>
        </w:trPr>
        <w:tc>
          <w:tcPr>
            <w:tcW w:w="4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0.96</w:t>
            </w:r>
          </w:p>
        </w:tc>
      </w:tr>
      <w:tr>
        <w:trPr>
          <w:trHeight w:val="3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0.37</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796"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0" w:lineRule="exact"/>
        <w:rPr>
          <w:sz w:val="20"/>
          <w:szCs w:val="20"/>
          <w:color w:val="auto"/>
        </w:rPr>
      </w:pPr>
    </w:p>
    <w:tbl>
      <w:tblPr>
        <w:tblLayout w:type="fixed"/>
        <w:tblInd w:w="780" w:type="dxa"/>
        <w:tblCellMar>
          <w:top w:w="0" w:type="dxa"/>
          <w:left w:w="0" w:type="dxa"/>
          <w:bottom w:w="0" w:type="dxa"/>
          <w:right w:w="0" w:type="dxa"/>
        </w:tblCellMar>
      </w:tblP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4"/>
            <w:shd w:val="clear" w:color="auto" w:fill="CCEEFF"/>
          </w:tcPr>
          <w:p>
            <w:pPr>
              <w:jc w:val="right"/>
              <w:ind w:right="1179"/>
              <w:spacing w:after="0"/>
              <w:rPr>
                <w:sz w:val="20"/>
                <w:szCs w:val="20"/>
                <w:color w:val="auto"/>
              </w:rPr>
            </w:pPr>
            <w:r>
              <w:rPr>
                <w:rFonts w:ascii="Arial" w:cs="Arial" w:eastAsia="Arial" w:hAnsi="Arial"/>
                <w:sz w:val="16"/>
                <w:szCs w:val="16"/>
                <w:b w:val="1"/>
                <w:bCs w:val="1"/>
                <w:color w:val="auto"/>
              </w:rPr>
              <w:t>Fiscal quarter ended</w:t>
            </w:r>
          </w:p>
        </w:tc>
      </w:tr>
      <w:tr>
        <w:trPr>
          <w:trHeight w:val="231"/>
        </w:trPr>
        <w:tc>
          <w:tcPr>
            <w:tcW w:w="3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April 1, 2017</w:t>
            </w:r>
          </w:p>
        </w:tc>
      </w:tr>
      <w:tr>
        <w:trPr>
          <w:trHeight w:val="33"/>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46,595</w:t>
            </w:r>
          </w:p>
        </w:tc>
      </w:tr>
      <w:tr>
        <w:trPr>
          <w:trHeight w:val="237"/>
        </w:trPr>
        <w:tc>
          <w:tcPr>
            <w:tcW w:w="34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4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40,707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47,542</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58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8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9"/>
              </w:rPr>
              <w:t>Common stock -</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43"/>
        </w:trPr>
        <w:tc>
          <w:tcPr>
            <w:tcW w:w="2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115"/>
        </w:trPr>
        <w:tc>
          <w:tcPr>
            <w:tcW w:w="28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47,178,346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r>
      <w:tr>
        <w:trPr>
          <w:trHeight w:val="237"/>
        </w:trPr>
        <w:tc>
          <w:tcPr>
            <w:tcW w:w="28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95,006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4,769</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(55,164)</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(6,583)</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116,701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(221,313)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(25,195)</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40,707</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47,113,576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885,198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854,814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13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34290</wp:posOffset>
            </wp:positionV>
            <wp:extent cx="2298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April 1, 2017</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46,595</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21,137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19,513</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373</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4,779</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Unrealized foreign currency exchange gain, net</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Provisions for doubtful accounts receivable from customers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(1,651)</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Loss on disposal of property, plant, and equipment, net of recoveries</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189</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3,451</w:t>
            </w:r>
          </w:p>
        </w:tc>
      </w:tr>
      <w:tr>
        <w:trPr>
          <w:trHeight w:val="237"/>
        </w:trPr>
        <w:tc>
          <w:tcPr>
            <w:tcW w:w="7700" w:type="dxa"/>
            <w:vAlign w:val="bottom"/>
          </w:tcPr>
          <w:p>
            <w:pPr>
              <w:ind w:left="380"/>
              <w:spacing w:after="0"/>
              <w:rPr>
                <w:sz w:val="20"/>
                <w:szCs w:val="20"/>
                <w:color w:val="auto"/>
              </w:rPr>
            </w:pPr>
            <w:r>
              <w:rPr>
                <w:rFonts w:ascii="Arial" w:cs="Arial" w:eastAsia="Arial" w:hAnsi="Arial"/>
                <w:sz w:val="16"/>
                <w:szCs w:val="16"/>
                <w:color w:val="auto"/>
              </w:rPr>
              <w:t>Effect of changes in operating assets and liabilities, net of acquisitions:</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17,898</w:t>
            </w:r>
          </w:p>
        </w:tc>
      </w:tr>
      <w:tr>
        <w:trPr>
          <w:trHeight w:val="237"/>
        </w:trPr>
        <w:tc>
          <w:tcPr>
            <w:tcW w:w="7700" w:type="dxa"/>
            <w:vAlign w:val="bottom"/>
          </w:tcPr>
          <w:p>
            <w:pPr>
              <w:ind w:left="480"/>
              <w:spacing w:after="0"/>
              <w:rPr>
                <w:sz w:val="20"/>
                <w:szCs w:val="20"/>
                <w:color w:val="auto"/>
              </w:rPr>
            </w:pPr>
            <w:r>
              <w:rPr>
                <w:rFonts w:ascii="Arial" w:cs="Arial" w:eastAsia="Arial" w:hAnsi="Arial"/>
                <w:sz w:val="16"/>
                <w:szCs w:val="16"/>
                <w:color w:val="auto"/>
              </w:rPr>
              <w:t>Finished goods inventories</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68,294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82,086</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(15,008)</w:t>
            </w:r>
          </w:p>
        </w:tc>
      </w:tr>
      <w:tr>
        <w:trPr>
          <w:trHeight w:val="237"/>
        </w:trPr>
        <w:tc>
          <w:tcPr>
            <w:tcW w:w="7700" w:type="dxa"/>
            <w:vAlign w:val="bottom"/>
          </w:tcPr>
          <w:p>
            <w:pPr>
              <w:ind w:left="48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(94,758)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(74,233)</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84,180</w:t>
            </w:r>
          </w:p>
        </w:tc>
      </w:tr>
      <w:tr>
        <w:trPr>
          <w:trHeight w:val="223"/>
        </w:trPr>
        <w:tc>
          <w:tcPr>
            <w:tcW w:w="7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(14,744)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(17,991)</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(143,704)</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Disposals and recoveries from property, plant, and equipment</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shd w:val="clear" w:color="auto" w:fill="CCEEFF"/>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(161,695)</w:t>
            </w:r>
          </w:p>
        </w:tc>
      </w:tr>
      <w:tr>
        <w:trPr>
          <w:trHeight w:val="223"/>
        </w:trPr>
        <w:tc>
          <w:tcPr>
            <w:tcW w:w="7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Borrowings under secured revolving credit facility</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20,000</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Payments on secured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(46,627)</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37"/>
        </w:trPr>
        <w:tc>
          <w:tcPr>
            <w:tcW w:w="7700" w:type="dxa"/>
            <w:vAlign w:val="bottom"/>
          </w:tcPr>
          <w:p>
            <w:pPr>
              <w:ind w:left="260"/>
              <w:spacing w:after="0"/>
              <w:rPr>
                <w:sz w:val="20"/>
                <w:szCs w:val="20"/>
                <w:color w:val="auto"/>
              </w:rPr>
            </w:pPr>
            <w:r>
              <w:rPr>
                <w:rFonts w:ascii="Arial" w:cs="Arial" w:eastAsia="Arial" w:hAnsi="Arial"/>
                <w:sz w:val="16"/>
                <w:szCs w:val="16"/>
                <w:color w:val="auto"/>
              </w:rPr>
              <w:t>Withholdings from vestings of restricted stock</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(6,583)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(5,552)</w:t>
            </w:r>
          </w:p>
        </w:tc>
      </w:tr>
      <w:tr>
        <w:trPr>
          <w:trHeight w:val="3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Proceeds from exercises of 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w:t>
            </w:r>
          </w:p>
        </w:tc>
      </w:tr>
      <w:tr>
        <w:trPr>
          <w:trHeight w:val="217"/>
        </w:trPr>
        <w:tc>
          <w:tcPr>
            <w:tcW w:w="770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(48,253)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(67,516)</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7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Net 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(145,080)</w:t>
            </w:r>
          </w:p>
        </w:tc>
      </w:tr>
      <w:tr>
        <w:trPr>
          <w:trHeight w:val="237"/>
        </w:trPr>
        <w:tc>
          <w:tcPr>
            <w:tcW w:w="77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178,494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299,358</w:t>
            </w: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and cash equivalents,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154,278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580"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Carter's, Inc. and its wholly owned subsidiaries (collectively, the "Company," "its," "us" and "our") design, source, and market branded childrenswear and related products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March 31, 2018, the Company operated 1,039 retail stores.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March 31, 2018 are not necessarily indicative of the results that may be expected for the 2018 fiscal year ending December 29, 2018.</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The accompanying condensed consolidated balance sheet as of December 30, 2017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 As disclosed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at the beginning of fiscal 2018 the Company adopted the Financial Accounting Standards Board's ("FASB")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(“ASC 606”) using the full retrospective adoption method. The full retrospective method required the Company to apply the standard to the financial statements for the period of adoption as well as to each prior reporting period presented.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(ASC No. 606)</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 xml:space="preserve">At the beginning of fiscal 2018, the Company adopted the provisions of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related amendments (“ASC 606”) using the full retrospective adoption method.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additional information.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8" w:name="page9"/>
    <w:bookmarkEnd w:id="8"/>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18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revenue as the performance obligations are satisfied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Retail Revenues - For transactions in stores, the Company satisfies its performance obligation at point of sale when the customer takes possession of the goods and tenders payment. The redemption of loyalty points under the Company's rewards program and redemptions of gift cards may be part of a transaction. For purchases made through the Company’s eCommerce channel, revenue is recognized when the goods are physically delivered to the customer.</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satisfies its performance obligations with licensees over time as customers have the right to use the intellectual property over the contract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establishes return provisions for retail customers. It is the Company's policy not to accept returns from wholesale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8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retail transactions, no significant judgments are involved since revenue is recognized at the point of sale when tender is exchanged and the customer receives the goods.</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Charges - Charges that are incurred before and after the customer obtains control of goods are deemed to be fulfillment costs.</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Costs Related to Defined Benefit Pension and Other Post-retirement Benefit Plans (ASU 2017-07)</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At the beginning of fiscal 2018, the Company adopted ASU No. 2017-07, </w:t>
      </w:r>
      <w:r>
        <w:rPr>
          <w:rFonts w:ascii="Arial" w:cs="Arial" w:eastAsia="Arial" w:hAnsi="Arial"/>
          <w:sz w:val="17"/>
          <w:szCs w:val="17"/>
          <w:i w:val="1"/>
          <w:iCs w:val="1"/>
          <w:color w:val="auto"/>
        </w:rPr>
        <w:t>Compensation - Retirement Benefits (Topic 715: Improving the Presentation of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Periodic Pension Cost and Net Periodic Post-retirement Benefit Cost </w:t>
      </w:r>
      <w:r>
        <w:rPr>
          <w:rFonts w:ascii="Arial" w:cs="Arial" w:eastAsia="Arial" w:hAnsi="Arial"/>
          <w:sz w:val="17"/>
          <w:szCs w:val="17"/>
          <w:color w:val="auto"/>
        </w:rPr>
        <w:t>("ASU 2017-07"). ASU 2017-07 changes how employers that sponsor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and/or other post-retirement benefit plans present the net periodic benefit costs in the statement of operations. Under this new guidance, an employer's statement of operations presents service cost arising in the current period in the same statement line item as other employee compensation. However, all other components of current period costs related to defined benefit plans, such as prior service costs and actuarial gains and losses, are presented on the statement of operations on a line item outside (or below) operating income. ASU 2017-07 affects only the classification of certain costs on the statement of operations, not the determination of costs. Net periodic pension costs related to the Company's frozen defined benefit pension plan and post-retirement medical benefit plan were not material for the first quarter of fiscal 2018 or prior periods. Prior period results have not been reclassified on the Company's statement of operations due to materiality.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Share-based Compensation Awards (ASU 2017-09)</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At the beginning of fiscal 2018, the Company adopted ASU No. 2017-09, </w:t>
      </w:r>
      <w:r>
        <w:rPr>
          <w:rFonts w:ascii="Arial" w:cs="Arial" w:eastAsia="Arial" w:hAnsi="Arial"/>
          <w:sz w:val="18"/>
          <w:szCs w:val="18"/>
          <w:i w:val="1"/>
          <w:iCs w:val="1"/>
          <w:color w:val="auto"/>
        </w:rPr>
        <w:t>Compensation-Stock Compensation Topic 718-Scope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2017-09"). ASU 2017-09 clarifies when changes to the terms and conditions of share-based payment awards must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Entities apply the modification accounting guidance if the value, vesting conditions, or classification of an award changes. The Company has not modified any share-based payment awards. Should the Company modify share-based payment awards in the future, it will apply the provisions of ASU 2017-09.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 Business (ASU 2017-01)</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the beginning of fiscal 2018, the Company adopted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ASU 2017-01 assists entities in determining if acquired assets constitute the acquisition of a business or the acquisition of assets for accounting and reporting purposes. This distinction is important because goodwill can only be recognized in an acquisition of a business. Prior to ASU 2017-01, if revenues were generated immediately before and after a transaction, the acquisition was typically considered a business. Under ASU 2017-01, entities are required to further assess the substance of the processes they acquire. Should the Company commence or complete an acquisition in future periods, it will apply the provisions of ASU 2017-01.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37" w:right="279" w:bottom="1440" w:gutter="0" w:footer="0" w:header="0"/>
        </w:sectPr>
      </w:pPr>
    </w:p>
    <w:bookmarkStart w:id="10" w:name="page11"/>
    <w:bookmarkEnd w:id="10"/>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 (ASU 2016-15)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the beginning of fiscal 2018, the Company adopted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ASU 2016-15</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represents a consensus of the FASB’s Emerging Issues Task Force on eight separate issues that, if present, can impact classifications on the statement of cash flows. The guidance requires application using a retrospective transition method. The adoption of ASU 2016-15 only impacted the classification of certain insurance proceeds on the Company consolidated statement of cash flows for the first quarter of fiscal 2018.</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At the beginning of fiscal 2018, the Company adopted the provisions of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related amendments (“ASC 606”) using the full retrospective adoption method. Under the full retrospective method, the Company adjusted all periods in fiscal 2017 and fiscal 2016 to reflect the provisions of ASC 606, and retained earnings at January 2, 2016 (beginning of fiscal 2016) were adjusted for the cumulative effect for prior periods. Refer to the section "Revenue from Contracts with Customers (ASC No. 606)" in Note 2,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changes to the Company's accounting policies due to the adoption of ASC 606.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ASC 606 affected the Company's retail channels as follows:</w:t>
      </w:r>
    </w:p>
    <w:p>
      <w:pPr>
        <w:spacing w:after="0" w:line="185" w:lineRule="exact"/>
        <w:rPr>
          <w:sz w:val="20"/>
          <w:szCs w:val="20"/>
          <w:color w:val="auto"/>
        </w:rPr>
      </w:pPr>
    </w:p>
    <w:p>
      <w:pPr>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the recognition of breakage revenue from unredeemed gift cards, which affected net sales, gross profit, income before income taxes, and net income on the Company's statement of operations. Basic and diluted net income per share were affected by $0.01 or less for each reporting period. Related gift card liabilities and income tax liabilities were also affected.</w:t>
      </w:r>
    </w:p>
    <w:p>
      <w:pPr>
        <w:spacing w:after="0" w:line="140"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estimated value of goods expected to be returned by customers were reclassified between net sales and cost of goods sold, with no net effect on gross profit, income before income taxes, or net income on the Company's statement of operations. Related reclassifications were also made between other current assets and other current liabilities on the Company's balance sheet.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retrospective adoption on the Company's consolidated Statement of Operations were as follows:</w:t>
      </w:r>
    </w:p>
    <w:p>
      <w:pPr>
        <w:spacing w:after="0" w:line="334" w:lineRule="exact"/>
        <w:rPr>
          <w:sz w:val="20"/>
          <w:szCs w:val="20"/>
          <w:color w:val="auto"/>
        </w:rPr>
      </w:pPr>
    </w:p>
    <w:tbl>
      <w:tblPr>
        <w:tblLayout w:type="fixed"/>
        <w:tblInd w:w="1200" w:type="dxa"/>
        <w:tblCellMar>
          <w:top w:w="0" w:type="dxa"/>
          <w:left w:w="0" w:type="dxa"/>
          <w:bottom w:w="0" w:type="dxa"/>
          <w:right w:w="0" w:type="dxa"/>
        </w:tblCellMar>
      </w:tblP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First Quarter</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Year</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Year</w:t>
            </w:r>
          </w:p>
        </w:tc>
      </w:tr>
      <w:tr>
        <w:trPr>
          <w:trHeight w:val="203"/>
        </w:trPr>
        <w:tc>
          <w:tcPr>
            <w:tcW w:w="34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720" w:type="dxa"/>
            <w:vAlign w:val="bottom"/>
          </w:tcPr>
          <w:p>
            <w:pPr>
              <w:spacing w:after="0"/>
              <w:rPr>
                <w:sz w:val="17"/>
                <w:szCs w:val="17"/>
                <w:color w:val="auto"/>
              </w:rPr>
            </w:pPr>
          </w:p>
        </w:tc>
        <w:tc>
          <w:tcPr>
            <w:tcW w:w="14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Fiscal 2017</w:t>
            </w:r>
          </w:p>
        </w:tc>
        <w:tc>
          <w:tcPr>
            <w:tcW w:w="48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Fiscal 2017</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w w:val="88"/>
              </w:rPr>
              <w:t>Fiscal 2016</w:t>
            </w:r>
          </w:p>
        </w:tc>
      </w:tr>
      <w:tr>
        <w:trPr>
          <w:trHeight w:val="48"/>
        </w:trPr>
        <w:tc>
          <w:tcPr>
            <w:tcW w:w="3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176"/>
        </w:trPr>
        <w:tc>
          <w:tcPr>
            <w:tcW w:w="3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6"/>
                <w:szCs w:val="16"/>
                <w:color w:val="auto"/>
              </w:rPr>
              <w:t>Net sales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59"/>
              <w:spacing w:after="0"/>
              <w:rPr>
                <w:sz w:val="20"/>
                <w:szCs w:val="20"/>
                <w:color w:val="auto"/>
              </w:rPr>
            </w:pPr>
            <w:r>
              <w:rPr>
                <w:rFonts w:ascii="Arial" w:cs="Arial" w:eastAsia="Arial" w:hAnsi="Arial"/>
                <w:sz w:val="16"/>
                <w:szCs w:val="16"/>
                <w:color w:val="auto"/>
              </w:rPr>
              <w:t>72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3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182</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34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(110)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(630)</w:t>
            </w:r>
          </w:p>
        </w:tc>
      </w:tr>
      <w:tr>
        <w:trPr>
          <w:trHeight w:val="33"/>
        </w:trPr>
        <w:tc>
          <w:tcPr>
            <w:tcW w:w="3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70"/>
        </w:trPr>
        <w:tc>
          <w:tcPr>
            <w:tcW w:w="3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344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to the Company’s retained earnings at January 2, 2016 was an after-tax increase of approximately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37" w:right="279" w:bottom="1440" w:gutter="0" w:footer="0" w:header="0"/>
        </w:sectPr>
      </w:pPr>
    </w:p>
    <w:bookmarkStart w:id="11" w:name="page12"/>
    <w:bookmarkEnd w:id="1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adoption of ASC 606 on the Company’s consolidated balance sheet at December 30, 2017 were as follows:</w:t>
      </w:r>
    </w:p>
    <w:p>
      <w:pPr>
        <w:spacing w:after="0" w:line="334"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As Previously</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7"/>
              </w:rPr>
              <w:t>As Amended for</w:t>
            </w:r>
          </w:p>
        </w:tc>
      </w:tr>
      <w:tr>
        <w:trPr>
          <w:trHeight w:val="223"/>
        </w:trPr>
        <w:tc>
          <w:tcPr>
            <w:tcW w:w="4160" w:type="dxa"/>
            <w:vAlign w:val="bottom"/>
            <w:shd w:val="clear" w:color="auto" w:fill="CCEEFF"/>
          </w:tcPr>
          <w:p>
            <w:pPr>
              <w:ind w:left="600"/>
              <w:spacing w:after="0" w:line="176" w:lineRule="exact"/>
              <w:rPr>
                <w:sz w:val="20"/>
                <w:szCs w:val="20"/>
                <w:color w:val="auto"/>
              </w:rPr>
            </w:pPr>
            <w:r>
              <w:rPr>
                <w:rFonts w:ascii="Arial" w:cs="Arial" w:eastAsia="Arial" w:hAnsi="Arial"/>
                <w:sz w:val="16"/>
                <w:szCs w:val="16"/>
                <w:i w:val="1"/>
                <w:iCs w:val="1"/>
                <w:color w:val="auto"/>
              </w:rPr>
              <w:t>(dollars in thousands)</w:t>
            </w:r>
          </w:p>
        </w:tc>
        <w:tc>
          <w:tcPr>
            <w:tcW w:w="8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80"/>
              <w:spacing w:after="0" w:line="176" w:lineRule="exact"/>
              <w:rPr>
                <w:sz w:val="20"/>
                <w:szCs w:val="20"/>
                <w:color w:val="auto"/>
              </w:rPr>
            </w:pPr>
            <w:r>
              <w:rPr>
                <w:rFonts w:ascii="Arial" w:cs="Arial" w:eastAsia="Arial" w:hAnsi="Arial"/>
                <w:sz w:val="16"/>
                <w:szCs w:val="16"/>
                <w:b w:val="1"/>
                <w:bCs w:val="1"/>
                <w:color w:val="auto"/>
              </w:rPr>
              <w:t>Reported</w:t>
            </w:r>
          </w:p>
        </w:tc>
        <w:tc>
          <w:tcPr>
            <w:tcW w:w="180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6"/>
                <w:szCs w:val="16"/>
                <w:b w:val="1"/>
                <w:bCs w:val="1"/>
                <w:color w:val="auto"/>
              </w:rPr>
              <w:t>ASC 606 Adjustments</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40"/>
              <w:spacing w:after="0" w:line="176" w:lineRule="exact"/>
              <w:rPr>
                <w:sz w:val="20"/>
                <w:szCs w:val="20"/>
                <w:color w:val="auto"/>
              </w:rPr>
            </w:pPr>
            <w:r>
              <w:rPr>
                <w:rFonts w:ascii="Arial" w:cs="Arial" w:eastAsia="Arial" w:hAnsi="Arial"/>
                <w:sz w:val="16"/>
                <w:szCs w:val="16"/>
                <w:b w:val="1"/>
                <w:bCs w:val="1"/>
                <w:color w:val="auto"/>
              </w:rPr>
              <w:t>ASC 606</w:t>
            </w:r>
          </w:p>
        </w:tc>
      </w:tr>
      <w:tr>
        <w:trPr>
          <w:trHeight w:val="237"/>
        </w:trPr>
        <w:tc>
          <w:tcPr>
            <w:tcW w:w="41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84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49,892</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52,935</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1,017,669</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1,020,712</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2,067,999</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2,071,042</w:t>
            </w:r>
          </w:p>
        </w:tc>
      </w:tr>
      <w:tr>
        <w:trPr>
          <w:trHeight w:val="297"/>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146,510</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2,624</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149,134</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328,624</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2,624</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331,248</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84,848</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84,944</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1,210,906</w:t>
            </w:r>
          </w:p>
        </w:tc>
        <w:tc>
          <w:tcPr>
            <w:tcW w:w="8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2,720</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1,213,626</w:t>
            </w:r>
          </w:p>
        </w:tc>
      </w:tr>
      <w:tr>
        <w:trPr>
          <w:trHeight w:val="243"/>
        </w:trPr>
        <w:tc>
          <w:tcPr>
            <w:tcW w:w="4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8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885,714</w:t>
            </w: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886,037</w:t>
            </w: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857,093</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857,416</w:t>
            </w:r>
          </w:p>
        </w:tc>
      </w:tr>
      <w:tr>
        <w:trPr>
          <w:trHeight w:val="33"/>
        </w:trPr>
        <w:tc>
          <w:tcPr>
            <w:tcW w:w="4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4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7"/>
        </w:trPr>
        <w:tc>
          <w:tcPr>
            <w:tcW w:w="4160" w:type="dxa"/>
            <w:vAlign w:val="bottom"/>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2,067,999</w:t>
            </w:r>
          </w:p>
        </w:tc>
        <w:tc>
          <w:tcPr>
            <w:tcW w:w="8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3,043</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2,071,042</w:t>
            </w:r>
          </w:p>
        </w:tc>
      </w:tr>
    </w:tbl>
    <w:p>
      <w:pPr>
        <w:spacing w:after="0" w:line="199" w:lineRule="exact"/>
        <w:rPr>
          <w:sz w:val="20"/>
          <w:szCs w:val="20"/>
          <w:color w:val="auto"/>
        </w:rPr>
      </w:pPr>
    </w:p>
    <w:p>
      <w:pPr>
        <w:ind w:right="20" w:firstLine="8"/>
        <w:spacing w:after="0" w:line="252"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1" w:lineRule="exact"/>
        <w:rPr>
          <w:rFonts w:ascii="Arial" w:cs="Arial" w:eastAsia="Arial" w:hAnsi="Arial"/>
          <w:sz w:val="16"/>
          <w:szCs w:val="16"/>
          <w:color w:val="auto"/>
        </w:rPr>
      </w:pPr>
    </w:p>
    <w:p>
      <w:pPr>
        <w:ind w:right="400" w:firstLine="8"/>
        <w:spacing w:after="0" w:line="246"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includes a reclassification of approximately $3.0 million for estimated inventory expected to be returned by customers, partially offset by a reclassification of approximately $0.4 million for gift card liabilities.</w:t>
      </w:r>
    </w:p>
    <w:p>
      <w:pPr>
        <w:ind w:firstLine="8"/>
        <w:spacing w:after="0" w:line="257"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Cumulative impact of approximately $0.6 million for after-tax adjustments to retained earnings at the beginning of fiscal 2016, offset by ASC 606 effects on fiscal 2017 and fiscal 2016 results of operations.</w:t>
      </w:r>
    </w:p>
    <w:p>
      <w:pPr>
        <w:spacing w:after="0" w:line="3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retrospective adoption of ASC 606 at the beginning of fiscal 2018 also had the following effects on the Company’s unaudited condensed consolidated balance sheet at April 1, 2017:</w:t>
      </w: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As Previously</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As Amended for</w:t>
            </w:r>
          </w:p>
        </w:tc>
      </w:tr>
      <w:tr>
        <w:trPr>
          <w:trHeight w:val="223"/>
        </w:trPr>
        <w:tc>
          <w:tcPr>
            <w:tcW w:w="3980" w:type="dxa"/>
            <w:vAlign w:val="bottom"/>
            <w:shd w:val="clear" w:color="auto" w:fill="CCEEFF"/>
          </w:tcPr>
          <w:p>
            <w:pPr>
              <w:ind w:left="1480"/>
              <w:spacing w:after="0" w:line="176" w:lineRule="exact"/>
              <w:rPr>
                <w:sz w:val="20"/>
                <w:szCs w:val="20"/>
                <w:color w:val="auto"/>
              </w:rPr>
            </w:pPr>
            <w:r>
              <w:rPr>
                <w:rFonts w:ascii="Arial" w:cs="Arial" w:eastAsia="Arial" w:hAnsi="Arial"/>
                <w:sz w:val="16"/>
                <w:szCs w:val="16"/>
                <w:i w:val="1"/>
                <w:iCs w:val="1"/>
                <w:color w:val="auto"/>
              </w:rPr>
              <w:t>(dollars in thousands)</w:t>
            </w: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20"/>
              <w:spacing w:after="0" w:line="176" w:lineRule="exact"/>
              <w:rPr>
                <w:sz w:val="20"/>
                <w:szCs w:val="20"/>
                <w:color w:val="auto"/>
              </w:rPr>
            </w:pPr>
            <w:r>
              <w:rPr>
                <w:rFonts w:ascii="Arial" w:cs="Arial" w:eastAsia="Arial" w:hAnsi="Arial"/>
                <w:sz w:val="16"/>
                <w:szCs w:val="16"/>
                <w:b w:val="1"/>
                <w:bCs w:val="1"/>
                <w:color w:val="auto"/>
                <w:w w:val="88"/>
              </w:rPr>
              <w:t>Reported</w:t>
            </w: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6"/>
                <w:szCs w:val="16"/>
                <w:b w:val="1"/>
                <w:bCs w:val="1"/>
                <w:color w:val="auto"/>
                <w:w w:val="91"/>
              </w:rPr>
              <w:t>ASC 606 Adjustments</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00"/>
              <w:spacing w:after="0" w:line="176" w:lineRule="exact"/>
              <w:rPr>
                <w:sz w:val="20"/>
                <w:szCs w:val="20"/>
                <w:color w:val="auto"/>
              </w:rPr>
            </w:pPr>
            <w:r>
              <w:rPr>
                <w:rFonts w:ascii="Arial" w:cs="Arial" w:eastAsia="Arial" w:hAnsi="Arial"/>
                <w:sz w:val="16"/>
                <w:szCs w:val="16"/>
                <w:b w:val="1"/>
                <w:bCs w:val="1"/>
                <w:color w:val="auto"/>
              </w:rPr>
              <w:t>ASC 606</w:t>
            </w:r>
          </w:p>
        </w:tc>
      </w:tr>
      <w:tr>
        <w:trPr>
          <w:trHeight w:val="237"/>
        </w:trPr>
        <w:tc>
          <w:tcPr>
            <w:tcW w:w="39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46,153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2,243</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48,396</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841,850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2,243</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844,093</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1,885,463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2,243</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1,887,706</w:t>
            </w:r>
          </w:p>
        </w:tc>
      </w:tr>
      <w:tr>
        <w:trPr>
          <w:trHeight w:val="297"/>
        </w:trPr>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123,661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1,973</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125,634</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225,047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1,973</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227,020</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133,552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133,652</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1,113,500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2,073</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1,115,573</w:t>
            </w:r>
          </w:p>
        </w:tc>
      </w:tr>
      <w:tr>
        <w:trPr>
          <w:trHeight w:val="189"/>
        </w:trPr>
        <w:tc>
          <w:tcPr>
            <w:tcW w:w="3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805,271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170</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805,441</w:t>
            </w: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stockholder's equity</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771,963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170</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772,133</w:t>
            </w:r>
          </w:p>
        </w:tc>
      </w:tr>
      <w:tr>
        <w:trPr>
          <w:trHeight w:val="33"/>
        </w:trPr>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3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Total liabilities and stockholders' equity</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1,885,463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2,243</w:t>
            </w:r>
          </w:p>
        </w:tc>
        <w:tc>
          <w:tcPr>
            <w:tcW w:w="5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1,887,706</w:t>
            </w:r>
          </w:p>
        </w:tc>
      </w:tr>
    </w:tbl>
    <w:p>
      <w:pPr>
        <w:spacing w:after="0" w:line="199" w:lineRule="exact"/>
        <w:rPr>
          <w:sz w:val="20"/>
          <w:szCs w:val="20"/>
          <w:color w:val="auto"/>
        </w:rPr>
      </w:pPr>
    </w:p>
    <w:p>
      <w:pPr>
        <w:ind w:right="20" w:firstLine="8"/>
        <w:spacing w:after="0" w:line="252"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Reclassification of estimated inventory expected to be returned by customers through future sales refund transactions. This amount was reclassified from the returns reserve (current liability) to a current asset. Prior to the Company's adoption of ASC 606, the Company's returns reserve (current liability) was reported net of the estimated inventory expected to be returned by customers through sales refund transactions.</w:t>
      </w:r>
    </w:p>
    <w:p>
      <w:pPr>
        <w:spacing w:after="0" w:line="1" w:lineRule="exact"/>
        <w:rPr>
          <w:rFonts w:ascii="Arial" w:cs="Arial" w:eastAsia="Arial" w:hAnsi="Arial"/>
          <w:sz w:val="16"/>
          <w:szCs w:val="16"/>
          <w:color w:val="auto"/>
        </w:rPr>
      </w:pPr>
    </w:p>
    <w:p>
      <w:pPr>
        <w:ind w:right="600" w:firstLine="8"/>
        <w:spacing w:after="0" w:line="25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includes a reclassification of approximately $2.2 million for estimated inventory expected to be returned by customers, partially offset by an adjustment of approximately $0.3 million for gift card liabilities.</w:t>
      </w:r>
    </w:p>
    <w:p>
      <w:pPr>
        <w:sectPr>
          <w:pgSz w:w="11900" w:h="16838" w:orient="portrait"/>
          <w:cols w:equalWidth="0" w:num="1">
            <w:col w:w="11420"/>
          </w:cols>
          <w:pgMar w:left="240" w:top="337"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61" w:lineRule="exact"/>
        <w:rPr>
          <w:sz w:val="20"/>
          <w:szCs w:val="20"/>
          <w:color w:val="auto"/>
        </w:rPr>
      </w:pPr>
    </w:p>
    <w:p>
      <w:pPr>
        <w:ind w:right="220" w:firstLine="8"/>
        <w:spacing w:after="0" w:line="27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Cumulative impact of approximately $0.6 million for after-tax adjustments to retained earnings at the beginning of fiscal 2016, offset by ASC 606 impact on fiscal 2017 and fiscal 2016 results of operations.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sells its products directly to consumers ("direct-to-consumer") and to other retail companies and partners that subsequently sell the products directly to their own retail customers. The Company also earns royalties from its licensees. Disaggregated revenues from these sources for the first quarters of fiscal 2018 and 2017 were as follows:</w:t>
      </w:r>
    </w:p>
    <w:p>
      <w:pPr>
        <w:spacing w:after="0" w:line="331"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34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280" w:type="dxa"/>
            <w:vAlign w:val="bottom"/>
            <w:tcBorders>
              <w:bottom w:val="single" w:sz="8" w:color="auto"/>
            </w:tcBorders>
            <w:gridSpan w:val="7"/>
            <w:shd w:val="clear" w:color="auto" w:fill="CCEEFF"/>
          </w:tcPr>
          <w:p>
            <w:pPr>
              <w:ind w:left="500"/>
              <w:spacing w:after="0"/>
              <w:rPr>
                <w:sz w:val="20"/>
                <w:szCs w:val="20"/>
                <w:color w:val="auto"/>
              </w:rPr>
            </w:pPr>
            <w:r>
              <w:rPr>
                <w:rFonts w:ascii="Arial" w:cs="Arial" w:eastAsia="Arial" w:hAnsi="Arial"/>
                <w:sz w:val="18"/>
                <w:szCs w:val="18"/>
                <w:b w:val="1"/>
                <w:bCs w:val="1"/>
                <w:color w:val="auto"/>
              </w:rPr>
              <w:t>First Quarter Fiscal 2018</w:t>
            </w:r>
          </w:p>
        </w:tc>
        <w:tc>
          <w:tcPr>
            <w:tcW w:w="3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r>
      <w:tr>
        <w:trPr>
          <w:trHeight w:val="203"/>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Pr>
          <w:p>
            <w:pPr>
              <w:spacing w:after="0"/>
              <w:rPr>
                <w:sz w:val="17"/>
                <w:szCs w:val="17"/>
                <w:color w:val="auto"/>
              </w:rPr>
            </w:pPr>
          </w:p>
        </w:tc>
        <w:tc>
          <w:tcPr>
            <w:tcW w:w="13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U.S. Retail</w:t>
            </w:r>
          </w:p>
        </w:tc>
        <w:tc>
          <w:tcPr>
            <w:tcW w:w="180" w:type="dxa"/>
            <w:vAlign w:val="bottom"/>
          </w:tcPr>
          <w:p>
            <w:pPr>
              <w:spacing w:after="0"/>
              <w:rPr>
                <w:sz w:val="17"/>
                <w:szCs w:val="17"/>
                <w:color w:val="auto"/>
              </w:rPr>
            </w:pPr>
          </w:p>
        </w:tc>
        <w:tc>
          <w:tcPr>
            <w:tcW w:w="1600" w:type="dxa"/>
            <w:vAlign w:val="bottom"/>
            <w:gridSpan w:val="4"/>
          </w:tcPr>
          <w:p>
            <w:pPr>
              <w:ind w:left="80"/>
              <w:spacing w:after="0" w:line="202" w:lineRule="exact"/>
              <w:rPr>
                <w:sz w:val="20"/>
                <w:szCs w:val="20"/>
                <w:color w:val="auto"/>
              </w:rPr>
            </w:pPr>
            <w:r>
              <w:rPr>
                <w:rFonts w:ascii="Arial" w:cs="Arial" w:eastAsia="Arial" w:hAnsi="Arial"/>
                <w:sz w:val="18"/>
                <w:szCs w:val="18"/>
                <w:b w:val="1"/>
                <w:bCs w:val="1"/>
                <w:color w:val="auto"/>
              </w:rPr>
              <w:t>U.S. Wholesale</w:t>
            </w:r>
          </w:p>
        </w:tc>
        <w:tc>
          <w:tcPr>
            <w:tcW w:w="320" w:type="dxa"/>
            <w:vAlign w:val="bottom"/>
          </w:tcPr>
          <w:p>
            <w:pPr>
              <w:spacing w:after="0"/>
              <w:rPr>
                <w:sz w:val="17"/>
                <w:szCs w:val="17"/>
                <w:color w:val="auto"/>
              </w:rPr>
            </w:pP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17"/>
                <w:szCs w:val="17"/>
                <w:color w:val="auto"/>
              </w:rPr>
            </w:pPr>
          </w:p>
        </w:tc>
        <w:tc>
          <w:tcPr>
            <w:tcW w:w="1280" w:type="dxa"/>
            <w:vAlign w:val="bottom"/>
            <w:gridSpan w:val="3"/>
          </w:tcPr>
          <w:p>
            <w:pPr>
              <w:jc w:val="right"/>
              <w:ind w:right="640"/>
              <w:spacing w:after="0" w:line="202"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16"/>
        </w:trPr>
        <w:tc>
          <w:tcPr>
            <w:tcW w:w="3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280,832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37,713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318,545</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383,742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53,499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437,241</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383,742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280,832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91,212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755,786</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5,845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7,994</w:t>
            </w:r>
          </w:p>
        </w:tc>
      </w:tr>
      <w:tr>
        <w:trPr>
          <w:trHeight w:val="344"/>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spacing w:after="0"/>
              <w:rPr>
                <w:sz w:val="24"/>
                <w:szCs w:val="24"/>
                <w:color w:val="auto"/>
              </w:rPr>
            </w:pPr>
          </w:p>
        </w:tc>
        <w:tc>
          <w:tcPr>
            <w:tcW w:w="4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7"/>
            <w:shd w:val="clear" w:color="auto" w:fill="CCEEFF"/>
          </w:tcPr>
          <w:p>
            <w:pPr>
              <w:ind w:left="500"/>
              <w:spacing w:after="0"/>
              <w:rPr>
                <w:sz w:val="20"/>
                <w:szCs w:val="20"/>
                <w:color w:val="auto"/>
              </w:rPr>
            </w:pPr>
            <w:r>
              <w:rPr>
                <w:rFonts w:ascii="Arial" w:cs="Arial" w:eastAsia="Arial" w:hAnsi="Arial"/>
                <w:sz w:val="18"/>
                <w:szCs w:val="18"/>
                <w:b w:val="1"/>
                <w:bCs w:val="1"/>
                <w:color w:val="auto"/>
              </w:rPr>
              <w:t>First Quarter Fiscal 2017</w:t>
            </w:r>
          </w:p>
        </w:tc>
        <w:tc>
          <w:tcPr>
            <w:tcW w:w="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196"/>
        </w:trPr>
        <w:tc>
          <w:tcPr>
            <w:tcW w:w="3460" w:type="dxa"/>
            <w:vAlign w:val="bottom"/>
          </w:tcPr>
          <w:p>
            <w:pPr>
              <w:jc w:val="right"/>
              <w:ind w:right="1939"/>
              <w:spacing w:after="0"/>
              <w:rPr>
                <w:sz w:val="20"/>
                <w:szCs w:val="20"/>
                <w:color w:val="auto"/>
              </w:rPr>
            </w:pPr>
            <w:r>
              <w:rPr>
                <w:rFonts w:ascii="Arial" w:cs="Arial" w:eastAsia="Arial" w:hAnsi="Arial"/>
                <w:sz w:val="16"/>
                <w:szCs w:val="16"/>
                <w:i w:val="1"/>
                <w:iCs w:val="1"/>
                <w:color w:val="auto"/>
                <w:w w:val="92"/>
              </w:rPr>
              <w:t>(dollars in thousands)</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U.S. Retail</w:t>
            </w: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ind w:left="80"/>
              <w:spacing w:after="0" w:line="196" w:lineRule="exact"/>
              <w:rPr>
                <w:sz w:val="20"/>
                <w:szCs w:val="20"/>
                <w:color w:val="auto"/>
              </w:rPr>
            </w:pPr>
            <w:r>
              <w:rPr>
                <w:rFonts w:ascii="Arial" w:cs="Arial" w:eastAsia="Arial" w:hAnsi="Arial"/>
                <w:sz w:val="18"/>
                <w:szCs w:val="18"/>
                <w:b w:val="1"/>
                <w:bCs w:val="1"/>
                <w:color w:val="auto"/>
              </w:rPr>
              <w:t>U.S. Wholesale</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3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43"/>
        </w:trPr>
        <w:tc>
          <w:tcPr>
            <w:tcW w:w="3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Wholesale channel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292,555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29,682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322,237</w:t>
            </w:r>
          </w:p>
        </w:tc>
      </w:tr>
      <w:tr>
        <w:trPr>
          <w:trHeight w:val="33"/>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Direct-to-consumer</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363,842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410,590</w:t>
            </w:r>
          </w:p>
        </w:tc>
      </w:tr>
      <w:tr>
        <w:trPr>
          <w:trHeight w:val="217"/>
        </w:trPr>
        <w:tc>
          <w:tcPr>
            <w:tcW w:w="34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363,842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292,555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76,430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732,827</w:t>
            </w:r>
          </w:p>
        </w:tc>
      </w:tr>
      <w:tr>
        <w:trPr>
          <w:trHeight w:val="73"/>
        </w:trPr>
        <w:tc>
          <w:tcPr>
            <w:tcW w:w="34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346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3,268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6,364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10,558</w:t>
            </w: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Customers and Licensees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of allowances, associated with revenue from customers and licensees were approximately $210.2 million, $226.0 million, and</w:t>
      </w:r>
    </w:p>
    <w:p>
      <w:pPr>
        <w:spacing w:after="0" w:line="3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$194.4 million as of March 31, 2018, December 30, 2017, and April 1, 2017, respectively. Provisions for doubtful accounts receivable for the first quarter of fiscal 2018, full-year fiscal 2017, and first quarter of fiscal 2017 were approximately $11.1 million, $8.2 million, and $(1.7) million, 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December 30, 2017</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w w:val="96"/>
              </w:rPr>
              <w:t>April 1, 2017</w:t>
            </w:r>
          </w:p>
        </w:tc>
      </w:tr>
      <w:tr>
        <w:trPr>
          <w:trHeight w:val="223"/>
        </w:trPr>
        <w:tc>
          <w:tcPr>
            <w:tcW w:w="48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liabilities-current: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5"/>
              <w:spacing w:after="0"/>
              <w:rPr>
                <w:sz w:val="20"/>
                <w:szCs w:val="20"/>
                <w:color w:val="auto"/>
              </w:rPr>
            </w:pPr>
            <w:r>
              <w:rPr>
                <w:rFonts w:ascii="Arial" w:cs="Arial" w:eastAsia="Arial" w:hAnsi="Arial"/>
                <w:sz w:val="16"/>
                <w:szCs w:val="16"/>
                <w:color w:val="auto"/>
              </w:rPr>
              <w:t>10,903</w:t>
            </w:r>
          </w:p>
        </w:tc>
        <w:tc>
          <w:tcPr>
            <w:tcW w:w="100" w:type="dxa"/>
            <w:vAlign w:val="bottom"/>
          </w:tcPr>
          <w:p>
            <w:pPr>
              <w:spacing w:after="0"/>
              <w:rPr>
                <w:sz w:val="20"/>
                <w:szCs w:val="20"/>
                <w:color w:val="auto"/>
              </w:rPr>
            </w:pPr>
          </w:p>
        </w:tc>
        <w:tc>
          <w:tcPr>
            <w:tcW w:w="600" w:type="dxa"/>
            <w:vAlign w:val="bottom"/>
          </w:tcPr>
          <w:p>
            <w:pPr>
              <w:jc w:val="right"/>
              <w:ind w:right="396"/>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
              <w:spacing w:after="0"/>
              <w:rPr>
                <w:sz w:val="20"/>
                <w:szCs w:val="20"/>
                <w:color w:val="auto"/>
              </w:rPr>
            </w:pPr>
            <w:r>
              <w:rPr>
                <w:rFonts w:ascii="Arial" w:cs="Arial" w:eastAsia="Arial" w:hAnsi="Arial"/>
                <w:sz w:val="16"/>
                <w:szCs w:val="16"/>
                <w:color w:val="auto"/>
              </w:rPr>
              <w:t>10,569</w:t>
            </w:r>
          </w:p>
        </w:tc>
      </w:tr>
      <w:tr>
        <w:trPr>
          <w:trHeight w:val="33"/>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program coupons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6,293</w:t>
            </w:r>
          </w:p>
        </w:tc>
      </w:tr>
      <w:tr>
        <w:trPr>
          <w:trHeight w:val="244"/>
        </w:trPr>
        <w:tc>
          <w:tcPr>
            <w:tcW w:w="4800" w:type="dxa"/>
            <w:vAlign w:val="bottom"/>
          </w:tcPr>
          <w:p>
            <w:pPr>
              <w:ind w:left="500"/>
              <w:spacing w:after="0"/>
              <w:rPr>
                <w:sz w:val="20"/>
                <w:szCs w:val="20"/>
                <w:color w:val="auto"/>
              </w:rPr>
            </w:pPr>
            <w:r>
              <w:rPr>
                <w:rFonts w:ascii="Arial" w:cs="Arial" w:eastAsia="Arial" w:hAnsi="Arial"/>
                <w:sz w:val="16"/>
                <w:szCs w:val="16"/>
                <w:color w:val="auto"/>
              </w:rPr>
              <w:t>Total contract liabilities-current *</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color w:val="auto"/>
              </w:rPr>
              <w:t>14,474</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16,862</w:t>
            </w: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337" w:right="279" w:bottom="1440" w:gutter="0" w:footer="0" w:header="0"/>
          <w:type w:val="continuous"/>
        </w:sectPr>
      </w:pPr>
    </w:p>
    <w:bookmarkStart w:id="13" w:name="page14"/>
    <w:bookmarkEnd w:id="13"/>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Included with Other current liabilities on the Company's consolidated balance sheet.</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quarters of fiscal 2018 and 2017, the Company recognized revenue of approximately $2.4 million and $5.7 million related to its contract liabilities that existed at December 30, 2017 and December 31, 2016,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w:t>
      </w:r>
    </w:p>
    <w:p>
      <w:pPr>
        <w:spacing w:after="0" w:line="131"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Unredeemed loyalty program coupons - coupons earned by customers under the Company’s loyalty programs represent stand-ready obligations of the Company to transfer goods to the customer upon coupon redemption. Periodic changes in the loyalty program contract liability result from coupon redemptions and expirations. The earning and redemption cycles for our loyalty program are under one year in duration.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For contracts that are greater than one year, the following table discloses: 1) the aggregate amount of the transaction price allocated to performance obligations that are unsatisfied (or partially unsatisfied) at March 31, 2018, and 2) when the Company expects to recognize this revenue: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9"/>
              </w:rPr>
              <w:t>Fiscal 2018</w:t>
            </w:r>
          </w:p>
        </w:tc>
        <w:tc>
          <w:tcPr>
            <w:tcW w:w="5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5"/>
              </w:rPr>
              <w:t>Fiscal 2019</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Thereafter</w:t>
            </w:r>
          </w:p>
        </w:tc>
        <w:tc>
          <w:tcPr>
            <w:tcW w:w="6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8"/>
              </w:rPr>
              <w:t>Total</w:t>
            </w:r>
          </w:p>
        </w:tc>
      </w:tr>
      <w:tr>
        <w:trPr>
          <w:trHeight w:val="237"/>
        </w:trPr>
        <w:tc>
          <w:tcPr>
            <w:tcW w:w="3380" w:type="dxa"/>
            <w:vAlign w:val="bottom"/>
            <w:tcBorders>
              <w:top w:val="single" w:sz="8" w:color="CCEEFF"/>
            </w:tcBorders>
          </w:tcPr>
          <w:p>
            <w:pPr>
              <w:ind w:left="16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Unearned gift card breakage</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389</w:t>
            </w: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6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523</w:t>
            </w:r>
          </w:p>
        </w:tc>
      </w:tr>
      <w:tr>
        <w:trPr>
          <w:trHeight w:val="33"/>
        </w:trPr>
        <w:tc>
          <w:tcPr>
            <w:tcW w:w="3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disclosure does not include revenue related to performance obligations for the Company's loyalty program because the duration of the obligations is less than one year.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ACQUISITIONS IN FISCAL 2017</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purchase prices and pre-acquisition operating results and assets, neither of the businesses acquired by the Company in fiscal 2017 met the materiality requirements for preparation and presentation of pro forma financial information, either individually or in the aggregate.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Skip Hop Acquisition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Carter's, Inc.'s wholly-owned subsidiary, The William Carter Company ("TWCC"), acquired 100% of the voting equity interests of Skip Hop Holdings, Inc. and subsidiaries (collectively "Skip Hop") after the close of business on February 22, 2017. The Skip Hop purchase was deemed to be the acquisition of a business under the provisions of ASC No.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Company's consolidated financial statements reflect the consolidation of the financial position, results of operations and cash flows of Skip Hop beginning February 23, 2017.</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the Company's unaudited condensed consolidated balance sheet at April 1, 2017, the preliminary purchase price of approximately $147.3 million, net of $0.8 million cash acquired, was comprised of the following acquired assets and assumed liabilities: $56.6 million of goodwill including an assembled workforce; $92.7 million of intangible assets comprised of a tradename and acquired customer relationships; $54.7 million of tangible assets acquired, including finished goods inventory of $28.6 million, accounts receivable of $20.4 million, property and equipment of $4.2 million; and $23.2 million of liabilities in addition to $33.5 million of deferred income tax liabilities.</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measurement period (as defined in ASC 805) for Skip Hop was complete at the end of fiscal 2017 and all measurement periods adjustments were reflected in the Company's consolidated balance sheet as of December 30, 2017. As a result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measurement period adjustments recorded between the acquisition date and the end of fiscal 2017, the net assets acquired consisted of the following: $46.0 million of goodwill including an assembled workforce; $104.1 million of intangible assets comprised of a tradename and acquired customer relationships; $53.9 million of tangible assets acquired; and $20.8 million of liabilities in addition to $36.3 million of deferred income tax liabilities. The adjusted purchase price of approximately $142.5 million, net of $0.8 million of cash acquired, includes a $3.6 million change in the fair value of an estimated contingent earn out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2017, the Company incurred approximately $1.3 million in acquisition-related costs for the Skip Hop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Mexican Licensee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The Carter's Mexico purchase was deemed to be the acquisition of a business under the provisions of ASC No.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Company's consolidated financial statements reflect the consolidation of the financial position, results of operations and cash flows of Carter's Mexico beginning August 1, 2017. Carter's Mexico became part of the Company's International reportable segment.</w:t>
      </w:r>
    </w:p>
    <w:p>
      <w:pPr>
        <w:spacing w:after="0" w:line="15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December 30, 2017, preliminary values assigned to assets acquired included inventories of approximately $8.3 million, a customer relationships intangible asset of approximately $3.5 million, and goodwill of approximately $6.2 million. Measurement period adjustments made in the first quarter of fiscal 2018 were not material. The measurement period, as defined under the provisions of ASC 805, is still open for this acquisition due primarily to a pending working capital settlement.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58"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30, 2017</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April 1, 2017</w:t>
            </w:r>
          </w:p>
        </w:tc>
      </w:tr>
      <w:tr>
        <w:trPr>
          <w:trHeight w:val="217"/>
        </w:trPr>
        <w:tc>
          <w:tcPr>
            <w:tcW w:w="3740" w:type="dxa"/>
            <w:vAlign w:val="bottom"/>
          </w:tcPr>
          <w:p>
            <w:pPr>
              <w:ind w:left="40"/>
              <w:spacing w:after="0"/>
              <w:rPr>
                <w:sz w:val="20"/>
                <w:szCs w:val="20"/>
                <w:color w:val="auto"/>
              </w:rPr>
            </w:pPr>
            <w:r>
              <w:rPr>
                <w:rFonts w:ascii="Arial" w:cs="Arial" w:eastAsia="Arial" w:hAnsi="Arial"/>
                <w:sz w:val="16"/>
                <w:szCs w:val="16"/>
                <w:color w:val="auto"/>
                <w:w w:val="99"/>
              </w:rPr>
              <w:t>Cumulative foreign currency translation adjustments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(23,047)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(21,285)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(26,677)</w:t>
            </w:r>
          </w:p>
        </w:tc>
      </w:tr>
      <w:tr>
        <w:trPr>
          <w:trHeight w:val="33"/>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post-retirement obligations (1)</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(7,116)</w:t>
            </w:r>
          </w:p>
        </w:tc>
      </w:tr>
      <w:tr>
        <w:trPr>
          <w:trHeight w:val="244"/>
        </w:trPr>
        <w:tc>
          <w:tcPr>
            <w:tcW w:w="3740" w:type="dxa"/>
            <w:vAlign w:val="bottom"/>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(30,855)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(33,793)</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00" w:firstLine="8"/>
        <w:spacing w:after="0" w:line="275" w:lineRule="auto"/>
        <w:tabs>
          <w:tab w:leader="none" w:pos="23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Net of income taxes of $4.4 million, $4.4 million, and $4.2 million, respectively. The deferred income taxes associated with these obligations are subject to adjustments upon the Company's adoption of ASC 2018-02. See Note 16, </w:t>
      </w:r>
      <w:r>
        <w:rPr>
          <w:rFonts w:ascii="Arial" w:cs="Arial" w:eastAsia="Arial" w:hAnsi="Arial"/>
          <w:sz w:val="16"/>
          <w:szCs w:val="16"/>
          <w:i w:val="1"/>
          <w:iCs w:val="1"/>
          <w:color w:val="auto"/>
        </w:rPr>
        <w:t>Pending Adoption of Recent Accounting Pronouncements</w:t>
      </w:r>
      <w:r>
        <w:rPr>
          <w:rFonts w:ascii="Arial" w:cs="Arial" w:eastAsia="Arial" w:hAnsi="Arial"/>
          <w:sz w:val="16"/>
          <w:szCs w:val="16"/>
          <w:color w:val="auto"/>
        </w:rPr>
        <w:t>.</w:t>
      </w:r>
    </w:p>
    <w:p>
      <w:pPr>
        <w:spacing w:after="0" w:line="3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Changes in accumulated other comprehensive loss for the first quarter of fiscal 2018 consisted of other comprehensive losses of approximately $1.8 million for foreign currency translation adjustments. Changes in accumulated other comprehensive loss for the first quarter of fiscal 2017 consisted of other comprehensive income of approximately $0.9 million for foreign currency translation adjustments. During the first quarters of both fiscal 2018 and fiscal 2017, no amounts were reclassified from accumulated other comprehensive loss to the statement of operations.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March 31, 2018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0"/>
              </w:rPr>
              <w:t>December 30, 2017</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196"/>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average useful</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246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life</w:t>
            </w:r>
          </w:p>
        </w:tc>
        <w:tc>
          <w:tcPr>
            <w:tcW w:w="1180" w:type="dxa"/>
            <w:vAlign w:val="bottom"/>
            <w:gridSpan w:val="5"/>
          </w:tcPr>
          <w:p>
            <w:pPr>
              <w:ind w:left="40"/>
              <w:spacing w:after="0"/>
              <w:rPr>
                <w:sz w:val="20"/>
                <w:szCs w:val="20"/>
                <w:color w:val="auto"/>
              </w:rPr>
            </w:pPr>
            <w:r>
              <w:rPr>
                <w:rFonts w:ascii="Arial" w:cs="Arial" w:eastAsia="Arial" w:hAnsi="Arial"/>
                <w:sz w:val="16"/>
                <w:szCs w:val="16"/>
                <w:b w:val="1"/>
                <w:bCs w:val="1"/>
                <w:color w:val="auto"/>
              </w:rPr>
              <w:t>Gross amount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1140" w:type="dxa"/>
            <w:vAlign w:val="bottom"/>
            <w:gridSpan w:val="3"/>
          </w:tcPr>
          <w:p>
            <w:pPr>
              <w:ind w:left="12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2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56"/>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Carter's goodwill</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136,570</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136,570</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Canada goodwill</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41,106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41,106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42,223</w:t>
            </w:r>
          </w:p>
        </w:tc>
      </w:tr>
      <w:tr>
        <w:trPr>
          <w:trHeight w:val="237"/>
        </w:trPr>
        <w:tc>
          <w:tcPr>
            <w:tcW w:w="2460" w:type="dxa"/>
            <w:vAlign w:val="bottom"/>
            <w:gridSpan w:val="2"/>
          </w:tcPr>
          <w:p>
            <w:pPr>
              <w:ind w:left="80"/>
              <w:spacing w:after="0"/>
              <w:rPr>
                <w:sz w:val="20"/>
                <w:szCs w:val="20"/>
                <w:color w:val="auto"/>
              </w:rPr>
            </w:pPr>
            <w:r>
              <w:rPr>
                <w:rFonts w:ascii="Arial" w:cs="Arial" w:eastAsia="Arial" w:hAnsi="Arial"/>
                <w:sz w:val="16"/>
                <w:szCs w:val="16"/>
                <w:color w:val="auto"/>
              </w:rPr>
              <w:t>Skip Hop goodwill</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46,022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45,997</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Carter's Mexico goodwill</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6,310</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5,634</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goodwill</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230,008</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230,008</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230,424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230,424</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220,233</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220,233</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85,500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85,500</w:t>
            </w:r>
          </w:p>
        </w:tc>
      </w:tr>
      <w:tr>
        <w:trPr>
          <w:trHeight w:val="237"/>
        </w:trPr>
        <w:tc>
          <w:tcPr>
            <w:tcW w:w="2460" w:type="dxa"/>
            <w:vAlign w:val="bottom"/>
            <w:gridSpan w:val="2"/>
          </w:tcPr>
          <w:p>
            <w:pPr>
              <w:ind w:left="8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56,800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56,800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56,800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56,800</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Finite-life tradenames</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89"/>
              </w:rPr>
              <w:t>2-20 years</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2,973</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tradenames, net</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366,083</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365,506</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366,083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365,551</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Skip Hop customer relationships</w:t>
            </w: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15 years</w:t>
            </w: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47,300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3,098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44,202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47,300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44,996</w:t>
            </w:r>
          </w:p>
        </w:tc>
      </w:tr>
      <w:tr>
        <w:trPr>
          <w:trHeight w:val="33"/>
        </w:trPr>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Carter's Mexico customer</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relationships</w:t>
            </w:r>
          </w:p>
        </w:tc>
        <w:tc>
          <w:tcPr>
            <w:tcW w:w="13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10 years</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3,167</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8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customer relationships, net</w:t>
            </w:r>
          </w:p>
        </w:tc>
        <w:tc>
          <w:tcPr>
            <w:tcW w:w="1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50,684</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3,315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47,369</w:t>
            </w: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50,435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47,996</w:t>
            </w:r>
          </w:p>
        </w:tc>
      </w:tr>
      <w:tr>
        <w:trPr>
          <w:trHeight w:val="149"/>
        </w:trPr>
        <w:tc>
          <w:tcPr>
            <w:tcW w:w="2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45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2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3"/>
              </w:rPr>
              <w:t>April 1, 2017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96"/>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average useful</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246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6"/>
              </w:rPr>
              <w:t>life</w:t>
            </w:r>
          </w:p>
        </w:tc>
        <w:tc>
          <w:tcPr>
            <w:tcW w:w="60" w:type="dxa"/>
            <w:vAlign w:val="bottom"/>
          </w:tcPr>
          <w:p>
            <w:pPr>
              <w:spacing w:after="0"/>
              <w:rPr>
                <w:sz w:val="18"/>
                <w:szCs w:val="18"/>
                <w:color w:val="auto"/>
              </w:rPr>
            </w:pPr>
          </w:p>
        </w:tc>
        <w:tc>
          <w:tcPr>
            <w:tcW w:w="1120" w:type="dxa"/>
            <w:vAlign w:val="bottom"/>
            <w:gridSpan w:val="4"/>
          </w:tcPr>
          <w:p>
            <w:pPr>
              <w:ind w:left="60"/>
              <w:spacing w:after="0"/>
              <w:rPr>
                <w:sz w:val="20"/>
                <w:szCs w:val="20"/>
                <w:color w:val="auto"/>
              </w:rPr>
            </w:pPr>
            <w:r>
              <w:rPr>
                <w:rFonts w:ascii="Arial" w:cs="Arial" w:eastAsia="Arial" w:hAnsi="Arial"/>
                <w:sz w:val="16"/>
                <w:szCs w:val="16"/>
                <w:b w:val="1"/>
                <w:bCs w:val="1"/>
                <w:color w:val="auto"/>
                <w:w w:val="95"/>
              </w:rPr>
              <w:t>Gross amount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6"/>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Carter's goodwill</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3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136,570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136,570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Canada goodwill</w:t>
            </w:r>
          </w:p>
        </w:tc>
        <w:tc>
          <w:tcPr>
            <w:tcW w:w="132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Skip Hop goodwill</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56,555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56,555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232,925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232,925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8"/>
              </w:rPr>
              <w:t>Indefinite</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220,233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98"/>
              </w:rPr>
              <w:t>Indefinite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85,500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6"/>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2460" w:type="dxa"/>
            <w:vAlign w:val="bottom"/>
            <w:gridSpan w:val="2"/>
          </w:tcPr>
          <w:p>
            <w:pPr>
              <w:ind w:left="60"/>
              <w:spacing w:after="0"/>
              <w:rPr>
                <w:sz w:val="20"/>
                <w:szCs w:val="20"/>
                <w:color w:val="auto"/>
              </w:rPr>
            </w:pPr>
            <w:r>
              <w:rPr>
                <w:rFonts w:ascii="Arial" w:cs="Arial" w:eastAsia="Arial" w:hAnsi="Arial"/>
                <w:sz w:val="16"/>
                <w:szCs w:val="16"/>
                <w:color w:val="auto"/>
              </w:rPr>
              <w:t>Finite-life tradenames</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color w:val="auto"/>
                <w:w w:val="89"/>
              </w:rPr>
              <w:t>2-20 years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42,009</w:t>
            </w:r>
          </w:p>
        </w:tc>
        <w:tc>
          <w:tcPr>
            <w:tcW w:w="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46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404,542</w:t>
            </w: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365,684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6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9"/>
        </w:trPr>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0"/>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2"/>
              </w:rPr>
              <w:t>Skip Hop customer relationships, net</w:t>
            </w:r>
          </w:p>
        </w:tc>
        <w:tc>
          <w:tcPr>
            <w:tcW w:w="132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91"/>
              </w:rPr>
              <w:t>15 years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35,900</w:t>
            </w: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35,695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Amortization expense for intangible assets subject to amortization was approximately $1.0 million and $0.3 million for the first fiscal quarter ended March 31, 2018 and first fiscal quarter ended April 1, 2017, respectively. Future amortization expense is estimated to be approximately $3.7 million for each of the next five fiscal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SHARE REPURCHASES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22, 2018, the Company's Board of Directors authorized an additional $500 million of share repurchases. The total aggregate remaining capacity under outstanding repurchase authorizations as of March 31, 2018 was approximately $560.4 million, based on settled repurchase transactions. The authorizations have no expiration date.</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58" w:lineRule="exact"/>
        <w:rPr>
          <w:sz w:val="20"/>
          <w:szCs w:val="20"/>
          <w:color w:val="auto"/>
        </w:rPr>
      </w:pPr>
    </w:p>
    <w:tbl>
      <w:tblPr>
        <w:tblLayout w:type="fixed"/>
        <w:tblInd w:w="2300" w:type="dxa"/>
        <w:tblCellMar>
          <w:top w:w="0" w:type="dxa"/>
          <w:left w:w="0" w:type="dxa"/>
          <w:bottom w:w="0" w:type="dxa"/>
          <w:right w:w="0" w:type="dxa"/>
        </w:tblCellMar>
      </w:tblP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4"/>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Fiscal quarter ended</w:t>
            </w:r>
          </w:p>
        </w:tc>
      </w:tr>
      <w:tr>
        <w:trPr>
          <w:trHeight w:val="231"/>
        </w:trPr>
        <w:tc>
          <w:tcPr>
            <w:tcW w:w="3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April 1, 2017</w:t>
            </w:r>
          </w:p>
        </w:tc>
      </w:tr>
      <w:tr>
        <w:trPr>
          <w:trHeight w:val="33"/>
        </w:trPr>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543,944</w:t>
            </w:r>
          </w:p>
        </w:tc>
      </w:tr>
      <w:tr>
        <w:trPr>
          <w:trHeight w:val="220"/>
        </w:trPr>
        <w:tc>
          <w:tcPr>
            <w:tcW w:w="3000" w:type="dxa"/>
            <w:vAlign w:val="bottom"/>
          </w:tcPr>
          <w:p>
            <w:pPr>
              <w:ind w:left="40"/>
              <w:spacing w:after="0"/>
              <w:rPr>
                <w:sz w:val="20"/>
                <w:szCs w:val="20"/>
                <w:color w:val="auto"/>
              </w:rPr>
            </w:pPr>
            <w:r>
              <w:rPr>
                <w:rFonts w:ascii="Arial" w:cs="Arial" w:eastAsia="Arial" w:hAnsi="Arial"/>
                <w:sz w:val="16"/>
                <w:szCs w:val="16"/>
                <w:color w:val="auto"/>
              </w:rPr>
              <w:t>Aggregate cost of shares repurchased</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6"/>
        </w:trPr>
        <w:tc>
          <w:tcPr>
            <w:tcW w:w="30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25,195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46,627</w:t>
            </w: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85.72</w:t>
            </w:r>
          </w:p>
        </w:tc>
      </w:tr>
      <w:tr>
        <w:trPr>
          <w:trHeight w:val="33"/>
        </w:trPr>
        <w:tc>
          <w:tcPr>
            <w:tcW w:w="3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the first fiscal quarters ended March 31, 2018 and April 1, 2017, the Company paid cash dividends per share of $0.45 and $0.37,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Provisions in the indenture governing the senior notes of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2017 fiscal year ended December 30,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15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April 1, 2017</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Senior notes at amounts repayable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400,000</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w:t>
            </w:r>
          </w:p>
        </w:tc>
      </w:tr>
      <w:tr>
        <w:trPr>
          <w:trHeight w:val="217"/>
        </w:trPr>
        <w:tc>
          <w:tcPr>
            <w:tcW w:w="4740" w:type="dxa"/>
            <w:vAlign w:val="bottom"/>
          </w:tcPr>
          <w:p>
            <w:pPr>
              <w:ind w:left="260"/>
              <w:spacing w:after="0"/>
              <w:rPr>
                <w:sz w:val="20"/>
                <w:szCs w:val="20"/>
                <w:color w:val="auto"/>
              </w:rPr>
            </w:pPr>
            <w:r>
              <w:rPr>
                <w:rFonts w:ascii="Arial" w:cs="Arial" w:eastAsia="Arial" w:hAnsi="Arial"/>
                <w:sz w:val="16"/>
                <w:szCs w:val="16"/>
                <w:color w:val="auto"/>
              </w:rPr>
              <w:t>Senior notes, net</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396,541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396,306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395,621</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Secured revolving credit facility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186,000</w:t>
            </w:r>
          </w:p>
        </w:tc>
      </w:tr>
      <w:tr>
        <w:trPr>
          <w:trHeight w:val="217"/>
        </w:trPr>
        <w:tc>
          <w:tcPr>
            <w:tcW w:w="4740" w:type="dxa"/>
            <w:vAlign w:val="bottom"/>
          </w:tcPr>
          <w:p>
            <w:pPr>
              <w:ind w:left="520"/>
              <w:spacing w:after="0"/>
              <w:rPr>
                <w:sz w:val="20"/>
                <w:szCs w:val="20"/>
                <w:color w:val="auto"/>
              </w:rPr>
            </w:pPr>
            <w:r>
              <w:rPr>
                <w:rFonts w:ascii="Arial" w:cs="Arial" w:eastAsia="Arial" w:hAnsi="Arial"/>
                <w:sz w:val="16"/>
                <w:szCs w:val="16"/>
                <w:color w:val="auto"/>
              </w:rPr>
              <w:t>Total long-term debt,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617,541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617,306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581,621</w:t>
            </w:r>
          </w:p>
        </w:tc>
      </w:tr>
      <w:tr>
        <w:trPr>
          <w:trHeight w:val="33"/>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ind w:right="2240"/>
        <w:spacing w:after="0" w:line="277" w:lineRule="auto"/>
        <w:rPr>
          <w:sz w:val="20"/>
          <w:szCs w:val="20"/>
          <w:color w:val="auto"/>
        </w:rPr>
      </w:pPr>
      <w:r>
        <w:rPr>
          <w:rFonts w:ascii="Arial" w:cs="Arial" w:eastAsia="Arial" w:hAnsi="Arial"/>
          <w:sz w:val="18"/>
          <w:szCs w:val="18"/>
          <w:color w:val="auto"/>
        </w:rPr>
        <w:t>On August 25, 2017, The William Carter Company ("TWCC"), a wholly-owned subsidiary of the Company, and a syndicate of lenders entered into a fourth amended and restated secured revolving credit agreement.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secured revolving credit facility provides: (i) a term for the facility lasting through August 22, 2022 and (ii) an aggregate credit line of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the secured revolving credit facility includes the opportunity for incremental borrowing facilities up to $425 million, which is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secured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2018, the Company had $221.0 million in outstanding borrowings under its secured revolving credit facility, exclusive of $4.5 million of outstanding letters of credit. As of March 31, 2018, approximately $524.5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March 31, 2018,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March 31, 2018, U.S. dollar borrowings outstanding under the secured revolving credit facility accrued interest at a LIBOR rate plus the applicable base rate, which resulted in a borrowing rate of 3.25%. All outstanding Canadian dollar borrowings were repaid during the first quarter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was in compliance with the financial and other covenants under the secured revolving credit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March 31, 2018,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shown in the table above.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58" w:lineRule="exact"/>
        <w:rPr>
          <w:sz w:val="20"/>
          <w:szCs w:val="20"/>
          <w:color w:val="auto"/>
        </w:rPr>
      </w:pPr>
    </w:p>
    <w:tbl>
      <w:tblPr>
        <w:tblLayout w:type="fixed"/>
        <w:tblInd w:w="2760" w:type="dxa"/>
        <w:tblCellMar>
          <w:top w:w="0" w:type="dxa"/>
          <w:left w:w="0" w:type="dxa"/>
          <w:bottom w:w="0" w:type="dxa"/>
          <w:right w:w="0" w:type="dxa"/>
        </w:tblCellMar>
      </w:tblPr>
      <w:tr>
        <w:trPr>
          <w:trHeight w:val="270"/>
        </w:trPr>
        <w:tc>
          <w:tcPr>
            <w:tcW w:w="28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gridSpan w:val="4"/>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Fiscal quarter ended</w:t>
            </w:r>
          </w:p>
        </w:tc>
      </w:tr>
      <w:tr>
        <w:trPr>
          <w:trHeight w:val="231"/>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April 1, 2017</w:t>
            </w:r>
          </w:p>
        </w:tc>
      </w:tr>
      <w:tr>
        <w:trPr>
          <w:trHeight w:val="3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37"/>
        </w:trPr>
        <w:tc>
          <w:tcPr>
            <w:tcW w:w="282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r>
      <w:tr>
        <w:trPr>
          <w:trHeight w:val="237"/>
        </w:trPr>
        <w:tc>
          <w:tcPr>
            <w:tcW w:w="282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1,223</w:t>
            </w:r>
          </w:p>
        </w:tc>
      </w:tr>
      <w:tr>
        <w:trPr>
          <w:trHeight w:val="3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4,779</w:t>
            </w: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21, 2018, the Company's Board of Directors approved the issuance of the following new awards to certain key employees under the Company's existing stock-based compensation plan, subject to vesting: 233,748 stock options with an exercise price of $120.25 and grant-date fair value of $27.88 each; 311,528 shares of time-based restricted stock awards with a grant-date fair value of $120.25 each; and 43,768 shares of performance-based restricted stock awards with a grant-date fair value of $120.25 each.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8" w:name="page19"/>
    <w:bookmarkEnd w:id="18"/>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2018, a total of 132,292 restricted stock awards (time- and performance-based) vested.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As of March 31, 2018, the Company had gross unrecognized income tax benefits of approximately $13.9 million, of which $10.8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Included in the reserves for unrecognized tax benefits at March 31, 2018 were approximately $1.8 million of reserves for which the statute of limitations is expected to expire within the next fiscal year. If these tax benefits are ultimately recognized, such recognition, net of federal income taxes, may affect the annual effective income tax rate for fiscal 2018 or fiscal 2019 along with the effective income tax rate in the quarter in which the benefits are recognized.</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income tax benefits as a component of income tax expense. During the fiscal quarters ended March 31, 2018 and April 1, 2017, interest expense recorded on uncertain tax positions was not significant. The Company had approximately $1.1 million, $1.0 million, and $1.0 million of interest accrued on uncertain tax positions as of March 31, 2018, December 30, 2017, and April 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full fiscal year 2018, the Company estimates that its consolidated effective income tax rate will be approximately 22.0%.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Reform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recognized by the Company during the fiscal fourth quarter of 2017 reflected certain provisional estimates for the accounting of the December 22, 2017 enactment of income tax law changes commonly known as the U.S. Tax Cuts and Jobs Act of 2017 (the "2017 Act"). The provisional accounting for the 2017 Act is permitted by SEC Staff Accounting Bulletin No. 118, Income Tax Accounting Implications of the Tax Cuts and Jobs Act, issued in late December 2017. Subsequent adjustments, if any, to the provisional accounting estimates must be reflected in income tax provisions/benefits during one or more periods in fiscal 2018.</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fourth quarter of fiscal 2017, the Company recorded a provisional tax expense estimate for the one-time transition tax liability for all of its foreign subsidiaries, resulting in an increase in income tax expense of approximately $10.4 million related to foreign earnings. The one-time transition tax is based on the Company's total post-1986 earnings and profits ("E&amp;P") that the Company previously deferred from United States income taxes. The Company has not yet completed its calculation of the total post-1986 E&amp;P for these foreign subsidiaries. No adjustments were made to this provisional tax expense estimate during the first quarter of fiscal 2018. Further, the transition tax is based in part on the amount of those earnings held in cash and other specified assets. This amount may change when the Company finalizes the calculation of post-1986 foreign E&amp;P previously deferred from U.S.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but the related cumulative temporary difference as of December 30, 2017 and March 31, 2018 would not result in a material incremental deferred tax liability.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assets and liabilities that are remeasured at fair value each reporting period: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37" w:right="27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3220" w:type="dxa"/>
            <w:vAlign w:val="bottom"/>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December 30, 2017</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5"/>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6"/>
              </w:rPr>
              <w:t>April 1, 2017</w:t>
            </w:r>
          </w:p>
        </w:tc>
        <w:tc>
          <w:tcPr>
            <w:tcW w:w="480" w:type="dxa"/>
            <w:vAlign w:val="bottom"/>
            <w:tcBorders>
              <w:bottom w:val="single" w:sz="8" w:color="auto"/>
            </w:tcBorders>
            <w:shd w:val="clear" w:color="auto" w:fill="CCEEFF"/>
          </w:tcPr>
          <w:p>
            <w:pPr>
              <w:spacing w:after="0"/>
              <w:rPr>
                <w:sz w:val="22"/>
                <w:szCs w:val="22"/>
                <w:color w:val="auto"/>
              </w:rPr>
            </w:pPr>
          </w:p>
        </w:tc>
      </w:tr>
      <w:tr>
        <w:trPr>
          <w:trHeight w:val="264"/>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2"/>
                <w:szCs w:val="22"/>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Level 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Level 3</w:t>
            </w:r>
          </w:p>
        </w:tc>
      </w:tr>
      <w:tr>
        <w:trPr>
          <w:trHeight w:val="250"/>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240"/>
              <w:spacing w:after="0"/>
              <w:rPr>
                <w:sz w:val="20"/>
                <w:szCs w:val="20"/>
                <w:color w:val="auto"/>
              </w:rPr>
            </w:pPr>
            <w:r>
              <w:rPr>
                <w:rFonts w:ascii="Arial" w:cs="Arial" w:eastAsia="Arial" w:hAnsi="Arial"/>
                <w:sz w:val="18"/>
                <w:szCs w:val="18"/>
                <w:color w:val="auto"/>
              </w:rPr>
              <w:t>Investments (1)</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   16.7</w:t>
            </w: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$ 16.7</w:t>
            </w:r>
          </w:p>
        </w:tc>
        <w:tc>
          <w:tcPr>
            <w:tcW w:w="100" w:type="dxa"/>
            <w:vAlign w:val="bottom"/>
          </w:tcPr>
          <w:p>
            <w:pPr>
              <w:spacing w:after="0"/>
              <w:rPr>
                <w:sz w:val="21"/>
                <w:szCs w:val="21"/>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14.8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3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3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consideration (2)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3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assets on the Company's consolidated balance sheet.</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current liabilities on the Company's consolidated balance sheet.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Gains on the investments in marketable securities were not material for the fiscal quarter ended March 31, 2018, and were $0.7 million for the fiscal quarter ended April 1, 2017. These amounts are included in Other income, net on the Company's consolidated statement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contingent consideration related to the Skip Hop acquisition was based on a weighted payout probability.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FORWARD CONTRACTS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Fair values for unsettled foreign exchange forward contracts are calculated by using readily observable market inputs (market-quoted currency exchange rates) and are classified as Level 2 within the fair value hierarchy. At March 31, 2018 and December 31, 2017, the fair value of open foreign currency contracts was not material. At April 1, 2017, there were no open foreign currency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2018, the fair value of the Company's $221.0 million in outstanding borrowings under its secured revolving credit facility approximated carrying value.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Company's senior notes at March 31, 2018 was approximately $410 million. The fair value of these senior notes with a notional value and carrying value (gross of debt cost) of $400 million was estimated using a quoted price as provided in the secondary market, which considers the Company's credit risk and market related conditions, and is therefore within Level 2 of the fair value hierarchy.</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337" w:right="359" w:bottom="1440" w:gutter="0" w:footer="0" w:header="0"/>
        </w:sectPr>
      </w:pPr>
    </w:p>
    <w:bookmarkStart w:id="20" w:name="page21"/>
    <w:bookmarkEnd w:id="20"/>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181" w:lineRule="exact"/>
        <w:rPr>
          <w:sz w:val="20"/>
          <w:szCs w:val="20"/>
          <w:color w:val="auto"/>
        </w:rPr>
      </w:pPr>
    </w:p>
    <w:tbl>
      <w:tblPr>
        <w:tblLayout w:type="fixed"/>
        <w:tblInd w:w="2100" w:type="dxa"/>
        <w:tblCellMar>
          <w:top w:w="0" w:type="dxa"/>
          <w:left w:w="0" w:type="dxa"/>
          <w:bottom w:w="0" w:type="dxa"/>
          <w:right w:w="0" w:type="dxa"/>
        </w:tblCellMar>
      </w:tblPr>
      <w:tr>
        <w:trPr>
          <w:trHeight w:val="270"/>
        </w:trPr>
        <w:tc>
          <w:tcPr>
            <w:tcW w:w="3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4"/>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April 1, 2017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w w:val="92"/>
              </w:rPr>
              <w:t>Weighted-average number of common and common</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180"/>
              <w:spacing w:after="0"/>
              <w:rPr>
                <w:sz w:val="20"/>
                <w:szCs w:val="20"/>
                <w:color w:val="auto"/>
              </w:rPr>
            </w:pPr>
            <w:r>
              <w:rPr>
                <w:rFonts w:ascii="Arial" w:cs="Arial" w:eastAsia="Arial" w:hAnsi="Arial"/>
                <w:sz w:val="16"/>
                <w:szCs w:val="16"/>
                <w:color w:val="auto"/>
              </w:rPr>
              <w:t>equivalent shares outstanding:</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7"/>
              </w:rPr>
              <w:t>Basic number of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46,772,737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48,322,692</w:t>
            </w:r>
          </w:p>
        </w:tc>
        <w:tc>
          <w:tcPr>
            <w:tcW w:w="0" w:type="dxa"/>
            <w:vAlign w:val="bottom"/>
          </w:tcPr>
          <w:p>
            <w:pPr>
              <w:spacing w:after="0"/>
              <w:rPr>
                <w:sz w:val="1"/>
                <w:szCs w:val="1"/>
                <w:color w:val="auto"/>
              </w:rPr>
            </w:pPr>
          </w:p>
        </w:tc>
      </w:tr>
      <w:tr>
        <w:trPr>
          <w:trHeight w:val="237"/>
        </w:trPr>
        <w:tc>
          <w:tcPr>
            <w:tcW w:w="3480" w:type="dxa"/>
            <w:vAlign w:val="bottom"/>
          </w:tcPr>
          <w:p>
            <w:pPr>
              <w:ind w:left="340"/>
              <w:spacing w:after="0"/>
              <w:rPr>
                <w:sz w:val="20"/>
                <w:szCs w:val="20"/>
                <w:color w:val="auto"/>
              </w:rPr>
            </w:pPr>
            <w:r>
              <w:rPr>
                <w:rFonts w:ascii="Arial" w:cs="Arial" w:eastAsia="Arial" w:hAnsi="Arial"/>
                <w:sz w:val="16"/>
                <w:szCs w:val="16"/>
                <w:color w:val="auto"/>
              </w:rPr>
              <w:t>Dilutive effect of equity awards</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618,678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554,994</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number of common and common</w:t>
            </w:r>
          </w:p>
        </w:tc>
        <w:tc>
          <w:tcPr>
            <w:tcW w:w="22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47,391,415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48,877,686</w:t>
            </w: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equivalent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Basic net income per common share (in thousands,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except per share data):</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42,469</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46,595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84"/>
        </w:trPr>
        <w:tc>
          <w:tcPr>
            <w:tcW w:w="3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w w:val="94"/>
              </w:rPr>
              <w:t>Net income available to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42,144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46,226</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480" w:type="dxa"/>
            <w:vAlign w:val="bottom"/>
          </w:tcPr>
          <w:p>
            <w:pPr>
              <w:ind w:left="3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Diluted net income per common share (in</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40"/>
              <w:spacing w:after="0"/>
              <w:rPr>
                <w:sz w:val="20"/>
                <w:szCs w:val="20"/>
                <w:color w:val="auto"/>
              </w:rPr>
            </w:pPr>
            <w:r>
              <w:rPr>
                <w:rFonts w:ascii="Arial" w:cs="Arial" w:eastAsia="Arial" w:hAnsi="Arial"/>
                <w:sz w:val="16"/>
                <w:szCs w:val="16"/>
                <w:color w:val="auto"/>
              </w:rPr>
              <w:t>thousands, except per share data):</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46,595</w:t>
            </w:r>
          </w:p>
        </w:tc>
        <w:tc>
          <w:tcPr>
            <w:tcW w:w="0" w:type="dxa"/>
            <w:vAlign w:val="bottom"/>
          </w:tcPr>
          <w:p>
            <w:pPr>
              <w:spacing w:after="0"/>
              <w:rPr>
                <w:sz w:val="1"/>
                <w:szCs w:val="1"/>
                <w:color w:val="auto"/>
              </w:rPr>
            </w:pPr>
          </w:p>
        </w:tc>
      </w:tr>
      <w:tr>
        <w:trPr>
          <w:trHeight w:val="237"/>
        </w:trPr>
        <w:tc>
          <w:tcPr>
            <w:tcW w:w="3480" w:type="dxa"/>
            <w:vAlign w:val="bottom"/>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4"/>
              </w:rPr>
              <w:t>Net income available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62"/>
        </w:trPr>
        <w:tc>
          <w:tcPr>
            <w:tcW w:w="3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Anti-dilutive awards excluded from diluted</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per share computation</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137,980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530,697</w:t>
            </w:r>
          </w:p>
        </w:tc>
        <w:tc>
          <w:tcPr>
            <w:tcW w:w="0" w:type="dxa"/>
            <w:vAlign w:val="bottom"/>
          </w:tcPr>
          <w:p>
            <w:pPr>
              <w:spacing w:after="0"/>
              <w:rPr>
                <w:sz w:val="1"/>
                <w:szCs w:val="1"/>
                <w:color w:val="auto"/>
              </w:rPr>
            </w:pPr>
          </w:p>
        </w:tc>
      </w:tr>
      <w:tr>
        <w:trPr>
          <w:trHeight w:val="33"/>
        </w:trPr>
        <w:tc>
          <w:tcPr>
            <w:tcW w:w="3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337" w:right="1440" w:bottom="1440" w:gutter="0" w:footer="0" w:header="0"/>
        </w:sectPr>
      </w:pPr>
    </w:p>
    <w:bookmarkStart w:id="21" w:name="page22"/>
    <w:bookmarkEnd w:id="2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 2017</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April 1, 2017</w:t>
            </w: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27,566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2,924</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25,960</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11,745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11,616</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10,569</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9,443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21,735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8,453</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deferred rent</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17,022</w:t>
            </w:r>
          </w:p>
        </w:tc>
      </w:tr>
      <w:tr>
        <w:trPr>
          <w:trHeight w:val="33"/>
        </w:trPr>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 2017</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April 1, 2017</w:t>
            </w: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color w:val="auto"/>
              </w:rPr>
              <w:t>Deferred lease incentives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74,608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75,104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74,447</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100330</wp:posOffset>
            </wp:positionV>
            <wp:extent cx="452818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28185" cy="171450"/>
                    </a:xfrm>
                    <a:prstGeom prst="rect">
                      <a:avLst/>
                    </a:prstGeom>
                    <a:noFill/>
                  </pic:spPr>
                </pic:pic>
              </a:graphicData>
            </a:graphic>
          </wp:anchor>
        </w:drawing>
      </w:r>
    </w:p>
    <w:p>
      <w:pPr>
        <w:spacing w:after="0" w:line="165"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37465</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6"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Total Net</w:t>
            </w: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1,</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Total Net</w:t>
            </w:r>
          </w:p>
        </w:tc>
      </w:tr>
      <w:tr>
        <w:trPr>
          <w:trHeight w:val="210"/>
        </w:trPr>
        <w:tc>
          <w:tcPr>
            <w:tcW w:w="216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Sales</w:t>
            </w: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1"/>
              </w:rPr>
              <w:t>Sales</w:t>
            </w:r>
          </w:p>
        </w:tc>
      </w:tr>
      <w:tr>
        <w:trPr>
          <w:trHeight w:val="33"/>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37"/>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U.S. Wholesale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280,832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292,555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U.S. Retail</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363,843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7"/>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International</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91,212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76,429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755,786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732,827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4"/>
              </w:rPr>
              <w:t>% of</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88"/>
              </w:rPr>
              <w:t>Segment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Segment</w:t>
            </w:r>
          </w:p>
        </w:tc>
      </w:tr>
      <w:tr>
        <w:trPr>
          <w:trHeight w:val="223"/>
        </w:trPr>
        <w:tc>
          <w:tcPr>
            <w:tcW w:w="21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Operating income (loss):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39"/>
              <w:spacing w:after="0" w:line="176" w:lineRule="exact"/>
              <w:rPr>
                <w:sz w:val="20"/>
                <w:szCs w:val="20"/>
                <w:color w:val="auto"/>
              </w:rPr>
            </w:pPr>
            <w:r>
              <w:rPr>
                <w:rFonts w:ascii="Arial" w:cs="Arial" w:eastAsia="Arial" w:hAnsi="Arial"/>
                <w:sz w:val="16"/>
                <w:szCs w:val="16"/>
                <w:b w:val="1"/>
                <w:bCs w:val="1"/>
                <w:color w:val="auto"/>
                <w:w w:val="88"/>
              </w:rPr>
              <w:t>Net Sales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r>
      <w:tr>
        <w:trPr>
          <w:trHeight w:val="231"/>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U.S. Wholesale (a)</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50,272</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17.9%</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69,695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23.8%</w:t>
            </w: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U.S. Retail (b)</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29,518</w:t>
            </w:r>
          </w:p>
        </w:tc>
        <w:tc>
          <w:tcPr>
            <w:tcW w:w="12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7.7%</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29,790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3,762</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Corporate expenses (c) (d)</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(23,243)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(24,714)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2140" w:type="dxa"/>
            <w:vAlign w:val="bottom"/>
            <w:gridSpan w:val="2"/>
          </w:tcPr>
          <w:p>
            <w:pPr>
              <w:ind w:left="240"/>
              <w:spacing w:after="0"/>
              <w:rPr>
                <w:sz w:val="20"/>
                <w:szCs w:val="20"/>
                <w:color w:val="auto"/>
              </w:rPr>
            </w:pPr>
            <w:r>
              <w:rPr>
                <w:rFonts w:ascii="Arial" w:cs="Arial" w:eastAsia="Arial" w:hAnsi="Arial"/>
                <w:sz w:val="16"/>
                <w:szCs w:val="16"/>
                <w:color w:val="auto"/>
              </w:rPr>
              <w:t>Total operating income</w:t>
            </w: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60,309</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8.0%</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78,456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approximately $12.8 million of charges related to a customer bankruptcy.</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insurance recoveries of approximately $0.4 million associated with storm-related store closures.</w:t>
      </w:r>
    </w:p>
    <w:p>
      <w:pPr>
        <w:spacing w:after="0" w:line="5" w:lineRule="exact"/>
        <w:rPr>
          <w:rFonts w:ascii="Arial" w:cs="Arial" w:eastAsia="Arial" w:hAnsi="Arial"/>
          <w:sz w:val="16"/>
          <w:szCs w:val="16"/>
          <w:color w:val="auto"/>
        </w:rPr>
      </w:pPr>
    </w:p>
    <w:p>
      <w:pPr>
        <w:ind w:left="340" w:right="2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expenses include expenses related to incentive compensation, stock-based compensation, executive management, severance and relocation, finance, office occupancy, information technology, certain legal fees, consulting, and audit fees.</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337" w:right="39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 Includes the following charges:</w:t>
      </w:r>
    </w:p>
    <w:p>
      <w:pPr>
        <w:spacing w:after="0" w:line="150" w:lineRule="exact"/>
        <w:rPr>
          <w:sz w:val="20"/>
          <w:szCs w:val="20"/>
          <w:color w:val="auto"/>
        </w:rPr>
      </w:pPr>
    </w:p>
    <w:tbl>
      <w:tblPr>
        <w:tblLayout w:type="fixed"/>
        <w:tblInd w:w="3380" w:type="dxa"/>
        <w:tblCellMar>
          <w:top w:w="0" w:type="dxa"/>
          <w:left w:w="0" w:type="dxa"/>
          <w:bottom w:w="0" w:type="dxa"/>
          <w:right w:w="0" w:type="dxa"/>
        </w:tblCellMar>
      </w:tblP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0"/>
                <w:shd w:val="clear" w:color="auto" w:fill="CCEEFF"/>
              </w:rPr>
              <w:t>Fiscal quarter ended</w:t>
            </w:r>
          </w:p>
        </w:tc>
      </w:tr>
      <w:tr>
        <w:trPr>
          <w:trHeight w:val="209"/>
        </w:trPr>
        <w:tc>
          <w:tcPr>
            <w:tcW w:w="3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9"/>
              </w:rPr>
              <w:t>April 1,</w:t>
            </w: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18"/>
                <w:szCs w:val="18"/>
                <w:color w:val="auto"/>
              </w:rPr>
            </w:pPr>
          </w:p>
        </w:tc>
        <w:tc>
          <w:tcPr>
            <w:tcW w:w="18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sourcing initiative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37"/>
        </w:trPr>
        <w:tc>
          <w:tcPr>
            <w:tcW w:w="300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1,633</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PENDING ADOPTION OF RECENT ACCOUNTING PRONOUNCEMENTS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(ASU 2016-02)</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new standard requires a modified retrospective basis, and early adoption is permitted. The Company is still evaluating the potential effects of ASC 842. The adoption of ASC 842 will require the Company to recognize material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("ASU 2018-02"). ASU 2018-02 permits a company to reclassify the income tax effects of the U.S. Tax Cuts and Jobs Act of 2017 (the "2017 Act") on items within accumulated other comprehensive income or loss (AOCI-L) to retained earnings. Because most items that are charged to AOCI-L are recorded net of applicable income taxes, the subsequent reclassification of these items from AOCI-L to the statement of operations will be at different income tax rates due to the 2017 Act, thereby leaving a "stranded" tax balance within AOCI-L. ASU 2018-02 will allow a company to transfer these "stranded" amounts from AOCI-L to retained earnings. ASU 2018-02 will be effective for the Company at the beginning of fiscal 2019, with early adoption permitted. The Company has amounts in its AOCI-L for defined benefit retirement plans that were recorded net of applicable income taxes, thus the Company anticipates the transfer of "stranded" tax amounts from its AOCI-L to retained earnings upon the adoption of ASU 2018-02. The effect of the adoption of ASU 2018-02 will not be material to the Company's financial position, and the adoption will have no impact on the Company's results of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(ASU 2016-13)</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w:t>
      </w:r>
      <w:r>
        <w:rPr>
          <w:rFonts w:ascii="Arial" w:cs="Arial" w:eastAsia="Arial" w:hAnsi="Arial"/>
          <w:sz w:val="17"/>
          <w:szCs w:val="17"/>
          <w:i w:val="1"/>
          <w:iCs w:val="1"/>
          <w:color w:val="auto"/>
        </w:rPr>
        <w:t>.</w:t>
      </w:r>
      <w:r>
        <w:rPr>
          <w:rFonts w:ascii="Arial" w:cs="Arial" w:eastAsia="Arial" w:hAnsi="Arial"/>
          <w:sz w:val="17"/>
          <w:szCs w:val="17"/>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37" w:right="2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Impairment Testing </w:t>
      </w:r>
      <w:r>
        <w:rPr>
          <w:rFonts w:ascii="Arial" w:cs="Arial" w:eastAsia="Arial" w:hAnsi="Arial"/>
          <w:sz w:val="18"/>
          <w:szCs w:val="18"/>
          <w:color w:val="auto"/>
        </w:rPr>
        <w:t>(ASU 2017-04)</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37" w:right="299" w:bottom="1440" w:gutter="0" w:footer="0" w:header="0"/>
        </w:sectPr>
      </w:pPr>
    </w:p>
    <w:bookmarkStart w:id="24" w:name="page25"/>
    <w:bookmarkEnd w:id="24"/>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GUARANTOR UNAUDITED CONDENSED CONSOLIDATING FINANCIAL STATEMENTS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the Company's Annual Report on Form 10-K for the 2017 fiscal year ended December 30, 2017.</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84,566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28,738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66,952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180,256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221,186</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99,161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(242,055)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214,172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479,344</w:t>
            </w:r>
          </w:p>
        </w:tc>
        <w:tc>
          <w:tcPr>
            <w:tcW w:w="0" w:type="dxa"/>
            <w:vAlign w:val="bottom"/>
          </w:tcPr>
          <w:p>
            <w:pPr>
              <w:spacing w:after="0"/>
              <w:rPr>
                <w:sz w:val="1"/>
                <w:szCs w:val="1"/>
                <w:color w:val="auto"/>
              </w:rPr>
            </w:pP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18,973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54,297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(269,841)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935,083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144,384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185,172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369,064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230,008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142,300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365,506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47,369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28,176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854,814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1,061,836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(2,155,175)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854,814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2,301,505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1,511,006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293,441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(2,985,560)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1,975,206</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71,349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33,204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11,757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116,310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102,486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109,626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226,311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225,936</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617,541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46,990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39,820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87,422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189,493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854,814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882,600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1,052,485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247,876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(2,182,961)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854,814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854,814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2,301,505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1,511,006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293,441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(2,985,560)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1,975,206</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5"/>
              </w:rPr>
              <w:t>Guarantor</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Parent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39,001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178,494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240,561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162,007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548,722</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9"/>
              </w:rPr>
              <w:t>Prepaid expenses and other current</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17,012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52,935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440,233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147,858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189,511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377,924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230,424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223,251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142,300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365,551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28,435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5"/>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115,658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49,313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17,143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182,114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11,805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149,134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343,036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331,248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617,306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877,884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1,043,872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(2,163,102)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857,416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857,416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2,397,973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1,538,088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290,650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(3,013,085)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2,071,042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31"/>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108,944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32,342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154,278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206,707</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14,810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434,712</w:t>
            </w:r>
          </w:p>
        </w:tc>
        <w:tc>
          <w:tcPr>
            <w:tcW w:w="0" w:type="dxa"/>
            <w:vAlign w:val="bottom"/>
          </w:tcPr>
          <w:p>
            <w:pPr>
              <w:spacing w:after="0"/>
              <w:rPr>
                <w:sz w:val="1"/>
                <w:szCs w:val="1"/>
                <w:color w:val="auto"/>
              </w:rPr>
            </w:pPr>
          </w:p>
        </w:tc>
      </w:tr>
      <w:tr>
        <w:trPr>
          <w:trHeight w:val="220"/>
        </w:trPr>
        <w:tc>
          <w:tcPr>
            <w:tcW w:w="2620" w:type="dxa"/>
            <w:vAlign w:val="bottom"/>
          </w:tcPr>
          <w:p>
            <w:pPr>
              <w:ind w:left="16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6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20,129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48,396</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578,813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844,093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196,876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35,280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386,275</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232,925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223,384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365,684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35,695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23,034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note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receivable</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772,133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(1,823,966)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772,133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2,119,088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1,333,114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190,885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(2,527,514)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1,887,706</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56,871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34,820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101,386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57,324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125,634</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185,991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227,020</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581,621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581,621</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133,652</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423,287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(423,287)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68,227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173,280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772,133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896,231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(1,840,545)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772,133</w:t>
            </w:r>
          </w:p>
        </w:tc>
        <w:tc>
          <w:tcPr>
            <w:tcW w:w="0" w:type="dxa"/>
            <w:vAlign w:val="bottom"/>
          </w:tcPr>
          <w:p>
            <w:pPr>
              <w:spacing w:after="0"/>
              <w:rPr>
                <w:sz w:val="1"/>
                <w:szCs w:val="1"/>
                <w:color w:val="auto"/>
              </w:rPr>
            </w:pPr>
          </w:p>
        </w:tc>
      </w:tr>
      <w:tr>
        <w:trPr>
          <w:trHeight w:val="200"/>
        </w:trPr>
        <w:tc>
          <w:tcPr>
            <w:tcW w:w="2620" w:type="dxa"/>
            <w:vAlign w:val="bottom"/>
          </w:tcPr>
          <w:p>
            <w:pPr>
              <w:ind w:left="380"/>
              <w:spacing w:after="0"/>
              <w:rPr>
                <w:sz w:val="20"/>
                <w:szCs w:val="20"/>
                <w:color w:val="auto"/>
              </w:rPr>
            </w:pPr>
            <w:r>
              <w:rPr>
                <w:rFonts w:ascii="Arial" w:cs="Arial" w:eastAsia="Arial" w:hAnsi="Arial"/>
                <w:sz w:val="16"/>
                <w:szCs w:val="16"/>
                <w:color w:val="auto"/>
                <w:w w:val="96"/>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772,133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2,119,088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1,333,114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190,885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(2,527,514)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1,887,706</w:t>
            </w:r>
          </w:p>
        </w:tc>
        <w:tc>
          <w:tcPr>
            <w:tcW w:w="0" w:type="dxa"/>
            <w:vAlign w:val="bottom"/>
          </w:tcPr>
          <w:p>
            <w:pPr>
              <w:spacing w:after="0"/>
              <w:rPr>
                <w:sz w:val="1"/>
                <w:szCs w:val="1"/>
                <w:color w:val="auto"/>
              </w:rPr>
            </w:pPr>
          </w:p>
        </w:tc>
      </w:tr>
      <w:tr>
        <w:trPr>
          <w:trHeight w:val="224"/>
        </w:trPr>
        <w:tc>
          <w:tcPr>
            <w:tcW w:w="262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March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2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Subsidiary Issuer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460,986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426,463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84,597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(216,260)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755,786</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329,999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45,601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423,309</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130,987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175,381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38,996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332,477</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7,994</w:t>
            </w:r>
          </w:p>
        </w:tc>
      </w:tr>
      <w:tr>
        <w:trPr>
          <w:trHeight w:val="220"/>
        </w:trPr>
        <w:tc>
          <w:tcPr>
            <w:tcW w:w="250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41,816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215,166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31,502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280,162</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96,098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60,309</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7,975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7,985</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63,432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52,872</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10,403</w:t>
            </w:r>
          </w:p>
        </w:tc>
      </w:tr>
      <w:tr>
        <w:trPr>
          <w:trHeight w:val="244"/>
        </w:trPr>
        <w:tc>
          <w:tcPr>
            <w:tcW w:w="2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49,787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(26,012)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6,588</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42,469</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8"/>
              </w:rPr>
              <w:t>Guarantor</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b w:val="1"/>
                <w:bCs w:val="1"/>
                <w:color w:val="auto"/>
                <w:w w:val="92"/>
              </w:rPr>
              <w:t>Consolidated</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453,515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395,850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61,032</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(177,570)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732,827</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330,634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228,947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37,429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417,135</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122,881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166,903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23,603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315,692</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10,558</w:t>
            </w:r>
          </w:p>
        </w:tc>
      </w:tr>
      <w:tr>
        <w:trPr>
          <w:trHeight w:val="220"/>
        </w:trPr>
        <w:tc>
          <w:tcPr>
            <w:tcW w:w="2520" w:type="dxa"/>
            <w:vAlign w:val="bottom"/>
          </w:tcPr>
          <w:p>
            <w:pPr>
              <w:ind w:left="20"/>
              <w:spacing w:after="0"/>
              <w:rPr>
                <w:sz w:val="20"/>
                <w:szCs w:val="20"/>
                <w:color w:val="auto"/>
              </w:rPr>
            </w:pPr>
            <w:r>
              <w:rPr>
                <w:rFonts w:ascii="Arial" w:cs="Arial" w:eastAsia="Arial" w:hAnsi="Arial"/>
                <w:sz w:val="16"/>
                <w:szCs w:val="16"/>
                <w:color w:val="auto"/>
                <w:w w:val="99"/>
              </w:rPr>
              <w:t>Selling, general, and administrative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40,932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189,504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26,271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247,794</w:t>
            </w:r>
          </w:p>
        </w:tc>
      </w:tr>
      <w:tr>
        <w:trPr>
          <w:trHeight w:val="33"/>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90,379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78,456</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6,973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7,104</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37"/>
        </w:trPr>
        <w:tc>
          <w:tcPr>
            <w:tcW w:w="2520" w:type="dxa"/>
            <w:vAlign w:val="bottom"/>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21,101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23,045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46,595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64,112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71,712</w:t>
            </w:r>
          </w:p>
        </w:tc>
      </w:tr>
      <w:tr>
        <w:trPr>
          <w:trHeight w:val="33"/>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26,738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25,117</w:t>
            </w:r>
          </w:p>
        </w:tc>
      </w:tr>
      <w:tr>
        <w:trPr>
          <w:trHeight w:val="244"/>
        </w:trPr>
        <w:tc>
          <w:tcPr>
            <w:tcW w:w="2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46,595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37,374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(21,103)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(2,447)</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46,595</w:t>
            </w:r>
          </w:p>
        </w:tc>
      </w:tr>
      <w:tr>
        <w:trPr>
          <w:trHeight w:val="20"/>
        </w:trPr>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37"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March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Guarantor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Non-Guarantor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8"/>
                <w:shd w:val="clear" w:color="auto" w:fill="CCEEFF"/>
              </w:rPr>
              <w:t>Consolidating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8"/>
                <w:shd w:val="clear" w:color="auto" w:fill="CCEEFF"/>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shd w:val="clear" w:color="auto" w:fill="CCEEFF"/>
              </w:rPr>
              <w:t>Subsidiary Issuer</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0"/>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shd w:val="clear" w:color="auto" w:fill="CCEEFF"/>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8"/>
                <w:shd w:val="clear" w:color="auto" w:fill="CCEEFF"/>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42,469</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49,787</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(26,012)</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(30,363)</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42,469</w:t>
            </w:r>
          </w:p>
        </w:tc>
      </w:tr>
      <w:tr>
        <w:trPr>
          <w:trHeight w:val="33"/>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40,707</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48,025</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(27,774)</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4,826</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40,707</w:t>
            </w:r>
          </w:p>
        </w:tc>
      </w:tr>
      <w:tr>
        <w:trPr>
          <w:trHeight w:val="20"/>
        </w:trPr>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Guarantor</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Non-Guarantor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8"/>
                <w:shd w:val="clear" w:color="auto" w:fill="CCEEFF"/>
              </w:rPr>
              <w:t>Consolidating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8"/>
                <w:shd w:val="clear" w:color="auto" w:fill="CCEEFF"/>
              </w:rPr>
              <w:t>Parent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shd w:val="clear" w:color="auto" w:fill="CCEEFF"/>
              </w:rPr>
              <w:t>Subsidiary Issuer</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0"/>
                <w:shd w:val="clear" w:color="auto" w:fill="CCEEFF"/>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2"/>
                <w:shd w:val="clear" w:color="auto" w:fill="CCEEFF"/>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8"/>
                <w:shd w:val="clear" w:color="auto" w:fill="CCEEFF"/>
              </w:rPr>
              <w:t>Consolidated</w:t>
            </w:r>
          </w:p>
        </w:tc>
      </w:tr>
      <w:tr>
        <w:trPr>
          <w:trHeight w:val="217"/>
        </w:trPr>
        <w:tc>
          <w:tcPr>
            <w:tcW w:w="2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46,595</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37,374</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(21,103)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(13,824)</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46,595</w:t>
            </w:r>
          </w:p>
        </w:tc>
      </w:tr>
      <w:tr>
        <w:trPr>
          <w:trHeight w:val="33"/>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Foreign currency translation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r>
      <w:tr>
        <w:trPr>
          <w:trHeight w:val="244"/>
        </w:trPr>
        <w:tc>
          <w:tcPr>
            <w:tcW w:w="25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47,542</w:t>
            </w:r>
          </w:p>
        </w:tc>
        <w:tc>
          <w:tcPr>
            <w:tcW w:w="220" w:type="dxa"/>
            <w:vAlign w:val="bottom"/>
          </w:tcPr>
          <w:p>
            <w:pPr>
              <w:spacing w:after="0"/>
              <w:rPr>
                <w:sz w:val="21"/>
                <w:szCs w:val="21"/>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38,321</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(20,156)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(16,665)</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47,542</w:t>
            </w:r>
          </w:p>
        </w:tc>
      </w:tr>
      <w:tr>
        <w:trPr>
          <w:trHeight w:val="20"/>
        </w:trPr>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March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19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63,298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19,921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64,107</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3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(14,744)</w:t>
            </w: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48,253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Disposals and recoveries from property,</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48,253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(14,371)</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3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w w:val="97"/>
              </w:rPr>
              <w:t>Borrowings under secured revolving credit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on secured revolving credit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(21,244)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(21,244)</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(25,195)</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Withholdings from vestings of restricted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stock</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Proceeds from exercises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(48,253)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42,029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10,200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(48,253)</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Effect of exchange rate changes on cash</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w w:val="98"/>
              </w:rPr>
              <w:t>Net (decrease) increase in cash and cash</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equivalents</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(44,897)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18,708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27,951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1,762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178,494</w:t>
            </w: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84,566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28,738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66,952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180,256</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19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101,915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84,180</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3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(17,991)</w:t>
            </w: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Acquisitions of businesses, net of cash</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(143,704)</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(154,949)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(161,695)</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3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w w:val="97"/>
              </w:rPr>
              <w:t>Borrowings under secured revolving credit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on secured revolving credit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(17,998)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(46,627)</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Withholdings from vestings of restricted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stock</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Proceeds from exercises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1,626</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(67,078)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23,657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(67,516)</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Effect of exchange rate changes on cash</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w w:val="98"/>
              </w:rPr>
              <w:t>Net (decrease) increase in cash and cash</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equivalents</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(145,080)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299,358</w:t>
            </w: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108,944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32,342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154,278</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2018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 ("OshKosh")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 Established in 1865, our</w:t>
      </w:r>
      <w:r>
        <w:rPr>
          <w:rFonts w:ascii="Arial" w:cs="Arial" w:eastAsia="Arial" w:hAnsi="Arial"/>
          <w:sz w:val="18"/>
          <w:szCs w:val="18"/>
          <w:i w:val="1"/>
          <w:iCs w:val="1"/>
          <w:color w:val="auto"/>
        </w:rPr>
        <w:t xml:space="preserve"> Carter's </w:t>
      </w:r>
      <w:r>
        <w:rPr>
          <w:rFonts w:ascii="Arial" w:cs="Arial" w:eastAsia="Arial" w:hAnsi="Arial"/>
          <w:sz w:val="18"/>
          <w:szCs w:val="18"/>
          <w:color w:val="auto"/>
        </w:rPr>
        <w:t>brand is recognized and trusted by consumers for high-quality apparel and accessories for children sizes newborn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14. 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sizes newborn to 14, with a focus on playclothes for toddlers and young children.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 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takes durable childhood necessities and re-thinks, re-energizes, and re-imagines them to produce higher value, superior quality, and top-performance goods for parents, babies, and toddlers.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market high-quality products and accessories at an attractive value proposition for consumers, and offer multiple product categories. Our multi-channel international business model - which includes retail stores, eCommerce and wholesale sales channels - enables us to reach a broad range of consumers around the world. We have extensive experience in the young children's apparel and accessories market and focus on delivering products that satisfy our consumers' needs.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2017 fiscal year ended December 30,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 xml:space="preserve">Our U.S. Retail segment consists of revenue from sales of products to consumers in the United States, including </w:t>
      </w:r>
      <w:r>
        <w:rPr>
          <w:rFonts w:ascii="Arial" w:cs="Arial" w:eastAsia="Arial" w:hAnsi="Arial"/>
          <w:sz w:val="17"/>
          <w:szCs w:val="17"/>
          <w:i w:val="1"/>
          <w:iCs w:val="1"/>
          <w:color w:val="auto"/>
        </w:rPr>
        <w:t>Carter’s, 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branded products, through our retail and online stores. Similarly, our U.S. Wholesale segment consists of revenue from sales in the United States</w:t>
      </w:r>
    </w:p>
    <w:p>
      <w:pPr>
        <w:ind w:right="400"/>
        <w:spacing w:after="0" w:line="254" w:lineRule="auto"/>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Carter’s, 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our wholesale customers. Finally, our International segment consists of income from sales of </w:t>
      </w:r>
      <w:r>
        <w:rPr>
          <w:rFonts w:ascii="Arial" w:cs="Arial" w:eastAsia="Arial" w:hAnsi="Arial"/>
          <w:sz w:val="18"/>
          <w:szCs w:val="18"/>
          <w:i w:val="1"/>
          <w:iCs w:val="1"/>
          <w:color w:val="auto"/>
        </w:rPr>
        <w:t>Carter’s, 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our retail and online stores outside the United States, primarily through our retail stores in Canada and Mexico, our eCommerce sites in Canada and China, stores operated by our international partners, and sales to our international wholesale customers.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consolidated net sales:</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60" w:type="dxa"/>
            <w:vAlign w:val="bottom"/>
            <w:tcBorders>
              <w:bottom w:val="single" w:sz="8" w:color="CCEEFF"/>
            </w:tcBorders>
            <w:shd w:val="clear" w:color="auto" w:fill="CCEEFF"/>
          </w:tcPr>
          <w:p>
            <w:pPr>
              <w:spacing w:after="0"/>
              <w:rPr>
                <w:sz w:val="23"/>
                <w:szCs w:val="23"/>
                <w:color w:val="auto"/>
              </w:rPr>
            </w:pPr>
          </w:p>
        </w:tc>
        <w:tc>
          <w:tcPr>
            <w:tcW w:w="3380" w:type="dxa"/>
            <w:vAlign w:val="bottom"/>
            <w:tcBorders>
              <w:bottom w:val="single" w:sz="8" w:color="CCEEFF"/>
            </w:tcBorders>
            <w:gridSpan w:val="3"/>
            <w:shd w:val="clear" w:color="auto" w:fill="CCEEFF"/>
          </w:tcPr>
          <w:p>
            <w:pPr>
              <w:jc w:val="right"/>
              <w:ind w:right="878"/>
              <w:spacing w:after="0"/>
              <w:rPr>
                <w:sz w:val="20"/>
                <w:szCs w:val="20"/>
                <w:color w:val="auto"/>
              </w:rPr>
            </w:pPr>
            <w:r>
              <w:rPr>
                <w:rFonts w:ascii="Arial" w:cs="Arial" w:eastAsia="Arial" w:hAnsi="Arial"/>
                <w:sz w:val="16"/>
                <w:szCs w:val="16"/>
                <w:b w:val="1"/>
                <w:bCs w:val="1"/>
                <w:color w:val="auto"/>
              </w:rPr>
              <w:t>Fiscal quarter ended</w:t>
            </w: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40" w:type="dxa"/>
            <w:vAlign w:val="bottom"/>
            <w:tcBorders>
              <w:top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March 31,</w:t>
            </w:r>
          </w:p>
        </w:tc>
        <w:tc>
          <w:tcPr>
            <w:tcW w:w="1540" w:type="dxa"/>
            <w:vAlign w:val="bottom"/>
            <w:tcBorders>
              <w:top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April 1,</w:t>
            </w: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8"/>
              <w:spacing w:after="0"/>
              <w:rPr>
                <w:sz w:val="20"/>
                <w:szCs w:val="20"/>
                <w:color w:val="auto"/>
              </w:rPr>
            </w:pPr>
            <w:r>
              <w:rPr>
                <w:rFonts w:ascii="Arial" w:cs="Arial" w:eastAsia="Arial" w:hAnsi="Arial"/>
                <w:sz w:val="16"/>
                <w:szCs w:val="16"/>
                <w:b w:val="1"/>
                <w:bCs w:val="1"/>
                <w:color w:val="auto"/>
              </w:rPr>
              <w:t>2017</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Net sales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Retail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U.S. Wholesale</w:t>
            </w:r>
          </w:p>
        </w:tc>
        <w:tc>
          <w:tcPr>
            <w:tcW w:w="1740" w:type="dxa"/>
            <w:vAlign w:val="bottom"/>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Consolidated net sales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740" w:type="dxa"/>
            <w:vAlign w:val="bottom"/>
          </w:tcPr>
          <w:p>
            <w:pPr>
              <w:jc w:val="right"/>
              <w:spacing w:after="0"/>
              <w:rPr>
                <w:sz w:val="20"/>
                <w:szCs w:val="20"/>
                <w:color w:val="auto"/>
              </w:rPr>
            </w:pPr>
            <w:r>
              <w:rPr>
                <w:rFonts w:ascii="Arial" w:cs="Arial" w:eastAsia="Arial" w:hAnsi="Arial"/>
                <w:sz w:val="16"/>
                <w:szCs w:val="16"/>
                <w:color w:val="auto"/>
              </w:rPr>
              <w:t>56.0 %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Gross margin</w:t>
            </w:r>
          </w:p>
        </w:tc>
        <w:tc>
          <w:tcPr>
            <w:tcW w:w="1740" w:type="dxa"/>
            <w:vAlign w:val="bottom"/>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Royalty income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740" w:type="dxa"/>
            <w:vAlign w:val="bottom"/>
          </w:tcPr>
          <w:p>
            <w:pPr>
              <w:jc w:val="right"/>
              <w:spacing w:after="0"/>
              <w:rPr>
                <w:sz w:val="20"/>
                <w:szCs w:val="20"/>
                <w:color w:val="auto"/>
              </w:rPr>
            </w:pPr>
            <w:r>
              <w:rPr>
                <w:rFonts w:ascii="Arial" w:cs="Arial" w:eastAsia="Arial" w:hAnsi="Arial"/>
                <w:sz w:val="16"/>
                <w:szCs w:val="16"/>
                <w:color w:val="auto"/>
              </w:rPr>
              <w:t>37.1 %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74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840" w:type="dxa"/>
            <w:vAlign w:val="bottom"/>
            <w:gridSpan w:val="2"/>
          </w:tcPr>
          <w:p>
            <w:pPr>
              <w:ind w:left="1260"/>
              <w:spacing w:after="0"/>
              <w:rPr>
                <w:sz w:val="20"/>
                <w:szCs w:val="20"/>
                <w:color w:val="auto"/>
              </w:rPr>
            </w:pPr>
            <w:r>
              <w:rPr>
                <w:rFonts w:ascii="Arial" w:cs="Arial" w:eastAsia="Arial" w:hAnsi="Arial"/>
                <w:sz w:val="16"/>
                <w:szCs w:val="16"/>
                <w:color w:val="auto"/>
              </w:rPr>
              <w:t>n/m</w:t>
            </w:r>
          </w:p>
        </w:tc>
        <w:tc>
          <w:tcPr>
            <w:tcW w:w="1540" w:type="dxa"/>
            <w:vAlign w:val="bottom"/>
          </w:tcPr>
          <w:p>
            <w:pPr>
              <w:jc w:val="right"/>
              <w:ind w:right="98"/>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n/m</w:t>
            </w: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50"/>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37"/>
        </w:trPr>
        <w:tc>
          <w:tcPr>
            <w:tcW w:w="476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17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rounds to less than 0.1%, therefore not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COMPARABLE RETAIL SALES METRICS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in the first quarter of fiscal 2018, we transitioned to disclosing a total comparable retail sales metric. This change aligns with how management views and measures our retail business. We believe it reflects our maturing omni-channel strategy and consumers’ increasing opportunity to shop with us both in stores and on-line.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method of calculating comparable sales may not be the same as that of other retailers.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ENDED MARCH 31, 2018 COMPARED TO FIRST FISCAL QUARTER ENDED APRIL 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first quarter of fiscal 2018, consolidated net sales increased $23.0 million, or 3.1%, to $755.8 million from $732.8 million in the first quarter of fiscal 2017. The increase for the first quarter in fiscal 2018 was primarily driven by growth in our U.S. Retail and International segments and contributions from the 2017 Skip Hop and Mexico licensee acquisitions, partially offset by a net sales decline in our U.S. Wholesale segment. Changes in foreign currency exchange rates used for translation in the first quarter of fiscal 2018, as compared to the first quarter of fiscal 2017, had a favorable impact on our consolidated net sales of approximately $2.8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21" w:right="259" w:bottom="1440" w:gutter="0" w:footer="0" w:header="0"/>
          <w:type w:val="continuous"/>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20" w:type="dxa"/>
            <w:vAlign w:val="bottom"/>
            <w:tcBorders>
              <w:right w:val="single" w:sz="8" w:color="CCEEFF"/>
            </w:tcBorders>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right w:val="single" w:sz="8" w:color="CCEEFF"/>
            </w:tcBorders>
            <w:gridSpan w:val="6"/>
            <w:shd w:val="clear" w:color="auto" w:fill="CCEEFF"/>
          </w:tcPr>
          <w:p>
            <w:pPr>
              <w:jc w:val="right"/>
              <w:ind w:right="1300"/>
              <w:spacing w:after="0"/>
              <w:rPr>
                <w:sz w:val="20"/>
                <w:szCs w:val="20"/>
                <w:color w:val="auto"/>
              </w:rPr>
            </w:pPr>
            <w:r>
              <w:rPr>
                <w:rFonts w:ascii="Arial" w:cs="Arial" w:eastAsia="Arial" w:hAnsi="Arial"/>
                <w:sz w:val="16"/>
                <w:szCs w:val="16"/>
                <w:b w:val="1"/>
                <w:bCs w:val="1"/>
                <w:color w:val="auto"/>
              </w:rPr>
              <w:t>Fiscal quarter ended</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09"/>
        </w:trPr>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 of</w:t>
            </w: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of</w:t>
            </w:r>
          </w:p>
        </w:tc>
      </w:tr>
      <w:tr>
        <w:trPr>
          <w:trHeight w:val="210"/>
        </w:trPr>
        <w:tc>
          <w:tcPr>
            <w:tcW w:w="15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132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April 1, 2017</w:t>
            </w: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1520" w:type="dxa"/>
            <w:vAlign w:val="bottom"/>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1520" w:type="dxa"/>
            <w:vAlign w:val="bottom"/>
            <w:tcBorders>
              <w:right w:val="single" w:sz="8" w:color="CCEEFF"/>
            </w:tcBorders>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03"/>
        </w:trPr>
        <w:tc>
          <w:tcPr>
            <w:tcW w:w="1520" w:type="dxa"/>
            <w:vAlign w:val="bottom"/>
          </w:tcPr>
          <w:p>
            <w:pPr>
              <w:spacing w:after="0"/>
              <w:rPr>
                <w:sz w:val="17"/>
                <w:szCs w:val="17"/>
                <w:color w:val="auto"/>
              </w:rPr>
            </w:pPr>
          </w:p>
        </w:tc>
        <w:tc>
          <w:tcPr>
            <w:tcW w:w="2020" w:type="dxa"/>
            <w:vAlign w:val="bottom"/>
            <w:gridSpan w:val="3"/>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1520" w:type="dxa"/>
            <w:vAlign w:val="bottom"/>
            <w:tcBorders>
              <w:right w:val="single" w:sz="8" w:color="CCEEFF"/>
            </w:tcBorders>
          </w:tcPr>
          <w:p>
            <w:pPr>
              <w:spacing w:after="0"/>
              <w:rPr>
                <w:sz w:val="21"/>
                <w:szCs w:val="21"/>
                <w:color w:val="auto"/>
              </w:rPr>
            </w:pPr>
          </w:p>
        </w:tc>
        <w:tc>
          <w:tcPr>
            <w:tcW w:w="2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363,843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7"/>
        </w:trPr>
        <w:tc>
          <w:tcPr>
            <w:tcW w:w="15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280,832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6"/>
                <w:szCs w:val="16"/>
                <w:color w:val="auto"/>
              </w:rPr>
              <w:t>292,555</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520" w:type="dxa"/>
            <w:vAlign w:val="bottom"/>
            <w:tcBorders>
              <w:right w:val="single" w:sz="8" w:color="CCEEFF"/>
            </w:tcBorders>
          </w:tcPr>
          <w:p>
            <w:pPr>
              <w:spacing w:after="0"/>
              <w:rPr>
                <w:sz w:val="23"/>
                <w:szCs w:val="23"/>
                <w:color w:val="auto"/>
              </w:rPr>
            </w:pPr>
          </w:p>
        </w:tc>
        <w:tc>
          <w:tcPr>
            <w:tcW w:w="2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91,212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76,429</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44"/>
        </w:trPr>
        <w:tc>
          <w:tcPr>
            <w:tcW w:w="1520" w:type="dxa"/>
            <w:vAlign w:val="bottom"/>
          </w:tcPr>
          <w:p>
            <w:pPr>
              <w:spacing w:after="0"/>
              <w:rPr>
                <w:sz w:val="21"/>
                <w:szCs w:val="21"/>
                <w:color w:val="auto"/>
              </w:rPr>
            </w:pPr>
          </w:p>
        </w:tc>
        <w:tc>
          <w:tcPr>
            <w:tcW w:w="2020" w:type="dxa"/>
            <w:vAlign w:val="bottom"/>
            <w:gridSpan w:val="3"/>
          </w:tcPr>
          <w:p>
            <w:pPr>
              <w:ind w:left="340"/>
              <w:spacing w:after="0"/>
              <w:rPr>
                <w:sz w:val="20"/>
                <w:szCs w:val="20"/>
                <w:color w:val="auto"/>
              </w:rPr>
            </w:pPr>
            <w:r>
              <w:rPr>
                <w:rFonts w:ascii="Arial" w:cs="Arial" w:eastAsia="Arial" w:hAnsi="Arial"/>
                <w:sz w:val="16"/>
                <w:szCs w:val="16"/>
                <w:color w:val="auto"/>
              </w:rPr>
              <w:t>Total net sales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755,786</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rPr>
              <w:t>732,827</w:t>
            </w:r>
          </w:p>
        </w:tc>
        <w:tc>
          <w:tcPr>
            <w:tcW w:w="16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5460" w:type="dxa"/>
            <w:vAlign w:val="bottom"/>
            <w:gridSpan w:val="7"/>
          </w:tcPr>
          <w:p>
            <w:pPr>
              <w:spacing w:after="0"/>
              <w:rPr>
                <w:sz w:val="20"/>
                <w:szCs w:val="20"/>
                <w:color w:val="auto"/>
              </w:rPr>
            </w:pPr>
            <w:r>
              <w:rPr>
                <w:rFonts w:ascii="Arial" w:cs="Arial" w:eastAsia="Arial" w:hAnsi="Arial"/>
                <w:sz w:val="18"/>
                <w:szCs w:val="18"/>
                <w:i w:val="1"/>
                <w:iCs w:val="1"/>
                <w:color w:val="auto"/>
              </w:rPr>
              <w:t>Note: Percentages may not be additive due to rounding.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35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 RETAIL SALES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780" w:type="dxa"/>
            <w:vAlign w:val="bottom"/>
            <w:gridSpan w:val="9"/>
          </w:tcPr>
          <w:p>
            <w:pPr>
              <w:spacing w:after="0"/>
              <w:rPr>
                <w:sz w:val="20"/>
                <w:szCs w:val="20"/>
                <w:color w:val="auto"/>
              </w:rPr>
            </w:pPr>
            <w:r>
              <w:rPr>
                <w:rFonts w:ascii="Arial" w:cs="Arial" w:eastAsia="Arial" w:hAnsi="Arial"/>
                <w:sz w:val="18"/>
                <w:szCs w:val="18"/>
                <w:i w:val="1"/>
                <w:iCs w:val="1"/>
                <w:color w:val="auto"/>
              </w:rPr>
              <w:t>Store Count Data for Company-Operated Retail Stores in our U.S. Retail segment</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U.S. Retail</w:t>
            </w:r>
          </w:p>
        </w:tc>
        <w:tc>
          <w:tcPr>
            <w:tcW w:w="1180" w:type="dxa"/>
            <w:vAlign w:val="bottom"/>
          </w:tcPr>
          <w:p>
            <w:pPr>
              <w:spacing w:after="0"/>
              <w:rPr>
                <w:sz w:val="19"/>
                <w:szCs w:val="19"/>
                <w:color w:val="auto"/>
              </w:rPr>
            </w:pPr>
          </w:p>
        </w:tc>
      </w:tr>
      <w:tr>
        <w:trPr>
          <w:trHeight w:val="261"/>
        </w:trPr>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Stores</w:t>
            </w:r>
          </w:p>
        </w:tc>
        <w:tc>
          <w:tcPr>
            <w:tcW w:w="1180" w:type="dxa"/>
            <w:vAlign w:val="bottom"/>
          </w:tcPr>
          <w:p>
            <w:pPr>
              <w:spacing w:after="0"/>
              <w:rPr>
                <w:sz w:val="22"/>
                <w:szCs w:val="22"/>
                <w:color w:val="auto"/>
              </w:rPr>
            </w:pPr>
          </w:p>
        </w:tc>
      </w:tr>
      <w:tr>
        <w:trPr>
          <w:trHeight w:val="210"/>
        </w:trPr>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30, 2017</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118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80" w:type="dxa"/>
            <w:vAlign w:val="bottom"/>
            <w:gridSpan w:val="4"/>
          </w:tcPr>
          <w:p>
            <w:pPr>
              <w:ind w:left="20"/>
              <w:spacing w:after="0"/>
              <w:rPr>
                <w:sz w:val="20"/>
                <w:szCs w:val="20"/>
                <w:color w:val="auto"/>
              </w:rPr>
            </w:pPr>
            <w:r>
              <w:rPr>
                <w:rFonts w:ascii="Arial" w:cs="Arial" w:eastAsia="Arial" w:hAnsi="Arial"/>
                <w:sz w:val="16"/>
                <w:szCs w:val="16"/>
                <w:color w:val="auto"/>
                <w:w w:val="96"/>
              </w:rPr>
              <w:t>Openings during first quarter fiscal 2018</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80" w:type="dxa"/>
            <w:vAlign w:val="bottom"/>
            <w:gridSpan w:val="4"/>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w w:val="99"/>
              </w:rPr>
              <w:t>Closings during first quarter fiscal 2018</w:t>
            </w: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180" w:type="dxa"/>
            <w:vAlign w:val="bottom"/>
          </w:tcPr>
          <w:p>
            <w:pPr>
              <w:spacing w:after="0"/>
              <w:rPr>
                <w:sz w:val="23"/>
                <w:szCs w:val="23"/>
                <w:color w:val="auto"/>
              </w:rPr>
            </w:pPr>
          </w:p>
        </w:tc>
      </w:tr>
      <w:tr>
        <w:trPr>
          <w:trHeight w:val="297"/>
        </w:trPr>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b w:val="1"/>
                <w:bCs w:val="1"/>
                <w:color w:val="auto"/>
              </w:rPr>
              <w:t>Store count at March 31, 2018</w:t>
            </w: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818</w:t>
            </w:r>
          </w:p>
        </w:tc>
        <w:tc>
          <w:tcPr>
            <w:tcW w:w="1180" w:type="dxa"/>
            <w:vAlign w:val="bottom"/>
          </w:tcPr>
          <w:p>
            <w:pPr>
              <w:spacing w:after="0"/>
              <w:rPr>
                <w:sz w:val="24"/>
                <w:szCs w:val="24"/>
                <w:color w:val="auto"/>
              </w:rPr>
            </w:pPr>
          </w:p>
        </w:tc>
      </w:tr>
      <w:tr>
        <w:trPr>
          <w:trHeight w:val="487"/>
        </w:trPr>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00" w:type="dxa"/>
            <w:vAlign w:val="bottom"/>
            <w:gridSpan w:val="6"/>
          </w:tcPr>
          <w:p>
            <w:pPr>
              <w:ind w:left="20"/>
              <w:spacing w:after="0"/>
              <w:rPr>
                <w:sz w:val="20"/>
                <w:szCs w:val="20"/>
                <w:color w:val="auto"/>
              </w:rPr>
            </w:pPr>
            <w:r>
              <w:rPr>
                <w:rFonts w:ascii="Arial" w:cs="Arial" w:eastAsia="Arial" w:hAnsi="Arial"/>
                <w:sz w:val="16"/>
                <w:szCs w:val="16"/>
                <w:b w:val="1"/>
                <w:bCs w:val="1"/>
                <w:color w:val="auto"/>
              </w:rPr>
              <w:t>Approximate store projections for all of fiscal 2018: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Openings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180" w:type="dxa"/>
            <w:vAlign w:val="bottom"/>
          </w:tcPr>
          <w:p>
            <w:pPr>
              <w:spacing w:after="0"/>
              <w:rPr>
                <w:sz w:val="21"/>
                <w:szCs w:val="21"/>
                <w:color w:val="auto"/>
              </w:rPr>
            </w:pPr>
          </w:p>
        </w:tc>
      </w:tr>
      <w:tr>
        <w:trPr>
          <w:trHeight w:val="243"/>
        </w:trPr>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Closings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118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80" w:type="dxa"/>
            <w:vAlign w:val="bottom"/>
            <w:tcBorders>
              <w:bottom w:val="single" w:sz="8" w:color="CCEEFF"/>
            </w:tcBorders>
            <w:gridSpan w:val="4"/>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78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projected</w:t>
            </w: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U.S. Retail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Comparable net sales in our U.S. Retail segment increased 3.0% during the first quarter of fiscal 2018 compared to the first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quarter of fiscal 2017. This increase was primarily due to eCommerce sales growth, partially offset by a decline in comparable retail store net sales as a result of lower traffic, slightly offset by the timing of the Easter holiday.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U.S. Retail segment net sales increased approximately $19.9 million, or 5.5%, in the first quarter of fiscal 2018 to $383.7 million from $363.8 million in the first quarter of fiscal 2017.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$15.9 million from new stores that are not yet comparable;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Increase of $12.0 million from comparable eCommerce sales, including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$6.9 million due to the effect of store closings;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$0.9 million in comparable store sales.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121" w:right="299" w:bottom="1440" w:gutter="0" w:footer="0" w:header="0"/>
          <w:type w:val="continuous"/>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U.S. Wholesale segment net sales decreased approximately $11.7 million, or 4.0%, in the first quarter of fiscal 2018 to $280.8 million from $292.6 million in the first quarter of fiscal 2017. This decline reflected a 7.0% decrease in the number of units shipped and a 4.0% increase in the average price per unit, primarily due to a decrease in demand for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products, partially offset by sales of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Net sales in the 2018 period were also negatively impacted by a customer bankruptcy.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International segment net sales increased approximately $14.8 million, or 19.3%, in the first quarter of fiscal 2018 to $91.2 million from $76.4 million in the first quarter of fiscal 2017. Changes in foreign currency exchange rates used for translation had a favorable impact on International segment net sales of approximately $2.8 million in the first quarter of fiscal 2018 compared to the first quarter of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$14.8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$11.5 million related to business acquisitions;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$5.2 million from our company-operated retail stores in Canada;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$1.5 million from international wholesale customers across various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first quarter of fiscal 2017, our Canadian comparable retail sales increased 3.6% in the first quarter of fiscal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International Segment</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25"/>
        </w:trPr>
        <w:tc>
          <w:tcPr>
            <w:tcW w:w="3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Canada Retail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Mexico Retail</w:t>
            </w:r>
          </w:p>
        </w:tc>
      </w:tr>
      <w:tr>
        <w:trPr>
          <w:trHeight w:val="261"/>
        </w:trPr>
        <w:tc>
          <w:tcPr>
            <w:tcW w:w="3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5"/>
              </w:rPr>
              <w:t>Stores</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Stores</w:t>
            </w:r>
          </w:p>
        </w:tc>
      </w:tr>
      <w:tr>
        <w:trPr>
          <w:trHeight w:val="210"/>
        </w:trPr>
        <w:tc>
          <w:tcPr>
            <w:tcW w:w="36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December 31,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Openings in first quarter fiscal 2018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6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March 31,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2"/>
        </w:trPr>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Approximate new store projections for all of</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2018:</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Openings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6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projected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GROSS PROFIT</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consolidated gross margin increased from 43.1% in the first quarter of fiscal 2017 to 44.0% in the first quarter of fiscal 2018. Our consolidated gross profit increased $16.8 million, or 5.3%, to $332.5 million in the first quarter of fiscal 2018 from $315.7 million in the first quarter of fiscal 2017. These increases were primarily due to favorable product costs, increases in higher margin retail channels, and favorable foreign exchange fluctuations, partially offset by lower margins in our wholesale channels and higher provisions for inventory.</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INCOME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We license the use of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Genuine Kids from OshKosh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and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brand names.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1" w:right="27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Royalty income from these brands for the first quarter of fiscal 2018 decreased $2.6 million, or 24.3%, to $8.0 million from $10.6 million in the first quarter of fiscal 2017. The decrease was primarily attributable to insourcing certain formerly licensed products, and the absence of royalty income from our recently acquired Mexico licensee, partially offset by sales growth from domestic licensees.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Consolidated SG&amp;A expenses in the first quarter of fiscal 2018 increased $32.4 million, or 13.1%, to $280.2 million from $247.8 million in the first quarter of fiscal 2017. As a percentage of net sales, SG&amp;A expenses increased from 33.8% in the first quarter of fiscal 2017 to 37.1% in the first quarter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SG&amp;A expenses in the first quarter of fiscal 2018 primarily reflected a:</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$12.8 million in expenses related to a customer bankruptcy in the first quarter of fiscal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 million increase in expenses related to eCommerce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 million increase in expenses related to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 million increase in expenses related to retail store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 million increase in expenses related to freight and distribution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 million increase in expenses related to marketing and brand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 million increase in other general and administrative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 million decrease in professional fees related to business acquisitions.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operating income decreased $18.1 million, or 23.1%, to $60.3 million in the first quarter of fiscal 2018 from $78.5 million in the first quarter of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margin decreased from 10.7% in the first quarter of fiscal 2017 to 8.0% in the first quarter of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changes in each of our segment's operating results and unallocated corporate expenses between the fiscal periods indicated:</w:t>
      </w:r>
    </w:p>
    <w:p>
      <w:pPr>
        <w:spacing w:after="0" w:line="398" w:lineRule="exact"/>
        <w:rPr>
          <w:sz w:val="20"/>
          <w:szCs w:val="20"/>
          <w:color w:val="auto"/>
        </w:rPr>
      </w:pPr>
    </w:p>
    <w:tbl>
      <w:tblPr>
        <w:tblLayout w:type="fixed"/>
        <w:tblInd w:w="1060" w:type="dxa"/>
        <w:tblCellMar>
          <w:top w:w="0" w:type="dxa"/>
          <w:left w:w="0" w:type="dxa"/>
          <w:bottom w:w="0" w:type="dxa"/>
          <w:right w:w="0" w:type="dxa"/>
        </w:tblCellMar>
      </w:tblPr>
      <w:tr>
        <w:trPr>
          <w:trHeight w:val="225"/>
        </w:trPr>
        <w:tc>
          <w:tcPr>
            <w:tcW w:w="2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Unallocated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U.S.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Wholesale</w:t>
            </w:r>
          </w:p>
        </w:tc>
        <w:tc>
          <w:tcPr>
            <w:tcW w:w="11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U.S. Retail</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 for first</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quarter of fiscal 2017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69,695</w:t>
            </w:r>
          </w:p>
        </w:tc>
        <w:tc>
          <w:tcPr>
            <w:tcW w:w="100" w:type="dxa"/>
            <w:vAlign w:val="bottom"/>
          </w:tcPr>
          <w:p>
            <w:pPr>
              <w:spacing w:after="0"/>
              <w:rPr>
                <w:sz w:val="18"/>
                <w:szCs w:val="18"/>
                <w:color w:val="auto"/>
              </w:rPr>
            </w:pPr>
          </w:p>
        </w:tc>
        <w:tc>
          <w:tcPr>
            <w:tcW w:w="280" w:type="dxa"/>
            <w:vAlign w:val="bottom"/>
          </w:tcPr>
          <w:p>
            <w:pPr>
              <w:jc w:val="right"/>
              <w:ind w:right="76"/>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29,790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(24,714)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78,456</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Favorable (unfavorable) change in the first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quarter of fiscal 2018</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16,785</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Royalty income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Arial" w:cs="Arial" w:eastAsia="Arial" w:hAnsi="Arial"/>
                <w:sz w:val="16"/>
                <w:szCs w:val="16"/>
                <w:color w:val="auto"/>
              </w:rPr>
              <w:t>SG&amp;A expenses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(32,368)</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 for first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50,272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29,518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3,762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(23,243)</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60,309</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quarter of fiscal 2018</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presents changes between the first quarter of fiscal 2017 and the first quarter of fiscal 2018 in the operating margin for each of our three operating segments. The primary drivers of these changes are presented in terms of the difference in each driver's margin (based on net sales) between the respective periods, in each case expressed in basis points ("bps").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1" w:right="31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225"/>
        </w:trPr>
        <w:tc>
          <w:tcPr>
            <w:tcW w:w="2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U.S.</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U.S. Wholesale</w:t>
            </w:r>
          </w:p>
        </w:tc>
        <w:tc>
          <w:tcPr>
            <w:tcW w:w="15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Retail</w:t>
            </w:r>
          </w:p>
        </w:tc>
        <w:tc>
          <w:tcPr>
            <w:tcW w:w="15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first quarter</w:t>
            </w: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of fiscal 2017</w:t>
            </w:r>
          </w:p>
        </w:tc>
        <w:tc>
          <w:tcPr>
            <w:tcW w:w="15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480" w:type="dxa"/>
            <w:vAlign w:val="bottom"/>
          </w:tcPr>
          <w:p>
            <w:pPr>
              <w:ind w:left="1100"/>
              <w:spacing w:after="0"/>
              <w:rPr>
                <w:sz w:val="20"/>
                <w:szCs w:val="20"/>
                <w:color w:val="auto"/>
              </w:rPr>
            </w:pPr>
            <w:r>
              <w:rPr>
                <w:rFonts w:ascii="Arial" w:cs="Arial" w:eastAsia="Arial" w:hAnsi="Arial"/>
                <w:sz w:val="16"/>
                <w:szCs w:val="16"/>
                <w:color w:val="auto"/>
                <w:w w:val="98"/>
              </w:rPr>
              <w:t>8.2%</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Favorable (unfavorable) bps change in the</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quarter of fiscal 2018</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right"/>
              <w:ind w:right="61"/>
              <w:spacing w:after="0"/>
              <w:rPr>
                <w:sz w:val="20"/>
                <w:szCs w:val="20"/>
                <w:color w:val="auto"/>
              </w:rPr>
            </w:pPr>
            <w:r>
              <w:rPr>
                <w:rFonts w:ascii="Arial" w:cs="Arial" w:eastAsia="Arial" w:hAnsi="Arial"/>
                <w:sz w:val="16"/>
                <w:szCs w:val="16"/>
                <w:color w:val="auto"/>
              </w:rPr>
              <w:t>Gross profit</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60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120 bps</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Royalty income</w:t>
            </w: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 bps</w:t>
            </w:r>
          </w:p>
        </w:tc>
        <w:tc>
          <w:tcPr>
            <w:tcW w:w="1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 bps</w:t>
            </w:r>
          </w:p>
        </w:tc>
        <w:tc>
          <w:tcPr>
            <w:tcW w:w="15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(60) bps</w:t>
            </w:r>
          </w:p>
        </w:tc>
        <w:tc>
          <w:tcPr>
            <w:tcW w:w="0" w:type="dxa"/>
            <w:vAlign w:val="bottom"/>
          </w:tcPr>
          <w:p>
            <w:pPr>
              <w:spacing w:after="0"/>
              <w:rPr>
                <w:sz w:val="1"/>
                <w:szCs w:val="1"/>
                <w:color w:val="auto"/>
              </w:rPr>
            </w:pPr>
          </w:p>
        </w:tc>
      </w:tr>
      <w:tr>
        <w:trPr>
          <w:trHeight w:val="237"/>
        </w:trPr>
        <w:tc>
          <w:tcPr>
            <w:tcW w:w="2880" w:type="dxa"/>
            <w:vAlign w:val="bottom"/>
          </w:tcPr>
          <w:p>
            <w:pPr>
              <w:jc w:val="right"/>
              <w:ind w:right="61"/>
              <w:spacing w:after="0"/>
              <w:rPr>
                <w:sz w:val="20"/>
                <w:szCs w:val="20"/>
                <w:color w:val="auto"/>
              </w:rPr>
            </w:pPr>
            <w:r>
              <w:rPr>
                <w:rFonts w:ascii="Arial" w:cs="Arial" w:eastAsia="Arial" w:hAnsi="Arial"/>
                <w:sz w:val="16"/>
                <w:szCs w:val="16"/>
                <w:color w:val="auto"/>
              </w:rPr>
              <w:t>SG&amp;A expenses</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(580) bps</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(60) bps</w:t>
            </w: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(130) bps</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first quarter</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ind w:left="1100"/>
              <w:spacing w:after="0"/>
              <w:rPr>
                <w:sz w:val="20"/>
                <w:szCs w:val="20"/>
                <w:color w:val="auto"/>
              </w:rPr>
            </w:pPr>
            <w:r>
              <w:rPr>
                <w:rFonts w:ascii="Arial" w:cs="Arial" w:eastAsia="Arial" w:hAnsi="Arial"/>
                <w:sz w:val="16"/>
                <w:szCs w:val="16"/>
                <w:b w:val="1"/>
                <w:bCs w:val="1"/>
                <w:color w:val="auto"/>
                <w:w w:val="98"/>
              </w:rPr>
              <w:t>7.7%</w:t>
            </w:r>
          </w:p>
        </w:tc>
        <w:tc>
          <w:tcPr>
            <w:tcW w:w="10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ind w:left="1140"/>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of fiscal 2018</w:t>
            </w: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(b)</w:t>
            </w:r>
          </w:p>
        </w:tc>
        <w:tc>
          <w:tcPr>
            <w:tcW w:w="1540" w:type="dxa"/>
            <w:vAlign w:val="bottom"/>
          </w:tcPr>
          <w:p>
            <w:pPr>
              <w:jc w:val="right"/>
              <w:ind w:right="598"/>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60" w:firstLine="8"/>
        <w:spacing w:after="0" w:line="256"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Wholesale segment operating income in the first quarter of fiscal 2018 decreased $19.4 million, or 27.9%, to $50.3 million from $69.7 million in the first quarter of fiscal 2017. The segment's operating margin decreased 590 bps from 23.8% in the first quarter of fiscal 2017 to 17.9% in the first quarter of fiscal 2018. The primary drivers of the change in operating margin were a:</w:t>
      </w: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580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470 bps increase in provision for accounts receivable due to a customer bankruptcy;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40 bps increase in distribution and freight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20 bps increase in marketing and brand management expenses.</w:t>
      </w:r>
    </w:p>
    <w:p>
      <w:pPr>
        <w:spacing w:after="0" w:line="210" w:lineRule="exact"/>
        <w:rPr>
          <w:rFonts w:ascii="Arial" w:cs="Arial" w:eastAsia="Arial" w:hAnsi="Arial"/>
          <w:sz w:val="18"/>
          <w:szCs w:val="18"/>
          <w:color w:val="auto"/>
        </w:rPr>
      </w:pPr>
    </w:p>
    <w:p>
      <w:pPr>
        <w:ind w:firstLine="8"/>
        <w:spacing w:after="0" w:line="291"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 Retail segment operating income decreased by $0.3 million, or 0.9%, to $29.5 million in the first quarter of fiscal 2018 from $29.8 million in the first quarter of fiscal 2017. This segment's operating margin decreased 50 bps from 8.2% in the first quarter of fiscal 2017 to 7.7% in the first quarter of fiscal</w:t>
      </w:r>
    </w:p>
    <w:p>
      <w:pPr>
        <w:spacing w:after="0"/>
        <w:rPr>
          <w:rFonts w:ascii="Arial" w:cs="Arial" w:eastAsia="Arial" w:hAnsi="Arial"/>
          <w:sz w:val="16"/>
          <w:szCs w:val="16"/>
          <w:color w:val="auto"/>
        </w:rPr>
      </w:pPr>
      <w:r>
        <w:rPr>
          <w:rFonts w:ascii="Arial" w:cs="Arial" w:eastAsia="Arial" w:hAnsi="Arial"/>
          <w:sz w:val="18"/>
          <w:szCs w:val="18"/>
          <w:color w:val="auto"/>
        </w:rPr>
        <w:t>2018. The primary drivers of the change in operating margin were a:</w:t>
      </w:r>
    </w:p>
    <w:p>
      <w:pPr>
        <w:spacing w:after="0" w:line="210" w:lineRule="exact"/>
        <w:rPr>
          <w:rFonts w:ascii="Arial" w:cs="Arial" w:eastAsia="Arial" w:hAnsi="Arial"/>
          <w:sz w:val="16"/>
          <w:szCs w:val="16"/>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60 bps increase in gross profit, primarily due to growth in higher-margin eCommerce business and lower product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50 bps decrease in royalty income due to a reduction in the number of licensees;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120 bps increase in expenses related to eCommerce initiatives;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50 bps increase in marketing and brand management expenses;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80 bps decrease in expenses associated with retail stores.</w:t>
      </w:r>
    </w:p>
    <w:p>
      <w:pPr>
        <w:spacing w:after="0" w:line="210" w:lineRule="exact"/>
        <w:rPr>
          <w:rFonts w:ascii="Arial" w:cs="Arial" w:eastAsia="Arial" w:hAnsi="Arial"/>
          <w:sz w:val="18"/>
          <w:szCs w:val="18"/>
          <w:color w:val="auto"/>
        </w:rPr>
      </w:pPr>
    </w:p>
    <w:p>
      <w:pPr>
        <w:ind w:right="20" w:firstLine="8"/>
        <w:spacing w:after="0" w:line="264"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segment operating income increased by $0.1 million, or 2.1%, to $3.8 million in the first quarter of fiscal 2018 from $3.7 million in the first quarter of 2017. This segment's operating margin decreased 70 bps from 4.8% in the first quarter of fiscal 2017 to 4.1% in the first quarter of fiscal 2018. The primary drivers of the change in operating margin were a:</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120 bps increase in gross profit primarily due to contribution from Carter's Mexico, partially offset by unfavorable channel mix;</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120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200 bps increase in selling, general and administrative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110 bps increase in distribution and freight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140 bps decrease in expenses associated with eCommerce;</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60 bps decrease in expenses associated with retail stores; and</w:t>
      </w:r>
    </w:p>
    <w:p>
      <w:pPr>
        <w:spacing w:after="0" w:line="9" w:lineRule="exact"/>
        <w:rPr>
          <w:rFonts w:ascii="Arial" w:cs="Arial" w:eastAsia="Arial" w:hAnsi="Arial"/>
          <w:sz w:val="18"/>
          <w:szCs w:val="18"/>
          <w:color w:val="auto"/>
        </w:rPr>
      </w:pPr>
    </w:p>
    <w:p>
      <w:pPr>
        <w:ind w:left="980" w:right="500" w:hanging="324"/>
        <w:spacing w:after="0" w:line="26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60 bps decrease in royalty income due to a reduction in the number of licensees that pay royalties, including the acquisition of our former licensee in Mexico.</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 Expenses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Unallocated corporate expenses decreased by $1.5 million, or 6.0%, in the first quarter of fiscal 2018 compared to the first quarter of fiscal 2017, primarily due to lower costs for acquisitions. Unallocated corporate expenses, as a percentage of consolidated net sales, decreased from 3.4% in the first quarter of fiscal 2017 to 3.1% in the first quarter of fiscal 2018.</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121" w:right="279" w:bottom="1440" w:gutter="0" w:footer="0" w:header="0"/>
          <w:type w:val="continuous"/>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effective interest rate calculations include the amortization of certain debt issuance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in the first quarters of fiscal 2018 and 2017 was approximately $8.0 million and $7.1 million, respectively. Weighted-average borrowings for the first quarter of fiscal 2018 were approximately $652.9 million with an effective interest rate of 4.81%, compared to weighted-average borrowings for the first quarter of fiscal 2017 of $608.5 million with an effective interest rate of 4.56%. The increase in weighted-average borrowings during the first quarter of fiscal 2018 was attributable to additional net borrowings under our secured revolving credit facility.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the weighted-average interest rate for the first quarter of fiscal 2018 compared to the first quarter of fiscal 2017 was due primarily to a higher LIBOR rate for the outstanding borrowings on our variable-rate secured revolving credit facility during the 2018 period.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income, net is comprised primarily of gains and losses on foreign currency transactions and, if utilized during a reporting period, gains and losses on foreign currency forward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effective income tax rate for the first quarter of fiscal 2018 was 19.7% compared to 35.0% for the first quarter of fiscal 2017. The lower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rate in fiscal 2018 was due mainly to a lower corporate income tax rate and other changes in U.S. tax law commonly known as the U.S. Tax Cuts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Jobs Act of 2017 (the "2017 Act"). For full year fiscal 2018, we estimate our annual consolidated effective income tax rate will be approximately 22%.</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Our provision for income taxes for the fourth quarter of fiscal 2017 reflected certain provisional estimates for the accounting of the December 22, 2017 enactment of the 2017 Act. The provisional accounting for the 2017 Act is permitted by SEC Staff Accounting Bulletin No. 118 issued in late December 2017. Subsequent adjustments, if any, to the provisional accounting estimates must be reflected in income tax provisions/benefits during one or more periods in fiscal 2018. At this time, the Company cannot predict the impact that adjustments, if any, to these provisional amounts may have on our effective annual income tax rate for fiscal 2018. See Note 10,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consolidated net income for the first quarter of fiscal 2018 decreased by $4.1 million, or 8.9%, to $42.5 million compared to $46.6 million in the first quarter of fiscal 2017. This change was due to the factors previously discussed.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2018, the Company had approximately $180.3 million of cash and cash equivalents in major financial institutions, including approximately $64.1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1" w:right="29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this risk, we utilize a policy of allocating cash deposits among major financial institutions that have been evaluated by us and third-party rating agencies.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Net accounts receivable at March 31, 2018 were $221.2 million compared to $206.7 million at April 1, 2017 and $240.6 million at December 30, 2017. The overall increase of $14.5 million, or 7.0%, at March 31, 2018 compared to April 1, 2017 primarily reflected acquisitions and timing of customer payments, partially offset by lower royalty receivables and fully-reserved receivables from a bankrupt customer. Due to the seasonal nature of our operations, the net accounts receivable balance at March 31, 2018 is not comparable to the net accounts receivable balance of $240.6 million at December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March 31, 2018 were $479.3 million compared to $434.7 million at April 1, 2017 and $548.7 million at December 30, 2017. The increase of</w:t>
      </w:r>
    </w:p>
    <w:p>
      <w:pPr>
        <w:spacing w:after="0" w:line="46"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$44.6 million, or 10.3%, at March 31, 2018 compared to April 1, 2017 primarily reflected business growth, including acquisitions. Due to the seasonal nature of our operations, the inventories balance at March 31, 2018 is not comparable to the inventories balance of $548.7 million at December 30, 2017.</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operating activities for the first quarter of fiscal 2018 was $64.1 million compared to net cash provided by operating activities of $84.2 million in the first quarter of fiscal 2017. This decrease for the first quarter of fiscal 2018 was due primarily to lower net income and the timing of working capital changes.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$14.4 million for the first quarter of fiscal 2018 compared to $161.7 million in the first quarter of fiscal 2017. Cash used for investing activities during the first quarter of fiscal 2017 included a net amount of $143.7 million for the acquisition of Skip Hop. Capital expenditures were $14.7 million in the first quarter of fiscal 2018 compared to $18.0 million in the first quarter of fiscal 2017, reflecting fewer new store openings in the 2018 fiscal period. Capital spending in the first quarter of fiscal 2018 included approximately $8.6 million for our U.S. and international retail store openings and re-modelings, $4.2 million for information technology initiatives, $1.4 million for distribution and office facilities, and $0.2 million for wholesale fixtures.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plan to invest approximately $100 million in total capital expenditures for all of fiscal 2018, primarily for our U.S. and international retail store openings and re-modelings, information technology initiatives, and distribution facilities.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financing activities was $48.3 million in the first quarter of fiscal 2018 compared to $67.5 million in the first quarter of fiscal 2017. The net decrease in cash used for the 2018 period primarily reflected decreases in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secured revolving credit facility provides liquidity that can be used as needed for our ongoing working capital purposes and general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corporate purposes. This facility provides for (i) a $650 million U.S. dollar revolving facility (including a $100 million sub-limit for letters of credit and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swing line sub-limit of $70 million) available for borrowings in U.S. dollars and (ii) a $100 million multicurrency revolving facility (including a $40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sub-limit for letters of credit and a swing line sub-limit of $15 million) available for borrowings denominated in U.S. dollars, Canadian dollars, Euros,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Sterling, or other currencies agreed to by the applicable lenders. Our secured revolving credit facility also includes the opportunity for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facilities in an aggregate amount not to exceed $425 million (with the aggregate U.S. dollar amount not to exceed $350 million and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multicurrency amount not to exceed $75 million). The U.S. dollar incremental facility can increase to an unlimited borrowing amount so long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first lien leverage ratio (as defined) does not exceed 2.25:1.00.</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secured credit facility, TWCC and its domestic subsidiaries have granted to the collateral agent, for the benefit of the lenders, valid and perfected first priority security interests in substantially all of their present and future assets, excluding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customary exceptions, and guarantee the obligations of the borrowers. In addition, The Genuine Canadian Corp., as Canadian borrower, and Carter’s Holdings B.V., as Dutch borrower, have each guaranteed the obligations of the other.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secured revolving credit facility matures August 25, 2022.</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2018, we had $221.0 million in outstanding borrowings under our secured revolving credit facility, exclusive of $4.5 million of outstanding letters of credit. As of March 31, 2018, approximately $524.5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March 31, 2018, U.S. dollar borrowings outstanding under the secured revolving credit facility accrued interest at a LIBOR rate plus the applicable base rate, which resulted in a borrowing rate of 3.25%. All outstanding Canadian dollar borrowings were repaid during the first quarter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were in compliance with the financial and other covenants under our secured revolving credit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March 31, 2018,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$3.5 million, $3.7 million and $4.4 million unamortized issuance-related debt costs at March 31, 2018, December 30, 2017 and April 1, 2017, respectively. The senior notes are unsecured and are fully and unconditionally guaranteed by Carter's, Inc. and certain subsidiaries of TWCC.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the first quarter of fiscal 2018, the Company repurchased and retired 221,313 shares in open market transactions for approximately $25.2 million at an average price of $113.84 per share. In the first quarter of fiscal 2017, the Company repurchased and retired 543,944 shares in open market transactions for approximately $46.6 million, at an average price of $85.72 per share.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March 31, 2018 was approximately $560.4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first quarter of fiscal 2018, we paid quarterly cash dividends of $0.45 per share. In the first quarter of fiscal 2017, we paid quarterly cash dividends of $0.37 per share.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disclosed in our most recent Annual Report on Form 10-K for the 2017 fiscal year ended December 30, 2017, provisions in our secured revolving credit facility and indenture governing our senior notes could have the effect of restricting our ability to pay future cash dividends on or make future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critical accounting policies and estimates are described under the heading "Critical Accounting Policies and Estimates" in Item 7 of our most recent Annual Report on Form 10-K for the 2017 fiscal year ended December 30, 2017.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had on our policies as disclosed under the header "Adoption of New Accounting Pronouncements At the Beginning of Fiscal 2018"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to the accompanying unaudited condensed consolidated financial statements contained in Item 1 of this Quarterly Report on Form 10-Q.</w:t>
      </w:r>
    </w:p>
    <w:p>
      <w:pPr>
        <w:spacing w:after="0" w:line="18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16,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Risks</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Fluctuations in currency exchange rates, primarily between the U.S. dollar and the currencies of Canada, Mexico, China,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some of our foreign operations may use currency forward contracts to hedge purchases that are made in U.S. dollars, primarily for inventory purchases. As part of this strategy, we primarily use foreign currency forward exchange contracts that have maturities of less than 12 months to provide continuing coverage throughout the hedging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variable rate borrowings outstanding as of March 31, 2018 were $221.0 million. An increase or decrease of 1% in the effective interest rate on that amount would increase or decrease our annual pre-tax interest expense by approximately $2.2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March 31,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0"/>
        <w:spacing w:after="0" w:line="259"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March 31, 2018 that have materially affected, or which are reasonably likely to materially affect, Internal Control.</w:t>
      </w:r>
    </w:p>
    <w:p>
      <w:pPr>
        <w:spacing w:after="0" w:line="187" w:lineRule="exact"/>
        <w:rPr>
          <w:sz w:val="20"/>
          <w:szCs w:val="20"/>
          <w:color w:val="auto"/>
        </w:rPr>
      </w:pPr>
    </w:p>
    <w:p>
      <w:pPr>
        <w:ind w:right="240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March 31, 2018.</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2017 fiscal year ended December 30, 2017.</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364"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Approximate</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dollar value of shares</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Total number of</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that may</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Total number</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5"/>
              </w:rPr>
              <w:t>shares purchased as</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5"/>
              </w:rPr>
              <w:t>yet be</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of shares</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part of publicly</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6"/>
              </w:rPr>
              <w:t>purchased</w:t>
            </w: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1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89"/>
              </w:rPr>
              <w:t>Average price paid</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announced plans or</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under the plans</w:t>
            </w:r>
          </w:p>
        </w:tc>
      </w:tr>
      <w:tr>
        <w:trPr>
          <w:trHeight w:val="25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Period</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88"/>
              </w:rPr>
              <w:t>per share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programs (2)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or programs (3)</w:t>
            </w:r>
          </w:p>
        </w:tc>
      </w:tr>
      <w:tr>
        <w:trPr>
          <w:trHeight w:val="183"/>
        </w:trPr>
        <w:tc>
          <w:tcPr>
            <w:tcW w:w="4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 through January 27, 2018</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45,584</w:t>
            </w:r>
          </w:p>
        </w:tc>
        <w:tc>
          <w:tcPr>
            <w:tcW w:w="18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$118.45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45,584</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$580,241,620</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28, 2018 through February 24, 2018</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79,589</w:t>
            </w:r>
          </w:p>
        </w:tc>
        <w:tc>
          <w:tcPr>
            <w:tcW w:w="18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$120.09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47,449</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$574,544,506</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25, 2018 through March 31, 2018</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151,304</w:t>
            </w:r>
          </w:p>
        </w:tc>
        <w:tc>
          <w:tcPr>
            <w:tcW w:w="18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$112.37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128,280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$560,446,687</w:t>
            </w:r>
          </w:p>
        </w:tc>
      </w:tr>
      <w:tr>
        <w:trPr>
          <w:trHeight w:val="189"/>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276,477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221,313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shares of our common stock surrendered by our employees to satisfy required tax withholding upon the vesting of restricted stock awards. There were 55,164 shares surrendered between December 31, 2017 and March 31, 2018.</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Share purchases during the first quarter of fiscal 2018 were made in compliance with all applicable rules and regulations and in accordance with the share repurchase authorizations described in Note 7, </w:t>
      </w:r>
      <w:r>
        <w:rPr>
          <w:rFonts w:ascii="Arial" w:cs="Arial" w:eastAsia="Arial" w:hAnsi="Arial"/>
          <w:sz w:val="18"/>
          <w:szCs w:val="18"/>
          <w:i w:val="1"/>
          <w:iCs w:val="1"/>
          <w:color w:val="auto"/>
        </w:rPr>
        <w:t>Common Stock</w:t>
      </w:r>
      <w:r>
        <w:rPr>
          <w:rFonts w:ascii="Arial" w:cs="Arial" w:eastAsia="Arial" w:hAnsi="Arial"/>
          <w:sz w:val="18"/>
          <w:szCs w:val="18"/>
          <w:color w:val="auto"/>
        </w:rPr>
        <w:t>, to our accompanying unaudited condensed consolidated financial statements included in Item 1 of this Quarterly Report on Form 10-Q.</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share repurchase authorizations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N/A</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Number</w:t>
            </w:r>
          </w:p>
        </w:tc>
        <w:tc>
          <w:tcPr>
            <w:tcW w:w="958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87"/>
              </w:rPr>
              <w:t>3.1</w:t>
            </w:r>
          </w:p>
        </w:tc>
        <w:tc>
          <w:tcPr>
            <w:tcW w:w="460" w:type="dxa"/>
            <w:vAlign w:val="bottom"/>
          </w:tcPr>
          <w:p>
            <w:pPr>
              <w:spacing w:after="0"/>
              <w:rPr>
                <w:sz w:val="24"/>
                <w:szCs w:val="24"/>
                <w:color w:val="auto"/>
              </w:rPr>
            </w:pPr>
          </w:p>
        </w:tc>
        <w:tc>
          <w:tcPr>
            <w:tcW w:w="9580" w:type="dxa"/>
            <w:vAlign w:val="bottom"/>
            <w:tcBorders>
              <w:bottom w:val="single" w:sz="8" w:color="0000FF"/>
            </w:tcBorders>
            <w:gridSpan w:val="6"/>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Incorporation of Carter's, Inc., as amended on May 22, 2017 (incorporated by reference to Exhibit 3.1 of Carter's, Inc.'s</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Current Report on Form 8-K filed on May 23, 2017).</w:t>
              </w:r>
            </w:hyperlink>
          </w:p>
        </w:tc>
        <w:tc>
          <w:tcPr>
            <w:tcW w:w="5760" w:type="dxa"/>
            <w:vAlign w:val="bottom"/>
            <w:gridSpan w:val="3"/>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460" w:type="dxa"/>
            <w:vAlign w:val="bottom"/>
          </w:tcPr>
          <w:p>
            <w:pPr>
              <w:spacing w:after="0"/>
              <w:rPr>
                <w:sz w:val="21"/>
                <w:szCs w:val="21"/>
                <w:color w:val="auto"/>
              </w:rPr>
            </w:pPr>
          </w:p>
        </w:tc>
        <w:tc>
          <w:tcPr>
            <w:tcW w:w="9560" w:type="dxa"/>
            <w:vAlign w:val="bottom"/>
            <w:tcBorders>
              <w:bottom w:val="single" w:sz="8" w:color="0000FF"/>
            </w:tcBorders>
            <w:gridSpan w:val="5"/>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Amended and Restated By-Laws of Carter's, Inc. (incorporated by reference to Exhibit 3.2 of Carter's, Inc.'s Current Report on Form</w:t>
              </w:r>
            </w:hyperlink>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8-K filed on May 23, 2017).</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1"/>
                <w:szCs w:val="21"/>
                <w:color w:val="auto"/>
              </w:rPr>
            </w:pPr>
          </w:p>
        </w:tc>
        <w:tc>
          <w:tcPr>
            <w:tcW w:w="9580" w:type="dxa"/>
            <w:vAlign w:val="bottom"/>
            <w:gridSpan w:val="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Rule 13a-15(e)/15d-15(e) and 13a-15(f)/15d-15(f) Certification.</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1"/>
                <w:szCs w:val="21"/>
                <w:color w:val="auto"/>
              </w:rPr>
            </w:pPr>
          </w:p>
        </w:tc>
        <w:tc>
          <w:tcPr>
            <w:tcW w:w="9580" w:type="dxa"/>
            <w:vAlign w:val="bottom"/>
            <w:gridSpan w:val="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Rule 13a-15(e)/15d-15(e) and 13a-15(f)/15d-15(f) Certification.</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1760" w:hanging="984"/>
        <w:spacing w:after="0"/>
        <w:tabs>
          <w:tab w:leader="none" w:pos="1760" w:val="left"/>
        </w:tabs>
        <w:numPr>
          <w:ilvl w:val="0"/>
          <w:numId w:val="16"/>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Section 1350 Certification.</w:t>
        </w:r>
      </w:hyperlink>
    </w:p>
    <w:p>
      <w:pPr>
        <w:spacing w:after="0" w:line="63"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364" w:right="319" w:bottom="1440" w:gutter="0" w:footer="0" w:header="0"/>
        </w:sectPr>
      </w:pPr>
    </w:p>
    <w:bookmarkStart w:id="47" w:name="page48"/>
    <w:bookmarkEnd w:id="47"/>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00"/>
          </w:cols>
          <w:pgMar w:left="240" w:top="589" w:right="11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March 31, 2018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4" Type="http://schemas.openxmlformats.org/officeDocument/2006/relationships/hyperlink" Target="http://www.sec.gov/Archives/edgar/data/1060822/000119312517179483/d400342dex31.htm" TargetMode="External"/><Relationship Id="rId15"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2019-12-28T23:01:21Z</dcterms:created>
  <dcterms:modified xsi:type="dcterms:W3CDTF">2019-12-28T23:01:21Z</dcterms:modified>
</cp:coreProperties>
</file>