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47" w:lineRule="exact"/>
        <w:rPr>
          <w:sz w:val="24"/>
          <w:szCs w:val="24"/>
          <w:color w:val="auto"/>
        </w:rPr>
      </w:pPr>
    </w:p>
    <w:p>
      <w:pPr>
        <w:ind w:left="4080" w:right="3160" w:hanging="4072"/>
        <w:spacing w:after="0" w:line="264" w:lineRule="auto"/>
        <w:tabs>
          <w:tab w:leader="none" w:pos="19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7"/>
          <w:szCs w:val="17"/>
          <w:b w:val="1"/>
          <w:bCs w:val="1"/>
          <w:color w:val="auto"/>
        </w:rPr>
        <w:t>January 1,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 w:lineRule="exact"/>
        <w:rPr>
          <w:sz w:val="24"/>
          <w:szCs w:val="24"/>
          <w:color w:val="auto"/>
        </w:rPr>
      </w:pPr>
    </w:p>
    <w:p>
      <w:pPr>
        <w:ind w:left="3980" w:right="2820" w:hanging="3972"/>
        <w:spacing w:after="0" w:line="250" w:lineRule="auto"/>
        <w:tabs>
          <w:tab w:leader="none" w:pos="19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______to 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001-31829</w:t>
      </w:r>
    </w:p>
    <w:p>
      <w:pPr>
        <w:spacing w:after="0" w:line="158" w:lineRule="exact"/>
        <w:rPr>
          <w:sz w:val="24"/>
          <w:szCs w:val="24"/>
          <w:color w:val="auto"/>
        </w:rPr>
      </w:pPr>
    </w:p>
    <w:tbl>
      <w:tblPr>
        <w:tblLayout w:type="fixed"/>
        <w:tblInd w:w="10" w:type="dxa"/>
        <w:tblCellMar>
          <w:top w:w="0" w:type="dxa"/>
          <w:left w:w="0" w:type="dxa"/>
          <w:bottom w:w="0" w:type="dxa"/>
          <w:right w:w="0" w:type="dxa"/>
        </w:tblCellMar>
      </w:tblPr>
      <w:tr>
        <w:trPr>
          <w:trHeight w:val="355"/>
        </w:trPr>
        <w:tc>
          <w:tcPr>
            <w:tcW w:w="4020" w:type="dxa"/>
            <w:vAlign w:val="bottom"/>
          </w:tcPr>
          <w:p>
            <w:pPr>
              <w:spacing w:after="0"/>
              <w:rPr>
                <w:sz w:val="24"/>
                <w:szCs w:val="24"/>
                <w:color w:val="auto"/>
              </w:rPr>
            </w:pPr>
          </w:p>
        </w:tc>
        <w:tc>
          <w:tcPr>
            <w:tcW w:w="3120" w:type="dxa"/>
            <w:vAlign w:val="bottom"/>
            <w:gridSpan w:val="3"/>
          </w:tcPr>
          <w:p>
            <w:pPr>
              <w:jc w:val="center"/>
              <w:spacing w:after="0"/>
              <w:rPr>
                <w:sz w:val="20"/>
                <w:szCs w:val="20"/>
                <w:color w:val="auto"/>
              </w:rPr>
            </w:pPr>
            <w:r>
              <w:rPr>
                <w:rFonts w:ascii="Arial" w:cs="Arial" w:eastAsia="Arial" w:hAnsi="Arial"/>
                <w:sz w:val="29"/>
                <w:szCs w:val="29"/>
                <w:b w:val="1"/>
                <w:bCs w:val="1"/>
                <w:color w:val="auto"/>
                <w:w w:val="98"/>
              </w:rPr>
              <w:t>CARTER’S, INC.</w:t>
            </w:r>
          </w:p>
        </w:tc>
        <w:tc>
          <w:tcPr>
            <w:tcW w:w="4120" w:type="dxa"/>
            <w:vAlign w:val="bottom"/>
          </w:tcPr>
          <w:p>
            <w:pPr>
              <w:spacing w:after="0"/>
              <w:rPr>
                <w:sz w:val="24"/>
                <w:szCs w:val="24"/>
                <w:color w:val="auto"/>
              </w:rPr>
            </w:pPr>
          </w:p>
        </w:tc>
      </w:tr>
      <w:tr>
        <w:trPr>
          <w:trHeight w:val="230"/>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93"/>
        </w:trPr>
        <w:tc>
          <w:tcPr>
            <w:tcW w:w="402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Delaware</w:t>
            </w:r>
          </w:p>
        </w:tc>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tcPr>
          <w:p>
            <w:pPr>
              <w:jc w:val="right"/>
              <w:ind w:right="2110"/>
              <w:spacing w:after="0"/>
              <w:rPr>
                <w:sz w:val="20"/>
                <w:szCs w:val="20"/>
                <w:color w:val="auto"/>
              </w:rPr>
            </w:pPr>
            <w:r>
              <w:rPr>
                <w:rFonts w:ascii="Arial" w:cs="Arial" w:eastAsia="Arial" w:hAnsi="Arial"/>
                <w:sz w:val="18"/>
                <w:szCs w:val="18"/>
                <w:b w:val="1"/>
                <w:bCs w:val="1"/>
                <w:color w:val="auto"/>
              </w:rPr>
              <w:t>13-3912933</w:t>
            </w:r>
          </w:p>
        </w:tc>
      </w:tr>
      <w:tr>
        <w:trPr>
          <w:trHeight w:val="230"/>
        </w:trPr>
        <w:tc>
          <w:tcPr>
            <w:tcW w:w="4020" w:type="dxa"/>
            <w:vAlign w:val="bottom"/>
          </w:tcPr>
          <w:p>
            <w:pPr>
              <w:jc w:val="center"/>
              <w:ind w:left="650"/>
              <w:spacing w:after="0"/>
              <w:rPr>
                <w:sz w:val="20"/>
                <w:szCs w:val="20"/>
                <w:color w:val="auto"/>
              </w:rPr>
            </w:pPr>
            <w:r>
              <w:rPr>
                <w:rFonts w:ascii="Arial" w:cs="Arial" w:eastAsia="Arial" w:hAnsi="Arial"/>
                <w:sz w:val="18"/>
                <w:szCs w:val="18"/>
                <w:color w:val="auto"/>
                <w:w w:val="92"/>
              </w:rPr>
              <w:t>(State or other jurisdiction of</w:t>
            </w:r>
          </w:p>
        </w:tc>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20" w:type="dxa"/>
            <w:vAlign w:val="bottom"/>
          </w:tcPr>
          <w:p>
            <w:pPr>
              <w:jc w:val="center"/>
              <w:ind w:right="10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020" w:type="dxa"/>
            <w:vAlign w:val="bottom"/>
          </w:tcPr>
          <w:p>
            <w:pPr>
              <w:jc w:val="center"/>
              <w:ind w:left="650"/>
              <w:spacing w:after="0"/>
              <w:rPr>
                <w:sz w:val="20"/>
                <w:szCs w:val="20"/>
                <w:color w:val="auto"/>
              </w:rPr>
            </w:pPr>
            <w:r>
              <w:rPr>
                <w:rFonts w:ascii="Arial" w:cs="Arial" w:eastAsia="Arial" w:hAnsi="Arial"/>
                <w:sz w:val="18"/>
                <w:szCs w:val="18"/>
                <w:color w:val="auto"/>
                <w:w w:val="92"/>
              </w:rPr>
              <w:t>incorporation or organization)</w:t>
            </w:r>
          </w:p>
        </w:tc>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522"/>
        </w:trPr>
        <w:tc>
          <w:tcPr>
            <w:tcW w:w="4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Phipps Tower</w:t>
            </w:r>
          </w:p>
        </w:tc>
        <w:tc>
          <w:tcPr>
            <w:tcW w:w="4120" w:type="dxa"/>
            <w:vAlign w:val="bottom"/>
          </w:tcPr>
          <w:p>
            <w:pPr>
              <w:spacing w:after="0"/>
              <w:rPr>
                <w:sz w:val="24"/>
                <w:szCs w:val="24"/>
                <w:color w:val="auto"/>
              </w:rPr>
            </w:pPr>
          </w:p>
        </w:tc>
      </w:tr>
      <w:tr>
        <w:trPr>
          <w:trHeight w:val="216"/>
        </w:trPr>
        <w:tc>
          <w:tcPr>
            <w:tcW w:w="402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3438 Peachtree Road NE, Suite 1800</w:t>
            </w:r>
          </w:p>
        </w:tc>
        <w:tc>
          <w:tcPr>
            <w:tcW w:w="4120" w:type="dxa"/>
            <w:vAlign w:val="bottom"/>
          </w:tcPr>
          <w:p>
            <w:pPr>
              <w:spacing w:after="0"/>
              <w:rPr>
                <w:sz w:val="18"/>
                <w:szCs w:val="18"/>
                <w:color w:val="auto"/>
              </w:rPr>
            </w:pPr>
          </w:p>
        </w:tc>
      </w:tr>
      <w:tr>
        <w:trPr>
          <w:trHeight w:val="220"/>
        </w:trPr>
        <w:tc>
          <w:tcPr>
            <w:tcW w:w="4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Atlanta, Georgia 30326</w:t>
            </w:r>
          </w:p>
        </w:tc>
        <w:tc>
          <w:tcPr>
            <w:tcW w:w="4120" w:type="dxa"/>
            <w:vAlign w:val="bottom"/>
          </w:tcPr>
          <w:p>
            <w:pPr>
              <w:spacing w:after="0"/>
              <w:rPr>
                <w:sz w:val="19"/>
                <w:szCs w:val="19"/>
                <w:color w:val="auto"/>
              </w:rPr>
            </w:pPr>
          </w:p>
        </w:tc>
      </w:tr>
      <w:tr>
        <w:trPr>
          <w:trHeight w:val="212"/>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220"/>
        </w:trPr>
        <w:tc>
          <w:tcPr>
            <w:tcW w:w="4020" w:type="dxa"/>
            <w:vAlign w:val="bottom"/>
          </w:tcPr>
          <w:p>
            <w:pPr>
              <w:spacing w:after="0"/>
              <w:rPr>
                <w:sz w:val="19"/>
                <w:szCs w:val="19"/>
                <w:color w:val="auto"/>
              </w:rPr>
            </w:pPr>
          </w:p>
        </w:tc>
        <w:tc>
          <w:tcPr>
            <w:tcW w:w="27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(678) 791-1000</w:t>
            </w:r>
          </w:p>
        </w:tc>
        <w:tc>
          <w:tcPr>
            <w:tcW w:w="36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16"/>
        </w:trPr>
        <w:tc>
          <w:tcPr>
            <w:tcW w:w="11260" w:type="dxa"/>
            <w:vAlign w:val="bottom"/>
            <w:gridSpan w:val="5"/>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30"/>
        </w:trPr>
        <w:tc>
          <w:tcPr>
            <w:tcW w:w="11260" w:type="dxa"/>
            <w:vAlign w:val="bottom"/>
            <w:gridSpan w:val="5"/>
          </w:tcPr>
          <w:p>
            <w:pPr>
              <w:jc w:val="right"/>
              <w:ind w:right="3430"/>
              <w:spacing w:after="0"/>
              <w:rPr>
                <w:sz w:val="20"/>
                <w:szCs w:val="20"/>
                <w:color w:val="auto"/>
              </w:rPr>
            </w:pPr>
            <w:r>
              <w:rPr>
                <w:rFonts w:ascii="Arial" w:cs="Arial" w:eastAsia="Arial" w:hAnsi="Arial"/>
                <w:sz w:val="18"/>
                <w:szCs w:val="18"/>
                <w:color w:val="auto"/>
              </w:rPr>
              <w:t>_______________________________________________</w:t>
            </w:r>
          </w:p>
        </w:tc>
      </w:tr>
      <w:tr>
        <w:trPr>
          <w:trHeight w:val="459"/>
        </w:trPr>
        <w:tc>
          <w:tcPr>
            <w:tcW w:w="7140" w:type="dxa"/>
            <w:vAlign w:val="bottom"/>
            <w:gridSpan w:val="4"/>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tc>
        <w:tc>
          <w:tcPr>
            <w:tcW w:w="4120" w:type="dxa"/>
            <w:vAlign w:val="bottom"/>
          </w:tcPr>
          <w:p>
            <w:pPr>
              <w:spacing w:after="0"/>
              <w:rPr>
                <w:sz w:val="24"/>
                <w:szCs w:val="24"/>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3"/>
        </w:trPr>
        <w:tc>
          <w:tcPr>
            <w:tcW w:w="4020" w:type="dxa"/>
            <w:vAlign w:val="bottom"/>
            <w:tcBorders>
              <w:left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9"/>
              </w:rPr>
              <w:t>Title of Each Class</w:t>
            </w:r>
          </w:p>
        </w:tc>
        <w:tc>
          <w:tcPr>
            <w:tcW w:w="6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6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3"/>
        </w:trPr>
        <w:tc>
          <w:tcPr>
            <w:tcW w:w="4020" w:type="dxa"/>
            <w:vAlign w:val="bottom"/>
            <w:tcBorders>
              <w:left w:val="single" w:sz="8" w:color="auto"/>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Common stock, par value $0.01 per share</w:t>
            </w:r>
          </w:p>
        </w:tc>
        <w:tc>
          <w:tcPr>
            <w:tcW w:w="62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CRI</w:t>
            </w:r>
          </w:p>
        </w:tc>
        <w:tc>
          <w:tcPr>
            <w:tcW w:w="36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1"/>
              </w:rPr>
              <w:t>New York Stock Exchange</w:t>
            </w:r>
          </w:p>
        </w:tc>
      </w:tr>
    </w:tbl>
    <w:p>
      <w:pPr>
        <w:spacing w:after="0" w:line="3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1" w:name="page2"/>
    <w:bookmarkEnd w:id="1"/>
    <w:p>
      <w:pPr>
        <w:ind w:right="3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led a report on and attestation to its management’s assessment of the effectiveness of its internal control over financial reporting under Section 404(b) of the Sarbanes-Oxley Act (15 U.S.C. 7262(b)) by the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July 3, 2021 as reported on the New York Stock Exchange was $3,415,209,703. For purposes of the foregoing calculation only, which is required by Form 10-K, the Registrant has included in the shares owned by affiliates those shares owned by directors and executive officers of the Registrant, and such inclusion shall not be construed as an</w:t>
      </w:r>
    </w:p>
    <w:p>
      <w:pPr>
        <w:spacing w:after="0" w:line="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admission that any such person is an affiliate for any purpose. As of February 18, 2022, there were 40,910,501 shares of the registrant’s common stock outstanding.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scheduled to be held on May 18, 2022, will be incorporated by reference in Part III of this Form 10-K. Carter’s, Inc. intends to file such proxy statement with the Securities and Exchange Commission not later than 120 days after its fiscal year ended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CARTER’S,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ANNUAL REPORT ON FORM 10-K</w:t>
      </w:r>
    </w:p>
    <w:p>
      <w:pPr>
        <w:jc w:val="center"/>
        <w:spacing w:after="0"/>
        <w:rPr>
          <w:sz w:val="20"/>
          <w:szCs w:val="20"/>
          <w:color w:val="auto"/>
        </w:rPr>
      </w:pPr>
      <w:r>
        <w:rPr>
          <w:rFonts w:ascii="Arial" w:cs="Arial" w:eastAsia="Arial" w:hAnsi="Arial"/>
          <w:sz w:val="20"/>
          <w:szCs w:val="20"/>
          <w:b w:val="1"/>
          <w:bCs w:val="1"/>
          <w:color w:val="auto"/>
        </w:rPr>
        <w:t>FOR FISCAL YEAR ENDED JANUARY 1,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20" w:type="dxa"/>
            <w:vAlign w:val="bottom"/>
            <w:gridSpan w:val="10"/>
          </w:tcPr>
          <w:p>
            <w:pPr>
              <w:spacing w:after="0" w:line="182"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4"/>
          </w:tcPr>
          <w:p>
            <w:pPr>
              <w:jc w:val="right"/>
              <w:ind w:right="20"/>
              <w:spacing w:after="0" w:line="18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3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6"/>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Item 1A</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13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Item 1B</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58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580" w:type="dxa"/>
            <w:vAlign w:val="bottom"/>
            <w:tcBorders>
              <w:top w:val="single" w:sz="8" w:color="CCEEFF"/>
            </w:tcBorders>
            <w:gridSpan w:val="2"/>
          </w:tcPr>
          <w:p>
            <w:pPr>
              <w:spacing w:after="0"/>
              <w:rPr>
                <w:sz w:val="16"/>
                <w:szCs w:val="16"/>
                <w:color w:val="auto"/>
              </w:rPr>
            </w:pPr>
          </w:p>
        </w:tc>
        <w:tc>
          <w:tcPr>
            <w:tcW w:w="2060" w:type="dxa"/>
            <w:vAlign w:val="bottom"/>
            <w:tcBorders>
              <w:top w:val="single" w:sz="8" w:color="0000FF"/>
            </w:tcBorders>
            <w:gridSpan w:val="11"/>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Properties</w:t>
              </w:r>
            </w:hyperlink>
          </w:p>
        </w:tc>
        <w:tc>
          <w:tcPr>
            <w:tcW w:w="5680" w:type="dxa"/>
            <w:vAlign w:val="bottom"/>
            <w:tcBorders>
              <w:top w:val="single" w:sz="8" w:color="CCEEFF"/>
            </w:tcBorders>
            <w:gridSpan w:val="12"/>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6"/>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Item 4</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w:t>
              </w:r>
            </w:hyperlink>
          </w:p>
        </w:tc>
        <w:tc>
          <w:tcPr>
            <w:tcW w:w="1580" w:type="dxa"/>
            <w:vAlign w:val="bottom"/>
            <w:tcBorders>
              <w:bottom w:val="single" w:sz="8" w:color="CCEEFF"/>
            </w:tcBorders>
            <w:gridSpan w:val="8"/>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23</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7"/>
          </w:tcPr>
          <w:p>
            <w:pPr>
              <w:ind w:left="36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Item 5</w:t>
              </w:r>
            </w:hyperlink>
          </w:p>
        </w:tc>
        <w:tc>
          <w:tcPr>
            <w:tcW w:w="7740" w:type="dxa"/>
            <w:vAlign w:val="bottom"/>
            <w:gridSpan w:val="23"/>
          </w:tcPr>
          <w:p>
            <w:pPr>
              <w:spacing w:after="0" w:line="189" w:lineRule="exact"/>
              <w:rPr>
                <w:rFonts w:ascii="Arial" w:cs="Arial" w:eastAsia="Arial" w:hAnsi="Arial"/>
                <w:sz w:val="18"/>
                <w:szCs w:val="18"/>
                <w:color w:val="0000FF"/>
                <w:w w:val="95"/>
              </w:rPr>
            </w:pPr>
            <w:hyperlink w:anchor="page26">
              <w:r>
                <w:rPr>
                  <w:rFonts w:ascii="Arial" w:cs="Arial" w:eastAsia="Arial" w:hAnsi="Arial"/>
                  <w:sz w:val="18"/>
                  <w:szCs w:val="18"/>
                  <w:color w:val="0000FF"/>
                  <w:w w:val="95"/>
                </w:rPr>
                <w:t>Market for Registrant’s Common Equity, Related Stockholder Matters, and Issuer Purchases of Equity</w:t>
              </w:r>
            </w:hyperlink>
          </w:p>
        </w:tc>
        <w:tc>
          <w:tcPr>
            <w:tcW w:w="1340" w:type="dxa"/>
            <w:vAlign w:val="bottom"/>
            <w:gridSpan w:val="3"/>
            <w:vMerge w:val="restart"/>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3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Securities</w:t>
              </w:r>
            </w:hyperlink>
          </w:p>
        </w:tc>
        <w:tc>
          <w:tcPr>
            <w:tcW w:w="38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6</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[Reserved]</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6"/>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7</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Item 7A</w:t>
              </w:r>
            </w:hyperlink>
          </w:p>
        </w:tc>
        <w:tc>
          <w:tcPr>
            <w:tcW w:w="56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Quantitative and Qualitative Disclosures about Market Risk</w:t>
              </w:r>
            </w:hyperlink>
          </w:p>
        </w:tc>
        <w:tc>
          <w:tcPr>
            <w:tcW w:w="3420" w:type="dxa"/>
            <w:vAlign w:val="bottom"/>
            <w:tcBorders>
              <w:bottom w:val="single" w:sz="8" w:color="CCEEFF"/>
            </w:tcBorders>
            <w:gridSpan w:val="6"/>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3">
              <w:r>
                <w:rPr>
                  <w:rFonts w:ascii="Arial" w:cs="Arial" w:eastAsia="Arial" w:hAnsi="Arial"/>
                  <w:sz w:val="18"/>
                  <w:szCs w:val="18"/>
                  <w:color w:val="0000FF"/>
                  <w:w w:val="79"/>
                </w:rPr>
                <w:t>41</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7"/>
          </w:tcPr>
          <w:p>
            <w:pPr>
              <w:ind w:left="36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Item 8</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Financial Statements and Supplementary Data</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Item 9</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Changes in and Disagreements with Accountants on Accounting and Financial Disclosure</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83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6"/>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Item 9A</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6"/>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Item 9B</w:t>
              </w:r>
            </w:hyperlink>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83</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6"/>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Item 9C</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Disclosure Regarding Foreign Jurisdictions that Prevent Inspections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20" w:type="dxa"/>
            <w:vAlign w:val="bottom"/>
            <w:gridSpan w:val="10"/>
            <w:shd w:val="clear" w:color="auto" w:fill="CCEEFF"/>
          </w:tcPr>
          <w:p>
            <w:pPr>
              <w:spacing w:after="0" w:line="189" w:lineRule="exact"/>
              <w:rPr>
                <w:rFonts w:ascii="Arial" w:cs="Arial" w:eastAsia="Arial" w:hAnsi="Arial"/>
                <w:sz w:val="18"/>
                <w:szCs w:val="18"/>
                <w:b w:val="1"/>
                <w:bCs w:val="1"/>
                <w:color w:val="0000FF"/>
              </w:rPr>
            </w:pPr>
            <w:hyperlink w:anchor="page86">
              <w:r>
                <w:rPr>
                  <w:rFonts w:ascii="Arial" w:cs="Arial" w:eastAsia="Arial" w:hAnsi="Arial"/>
                  <w:sz w:val="18"/>
                  <w:szCs w:val="18"/>
                  <w:b w:val="1"/>
                  <w:bCs w:val="1"/>
                  <w:color w:val="0000FF"/>
                </w:rPr>
                <w:t>Part III</w:t>
              </w:r>
            </w:hyperlink>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84</w:t>
              </w:r>
            </w:hyperlink>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520" w:type="dxa"/>
            <w:vAlign w:val="bottom"/>
            <w:tcBorders>
              <w:top w:val="single" w:sz="8" w:color="CCEEFF"/>
            </w:tcBorders>
            <w:gridSpan w:val="7"/>
          </w:tcPr>
          <w:p>
            <w:pPr>
              <w:ind w:left="360"/>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Item 10</w:t>
              </w:r>
            </w:hyperlink>
          </w:p>
        </w:tc>
        <w:tc>
          <w:tcPr>
            <w:tcW w:w="7740" w:type="dxa"/>
            <w:vAlign w:val="bottom"/>
            <w:tcBorders>
              <w:top w:val="single" w:sz="8" w:color="CCEEFF"/>
            </w:tcBorders>
            <w:gridSpan w:val="23"/>
          </w:tcPr>
          <w:p>
            <w:pPr>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Directors and Executive Officers of the Registrant</w:t>
              </w:r>
            </w:hyperlink>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rFonts w:ascii="Arial" w:cs="Arial" w:eastAsia="Arial" w:hAnsi="Arial"/>
                <w:sz w:val="18"/>
                <w:szCs w:val="18"/>
                <w:color w:val="0000FF"/>
                <w:w w:val="79"/>
              </w:rPr>
            </w:pPr>
            <w:hyperlink w:anchor="page87">
              <w:r>
                <w:rPr>
                  <w:rFonts w:ascii="Arial" w:cs="Arial" w:eastAsia="Arial" w:hAnsi="Arial"/>
                  <w:sz w:val="18"/>
                  <w:szCs w:val="18"/>
                  <w:color w:val="0000FF"/>
                  <w:w w:val="79"/>
                </w:rPr>
                <w:t>84</w:t>
              </w:r>
            </w:hyperlink>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Item 11</w:t>
              </w:r>
            </w:hyperlink>
          </w:p>
        </w:tc>
        <w:tc>
          <w:tcPr>
            <w:tcW w:w="600" w:type="dxa"/>
            <w:vAlign w:val="bottom"/>
            <w:gridSpan w:val="3"/>
            <w:shd w:val="clear" w:color="auto" w:fill="CCEEFF"/>
          </w:tcPr>
          <w:p>
            <w:pPr>
              <w:spacing w:after="0"/>
              <w:rPr>
                <w:sz w:val="16"/>
                <w:szCs w:val="16"/>
                <w:color w:val="auto"/>
              </w:rPr>
            </w:pPr>
          </w:p>
        </w:tc>
        <w:tc>
          <w:tcPr>
            <w:tcW w:w="7740" w:type="dxa"/>
            <w:vAlign w:val="bottom"/>
            <w:gridSpan w:val="23"/>
            <w:shd w:val="clear" w:color="auto" w:fill="CCEEFF"/>
          </w:tcPr>
          <w:p>
            <w:pPr>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13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84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gridSpan w:val="3"/>
          </w:tcPr>
          <w:p>
            <w:pPr>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Item 12</w:t>
              </w:r>
            </w:hyperlink>
          </w:p>
        </w:tc>
        <w:tc>
          <w:tcPr>
            <w:tcW w:w="600" w:type="dxa"/>
            <w:vAlign w:val="bottom"/>
            <w:gridSpan w:val="3"/>
          </w:tcPr>
          <w:p>
            <w:pPr>
              <w:spacing w:after="0"/>
              <w:rPr>
                <w:sz w:val="16"/>
                <w:szCs w:val="16"/>
                <w:color w:val="auto"/>
              </w:rPr>
            </w:pPr>
          </w:p>
        </w:tc>
        <w:tc>
          <w:tcPr>
            <w:tcW w:w="7740" w:type="dxa"/>
            <w:vAlign w:val="bottom"/>
            <w:gridSpan w:val="23"/>
          </w:tcPr>
          <w:p>
            <w:pPr>
              <w:spacing w:after="0" w:line="189" w:lineRule="exact"/>
              <w:rPr>
                <w:rFonts w:ascii="Arial" w:cs="Arial" w:eastAsia="Arial" w:hAnsi="Arial"/>
                <w:sz w:val="18"/>
                <w:szCs w:val="18"/>
                <w:color w:val="0000FF"/>
                <w:w w:val="96"/>
              </w:rPr>
            </w:pPr>
            <w:hyperlink w:anchor="page87">
              <w:r>
                <w:rPr>
                  <w:rFonts w:ascii="Arial" w:cs="Arial" w:eastAsia="Arial" w:hAnsi="Arial"/>
                  <w:sz w:val="18"/>
                  <w:szCs w:val="18"/>
                  <w:color w:val="0000FF"/>
                  <w:w w:val="96"/>
                </w:rPr>
                <w:t>Security Ownership of Certain Beneficial Owners and Management and Related Stockholder Matters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84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Item 13</w:t>
              </w:r>
            </w:hyperlink>
          </w:p>
        </w:tc>
        <w:tc>
          <w:tcPr>
            <w:tcW w:w="600" w:type="dxa"/>
            <w:vAlign w:val="bottom"/>
            <w:tcBorders>
              <w:bottom w:val="single" w:sz="8" w:color="CCEEFF"/>
            </w:tcBorders>
            <w:gridSpan w:val="3"/>
            <w:shd w:val="clear" w:color="auto" w:fill="CCEEFF"/>
          </w:tcPr>
          <w:p>
            <w:pPr>
              <w:spacing w:after="0"/>
              <w:rPr>
                <w:sz w:val="18"/>
                <w:szCs w:val="18"/>
                <w:color w:val="auto"/>
              </w:rPr>
            </w:pPr>
          </w:p>
        </w:tc>
        <w:tc>
          <w:tcPr>
            <w:tcW w:w="342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Certain Relationships and Related Transactions</w:t>
              </w:r>
            </w:hyperlink>
          </w:p>
        </w:tc>
        <w:tc>
          <w:tcPr>
            <w:tcW w:w="4320" w:type="dxa"/>
            <w:vAlign w:val="bottom"/>
            <w:tcBorders>
              <w:bottom w:val="single" w:sz="8" w:color="CCEEFF"/>
            </w:tcBorders>
            <w:gridSpan w:val="8"/>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87">
              <w:r>
                <w:rPr>
                  <w:rFonts w:ascii="Arial" w:cs="Arial" w:eastAsia="Arial" w:hAnsi="Arial"/>
                  <w:sz w:val="18"/>
                  <w:szCs w:val="18"/>
                  <w:color w:val="0000FF"/>
                  <w:w w:val="79"/>
                </w:rPr>
                <w:t>84</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7"/>
          </w:tcPr>
          <w:p>
            <w:pPr>
              <w:ind w:left="360"/>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Item 14</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Principal Accountant Fees and Services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84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IV</w:t>
              </w:r>
            </w:hyperlink>
          </w:p>
        </w:tc>
        <w:tc>
          <w:tcPr>
            <w:tcW w:w="1520" w:type="dxa"/>
            <w:vAlign w:val="bottom"/>
            <w:tcBorders>
              <w:bottom w:val="single" w:sz="8" w:color="CCEEFF"/>
            </w:tcBorders>
            <w:gridSpan w:val="7"/>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87">
              <w:r>
                <w:rPr>
                  <w:rFonts w:ascii="Arial" w:cs="Arial" w:eastAsia="Arial" w:hAnsi="Arial"/>
                  <w:sz w:val="18"/>
                  <w:szCs w:val="18"/>
                  <w:color w:val="0000FF"/>
                  <w:w w:val="79"/>
                </w:rPr>
                <w:t>85</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7"/>
          </w:tcPr>
          <w:p>
            <w:pPr>
              <w:ind w:left="360"/>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Item 15</w:t>
              </w:r>
            </w:hyperlink>
          </w:p>
        </w:tc>
        <w:tc>
          <w:tcPr>
            <w:tcW w:w="7740" w:type="dxa"/>
            <w:vAlign w:val="bottom"/>
            <w:gridSpan w:val="23"/>
          </w:tcPr>
          <w:p>
            <w:pPr>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Exhibits and Financial Statement Schedules</w:t>
              </w:r>
            </w:hyperlink>
          </w:p>
        </w:tc>
        <w:tc>
          <w:tcPr>
            <w:tcW w:w="1340" w:type="dxa"/>
            <w:vAlign w:val="bottom"/>
            <w:gridSpan w:val="3"/>
          </w:tcPr>
          <w:p>
            <w:pPr>
              <w:jc w:val="right"/>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Item 16</w:t>
              </w:r>
            </w:hyperlink>
          </w:p>
        </w:tc>
        <w:tc>
          <w:tcPr>
            <w:tcW w:w="600" w:type="dxa"/>
            <w:vAlign w:val="bottom"/>
            <w:tcBorders>
              <w:bottom w:val="single" w:sz="8" w:color="CCEEFF"/>
            </w:tcBorders>
            <w:gridSpan w:val="3"/>
            <w:shd w:val="clear" w:color="auto" w:fill="CCEEFF"/>
          </w:tcPr>
          <w:p>
            <w:pPr>
              <w:spacing w:after="0"/>
              <w:rPr>
                <w:sz w:val="18"/>
                <w:szCs w:val="18"/>
                <w:color w:val="auto"/>
              </w:rPr>
            </w:pPr>
          </w:p>
        </w:tc>
        <w:tc>
          <w:tcPr>
            <w:tcW w:w="156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2"/>
              </w:rPr>
            </w:pPr>
            <w:hyperlink w:anchor="page90">
              <w:r>
                <w:rPr>
                  <w:rFonts w:ascii="Arial" w:cs="Arial" w:eastAsia="Arial" w:hAnsi="Arial"/>
                  <w:sz w:val="18"/>
                  <w:szCs w:val="18"/>
                  <w:color w:val="0000FF"/>
                  <w:w w:val="92"/>
                </w:rPr>
                <w:t>Form 10-K Summary</w:t>
              </w:r>
            </w:hyperlink>
          </w:p>
        </w:tc>
        <w:tc>
          <w:tcPr>
            <w:tcW w:w="6180" w:type="dxa"/>
            <w:vAlign w:val="bottom"/>
            <w:tcBorders>
              <w:bottom w:val="single" w:sz="8" w:color="CCEEFF"/>
            </w:tcBorders>
            <w:gridSpan w:val="15"/>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90">
              <w:r>
                <w:rPr>
                  <w:rFonts w:ascii="Arial" w:cs="Arial" w:eastAsia="Arial" w:hAnsi="Arial"/>
                  <w:sz w:val="18"/>
                  <w:szCs w:val="18"/>
                  <w:color w:val="0000FF"/>
                  <w:w w:val="79"/>
                </w:rPr>
                <w:t>87</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10"/>
          </w:tcPr>
          <w:p>
            <w:pPr>
              <w:spacing w:after="0" w:line="189" w:lineRule="exact"/>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SIGNATURES</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3"/>
          </w:tcPr>
          <w:p>
            <w:pPr>
              <w:jc w:val="right"/>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88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 w:name="page4"/>
    <w:bookmarkEnd w:id="3"/>
    <w:p>
      <w:pPr>
        <w:ind w:right="60"/>
        <w:spacing w:after="0" w:line="269" w:lineRule="auto"/>
        <w:rPr>
          <w:sz w:val="20"/>
          <w:szCs w:val="20"/>
          <w:color w:val="auto"/>
        </w:rPr>
      </w:pPr>
      <w:r>
        <w:rPr>
          <w:rFonts w:ascii="Arial" w:cs="Arial" w:eastAsia="Arial" w:hAnsi="Arial"/>
          <w:sz w:val="17"/>
          <w:szCs w:val="17"/>
          <w:color w:val="auto"/>
        </w:rPr>
        <w:t>This Annual Report on Form 10-K contains certain forward-looking statements within the meaning of the federal securities laws relating to our future performance.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our current expectations and assumptions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the context indicates otherwise, in this filing on Form 10-K, “Carter’s,” the “Company,” “we,” “us,” “its,” and “our” refers to Carter’s, Inc. and its wholly owned subsidiaries.</w:t>
      </w:r>
    </w:p>
    <w:p>
      <w:pPr>
        <w:spacing w:after="0" w:line="1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market share data is based on information provided by the NPD Group, Inc. (“NPD”). NPD data is based upon Consumer Panel Track</w:t>
      </w:r>
      <w:r>
        <w:rPr>
          <w:rFonts w:ascii="Arial" w:cs="Arial" w:eastAsia="Arial" w:hAnsi="Arial"/>
          <w:sz w:val="9"/>
          <w:szCs w:val="9"/>
          <w:color w:val="auto"/>
        </w:rPr>
        <w:t>SM</w:t>
      </w:r>
      <w:r>
        <w:rPr>
          <w:rFonts w:ascii="Arial" w:cs="Arial" w:eastAsia="Arial" w:hAnsi="Arial"/>
          <w:sz w:val="18"/>
          <w:szCs w:val="18"/>
          <w:color w:val="auto"/>
        </w:rPr>
        <w:t xml:space="preserve"> (consumer-reported sales) calibrated with selected retailers’ point of sale data for children’s apparel in the United States (“U.S.”) and represents the twelve-month period through the end of December 2021.</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Unless otherwise indicated, references to market share in this Annual Report on Form 10-K are expressed as a percentage of total retail sales of the stated market. Some NPD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NPD market share data is presented based on NPD’s definition of the baby and playclothes categories, which are different from Carter’s definitions of these categories.</w:t>
      </w:r>
    </w:p>
    <w:p>
      <w:pPr>
        <w:spacing w:after="0" w:line="16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Certain NPD data cited in prior Annual Reports on Form 10-K were based on an alternate methodology no longer employed by NPD and are not comparable to the current year presentation.</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trademarks and copyrights that are referred to in this Annual Report on Form 10-K, including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Baby B’gosh</w:t>
      </w:r>
      <w:r>
        <w:rPr>
          <w:rFonts w:ascii="Arial" w:cs="Arial" w:eastAsia="Arial" w:hAnsi="Arial"/>
          <w:sz w:val="18"/>
          <w:szCs w:val="18"/>
          <w:color w:val="auto"/>
        </w:rPr>
        <w:t xml:space="preserve">,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Hop</w:t>
      </w:r>
      <w:r>
        <w:rPr>
          <w:rFonts w:ascii="Arial" w:cs="Arial" w:eastAsia="Arial" w:hAnsi="Arial"/>
          <w:sz w:val="18"/>
          <w:szCs w:val="18"/>
          <w:color w:val="auto"/>
        </w:rPr>
        <w:t>,</w:t>
      </w:r>
      <w:r>
        <w:rPr>
          <w:rFonts w:ascii="Arial" w:cs="Arial" w:eastAsia="Arial" w:hAnsi="Arial"/>
          <w:sz w:val="18"/>
          <w:szCs w:val="18"/>
          <w:i w:val="1"/>
          <w:iCs w:val="1"/>
          <w:color w:val="auto"/>
        </w:rPr>
        <w:t xml:space="preserve">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Collections</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My First Love</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KID</w:t>
      </w:r>
      <w:r>
        <w:rPr>
          <w:rFonts w:ascii="Arial" w:cs="Arial" w:eastAsia="Arial" w:hAnsi="Arial"/>
          <w:sz w:val="18"/>
          <w:szCs w:val="18"/>
          <w:color w:val="auto"/>
        </w:rPr>
        <w:t>,</w:t>
      </w:r>
      <w:r>
        <w:rPr>
          <w:rFonts w:ascii="Arial" w:cs="Arial" w:eastAsia="Arial" w:hAnsi="Arial"/>
          <w:sz w:val="18"/>
          <w:szCs w:val="18"/>
          <w:i w:val="1"/>
          <w:iCs w:val="1"/>
          <w:color w:val="auto"/>
        </w:rPr>
        <w:t xml:space="preserve"> Rewarding Moments</w:t>
      </w:r>
      <w:r>
        <w:rPr>
          <w:rFonts w:ascii="Arial" w:cs="Arial" w:eastAsia="Arial" w:hAnsi="Arial"/>
          <w:sz w:val="18"/>
          <w:szCs w:val="18"/>
          <w:color w:val="auto"/>
        </w:rPr>
        <w:t>, and</w:t>
      </w:r>
      <w:r>
        <w:rPr>
          <w:rFonts w:ascii="Arial" w:cs="Arial" w:eastAsia="Arial" w:hAnsi="Arial"/>
          <w:sz w:val="18"/>
          <w:szCs w:val="18"/>
          <w:i w:val="1"/>
          <w:iCs w:val="1"/>
          <w:color w:val="auto"/>
        </w:rPr>
        <w:t xml:space="preserve"> Count on Carter’s</w:t>
      </w:r>
      <w:r>
        <w:rPr>
          <w:rFonts w:ascii="Arial" w:cs="Arial" w:eastAsia="Arial" w:hAnsi="Arial"/>
          <w:sz w:val="18"/>
          <w:szCs w:val="18"/>
          <w:color w:val="auto"/>
        </w:rPr>
        <w:t>, many of which are registered in the United States and in over 100 other countries and territories, are each the property of one or more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 Carter’s, Inc.</w:t>
      </w:r>
    </w:p>
    <w:p>
      <w:pPr>
        <w:spacing w:after="0" w:line="146"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2021, which ended on January 1, 2022, contained 52 weeks. Fiscal 2020, which ended on January 2, 2021, contained 53 weeks. Fiscal 2019, which ended on December 28, 2019, contained 52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Our brand portfolio also includes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 leading baby and young child lifestyle brand, exclusive Carter’s brands developed for specific wholesale customers, and </w:t>
      </w:r>
      <w:r>
        <w:rPr>
          <w:rFonts w:ascii="Arial" w:cs="Arial" w:eastAsia="Arial" w:hAnsi="Arial"/>
          <w:sz w:val="18"/>
          <w:szCs w:val="18"/>
          <w:i w:val="1"/>
          <w:iCs w:val="1"/>
          <w:color w:val="auto"/>
        </w:rPr>
        <w:t>little planet</w:t>
      </w:r>
      <w:r>
        <w:rPr>
          <w:rFonts w:ascii="Arial" w:cs="Arial" w:eastAsia="Arial" w:hAnsi="Arial"/>
          <w:sz w:val="18"/>
          <w:szCs w:val="18"/>
          <w:color w:val="auto"/>
        </w:rPr>
        <w:t>, a brand focused on organic fabrics and sustainable materials.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 2017.</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Walmart;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Target, and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 Amazon.</w:t>
      </w:r>
    </w:p>
    <w:p>
      <w:pPr>
        <w:spacing w:after="0" w:line="13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 xml:space="preserve">Launched in 2021, the </w:t>
      </w:r>
      <w:r>
        <w:rPr>
          <w:rFonts w:ascii="Arial" w:cs="Arial" w:eastAsia="Arial" w:hAnsi="Arial"/>
          <w:sz w:val="17"/>
          <w:szCs w:val="17"/>
          <w:i w:val="1"/>
          <w:iCs w:val="1"/>
          <w:color w:val="auto"/>
        </w:rPr>
        <w:t>little planet</w:t>
      </w:r>
      <w:r>
        <w:rPr>
          <w:rFonts w:ascii="Arial" w:cs="Arial" w:eastAsia="Arial" w:hAnsi="Arial"/>
          <w:sz w:val="17"/>
          <w:szCs w:val="17"/>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related products. We believe our brands provide a complementary product offering and aesthetic, are each uniquely positioned in the marketplace, and offer strong value to families with young children. The baby and young children’s apparel market ages zero to 10 in the U.S. is approximately $31 billion as of December 2021. In this market,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brands, hold the #1 position with approximately 10% market share and our </w:t>
      </w:r>
      <w:r>
        <w:rPr>
          <w:rFonts w:ascii="Arial" w:cs="Arial" w:eastAsia="Arial" w:hAnsi="Arial"/>
          <w:sz w:val="18"/>
          <w:szCs w:val="18"/>
          <w:i w:val="1"/>
          <w:iCs w:val="1"/>
          <w:color w:val="auto"/>
        </w:rPr>
        <w:t xml:space="preserve">OshKosh </w:t>
      </w:r>
      <w:r>
        <w:rPr>
          <w:rFonts w:ascii="Arial" w:cs="Arial" w:eastAsia="Arial" w:hAnsi="Arial"/>
          <w:sz w:val="18"/>
          <w:szCs w:val="18"/>
          <w:color w:val="auto"/>
        </w:rPr>
        <w:t>brand has approximately 1% market share as of December 2021.</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multi-channel, global business model, which includes retail stores, eCommerce, and wholesale sales channels, as well as retail omni-channel capabilities in the United States and Canada, enables us to reach a broad range of consumers around the world. At the end of fiscal 2021, our channels included 980 retail stores, approximately 18,800 wholesale locations, and eCommerce websites in North America, as well as our international wholesale accounts and licensees who operate in over 90 countries.</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fiscal 2020 and fiscal 2021, the global pandemic, caused by the spread of the novel strain of coronavirus (including variants, “COVID-19”), negatively affected the global economy, disrupted global supply chains, and created significant disruption of the financial and retail markets, including a disruption in consumer demand for baby and children’s clothing and accessories during fiscal 2020. For more information on the effects of the pandemic on the Company, and our response to the pandemic, see “Item 7—Management's Discussion and Analysis of Financial Condition and Results of Operations.”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segments is contained in Item 8 “Financial Statements and Supplementary Data” and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w:t>
      </w:r>
    </w:p>
    <w:p>
      <w:pPr>
        <w:spacing w:after="0" w:line="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Carter’s </w:t>
      </w:r>
      <w:r>
        <w:rPr>
          <w:rFonts w:ascii="Arial" w:cs="Arial" w:eastAsia="Arial" w:hAnsi="Arial"/>
          <w:sz w:val="18"/>
          <w:szCs w:val="18"/>
          <w:b w:val="1"/>
          <w:bCs w:val="1"/>
          <w:color w:val="auto"/>
        </w:rPr>
        <w:t>&amp;</w:t>
      </w:r>
      <w:r>
        <w:rPr>
          <w:rFonts w:ascii="Arial" w:cs="Arial" w:eastAsia="Arial" w:hAnsi="Arial"/>
          <w:sz w:val="18"/>
          <w:szCs w:val="18"/>
          <w:b w:val="1"/>
          <w:bCs w:val="1"/>
          <w:i w:val="1"/>
          <w:iCs w:val="1"/>
          <w:color w:val="auto"/>
        </w:rPr>
        <w:t xml:space="preserve"> OshKosh B’gosh</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product offerings include apparel and accessories for babies (sizes newborn to 24 months), toddlers (sizes 2T to 5T), and kids (sizes 4-14).</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For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 our focus is on essential, high-volume apparel products for babies and young children, including bodysuits, pants, dresses, multi-piece knit sets, blankets, layette essentials, bibs, booties, sleep and play, rompers, and jumpers. We attribute our leading market position to our strong value proposition, brand strength, unique colors, distinctive prints, and commitment to quality, as well as our broad wholesale distribution channel that includes successful and long-standing relationships with leading global and national retailers. Our marketing programs are targeted toward first-time parents, experienced parents, and gift-givers. Our core baby product line, the largest component of our baby business, provides families with essential products and accessories, including value-focused multi-piece sets. We also have three exclusive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our </w:t>
      </w:r>
      <w:r>
        <w:rPr>
          <w:rFonts w:ascii="Arial" w:cs="Arial" w:eastAsia="Arial" w:hAnsi="Arial"/>
          <w:sz w:val="17"/>
          <w:szCs w:val="17"/>
          <w:i w:val="1"/>
          <w:iCs w:val="1"/>
          <w:color w:val="auto"/>
        </w:rPr>
        <w:t>Child of Mine</w:t>
      </w:r>
      <w:r>
        <w:rPr>
          <w:rFonts w:ascii="Arial" w:cs="Arial" w:eastAsia="Arial" w:hAnsi="Arial"/>
          <w:sz w:val="17"/>
          <w:szCs w:val="17"/>
          <w:color w:val="auto"/>
        </w:rPr>
        <w:t xml:space="preserve"> brand, which we sell at Walmart, our </w:t>
      </w:r>
      <w:r>
        <w:rPr>
          <w:rFonts w:ascii="Arial" w:cs="Arial" w:eastAsia="Arial" w:hAnsi="Arial"/>
          <w:sz w:val="17"/>
          <w:szCs w:val="17"/>
          <w:i w:val="1"/>
          <w:iCs w:val="1"/>
          <w:color w:val="auto"/>
        </w:rPr>
        <w:t xml:space="preserve">Just One You </w:t>
      </w:r>
      <w:r>
        <w:rPr>
          <w:rFonts w:ascii="Arial" w:cs="Arial" w:eastAsia="Arial" w:hAnsi="Arial"/>
          <w:sz w:val="17"/>
          <w:szCs w:val="17"/>
          <w:color w:val="auto"/>
        </w:rPr>
        <w:t>brand, which we sell at Target, and our</w:t>
      </w:r>
      <w:r>
        <w:rPr>
          <w:rFonts w:ascii="Arial" w:cs="Arial" w:eastAsia="Arial" w:hAnsi="Arial"/>
          <w:sz w:val="17"/>
          <w:szCs w:val="17"/>
          <w:i w:val="1"/>
          <w:iCs w:val="1"/>
          <w:color w:val="auto"/>
        </w:rPr>
        <w:t xml:space="preserve"> Simple Joys </w:t>
      </w:r>
      <w:r>
        <w:rPr>
          <w:rFonts w:ascii="Arial" w:cs="Arial" w:eastAsia="Arial" w:hAnsi="Arial"/>
          <w:sz w:val="17"/>
          <w:szCs w:val="17"/>
          <w:color w:val="auto"/>
        </w:rPr>
        <w:t>brand, which we sell on Amazon. In 2021, we launched our</w:t>
      </w:r>
      <w:r>
        <w:rPr>
          <w:rFonts w:ascii="Arial" w:cs="Arial" w:eastAsia="Arial" w:hAnsi="Arial"/>
          <w:sz w:val="17"/>
          <w:szCs w:val="17"/>
          <w:i w:val="1"/>
          <w:iCs w:val="1"/>
          <w:color w:val="auto"/>
        </w:rPr>
        <w:t xml:space="preserve"> little planet </w:t>
      </w:r>
      <w:r>
        <w:rPr>
          <w:rFonts w:ascii="Arial" w:cs="Arial" w:eastAsia="Arial" w:hAnsi="Arial"/>
          <w:sz w:val="17"/>
          <w:szCs w:val="17"/>
          <w:color w:val="auto"/>
        </w:rPr>
        <w:t>brand, which</w:t>
      </w:r>
      <w:r>
        <w:rPr>
          <w:rFonts w:ascii="Arial" w:cs="Arial" w:eastAsia="Arial" w:hAnsi="Arial"/>
          <w:sz w:val="17"/>
          <w:szCs w:val="17"/>
          <w:i w:val="1"/>
          <w:iCs w:val="1"/>
          <w:color w:val="auto"/>
        </w:rPr>
        <w:t xml:space="preserve"> </w:t>
      </w:r>
      <w:r>
        <w:rPr>
          <w:rFonts w:ascii="Arial" w:cs="Arial" w:eastAsia="Arial" w:hAnsi="Arial"/>
          <w:sz w:val="17"/>
          <w:szCs w:val="17"/>
          <w:color w:val="auto"/>
        </w:rPr>
        <w:t>focuses on organic fabrics and sustainable materials.</w:t>
      </w:r>
    </w:p>
    <w:p>
      <w:pPr>
        <w:spacing w:after="0" w:line="1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Carter’s </w:t>
      </w:r>
      <w:r>
        <w:rPr>
          <w:rFonts w:ascii="Arial" w:cs="Arial" w:eastAsia="Arial" w:hAnsi="Arial"/>
          <w:sz w:val="17"/>
          <w:szCs w:val="17"/>
          <w:color w:val="auto"/>
        </w:rPr>
        <w:t>is the leading brand in the zero to 10-year-old market in the United States, with particular strength in the zero to two-year-old segment.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2021, our multi-channel business model enabled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to maintain leading market share of approximately 10% in the zero to 10-year-old market, which represented nearly double the market share of the next largest brand. In addition,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maintained the leading market position with approximately 21% in the zero to two-year-old baby market, which represented nearly four times the market share of the next largest brand, and maintained its leading market position with approximately 11% in the three to four-year-old toddler market, which represented approximately 1.5 times the market share of the next largest brand. The slight decrease in market share compared to fiscal 2020 is primarily due to our strategic focus on growing operating profitability, which increased more than the sales growth in the overall market.</w:t>
      </w:r>
    </w:p>
    <w:p>
      <w:pPr>
        <w:spacing w:after="0" w:line="15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The focus of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is high-quality playclothes, including denim apparel products with multiple wash treatments and coordinating garments, overalls, woven bottoms, knit tops, and bodysuits for everyday use.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is generally positioned towards an older age segment and at slightly higher average prices relative to the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 We believe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 has significant brand name recognition, which consumers associate with high-quality, durable, and authentic playclothes for young children. As of December 2021,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brand’s market share was approximately 1% of the zero to 10-year-old apparel market in the United States.</w:t>
      </w:r>
    </w:p>
    <w:p>
      <w:pPr>
        <w:spacing w:after="0" w:line="13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For both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we employ cross-functional product teams to focus on the development of the brands and products. The teams include members from merchandising, art, design, sourcing, product development, marketing and planning, and follow a disciplined approach to fabric usage, color selection, and assortment productivity. We believe this disciplined approach to product development, which includes consumer research, results in a compelling product offering to consumers, reduces our exposure to short-term trends, and supports efficient operations.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believe that we continue to strengthen our brand image with the consumer by differentiating our products through fabric and material improvements, new artistic applications, new packaging and presentation strategies, and marketing. We also attempt to differentiate our products and presentation through in-store fixturing, branding, signage, photography, and advertising, both in our stores and on our websites, as well as with our major wholesale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and </w:t>
      </w:r>
      <w:r>
        <w:rPr>
          <w:rFonts w:ascii="Arial" w:cs="Arial" w:eastAsia="Arial" w:hAnsi="Arial"/>
          <w:sz w:val="16"/>
          <w:szCs w:val="16"/>
          <w:i w:val="1"/>
          <w:iCs w:val="1"/>
          <w:color w:val="auto"/>
        </w:rPr>
        <w:t>Carter’s My First Love</w:t>
      </w:r>
      <w:r>
        <w:rPr>
          <w:rFonts w:ascii="Arial" w:cs="Arial" w:eastAsia="Arial" w:hAnsi="Arial"/>
          <w:sz w:val="16"/>
          <w:szCs w:val="16"/>
          <w:color w:val="auto"/>
        </w:rPr>
        <w:t xml:space="preserve"> brands to partners to expand our product offerings to include footwear, outerwear, accessories (such as hair accessories and jewelry), toys, paper goods, home décor, cribs and baby furniture, and bedding. These licensing partners develop and sell products through our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product approval process. We work in conjunction with our licensing partners in the development of their products to ensure that they fit within our brand vision of high-quality products at attractive prices to provide value to the consumer.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also partner with other brand owners to further expand our product offerings, including apparel with collegiate and professional sport teams’ logos.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Skip Hop</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Under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we design, source, and market products that are sold primarily to families with young children. Our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is best known for its diaper bags, which we believe combine innovative functionality with attractive design.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offering also includes products for playtime, travel, mealtime, kid’s bags, bath time, and home gear.</w:t>
      </w:r>
    </w:p>
    <w:p>
      <w:pPr>
        <w:spacing w:after="0" w:line="1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is a global lifestyle brand. </w:t>
      </w:r>
      <w:r>
        <w:rPr>
          <w:rFonts w:ascii="Arial" w:cs="Arial" w:eastAsia="Arial" w:hAnsi="Arial"/>
          <w:sz w:val="18"/>
          <w:szCs w:val="18"/>
          <w:i w:val="1"/>
          <w:iCs w:val="1"/>
          <w:color w:val="auto"/>
        </w:rPr>
        <w:t>Skip Hop</w:t>
      </w:r>
      <w:r>
        <w:rPr>
          <w:rFonts w:ascii="Arial" w:cs="Arial" w:eastAsia="Arial" w:hAnsi="Arial"/>
          <w:sz w:val="18"/>
          <w:szCs w:val="18"/>
          <w:color w:val="auto"/>
        </w:rPr>
        <w:t>’s core philosophy and positioning begins and ends with its brand promise -- “</w:t>
      </w:r>
      <w:r>
        <w:rPr>
          <w:rFonts w:ascii="Arial" w:cs="Arial" w:eastAsia="Arial" w:hAnsi="Arial"/>
          <w:sz w:val="18"/>
          <w:szCs w:val="18"/>
          <w:i w:val="1"/>
          <w:iCs w:val="1"/>
          <w:color w:val="auto"/>
        </w:rPr>
        <w:t>Must-Haves * Made</w:t>
      </w:r>
      <w:r>
        <w:rPr>
          <w:rFonts w:ascii="Arial" w:cs="Arial" w:eastAsia="Arial" w:hAnsi="Arial"/>
          <w:sz w:val="18"/>
          <w:szCs w:val="18"/>
          <w:color w:val="auto"/>
        </w:rPr>
        <w:t xml:space="preserve"> </w:t>
      </w:r>
      <w:r>
        <w:rPr>
          <w:rFonts w:ascii="Arial" w:cs="Arial" w:eastAsia="Arial" w:hAnsi="Arial"/>
          <w:sz w:val="18"/>
          <w:szCs w:val="18"/>
          <w:i w:val="1"/>
          <w:iCs w:val="1"/>
          <w:color w:val="auto"/>
        </w:rPr>
        <w:t>Better.</w:t>
      </w:r>
      <w:r>
        <w:rPr>
          <w:rFonts w:ascii="Arial" w:cs="Arial" w:eastAsia="Arial" w:hAnsi="Arial"/>
          <w:sz w:val="18"/>
          <w:szCs w:val="18"/>
          <w:color w:val="auto"/>
        </w:rPr>
        <w:t>” This reflects the brand’s goal of creating innovative, smartly designed, and highly functional essentials for parents, babies, and toddlers. The</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team includes both an in-house design and a creative team, each of which is dedicated to meeting that goal. We carry</w:t>
      </w:r>
      <w:r>
        <w:rPr>
          <w:rFonts w:ascii="Arial" w:cs="Arial" w:eastAsia="Arial" w:hAnsi="Arial"/>
          <w:sz w:val="18"/>
          <w:szCs w:val="18"/>
          <w:i w:val="1"/>
          <w:iCs w:val="1"/>
          <w:color w:val="auto"/>
        </w:rPr>
        <w:t xml:space="preserve"> Skip Hop </w:t>
      </w:r>
      <w:r>
        <w:rPr>
          <w:rFonts w:ascii="Arial" w:cs="Arial" w:eastAsia="Arial" w:hAnsi="Arial"/>
          <w:sz w:val="18"/>
          <w:szCs w:val="18"/>
          <w:color w:val="auto"/>
        </w:rPr>
        <w:t>brand products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retail stores, and have made investments in in-store fixturing, branding, and signage packages, along with digital advertising, to further strengthen the position of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Channels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sell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branded products through multiple channels, both in the United States and globally.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U.S. Retail segment includes sales of our products through our U.S. retail stores and eCommerce sites, including through our omni-channel capabilities to allow our customers to buy on-line and pick-up in store (or curbside), buy-online and ship-to-store, and in-store buy on-line services.</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U.S. retail stores are generally located in high-traffic strip shopping centers and malls in or near major cities or in outlet centers that are near densely-populated areas. We believe our brand strength and our product assortment have made our retail stores a destination for consumers seeking young children’s apparel and accessories.</w:t>
      </w:r>
    </w:p>
    <w:p>
      <w:pPr>
        <w:spacing w:after="0" w:line="143"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 xml:space="preserve">Each of our stores carries an assortment of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and/or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branded products, as well as other products, depending on the store and location. As of the end of fiscal 2021, our stores averaged approximately 5,000 square feet per location, ranging from on average approximately 4,300 square feet for our formerly single-branded stores to approximately 7,400 square feet for our stores that consist of adjacent and connected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OshKosh </w:t>
      </w:r>
      <w:r>
        <w:rPr>
          <w:rFonts w:ascii="Arial" w:cs="Arial" w:eastAsia="Arial" w:hAnsi="Arial"/>
          <w:sz w:val="17"/>
          <w:szCs w:val="17"/>
          <w:color w:val="auto"/>
        </w:rPr>
        <w:t>stores. As of the end of fiscal 2021, in the United States we operated 751 stores.</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regularly assess potential new retail store locations and closures based on demographic factors, retail adjacencies, competitive factors, and population density as part of a rigorous real estate portfolio optimization process.</w:t>
      </w:r>
    </w:p>
    <w:p>
      <w:pPr>
        <w:spacing w:after="0" w:line="130"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We also sell our products through our U.S. eCommerce websites at www.carters.com, www.oshkoshbgosh.com, www.oshkosh.com, and www.skiphop.com, and our mobile application.</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focus on the customer experience through store and eCommerce website design, visual aesthetics, clear product presentation, and experienced customer service. Our eCommerce websites also feature product recommendations and on-line-only offerings. We strive to create a seamless omni-channel experience between our retail stores and our eCommerce websites, as more fully described below under “Our Customer and Marketing Strategy.”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U.S. Wholesale segment includes sales of our products to our U.S. wholesale customers.</w:t>
      </w:r>
    </w:p>
    <w:p>
      <w:pPr>
        <w:spacing w:after="0" w:line="19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wholesale customers in the United States include major retailers, such as, in alphabetical order, buybuy BABY, Costco, Kohl’s, and Macy’s. Additionally, we sell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exclusive brand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exclusive brand at Target, and our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exclusive brand on Amazon.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wholesale customers in the United States include major retailers, such as, in alphabetical order, Amazon, buybuy BABY, and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wholesale customers in the United States include major retailers, such as, in alphabetical order, Amazon, buybuy BABY, and Target.</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International segment includes sales of our products through our retail stores and eCommerce sites in Canada and Mexico. As of the end of fiscal 2021, in Canada we operated 186 co-branded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retail stores and an eCommerce site at www.cartersoshkosh.ca, and in Mexico we operated 43 retail stores and an eCommerce site at www.carter.com.mx.</w:t>
      </w:r>
    </w:p>
    <w:p>
      <w:pPr>
        <w:spacing w:after="0" w:line="1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International segment includes sales of our products to wholesale accounts outside of the United States, such as, in alphabetical order, Amazon, Costco, and Walmart.</w:t>
      </w:r>
    </w:p>
    <w:p>
      <w:pPr>
        <w:spacing w:after="0" w:line="13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 xml:space="preserve">In addition, we license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2021, we had approximately 38 international licensees who operated in over 90 countries.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Marketing Strategy</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all of our brands, our marketing is predominantly focused on driving brand preference and engagement with first-time parents, experienced parents, and gift-givers, including through strengthening and evolving our digital programs. Our omni-channel approach allows the customer to experience our brands as a seamless shopping experience in the channel of their choice. In fiscal 2019, we launched capabilities in the United States to allow our customers to buy on-line and pick-up in store, complementing our existing buy-on-line, ship-to-store and in-store buy on-line services. In fiscal 2020, we enhanced and expanded our omni-channel capabilities in the United States, including curbside pick-up at our retail stores and buy-on-line, deliver-from-store. In fiscal 2021, we expanded our omni-channel capabilities further by implementing omni-channel programs in our retail stores in Canada.</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We operate our </w:t>
      </w:r>
      <w:r>
        <w:rPr>
          <w:rFonts w:ascii="Arial" w:cs="Arial" w:eastAsia="Arial" w:hAnsi="Arial"/>
          <w:sz w:val="18"/>
          <w:szCs w:val="18"/>
          <w:i w:val="1"/>
          <w:iCs w:val="1"/>
          <w:color w:val="auto"/>
        </w:rPr>
        <w:t>Rewarding Moments</w:t>
      </w:r>
      <w:r>
        <w:rPr>
          <w:rFonts w:ascii="Arial" w:cs="Arial" w:eastAsia="Arial" w:hAnsi="Arial"/>
          <w:sz w:val="18"/>
          <w:szCs w:val="18"/>
          <w:color w:val="auto"/>
        </w:rPr>
        <w:t xml:space="preserve"> loyalty and rewards program in the United States to drive customer traffic, sales, and brand loyalty. This program is integrated across our U.S. retail stores and online businesses. During fiscal 2021, our U.S. retail sales were predominantly made to customers who are members of </w:t>
      </w:r>
      <w:r>
        <w:rPr>
          <w:rFonts w:ascii="Arial" w:cs="Arial" w:eastAsia="Arial" w:hAnsi="Arial"/>
          <w:sz w:val="18"/>
          <w:szCs w:val="18"/>
          <w:i w:val="1"/>
          <w:iCs w:val="1"/>
          <w:color w:val="auto"/>
        </w:rPr>
        <w:t>Rewarding Moments.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In fiscal 2019, we launched a new Carter’s credit card program in the United States. The Carter’s credit card complements and enhances our existing </w:t>
      </w:r>
      <w:r>
        <w:rPr>
          <w:rFonts w:ascii="Arial" w:cs="Arial" w:eastAsia="Arial" w:hAnsi="Arial"/>
          <w:sz w:val="18"/>
          <w:szCs w:val="18"/>
          <w:i w:val="1"/>
          <w:iCs w:val="1"/>
          <w:color w:val="auto"/>
        </w:rPr>
        <w:t xml:space="preserve">Rewarding Moments </w:t>
      </w:r>
      <w:r>
        <w:rPr>
          <w:rFonts w:ascii="Arial" w:cs="Arial" w:eastAsia="Arial" w:hAnsi="Arial"/>
          <w:sz w:val="18"/>
          <w:szCs w:val="18"/>
          <w:color w:val="auto"/>
        </w:rPr>
        <w:t>loyalty program and provides new benefits for our customers, including free shipping on every eCommerce order, double</w:t>
      </w:r>
      <w:r>
        <w:rPr>
          <w:rFonts w:ascii="Arial" w:cs="Arial" w:eastAsia="Arial" w:hAnsi="Arial"/>
          <w:sz w:val="18"/>
          <w:szCs w:val="18"/>
          <w:i w:val="1"/>
          <w:iCs w:val="1"/>
          <w:color w:val="auto"/>
        </w:rPr>
        <w:t xml:space="preserve"> Rewarding Moments </w:t>
      </w:r>
      <w:r>
        <w:rPr>
          <w:rFonts w:ascii="Arial" w:cs="Arial" w:eastAsia="Arial" w:hAnsi="Arial"/>
          <w:sz w:val="18"/>
          <w:szCs w:val="18"/>
          <w:color w:val="auto"/>
        </w:rPr>
        <w:t>points, and exclusive cardholder-only events.</w:t>
      </w:r>
    </w:p>
    <w:p>
      <w:pPr>
        <w:spacing w:after="0" w:line="14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investments in marketing, our loyalty program, and new consumer-facing technologies are focused on acquiring new customers, developing stronger relationships with our existing customers, and extending their connections with our brands. Our goal is to have the most top-of-mind, preferred brands in the young children’s apparel market and to connect with a diverse, digitally savvy customer.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Sourcing Network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do not own any raw materials or manufacturing facilities. We source all of our garments and other products from a global network of third-party</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suppliers, primarily located in Asia. We source the remainder of our products primarily through North America, Africa, and Central America. During fiscal 2021, approximately 74% of our product was sourced from Cambodia, Vietnam, Bangladesh, and China, and approximately 80% of the fabric that was used in the manufacture of our products was sourced from China, with the remainder primarily from Thailand and Taiwan.</w:t>
      </w:r>
    </w:p>
    <w:p>
      <w:pPr>
        <w:spacing w:after="0" w:line="1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compliance with our manufacturing specifications and social responsibility standards, as well as timely delivery of finished garments to our distribution facilities. We also have sourcing operations in Cambodia, Vietnam, China, and Bangladesh to help support these efforts.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Prior to placing production, and on a recurring basis, we conduct assessments of political, social, economic, trade, labor and intellectual property protection conditions in the countries in which we source our products, and we conduct assessments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manufacturers and supply chain, as discussed under “—Corporate Social Responsibility” below. In connection with the manufacture of our products, manufacturers purchase raw materials including fabric and other materials (such as linings, zippers, buttons, and trim) at our direction. We regularly inspect and supervise the manufacture of our products in order to maintain quality control, monitor compliance with our manufacturing specifications and social responsibility standards and to ensure timely delivery. We also inspect finished products at the manufacturing facilities.</w:t>
      </w:r>
    </w:p>
    <w:p>
      <w:pPr>
        <w:spacing w:after="0" w:line="13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adopted a factory on-boarding program that allows us to assess each factory’s compliance with our social responsibility standards before we place orders for product with that factory, including factories utilized by companies that we may acquire. Additionally, we regularly assess the manufacturing facilities we use through periodic on-site facility inspections, including the use of independent auditors to supplement our internal staff. We use audit data and performance results to suggest improvements when necessary, and we integrate this information into our on-going sourcing decisions. Our vendor code of conduct,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 standards, and conventions of the International Labor Organization, and includes a commitment to the Universal Declaration of Human Rights.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Distribution Network</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majority of all finished goods manufactured for us is shipped to our distribution facilities or to designated third-party facilities for final inspection, allocation, and reshipment to customers. The goods are delivered to our customers and us by independent shippers. We choose the form of shipment based upon needs, costs, and timing considerations.</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United States, we operate two distribution centers in Georgia: an approximately 1.1 million square-foot multi-channel facility in Braselton and a 0.5 million square-foot facility in Stockbridge. We also outsource distribution activities to third-party logistics providers located in California. Our distribution center activities include receiving finished goods from our vendors, inspecting those products, preparing them for retail and wholesale presentation, and shipping them to our wholesale customers, retail stores, and eCommerce customers.</w:t>
      </w:r>
    </w:p>
    <w:p>
      <w:pPr>
        <w:spacing w:after="0" w:line="14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Internationally, we operate directly or outsource our distribution activities to third-party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around the world, including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Mexico, including:</w:t>
      </w:r>
    </w:p>
    <w:p>
      <w:pPr>
        <w:spacing w:after="0" w:line="49" w:lineRule="exact"/>
        <w:rPr>
          <w:sz w:val="20"/>
          <w:szCs w:val="20"/>
          <w:color w:val="auto"/>
        </w:rPr>
      </w:pPr>
    </w:p>
    <w:p>
      <w:pPr>
        <w:ind w:left="660" w:right="7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those imposed by the Sarbanes-Oxley Act of 2002, the Dodd-Frank Wall Street Reform and Consumer Protection Act, the Securities and Exchange Commission (“SEC”), and the New York Stock Exchange (“NYSE”);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Foreign Corrupt Practices Act, and similar world-wide anti-bribery laws;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9" w:name="page10"/>
    <w:bookmarkEnd w:id="9"/>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care, employment and labor laws;</w:t>
      </w:r>
    </w:p>
    <w:p>
      <w:pPr>
        <w:spacing w:after="0" w:line="63"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privacy laws, including the E.U. General Data Protection Act and the California Consumer Privacy 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transportation and logistics related laws, including tariffs and orders issued by Customs and Border Protection;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environmental laws.</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 substantial portion of our products is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baby and young children’s apparel and accessories market is highly competitive. Competition is generally based on a variety of factors, including comfort and fit, quality, pricing, experience, and selection. Both branded and private label manufacturers as well as specialty apparel retailers aggressively compete in the baby and young children’s apparel market. Our primary competitors include (in alphabetical order): Gap, Old Navy, and The Children’s Place (specialty apparel); Cat &amp; Jack and Garanimals (private label); and Disney, Nike, and Under Armour (national brands). Because of the highly fragmented nature of the industry, we also compete with many small manufacturers and retailers. We believe that the strength of our brand names, combined with our breadth and value of product offerings, longevity in the marketplace, distribution footprint, and operational expertise, position us well against these competitors.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Weather</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trends, customer traffic, and shopping habits. For example, extended periods of unseasonably warm temperatures during the winter season or cool temperatures during the summer season could affect the timing of, and reduce or shift,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the end of fiscal 2021, we had approximately 15,900 employees globally. Of these, approximately 12,200 of our employees worked in our retail stores across North America, 2,200 employees worked in our distribution centers, and 1,500 employees worked in our various corporate offices around the world. Approximately 13,000 employees worked in the United States, 2,200 employees worked in Canada, 350 employees worked in Mexico, and 350 employees worked in other countries, including Hong Kong. As of the end of fiscal 2021, approximately 150 employees were unionized employees, all of whom were in Mexico. We believe we have good labor relationships with our employees.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Everything we do is guided by our core values:</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 with Integrity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Exceed Expectations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Inspire Innovation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 w:name="page11"/>
    <w:bookmarkEnd w:id="10"/>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Succeed Together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People</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that to succeed as a business and to positively impact families and our communities, we must first create and maintain an inclusive, supportive workplace culture that fosters high employee engagement. We believe deeply in developing our employees and offer numerous formal training opportunities as well as ongoing informal on-the-job learning, including:</w:t>
      </w:r>
    </w:p>
    <w:p>
      <w:pPr>
        <w:spacing w:after="0" w:line="22" w:lineRule="exact"/>
        <w:rPr>
          <w:sz w:val="20"/>
          <w:szCs w:val="20"/>
          <w:color w:val="auto"/>
        </w:rPr>
      </w:pPr>
    </w:p>
    <w:p>
      <w:pPr>
        <w:ind w:left="660" w:right="4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mentoring, reverse mentoring, and executive development programs that nurture emerging talent and facilitate cross-generational knowledge sharing, benefiting employees at all stages of their careers;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days, when employees step away from their day-to-day responsibilities for curated professional growth opportunities;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year, we award 20 scholarships to Carter’s employees and children of employees to attend an accredited college or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we are committed to ensuring that our workforce reflects our diverse world through a range of efforts to broaden diversity and ensure fairness across our global enterprise. Our Diversity &amp; Inclusion (“D&amp;I”) efforts are driven by cross-functional teams charged with guiding and implementing the organization’s D&amp;I efforts. These teams oversee our efforts to establish and improve inclusive policies in four key areas of our management processes: leadership, strategies and processes, programs and benefits, and policies and compliance. We continually measure and monitor diversity metrics including pay equity, retention, new hires, internal promotions and identified successors, and our D&amp;I education equips employees with the tools and support needed to further enhance a workplace culture of inclusion.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a safety culture with the goal of eliminating workplace incidents, risks and hazards. We have created and implemented processes to help eliminate safety events by reducing their frequency and severity. We also review and monitor our performance closely. In response to the ongoing COVID-19 pandemic, we have implemented and continue to implement safety measures in all our facilities to protect our customers and employees, including ensuring social distancing, frequent cleaning, and use of personal protective equipment for all in our retail stores, and maintaining safe working distances and conditions at our distribution centers.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Our primary internet address is www.carters.com. On our investor relations website (ir.carters.com),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Our SEC reports can be accessed through the investor relations section of our website. We also make available on our website the </w:t>
      </w:r>
      <w:r>
        <w:rPr>
          <w:rFonts w:ascii="Arial" w:cs="Arial" w:eastAsia="Arial" w:hAnsi="Arial"/>
          <w:sz w:val="17"/>
          <w:szCs w:val="17"/>
          <w:i w:val="1"/>
          <w:iCs w:val="1"/>
          <w:color w:val="auto"/>
        </w:rPr>
        <w:t>Carter’s Code of Ethics</w:t>
      </w:r>
      <w:r>
        <w:rPr>
          <w:rFonts w:ascii="Arial" w:cs="Arial" w:eastAsia="Arial" w:hAnsi="Arial"/>
          <w:sz w:val="17"/>
          <w:szCs w:val="17"/>
          <w:color w:val="auto"/>
        </w:rPr>
        <w:t>, our corporate governance principles, and the charters for the Compensation, Audit, and Nominating and Corporate Governance Committees of the Board of Directors.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Global and Macroeconomic Conditions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other global crises have had and may in the future have a significant adverse effect on our business, financial condition, and results of operations.</w:t>
      </w:r>
    </w:p>
    <w:p>
      <w:pPr>
        <w:spacing w:after="0" w:line="3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Global crises, including political instability or other global events that result in the disruption of trade, the production and distribution of our products, or our sales operations, have had and may in the future have a significant adverse effect on our business, financial condition, and results of operations.</w:t>
      </w:r>
    </w:p>
    <w:p>
      <w:pPr>
        <w:spacing w:after="0" w:line="9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example, in December 2019, an outbreak of a new strain of coronavirus (including variants, “COVID-19”) began in Wuhan, China. In March 2020, the World Health Organization declared COVID-19 a pandemic and a national emergency was declared in the United States and many other countries. National, state, and local governments and private entities mandated and continue to mandate various restrictions as new waves of the pandemic and new strains of the virus spread across the globe,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increased unemployment rates and a disruption in consumer demand for baby and children’s clothing and accessories. As a result, the COVID-19 pandemic and related measures taken to contain the spread of COVID-19 have had, and will likely continue to have, a significant adverse effect on our business, financial condition, and results of operations. The extent to which COVID-19 impacts our business, results of operations, and financial condition will depend on future developments, which are highly uncertain and cannot be predicted, including new information which may emerge concerning the severity of COVID-19, the effectiveness and availability of vaccines and boosters, and the efficacy, scope, and duration of other actions to limit the spread of COVID-19 or treat its impact, among others.</w:t>
      </w:r>
    </w:p>
    <w:p>
      <w:pPr>
        <w:spacing w:after="0" w:line="13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Similarly, we are also subject to general political and economic risks in connection with our global operations, including political instability, terrorist attacks, and changes in diplomatic and trade relationships, any of which may have a significant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overall levels of consumer spending, particularly in the young children’s apparel market.</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retail and wholesale consumer demand for young children’s apparel and accessories, specifically brand name apparel products, is affected by the overall level of consumer spending. Overall spending in the market is affected by a number of global and macroeconomic factors, such as overall economic conditions and employment levels, uncertainty in the political climate, gasoline and utility costs, business conditions, availability of consumer credit, tax rates, the availability of tax credits, interest rates, inflationary pressures, levels of consumer indebtedness, foreign currency exchange rates, weather, and overall levels of consumer confidence. We have experienced many of these factors due to the ongoing COVID-19 pandemic and the related responses of national, state, and local government and public health officials. Furthermore, any increases in consumer discretionary spending during times of crisis may be temporary, such as those related to government stimulus programs, including programs specifically targeted to assist families with young children. Additionally, birth rate fluctuations, which in turn affect the number of customers that are acquired and retained, can have a material impact on consumer spending and our business. For instance, in recent years we have seen a reduction in the birth rate in the United States, and a reduction in the size of the market for young children’s apparel and accessories. Reductions, or lower-than-expected growth, in the level of discretionary or overall consumer spending may have a material adverse effect on our sales and results of operations.</w:t>
      </w:r>
    </w:p>
    <w:p>
      <w:pPr>
        <w:spacing w:after="0" w:line="1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Risks Related to Our Brands and Product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acceptance of our products in the marketplace is affected by consumer tastes and preferences, along with fashion trends.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740"/>
        <w:spacing w:after="0" w:line="277" w:lineRule="auto"/>
        <w:rPr>
          <w:sz w:val="20"/>
          <w:szCs w:val="20"/>
          <w:color w:val="auto"/>
        </w:rPr>
      </w:pPr>
      <w:r>
        <w:rPr>
          <w:rFonts w:ascii="Arial" w:cs="Arial" w:eastAsia="Arial" w:hAnsi="Arial"/>
          <w:sz w:val="18"/>
          <w:szCs w:val="18"/>
          <w:color w:val="auto"/>
        </w:rPr>
        <w:t>or fashion trends. If demand for our products declines, promotional pricing may be required to sell out-of-season or excess merchandise, and our profitability and results of operations could be adversely affected.</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rights could diminish the value of our brand, weaken our competitive position, and adversely affect our results.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value of our brands, and our sales, could be diminished if we are associated with negative publicity, including through actions by our employees, and our vendors, third-party manufacturers, and licensees, over whom we have limited control.</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Although we maintain policies with our employees, vendors, third-party manufacturers, and licensees that promote ethical business practices, and our employees, agents, and third-party compliance auditors periodically visit and monitor the operations of these entities, we do not control our vendors, third-party manufacturers, or licensees, or their practices. A violation of our vendor policies, licensee agreements, health and safety standards, labor laws, anti-bribery laws, or other policies or laws by these employees, vendors, third-party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or vendors.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delays, product recalls, or loss of revenues if our products do not meet our quality standards.</w:t>
      </w:r>
    </w:p>
    <w:p>
      <w:pPr>
        <w:spacing w:after="0" w:line="10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From time to time, we receive shipments of product from our third-party vendors that fail to conform to our quality control standards. A failure in our quality control program may result in diminished inventory levels and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Risks Related to Operating a Global Business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and the size and resources of some of our competitors may allow them to compete more effectively than we can.</w:t>
      </w:r>
    </w:p>
    <w:p>
      <w:pPr>
        <w:spacing w:after="0" w:line="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global baby and young children’s apparel and accessories market is very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more quickly, take advantage of acquisitions and other opportunities more readily, devote greater resources to the marketing and sale of their products, and adopt more aggressive pricing strategies than we can.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difficulties for, or the loss of one or more of, our major wholesale customers could result in a material loss of revenues.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significant amount of our business is with our wholesale customers. For fiscal 2021, we derived approximately 32% of our consolidated net sales from our U.S. Wholesale segment and approximately 32% of our consolidated net sales from our top ten wholesale customers. As of the end of fiscal 2021, approximately 80% of our gross accounts receivable were from our ten largest wholesale customers, with three of these customers having individual receivable balances in excess of 10% of our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13" w:name="page14"/>
    <w:bookmarkEnd w:id="13"/>
    <w:p>
      <w:pPr>
        <w:ind w:right="780"/>
        <w:spacing w:after="0" w:line="277" w:lineRule="auto"/>
        <w:rPr>
          <w:sz w:val="20"/>
          <w:szCs w:val="20"/>
          <w:color w:val="auto"/>
        </w:rPr>
      </w:pPr>
      <w:r>
        <w:rPr>
          <w:rFonts w:ascii="Arial" w:cs="Arial" w:eastAsia="Arial" w:hAnsi="Arial"/>
          <w:sz w:val="18"/>
          <w:szCs w:val="18"/>
          <w:color w:val="auto"/>
        </w:rPr>
        <w:t>accounts receivable. Furthermore, we do not enter into long-term sales contracts with our major wholesale customers, relying instead on product performance, long-standing relationships, and our position in the marketplace.</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we have experienced in the past, we face the risk that if one or more of these customers significantly decreases their business or terminates their relationship with us as a result of financial difficulties (including bankruptcy or insolvency), competitive forces, consolidation, reorganization, or other reasons, then we may have significant levels of excess inventory that we may not be able to place elsewhere, a material decrease in our sales, or material impact on our operating results. In addition,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retail success is dependent upon identifying locations and negotiating appropriate lease terms for retail stores.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significant portion of our revenues is through our retail stores in leased retail locations across the United States, Canada, and Mexico. Successful operation of a retail store depends, in part, on the overall ability of the retail location to attract a consumer base sufficient to generate profitable store sales volumes. If we are unable to identify new retail locations with consumer traffic sufficient to support a profitable sales level, our retail growth may be limited. Some new stores may be located in areas where we have existing sales channels. Increasing the number of stores in these markets may result in inadvertent diversion of customers and sales from our existing sales channels in the same market, thereby negatively affecting our results of operations.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with us or other retailers, any increase we may see in our eCommerce sales may not be sufficient to offset the decreases in sales from our brick-and-mortar stores.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must be able to effectively renew our existing store leases on acceptable terms. In addition, from time to time, particularly in response to the ongoing COVID-19 pandemic,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could have a material adverse effect on our results of operations.</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11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 the United States, Canada, and Mexico include:</w:t>
      </w:r>
    </w:p>
    <w:p>
      <w:pPr>
        <w:spacing w:after="0" w:line="35" w:lineRule="exact"/>
        <w:rPr>
          <w:sz w:val="20"/>
          <w:szCs w:val="20"/>
          <w:color w:val="auto"/>
        </w:rPr>
      </w:pPr>
    </w:p>
    <w:p>
      <w:pPr>
        <w:ind w:left="660" w:right="12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failure of the computer systems, including those of third-party vendors, that operate our eCommerce sites and mobile applications, including, among others, inadequate system capacity, service outages, computer viruses, human error, changes in programming, security breaches, system upgrades or migration of these services to new systems;</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disruptions in telecommunications services or power outages;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6"/>
          <w:szCs w:val="16"/>
          <w:color w:val="auto"/>
        </w:rPr>
        <w:t>reliance on third parties for computer hardware and software, as well as delivery of merchandise to our customers on-time and without damage;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of shipping volumes which may be imposed by service providers;</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rapid technology changes;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failure to deliver products to customers on-time and within customers’ expectations;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color w:val="auto"/>
        </w:rPr>
        <w:t>credit or debit card, or other electronic payment-type, fraud, or disruptions in payment systems;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14" w:name="page15"/>
    <w:bookmarkEnd w:id="14"/>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the diversion of sales from our physical stores;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natural disasters or adverse weather conditions;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changes in applicable federal, state and international regulations;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liability for online content;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consumer privacy concerns and regulation.</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Problems in any of these areas could result in a reduction in sales, increased costs and damage to our reputation and brands, which could adversely affect our business and results of operations. In addition, in fiscal 2021 we experienced a decrease in net sales in our eCommerce channel compared to fiscal 2020. Our eCommerce business may continue to be negatively impacted if consumers shift back to traditional brick-and-mortal retail after the COVID-19 pandemic.</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(which occurred, for example, in the first quarter of fiscal 2020 due to the COVID-19 pandemic) and the sale of excess inventory at discounted prices, which could have an adverse effect on the image and reputation of our brands and negatively impact profitability. On the other hand, if we underestimate demand for our products, our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profitability may decline as a result of increasing pressure on margins, including deflationary pressures on our selling prices and increases in production costs and costs to serve.</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 If external pressures, including deflation, cause us to reduce our sales prices and we fail to sufficiently reduce our product costs or operating expenses, or if we are unable to fully optimize prices or pass on increased costs to our customers, our profitability could decline. Additionally, while deflation could positively impact our product costs, it could have an adverse effect on our average selling prices per unit, resulting in lower sales and operating results. This could have a material adverse effect on our results of operations, liquidity, and financial condition.</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increase prices to fully offset inflationary pressures on costs, such as raw materials, labor, and transportation costs, which may impact our expenses and profitability.</w:t>
      </w:r>
    </w:p>
    <w:p>
      <w:pPr>
        <w:spacing w:after="0" w:line="3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rely on vendors, distribution resources and transportation providers. In fiscal 2021 and the early part of 2022, the costs of raw materials, packaging materials, labor, energy, fuel, transportation, and other inputs necessary for the production and distribution of our products have rapidly increased. We also expect the pressures of input cost inflation to continue into 2022.</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 these increased costs adequately or in a timely manner, and/or if they result in significant decreases in sales volume, our business, financial condition, or operating results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revenues, product costs, and other expenses are subject to foreign economic and currency risks due to our operations outside of the United States.</w:t>
      </w:r>
    </w:p>
    <w:p>
      <w:pPr>
        <w:spacing w:after="0" w:line="13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operations in Canada, Mexico, and Asia, and our vendors, third-party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ind w:right="240"/>
        <w:spacing w:after="0" w:line="259" w:lineRule="auto"/>
        <w:rPr>
          <w:sz w:val="20"/>
          <w:szCs w:val="20"/>
          <w:color w:val="auto"/>
        </w:rPr>
      </w:pPr>
      <w:r>
        <w:rPr>
          <w:rFonts w:ascii="Arial" w:cs="Arial" w:eastAsia="Arial" w:hAnsi="Arial"/>
          <w:sz w:val="18"/>
          <w:szCs w:val="18"/>
          <w:color w:val="auto"/>
        </w:rPr>
        <w:t>less competitive or have a material adverse effect on our profitability. Currency exchange rate fluctuations could also disrupt the businesses of our third-party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suffer a material adverse effect from unseasonable or extreme weather conditions, or other effects of climate change.</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for our products, and thereby could have an adverse effect on our operating results, financial position, and cash flows. In addition, extreme weather conditions in the areas in which our stores are located could negatively affect our business, operating results, financial position, and cash flows. For example, frequent or unusually heavy or intense snowfall, flooding, hurricanes, or other extreme weather conditions over an extended period have caused and could in the future cause our stores to close for a period of time or permanently, and could make it difficult for our customers to travel to our stores or to receive products shipped to them, which in turn could negatively impact our operating results.</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there is concern that climate changes could cause significant changes in weather patterns around the globe and an increase in the frequency and severity of natural disasters. These changes may increase the effects described above, and changing weather patterns could result in decreased agricultural productivity in certain regions, which may limit availability and/or increase the cost of certain key materials, such as cotton.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 Relating to Litigation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various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claims or lawsuits, such amounts could exceed applicable insurance coverage, if any, or contractual rights available to us. As a result, such lawsuits could be significant and have a material adverse impact on our business, financial condition, and results of operations.</w:t>
      </w:r>
    </w:p>
    <w:p>
      <w:pPr>
        <w:spacing w:after="0" w:line="12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as previously reported, in 2009 the SEC and the U.S. Attorney’s Office began conducting investigations, with which we cooperated, related to customer margin support provided by us, including undisclosed margin support commitments and related matters. In December 2010, we entered into a non-prosecution agreement with the SEC pursuant to which the SEC agreed not to charge us with any violations of federal securities laws, commence any enforcement action against us, or require us to pay any financial penalties in connection with the SEC investigation of customer margin support provided by us, conditioned upon our continued cooperation with the SEC’s investigation and with any related proceedings. We have incurred, and may continue to incur, substantial expenses for legal services due to the SEC and U.S. Attorney’s Office investigations and any related proceedings. These matters may continue to divert management’s time and attention away from operations. We also expect to bear additional costs pursuant to our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u w:val="single" w:color="auto"/>
          <w:color w:val="auto"/>
        </w:rPr>
        <w:t>Risks Related to Cybersecurity, Data Privacy, and Information Technology</w:t>
      </w:r>
    </w:p>
    <w:p>
      <w:pPr>
        <w:spacing w:after="0" w:line="10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on the security of our networks, databases, systems, and processes to protect our proprietary information and information about our customers, employees, and vendors, including customer payment information. We have established physical, electronic, and organizational measures to safeguard and secure our systems to prevent data compromise and rely on commercially available systems, software, tools, and monitoring to provide security for our IT systems and the processing, transmission and storage of digital information. We have also outsourced elements of our IT systems, including to cloud-based solution vendors, and, as a result, a number of third-party vendors may or could have access to our confidential information. Our IT systems are vulnerable to damage or interruption from a variety of sources, including physical damage, telecommunications or network failures or interruptions, system malfunction, natural disasters, malicious human acts, terrorism, and war, and we have experienced interruptions in the past. These systems, including our servers, are also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Cyber criminals are constantly devising schemes to circumvent information technology security safeguards and other retailers have recently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 and, while we have implemented security measures to protect our IT and data security infrastructure, our efforts to address these issues may not be successful.</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unauthorized parties gain access to our networks or databases, or those of our vendors, they may be able to steal, publish, delete, modify, or block our access to our private and sensitive internal and third-party information, including payment information and personally identifiable information. In such circumstances, we could be held liable to our customers, other parties, or employees as well as be subject to regulatory or other actions for breaching privacy law (including the E.U. General Data Protection Act and the California Consumer Privacy Act)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processing industry, we may be subject to fines, restrictions, and expulsion from payment acceptance programs, which could adversely affect our retail operations. In addition, we may be required to incur significant costs to protect against damage caused by these disruptions or security breaches in the future. If our IT systems fail and our redundant systems or disaster recovery plans are not adequate to address such failures, or if our business interruption insurance does not sufficiently compensate us for any losses that we may incur, our revenues and profits could be reduced and the reputation of our brand and our business could be materially and adversely affected.</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also reliant on the security practices of our third-party service providers, which may be outside of our direct control. The services provided by these third parties are subject to the same risk of outages, other failures and security breaches described above. If these third parties fail to adhere to adequate security practices, or experience a breach of their systems, the data of our employees and customers may be improperly accessed, used or disclosed. In addition, our third-party providers may take actions beyond our control that could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business, as well as delays and additional expenses in arranging for alternative cloud infrastructure services. Any loss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interruption to our systems or the services provided by third parties would adversely affect our business, financial condition, and results of operations.</w:t>
      </w:r>
    </w:p>
    <w:p>
      <w:pPr>
        <w:spacing w:after="0" w:line="1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implement new information technology systems or needed upgrades to our systems, including operational and financial systems, could adversely affect our business.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our Global Supply Chain and Labor Force</w:t>
      </w:r>
    </w:p>
    <w:p>
      <w:pPr>
        <w:spacing w:after="0" w:line="10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22" w:lineRule="exact"/>
        <w:rPr>
          <w:sz w:val="20"/>
          <w:szCs w:val="20"/>
          <w:color w:val="auto"/>
        </w:rPr>
      </w:pPr>
    </w:p>
    <w:p>
      <w:pPr>
        <w:ind w:left="660" w:right="18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political instability or other global events resulting in the disruption of operations or trade in or with foreign countries from which we source our products;</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76"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financial instability, including bankruptcy or insolvency, of one or more of our major vendors;</w:t>
      </w:r>
    </w:p>
    <w:p>
      <w:pPr>
        <w:spacing w:after="0" w:line="53" w:lineRule="exact"/>
        <w:rPr>
          <w:rFonts w:ascii="Arial" w:cs="Arial" w:eastAsia="Arial" w:hAnsi="Arial"/>
          <w:sz w:val="20"/>
          <w:szCs w:val="20"/>
          <w:color w:val="auto"/>
        </w:rPr>
      </w:pPr>
    </w:p>
    <w:p>
      <w:pPr>
        <w:ind w:left="660" w:right="80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imposition of new laws and regulations relating to imports, duties, taxes, and other charges on imports, including those that the U.S. government has implemented and may further implement on imports from China;</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increased costs of raw materials (including cotton and other commodities), labor, fuel, and transportation;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interruptions in the supply of raw materials, including cotton, fabric, and trim items;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increases in the cost of labor in our sourcing locations;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changes in the U.S. customs procedures concerning the importation of apparel products;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unforeseen delays in customs clearance of any goods;</w:t>
      </w:r>
    </w:p>
    <w:p>
      <w:pPr>
        <w:spacing w:after="0" w:line="53" w:lineRule="exact"/>
        <w:rPr>
          <w:rFonts w:ascii="Arial" w:cs="Arial" w:eastAsia="Arial" w:hAnsi="Arial"/>
          <w:sz w:val="20"/>
          <w:szCs w:val="20"/>
          <w:color w:val="auto"/>
        </w:rPr>
      </w:pPr>
    </w:p>
    <w:p>
      <w:pPr>
        <w:ind w:left="660" w:right="2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disruptions in the global transportation network, such as a port strikes or delays, work stoppages or other labor unrest, capacity withholding, world trade restrictions, acts of terrorism, or war;</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application of adverse foreign intellectual property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ability of our vendors to secure sufficient credit to finance the manufacturing process, including the acquisition of raw materials;</w:t>
      </w:r>
    </w:p>
    <w:p>
      <w:pPr>
        <w:spacing w:after="0" w:line="53"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potential social compliance concerns resulting from our use of international vendors, third-party manufacturers, and licensees, over whom we have limited control;</w:t>
      </w:r>
    </w:p>
    <w:p>
      <w:pPr>
        <w:spacing w:after="0" w:line="44" w:lineRule="exact"/>
        <w:rPr>
          <w:rFonts w:ascii="Arial" w:cs="Arial" w:eastAsia="Arial" w:hAnsi="Arial"/>
          <w:sz w:val="20"/>
          <w:szCs w:val="20"/>
          <w:color w:val="auto"/>
        </w:rPr>
      </w:pPr>
    </w:p>
    <w:p>
      <w:pPr>
        <w:ind w:left="660" w:right="18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manufacturing delays or unexpected demand for products may require the use of faster, but more expensive, transportation methods, such as air-freight services; and</w:t>
      </w:r>
    </w:p>
    <w:p>
      <w:pPr>
        <w:spacing w:after="0" w:line="44" w:lineRule="exact"/>
        <w:rPr>
          <w:rFonts w:ascii="Arial" w:cs="Arial" w:eastAsia="Arial" w:hAnsi="Arial"/>
          <w:sz w:val="20"/>
          <w:szCs w:val="20"/>
          <w:color w:val="auto"/>
        </w:rPr>
      </w:pPr>
    </w:p>
    <w:p>
      <w:pPr>
        <w:ind w:left="660" w:right="620" w:hanging="328"/>
        <w:spacing w:after="0" w:line="312"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6"/>
          <w:szCs w:val="16"/>
          <w:color w:val="auto"/>
        </w:rPr>
        <w:t>other events beyond our control that could interrupt our supply chain and delay receipt of our products into the United States, Canada, and Mexico, as well as the ninety additional countries in which our international partners and international wholesale customers operate.</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occurrence of one or more of these events could result in disruptions to our operations, which in turn could increase our cost of goods sold, decrease our gross profit, or impact our ability to deliver to our customers. The COVID-19 pandemic has impacted and continues to impact global supply chain operations, causing delays in the production and transportation of our product. For example, in fiscal 2020 the COVID-19 pandemic had a material adverse effect on our sourcing operations, particularly in China and the rest of Asia, and has slowed our ability to import products into North America. In addition,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fiscal 2021, we experienced increased inbound transportation and freight costs, and we expect these increased costs to continue and to adversely impact our financial and operating results in fiscal 2022.</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Also, in fiscal 2020 and 2021, the U.S. Government placed sanctions on China’s Xinjiang Production and Construction Corporation (“XPCC”) for human rights violations and took other significant steps to address the forced labor concerns in the Xinjiang Uyghur Autonomous Region (the “XUAR”) of China, including withhold release orders issued by U.S. Customs and Border Protection, (“US CBP”), which may in turn have an adverse effect on global supply chains, including our own supply chains for cotton and cotton-containing products, and the price of cotton in the marketplace. The XUAR is the source of large amounts of cotton and textiles for the global apparel supply chain. Although we do not knowingly source any products from the XUAR and we have no known involvement with China’s Xinjiang Production and Construction Corporation (“XPCC”) or its affiliates, we could be subject to penalties, fines or sanctions if any of the vendors from which we purchase goods is found or suspected to have dealings, directly or indirectly, with XPCC or entities with which it may be affiliated. Additionally, our products have been and, in the future, could be held or delayed by the US CBP under the withhold release orders, which would cause delays and unexpectedly affect our inventory levels. Even if we were not subject to penalties, fines, or sanctions, if products we source are associated in any way to XPCC or the XUAR, our reputation could be damaged.</w:t>
      </w:r>
    </w:p>
    <w:p>
      <w:pPr>
        <w:spacing w:after="0" w:line="1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relatively small number of vendors supply a significant amount of our products, and losing one or more of these vendors could have a material adverse effect on our business.</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fiscal 2021, we purchased approximately 54% of our products from ten vendors, of which approximately half comes from three vendors. Additionally, we estimate that approximately 80% of the fabric that is used in the manufacture of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significant labor disputes, or restrictions imposed by foreign governments) our business, results of operations, and financial condition may be adversely affected.</w:t>
      </w:r>
    </w:p>
    <w:p>
      <w:pPr>
        <w:spacing w:after="0" w:line="1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Labor or other disruptions along our supply chain may adversely affect our relationships with customers, reputation with consumers, and results of operations.</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depends on our ability to source and distribute products in a timely manner. Labor disputes at third-party factories where our goods are produced, the shipping ports we use, or within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We have also shifted some of our product deliveries to other ports of entry which may experience volume increases that may create delays at these ports that did not exist before we, and others, shifted significant volume to them. Further,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(including cotton) used by our vendors in the manufacture of our products, such as an inability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ind w:right="160"/>
        <w:spacing w:after="0" w:line="291" w:lineRule="auto"/>
        <w:rPr>
          <w:sz w:val="20"/>
          <w:szCs w:val="20"/>
          <w:color w:val="auto"/>
        </w:rPr>
      </w:pPr>
      <w:r>
        <w:rPr>
          <w:rFonts w:ascii="Arial" w:cs="Arial" w:eastAsia="Arial" w:hAnsi="Arial"/>
          <w:sz w:val="16"/>
          <w:szCs w:val="16"/>
          <w:color w:val="auto"/>
        </w:rPr>
        <w:t>Additionally, the nature of our business requires us to carry a significant amount of inventory, especially prior to the peak holiday selling season when we build up our inventory levels, and to support our retail omni-channel strategies, including our buy on-line and pick-up in store program. Merchandise usually must be ordered well in advance of the season and frequently before apparel trends are confirmed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2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4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We experienced an increase of COVID-19 cases in this facility in connection with the Delta and Omicron variants, which negatively affected and may continue to negatively affect capacity. Additionally, we have experienced significant competition in hiring employees for this facility, which we attribute to the impacts of COVID-19 and to increased competition and rising wages. To address this, we have increased wages and implemented other policies in order to retain existing employees and attract additional employees. These wage increases impacted our operating results. We are likely to continue to face challenges in hiring employees for this facility due to increased competition and we may incur additional employee-related costs, when necessary, which would impact our operating results. These staffing difficulties have caused and may in the future cause additional capacity constraints. Surges in COVID-19 cases among employees could also affect the capacity of this facility, and therefore our operating results. Additionally, if we are unable to adequately staff this facility to meet demand, or if the cost of such staffing is higher than projected due to competition, mandated wage increases, regulatory changes, or other factors, our operating results may be further harmed.</w:t>
      </w:r>
    </w:p>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we use an automated system that manages the order processing for our eCommerce business. In the event that this system becomes inoperable for any reason, we may be unable to ship orders in a timely manner, and as a result, we could experience a reduction in our direct-to-consumer business, which could negatively impact our sales and profitability.</w:t>
      </w:r>
    </w:p>
    <w:p>
      <w:pPr>
        <w:spacing w:after="0" w:line="1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Risks Relating to Our International Expansion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into international markets.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Governmental and Regulatory Changes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laws, regulations and standards set by various governmental authorities around the world, including in the United States, Canada,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Mexico, including:</w:t>
      </w:r>
    </w:p>
    <w:p>
      <w:pPr>
        <w:spacing w:after="0" w:line="62" w:lineRule="exact"/>
        <w:rPr>
          <w:sz w:val="20"/>
          <w:szCs w:val="20"/>
          <w:color w:val="auto"/>
        </w:rPr>
      </w:pPr>
    </w:p>
    <w:p>
      <w:pPr>
        <w:ind w:left="660" w:hanging="328"/>
        <w:spacing w:after="0" w:line="25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those imposed by the Sarbanes-Oxley Act of 2002, the Dodd-Frank Wall Street Reform and Consumer Protection Act, the SEC, and the New York Stock Exchange (“NYSE”);</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the U.S. Foreign Corrupt Practices Act, and similar world-wide anti-bribery laws;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health care, employment and labor laws;</w:t>
      </w:r>
    </w:p>
    <w:p>
      <w:pPr>
        <w:spacing w:after="0" w:line="53" w:lineRule="exact"/>
        <w:rPr>
          <w:rFonts w:ascii="Arial" w:cs="Arial" w:eastAsia="Arial" w:hAnsi="Arial"/>
          <w:sz w:val="20"/>
          <w:szCs w:val="20"/>
          <w:color w:val="auto"/>
        </w:rPr>
      </w:pPr>
    </w:p>
    <w:p>
      <w:pPr>
        <w:ind w:left="660" w:right="800" w:hanging="328"/>
        <w:spacing w:after="0" w:line="25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18"/>
          <w:szCs w:val="18"/>
          <w:color w:val="auto"/>
        </w:rPr>
        <w:t>product and consumer safety laws, including those imposed by the U.S. Consumer Product Safety Commission and the Americans with Disabilities Act of 1990;</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data privacy laws, including the E.U. General Data Protection Act and the California Consumer Privacy Act;</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trade, transportation and logistics related laws, including tariffs and orders issued by Customs and Border Protection;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applicable environmental laws.</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Risks Related to Executing Our Strategic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properly manage strategic initiatives in order to achieve our objectives may negatively impact our business.</w:t>
      </w:r>
    </w:p>
    <w:p>
      <w:pPr>
        <w:spacing w:after="0" w:line="9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implementation of our business strategy periodically involves the execution of complex initiatives, such as acquisitions, which may require that we make significant estimates and assumptions about a project. These projects could place significant demands on our accounting, financial, information technology, and other systems, and on our business overall. We are dependent on our management’s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3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example, our multi-channel global business model, which includes retail store, eCommerce, and wholesale sales channels, enables us to reach a broad range of consumers around the world.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success is dependent upon retaining key individuals within the organization to execute our strategic plan.</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ability to attract and retain qualified executive management, marketing, merchandising, design, sourcing, operations, including distribution center and retail store, and support function staffing is key to our success. We cannot be sure that we will be able to attract, retain, and motivate a sufficient number of qualified personnel in the future, or that the compensation costs of doing so will not adversely affect our operating results. We have paid special bonuses across our workforce and have increased, and may continue to increase, our employee compensation and benefits levels in response to competition, as necessary.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acquired businesses, and such acquisitions may fail to achieve the financial results we expected.</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From time to time we may acquire other businesses as part of our growth strategy, such as our acquisitions of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and our Mexican licensee in fiscal 2017, and we may partially or fully fund future acquisitions by taking on additional debt.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customers,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b w:val="1"/>
          <w:bCs w:val="1"/>
          <w:u w:val="single" w:color="auto"/>
          <w:color w:val="auto"/>
        </w:rPr>
        <w:t>Risks Related to Financial Reporting, Our Debt, and Tax</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profitability objectives, and other assumptions that support the carrying value of our intangible assets.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 macroeconomic conditions which would negatively affect the cost of capital and/or discount rates, could also result in impairment of the remaining asset values. For example, as of and for the first quarter of fiscal 2020, we recorded intangible asset impairments of $26.5 million and a goodwill impairment of $17.7 million based on forecasted financial information derived from the information reasonably available to us at the time given the unknown future impact of the COVID-19 pandemic. In addition, in the third quarter of fiscal 2019, we recorded a non-cash charge of $30.8 million relative to the impairment of 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reflecting the effect of lower sales and profitability relative to the assumptions supporting the valuation of the tradename at acquisition. Any material impairment would adversely affect our results of operations.</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substantial debt, which could adversely affect our financial health and our ability to obtain financing in the future and to react to changes in our business.</w:t>
      </w:r>
    </w:p>
    <w:p>
      <w:pPr>
        <w:spacing w:after="0" w:line="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the end of fiscal 2021, we had $1.00 billion aggregate principal amount of debt outstanding (excluding $4.1 million of outstanding letters of credit), and $745.9 million of undrawn availability under our senior secured revolving credit facility after giving effect to $4.1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our liquidity,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7"/>
          <w:szCs w:val="17"/>
          <w:color w:val="auto"/>
        </w:rPr>
        <w:t>In addition, both our senior secured revolving credit facility and, in certain circumstances, our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For example, provisions in our secured revolving credit facility as amended in May 2020 have the effect of restricting our ability to pay cash dividends on, or make future repurchases of, our common stock through the date we deliver our financial statements and associated certificates relating to the third quarter of fiscal 2021, and could have the effect of restricting our ability to do so thereafter.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United States, Canada, Hong Kong, Mexico, and other foreign jurisdictions. The taxable income in each jurisdiction is affected by certain transfer prices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4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financial condition, or results of operations in future periods, including:</w:t>
      </w:r>
    </w:p>
    <w:p>
      <w:pPr>
        <w:spacing w:after="0" w:line="25" w:lineRule="exact"/>
        <w:rPr>
          <w:sz w:val="20"/>
          <w:szCs w:val="20"/>
          <w:color w:val="auto"/>
        </w:rPr>
      </w:pPr>
    </w:p>
    <w:p>
      <w:pPr>
        <w:ind w:left="660" w:right="6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CARES Act, which was enacted in March 2020, and which significantly affects U.S. taxation by providing a retention credit and eases limitations on certain deductions including interest due to potential volatility in 2020 taxable income;</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2018 U.S. Supreme Court ruling, under which states may have additional ability to tax entities operating in their state, but lacking physical presence;</w:t>
      </w:r>
    </w:p>
    <w:p>
      <w:pPr>
        <w:spacing w:after="0" w:line="8" w:lineRule="exact"/>
        <w:rPr>
          <w:rFonts w:ascii="Arial" w:cs="Arial" w:eastAsia="Arial" w:hAnsi="Arial"/>
          <w:sz w:val="18"/>
          <w:szCs w:val="18"/>
          <w:color w:val="auto"/>
        </w:rPr>
      </w:pPr>
    </w:p>
    <w:p>
      <w:pPr>
        <w:ind w:left="660" w:right="40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mandatory country by country reporting of revenue, employees and profits, and certain international initiatives (such as the Organisation for Economic Co-operation and Development (OECD)’s Base Erosion and Profit Shifting (BEPS)) that are focused on the equity of international taxation, which may ultimately result in a worldwide minimum tax, or more defined approach around global profit allocation between related companies operating in jurisdictions with disparate income tax rates; and</w:t>
      </w:r>
    </w:p>
    <w:p>
      <w:pPr>
        <w:spacing w:after="0" w:line="2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revenue reductions as a result of the economic impact of the pandemic, which may lead to increases in state tax rates or the expansions of their tax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p>
      <w:pPr>
        <w:ind w:left="4940"/>
        <w:spacing w:after="0"/>
        <w:rPr>
          <w:sz w:val="20"/>
          <w:szCs w:val="20"/>
          <w:color w:val="auto"/>
        </w:rPr>
      </w:pPr>
      <w:r>
        <w:rPr>
          <w:rFonts w:ascii="Arial" w:cs="Arial" w:eastAsia="Arial" w:hAnsi="Arial"/>
          <w:sz w:val="18"/>
          <w:szCs w:val="18"/>
          <w:b w:val="1"/>
          <w:bCs w:val="1"/>
          <w:u w:val="single" w:color="auto"/>
          <w:color w:val="auto"/>
        </w:rPr>
        <w:t>GENERAL RISK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cash dividends and share repurchases are subject to a number of uncertainties, and may affect the price of our common stock.</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Quarterly cash dividends and share repurchases under our share repurchase program have historically been part of our capital allocation strategy. Although we reinstated our share repurchase program in August 2021 and resumed payment of a quarterly dividend in the third quarter of fiscal 2021, in the first quarter of fiscal 2020 we suspended both our quarterly cash dividends and our share repurchase program due to the effects of the COVID-19 pandemic, and we are not required to declare dividends or make any share repurchases under our share repurchase program in the future. Decisions with respect to future dividends and share repurchases are subject to the discretion of our Board of Directors and will be based on a variety of factors, including restrictions under our secured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A subsequent reduction or elimination of our cash dividend, or subsequent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principal owned and leased properties as of January 1, 2022.</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corporate headquarters occupies 278,000 square feet of leased space in a building in Atlanta, Georgia. Our lease for that space expires in April 2030. In addition, our regional headquarters for Canada occupied leased space in a building in Mississauga, Ontario through May 31, 2021; we anticipate we will relocate that office to other leased space in Mississauga, Ontario in 2022. We also occupy leased space in Hong Kong, China, which serves as our principal sourcing office in Asia. We also lease other space in Georgia, and New York, as well as in Bangladesh, Cambodia, China, Mexico, and Vietnam that, depending on the site, serves as a sourcing, sales, or administrative office. We also own a 224,000 square foot facility in Griffin, Georgia.</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largest distribution centers, which we lease, are located in Braselton, Georgia and Stockbridge, Georgia, and are 1.1 million and 0.5 million square feet, respectively, and supports all of our operating segments. We also lease additional space in or use third-party logistics providers in California, Canada, China, Mexico and Vietnam for warehousing and distribution purposes.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operate the following number of leased retail stores: 751 in the United States, 186 in Canada, and 43 in Mexico. Our average remaining lease term for retail store leases in the United States, Canada, and Mexico is approximately 3.4 years, excluding renewal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660" w:right="32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Stock Price and Number of Record Holders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trades on the New York Stock Exchange (NYSE) under the trading symbol CRI. The last reported sale price per share of our common stock on February 18, 2022 was $88.48. On that date there were 174 holders of record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shares repurchased during the fourth quarter of fiscal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Average price paid</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remaining shares that</w:t>
            </w:r>
          </w:p>
        </w:tc>
        <w:tc>
          <w:tcPr>
            <w:tcW w:w="0" w:type="dxa"/>
            <w:vAlign w:val="bottom"/>
          </w:tcPr>
          <w:p>
            <w:pPr>
              <w:spacing w:after="0"/>
              <w:rPr>
                <w:sz w:val="1"/>
                <w:szCs w:val="1"/>
                <w:color w:val="auto"/>
              </w:rPr>
            </w:pPr>
          </w:p>
        </w:tc>
      </w:tr>
      <w:tr>
        <w:trPr>
          <w:trHeight w:val="162"/>
        </w:trPr>
        <w:tc>
          <w:tcPr>
            <w:tcW w:w="4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7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can be purchased under</w:t>
            </w:r>
          </w:p>
        </w:tc>
        <w:tc>
          <w:tcPr>
            <w:tcW w:w="0" w:type="dxa"/>
            <w:vAlign w:val="bottom"/>
          </w:tcPr>
          <w:p>
            <w:pPr>
              <w:spacing w:after="0"/>
              <w:rPr>
                <w:sz w:val="1"/>
                <w:szCs w:val="1"/>
                <w:color w:val="auto"/>
              </w:rPr>
            </w:pPr>
          </w:p>
        </w:tc>
      </w:tr>
      <w:tr>
        <w:trPr>
          <w:trHeight w:val="216"/>
        </w:trPr>
        <w:tc>
          <w:tcPr>
            <w:tcW w:w="4440" w:type="dxa"/>
            <w:vAlign w:val="bottom"/>
            <w:gridSpan w:val="2"/>
            <w:vMerge w:val="continue"/>
          </w:tcPr>
          <w:p>
            <w:pPr>
              <w:spacing w:after="0"/>
              <w:rPr>
                <w:sz w:val="18"/>
                <w:szCs w:val="18"/>
                <w:color w:val="auto"/>
              </w:rPr>
            </w:pPr>
          </w:p>
        </w:tc>
        <w:tc>
          <w:tcPr>
            <w:tcW w:w="1680" w:type="dxa"/>
            <w:vAlign w:val="bottom"/>
            <w:gridSpan w:val="2"/>
          </w:tcPr>
          <w:p>
            <w:pPr>
              <w:jc w:val="center"/>
              <w:ind w:right="80"/>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 share</w:t>
            </w:r>
          </w:p>
        </w:tc>
        <w:tc>
          <w:tcPr>
            <w:tcW w:w="15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5"/>
              </w:rPr>
              <w:t>programs</w:t>
            </w:r>
            <w:r>
              <w:rPr>
                <w:rFonts w:ascii="Arial" w:cs="Arial" w:eastAsia="Arial" w:hAnsi="Arial"/>
                <w:sz w:val="21"/>
                <w:szCs w:val="21"/>
                <w:b w:val="1"/>
                <w:bCs w:val="1"/>
                <w:color w:val="auto"/>
                <w:w w:val="85"/>
                <w:vertAlign w:val="superscript"/>
              </w:rPr>
              <w:t>(2)</w:t>
            </w:r>
          </w:p>
        </w:tc>
        <w:tc>
          <w:tcPr>
            <w:tcW w:w="100" w:type="dxa"/>
            <w:vAlign w:val="bottom"/>
          </w:tcPr>
          <w:p>
            <w:pPr>
              <w:spacing w:after="0"/>
              <w:rPr>
                <w:sz w:val="18"/>
                <w:szCs w:val="18"/>
                <w:color w:val="auto"/>
              </w:rPr>
            </w:pPr>
          </w:p>
        </w:tc>
        <w:tc>
          <w:tcPr>
            <w:tcW w:w="1760" w:type="dxa"/>
            <w:vAlign w:val="bottom"/>
            <w:gridSpan w:val="2"/>
          </w:tcPr>
          <w:p>
            <w:pPr>
              <w:jc w:val="center"/>
              <w:spacing w:after="0" w:line="216" w:lineRule="exact"/>
              <w:rPr>
                <w:sz w:val="20"/>
                <w:szCs w:val="20"/>
                <w:color w:val="auto"/>
              </w:rPr>
            </w:pPr>
            <w:r>
              <w:rPr>
                <w:rFonts w:ascii="Arial" w:cs="Arial" w:eastAsia="Arial" w:hAnsi="Arial"/>
                <w:sz w:val="16"/>
                <w:szCs w:val="16"/>
                <w:b w:val="1"/>
                <w:bCs w:val="1"/>
                <w:color w:val="auto"/>
                <w:w w:val="88"/>
              </w:rPr>
              <w:t>the plans or programs</w:t>
            </w:r>
            <w:r>
              <w:rPr>
                <w:rFonts w:ascii="Arial" w:cs="Arial" w:eastAsia="Arial" w:hAnsi="Arial"/>
                <w:sz w:val="21"/>
                <w:szCs w:val="21"/>
                <w:b w:val="1"/>
                <w:bCs w:val="1"/>
                <w:color w:val="auto"/>
                <w:w w:val="88"/>
                <w:vertAlign w:val="superscript"/>
              </w:rPr>
              <w:t>(2)</w:t>
            </w:r>
          </w:p>
        </w:tc>
        <w:tc>
          <w:tcPr>
            <w:tcW w:w="0" w:type="dxa"/>
            <w:vAlign w:val="bottom"/>
          </w:tcPr>
          <w:p>
            <w:pPr>
              <w:spacing w:after="0"/>
              <w:rPr>
                <w:sz w:val="1"/>
                <w:szCs w:val="1"/>
                <w:color w:val="auto"/>
              </w:rPr>
            </w:pPr>
          </w:p>
        </w:tc>
      </w:tr>
      <w:tr>
        <w:trPr>
          <w:trHeight w:val="128"/>
        </w:trPr>
        <w:tc>
          <w:tcPr>
            <w:tcW w:w="4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3, 2021 through October 30,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887,349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453,227,014</w:t>
            </w: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31, 2021 through November 27,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104.86</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405,703,430</w:t>
            </w: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28, 2021 through January 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102.78</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351,109,063</w:t>
            </w:r>
          </w:p>
        </w:tc>
        <w:tc>
          <w:tcPr>
            <w:tcW w:w="0" w:type="dxa"/>
            <w:vAlign w:val="bottom"/>
          </w:tcPr>
          <w:p>
            <w:pPr>
              <w:spacing w:after="0"/>
              <w:rPr>
                <w:sz w:val="1"/>
                <w:szCs w:val="1"/>
                <w:color w:val="auto"/>
              </w:rPr>
            </w:pPr>
          </w:p>
        </w:tc>
      </w:tr>
      <w:tr>
        <w:trPr>
          <w:trHeight w:val="148"/>
        </w:trPr>
        <w:tc>
          <w:tcPr>
            <w:tcW w:w="4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1,872,857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1,871,720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1,137 shares surrendered between October 31, 2021 and November 27, 2021.</w:t>
      </w:r>
    </w:p>
    <w:p>
      <w:pPr>
        <w:spacing w:after="0" w:line="11" w:lineRule="exact"/>
        <w:rPr>
          <w:rFonts w:ascii="Arial" w:cs="Arial" w:eastAsia="Arial" w:hAnsi="Arial"/>
          <w:sz w:val="14"/>
          <w:szCs w:val="14"/>
          <w:color w:val="auto"/>
        </w:rPr>
      </w:pPr>
    </w:p>
    <w:p>
      <w:pPr>
        <w:ind w:left="340" w:right="160" w:hanging="332"/>
        <w:spacing w:after="0" w:line="273"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August 2021, we reinstated our previously suspended share repurchase program. As of August 19, 2021, total remaining capacity was $650.4 million. The authorization does not have a prescribed expiration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24, 2022, our Board of Directors authorized share repurchases up to $1.00 billion, inclusive of approximately $301.9 million remaining under previous authorizations.</w:t>
      </w:r>
    </w:p>
    <w:p>
      <w:pPr>
        <w:spacing w:after="0" w:line="130"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color w:val="auto"/>
        </w:rPr>
        <w:t>The total remaining capacity under outstanding repurchase authorizations as of January 1, 2022 was approximately $351.1 million, exclusive of the February 2022 share repurchase authorization, based on settled repurchase transactions. The share repurchase authorizations have no expiration dates.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and retired shares in open market transactions in the following amounts for the fiscal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1, 2022</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299,339</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196,910</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r>
    </w:tbl>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third quarter of fiscal 2021, we reinstated our common stock share repurchase program. We had previously announced the suspension of our common stock share repurchase program, in connection with the COVID-19 pandemic, at the end of the first quarter in fiscal 2020. Future repurchases may occur from time to time in the open market, in privately negotiated transactions, or otherwise. The timing and amount of any repurchases will be at our discretion subject to restrictions under our revolving credit facility, market conditions, stock price, other investment priorities, and other factors.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24, 2022, the Company's Board of Directors authorized a quarterly cash dividend payment of $0.75 per common share, payable on March 18, 2022 to shareholders of record at the close of business on March 8, 2022.</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declared and we paid cash dividends of $0.60 per share in the first quarter of fiscal 2020. On May 1, 2020, in connection with the COVID-19 pandemic, our Board of Directors suspended our quarterly cash dividend. As a result, the Board of Directors did not declare and we did not pay cash dividends in the second, third, or fourth quarters of fiscal 2020, or in the first quarter of fiscal 2021. The Board of Directors declared and we paid cash dividends of $0.40 per share in each of the second and third quarters of fiscal 2021 and $0.60 per share in the fourth quarter of fiscal 2021. Our Board of Directors will evaluate future dividend declarations based on a number of factors, including restrictions under our secured revolving credit facility, business conditions, our financial performance, and other considerations.</w:t>
      </w:r>
    </w:p>
    <w:p>
      <w:pPr>
        <w:spacing w:after="0" w:line="13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our future results.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federal securities laws, we do not have any intention or obligation to update forward-looking statements after we file this Annual Report on Form 10-K.</w:t>
      </w:r>
    </w:p>
    <w:p>
      <w:pPr>
        <w:spacing w:after="0" w:line="151" w:lineRule="exact"/>
        <w:rPr>
          <w:sz w:val="20"/>
          <w:szCs w:val="20"/>
          <w:color w:val="auto"/>
        </w:rPr>
      </w:pPr>
    </w:p>
    <w:p>
      <w:pPr>
        <w:jc w:val="both"/>
        <w:ind w:right="26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For a comparison of our results for fiscal year 2020 to our results for fiscal year 2019 and other financial information related to fiscal year 2019, refer to </w:t>
      </w:r>
      <w:hyperlink r:id="rId37">
        <w:r>
          <w:rPr>
            <w:rFonts w:ascii="Arial" w:cs="Arial" w:eastAsia="Arial" w:hAnsi="Arial"/>
            <w:sz w:val="18"/>
            <w:szCs w:val="18"/>
            <w:u w:val="single" w:color="auto"/>
            <w:color w:val="0000FF"/>
          </w:rPr>
          <w:t>Item 7 “Management’s Discussion and Analysis of Financial Condition and Results of Operations”</w:t>
        </w:r>
        <w:r>
          <w:rPr>
            <w:rFonts w:ascii="Arial" w:cs="Arial" w:eastAsia="Arial" w:hAnsi="Arial"/>
            <w:sz w:val="18"/>
            <w:szCs w:val="18"/>
            <w:color w:val="0000FF"/>
          </w:rPr>
          <w:t xml:space="preserve"> </w:t>
        </w:r>
      </w:hyperlink>
      <w:r>
        <w:rPr>
          <w:rFonts w:ascii="Arial" w:cs="Arial" w:eastAsia="Arial" w:hAnsi="Arial"/>
          <w:sz w:val="18"/>
          <w:szCs w:val="18"/>
          <w:color w:val="000000"/>
        </w:rPr>
        <w:t>in</w:t>
      </w:r>
      <w:r>
        <w:rPr>
          <w:rFonts w:ascii="Arial" w:cs="Arial" w:eastAsia="Arial" w:hAnsi="Arial"/>
          <w:sz w:val="18"/>
          <w:szCs w:val="18"/>
          <w:color w:val="0000FF"/>
        </w:rPr>
        <w:t xml:space="preserve"> </w:t>
      </w:r>
      <w:r>
        <w:rPr>
          <w:rFonts w:ascii="Arial" w:cs="Arial" w:eastAsia="Arial" w:hAnsi="Arial"/>
          <w:sz w:val="18"/>
          <w:szCs w:val="18"/>
          <w:color w:val="000000"/>
        </w:rPr>
        <w:t>our 2020 Annual Report on Form 10-K, filed with</w:t>
      </w:r>
      <w:r>
        <w:rPr>
          <w:rFonts w:ascii="Arial" w:cs="Arial" w:eastAsia="Arial" w:hAnsi="Arial"/>
          <w:sz w:val="18"/>
          <w:szCs w:val="18"/>
          <w:color w:val="0000FF"/>
        </w:rPr>
        <w:t xml:space="preserve"> </w:t>
      </w:r>
      <w:r>
        <w:rPr>
          <w:rFonts w:ascii="Arial" w:cs="Arial" w:eastAsia="Arial" w:hAnsi="Arial"/>
          <w:sz w:val="18"/>
          <w:szCs w:val="18"/>
          <w:color w:val="000000"/>
        </w:rPr>
        <w:t>the SEC on February 26,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w:t>
      </w:r>
    </w:p>
    <w:p>
      <w:pPr>
        <w:spacing w:after="0" w:line="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Our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2021, which ended on January 1, 2022, contained 52 weeks. Fiscal 2020, which ended on January 2, 2021, contained 53 weeks. Fiscal 2019, which ended on December 28, 2019, contained 52 weeks.</w:t>
      </w:r>
    </w:p>
    <w:p>
      <w:pPr>
        <w:spacing w:after="0" w:line="163" w:lineRule="exact"/>
        <w:rPr>
          <w:sz w:val="20"/>
          <w:szCs w:val="20"/>
          <w:color w:val="auto"/>
        </w:rPr>
      </w:pPr>
    </w:p>
    <w:p>
      <w:pPr>
        <w:ind w:right="260"/>
        <w:spacing w:after="0" w:line="217" w:lineRule="auto"/>
        <w:rPr>
          <w:sz w:val="20"/>
          <w:szCs w:val="20"/>
          <w:color w:val="auto"/>
        </w:rPr>
      </w:pPr>
      <w:r>
        <w:rPr>
          <w:rFonts w:ascii="Arial" w:cs="Arial" w:eastAsia="Arial" w:hAnsi="Arial"/>
          <w:sz w:val="18"/>
          <w:szCs w:val="18"/>
          <w:color w:val="auto"/>
        </w:rPr>
        <w:t>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$32.1 million of incremental consolidated revenue. Certain expenses increased in relationship to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while other expenses, such as fixed costs and expenses incurred on a calendar-month basis, did not increase. Consolidated gross margin for revenue in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was slightly lower than consolidated gross margin for fiscal 2020 due to increased promotional activity during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Our brand portfolio also includes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 leading baby and young child lifestyle brand, exclusive Carter’s brands developed for specific wholesale customers, and </w:t>
      </w:r>
      <w:r>
        <w:rPr>
          <w:rFonts w:ascii="Arial" w:cs="Arial" w:eastAsia="Arial" w:hAnsi="Arial"/>
          <w:sz w:val="18"/>
          <w:szCs w:val="18"/>
          <w:i w:val="1"/>
          <w:iCs w:val="1"/>
          <w:color w:val="auto"/>
        </w:rPr>
        <w:t>little planet</w:t>
      </w:r>
      <w:r>
        <w:rPr>
          <w:rFonts w:ascii="Arial" w:cs="Arial" w:eastAsia="Arial" w:hAnsi="Arial"/>
          <w:sz w:val="18"/>
          <w:szCs w:val="18"/>
          <w:color w:val="auto"/>
        </w:rPr>
        <w:t>, a brand focused on organic fabrics and sustainable materials.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in 2017.</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Walmart;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sold at Target, and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an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 is available on Amazon.</w:t>
      </w:r>
    </w:p>
    <w:p>
      <w:pPr>
        <w:spacing w:after="0" w:line="13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 xml:space="preserve">Launched in 2021, the </w:t>
      </w:r>
      <w:r>
        <w:rPr>
          <w:rFonts w:ascii="Arial" w:cs="Arial" w:eastAsia="Arial" w:hAnsi="Arial"/>
          <w:sz w:val="17"/>
          <w:szCs w:val="17"/>
          <w:i w:val="1"/>
          <w:iCs w:val="1"/>
          <w:color w:val="auto"/>
        </w:rPr>
        <w:t>little planet</w:t>
      </w:r>
      <w:r>
        <w:rPr>
          <w:rFonts w:ascii="Arial" w:cs="Arial" w:eastAsia="Arial" w:hAnsi="Arial"/>
          <w:sz w:val="17"/>
          <w:szCs w:val="17"/>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Our mission is to serve the needs of all families with young children, with a vision to be the world’s favorite brands in young children’s apparel and related products. We believe our brands provide a complementary product offering and aesthetic, are each uniquely positioned in the marketplace, and offer strong value to families with young children. The baby and young children’s apparel market ages zero to 10 in the U.S. is approximately $31 billion. In this market,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brands, hold the #1 position with approximately 10% market share and our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has approximately 1% market share as of December 2021.</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multi-channel, global business model, which includes retail stores, eCommerce, and wholesale sales channels, as well as omni-channel capabilities in the United States and Canada, enables us to reach a broad range of consumers around the world.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the end of fiscal 2021, our channels included 980 retail stores, approximately 18,800 wholesale locations, and eCommerce websites in North America, as well as our international wholesale accounts and licensees who operate in over 90 countries.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long-term growth strategy focuses on:</w:t>
      </w:r>
    </w:p>
    <w:p>
      <w:pPr>
        <w:spacing w:after="0" w:line="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the best value and experience in apparel and related products for young children;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reach of our brands;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segments is contained in Item 8 “Financial Statements and Supplementary Data” and under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Gross profit is calculated as consolidated net sales less cost of goods sold less adverse purchase commitments (inventory and raw materials), net, and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fiscal 2020, the global pandemic caused by the spread of the novel strain of coronavirus (inclusive of variants, “COVID-19”) negatively affected the global economy, disrupted global supply chains, and created significant disruption of financial and retail markets, including a disruption in consumer demand for baby and children’s clothing and accessories. The COVID-19 pandemic has had, and will likely continue to have adverse effects on our business, financial condition, and results of operations. There is still potential further disruption to our business due to rolling lockdowns and other precautionary measures in the event of new strains or outbreaks. We cannot estimate with certainty the length or severity of this pandemic, or the extent to which the disruption may materially impact our consolidated financial position, consolidated results of operations, and consolidated cash flows. Refer to risks set forth in “Risk Factors” in Part I, Item 1A of this Annual Report on Form 10-K. In fiscal 2021, the COVID-19 pandemic continued to impact our financial results.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instance, the COVID-19 pandemic continues to impact supply chain operations, causing delays in the production and transportation of our product. To help mitigate production delays and meet consumer demand for our products, we have leveraged our strong relationships with our suppliers to shift production schedules when possible. To help mitigate the delay in the transportation of our product and to maintain our strong relationships with our customers, we spent considerably more than typical on inbound air freight, $33.6 million, in fiscal 2021 than in fiscal 2020. We expect these delays, and the increased costs to mitigate these delays, to continue and to adversely impact our financial results in fiscal 2022.</w:t>
      </w:r>
    </w:p>
    <w:p>
      <w:pPr>
        <w:spacing w:after="0" w:line="13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Additionally, in fiscal 2021 and the early part of 2022, the costs of raw materials, packaging materials, labor, energy, fuel, and other inputs necessary for the production and distribution of our products have rapidly increased. We also expect the pressures of input cost inflation to continue into 2022. We plan to offset these cost pressures through increases in the selling prices of some of our products, although these actions could have an adverse impact on demand.</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these increased costs adequately or in a timely manner, and/or if they result in significant decreases in sales volume, our business, financial condition, or operating results may be adversely affected.</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Through disciplined inventory management processes, we were largely able to avoid the high inventory charges we took in fiscal 2020 as a result of disruptions related to the COVID-19 pandemic. In fiscal 2021, we successfully sold through our initial related pack and hold at prices generally above cost by selling through our retail channels at higher gross margins compared to “off-price” channels. As a result, our pack and hold inventory decreased almost 50.0% as of the end of fiscal 2021 compared to the end of fiscal 2020. However, to manage through supply chain delays and preserve strong margins, we decided to pack and hold certain late arriving inventory until future periods.</w:t>
      </w:r>
    </w:p>
    <w:p>
      <w:pPr>
        <w:spacing w:after="0" w:line="16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fiscal 2020, we announced our plan to close approximately 25% of our stores in the United States, when leases come up for renewal or where there is a kick-out provision in the lease. We closed approximately 13%, or 110, of our stores in the United States in fiscal 2021, and we expect to close approximately 30 more stores in fiscal 2022. These retail store closures are primarily related to older, less profitable stores or stores in less trafficked shopping centers. We continue to look for new, profitable retail store locations that allow us to better serve customers, including our omni-channel customers. We do not expect to close as many stores as originally planned, and we are now planning on increasing our store count in the United States in fiscal 2022, with additional net store growth planned over the next five years to serve the needs of families with young children.</w:t>
      </w:r>
    </w:p>
    <w:p>
      <w:pPr>
        <w:spacing w:after="0" w:line="13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We continue to innovate and design products that consumers desire. In 2021, we launched the </w:t>
      </w:r>
      <w:r>
        <w:rPr>
          <w:rFonts w:ascii="Arial" w:cs="Arial" w:eastAsia="Arial" w:hAnsi="Arial"/>
          <w:sz w:val="18"/>
          <w:szCs w:val="18"/>
          <w:i w:val="1"/>
          <w:iCs w:val="1"/>
          <w:color w:val="auto"/>
        </w:rPr>
        <w:t>little planet</w:t>
      </w:r>
      <w:r>
        <w:rPr>
          <w:rFonts w:ascii="Arial" w:cs="Arial" w:eastAsia="Arial" w:hAnsi="Arial"/>
          <w:sz w:val="18"/>
          <w:szCs w:val="18"/>
          <w:color w:val="auto"/>
        </w:rPr>
        <w:t xml:space="preserve"> brand, which focuses on sustainable clothing through the sourcing of mostly organic cotton as certified under the Global Organic Textile Standard. This brand includes a wide assortment of baby apparel and accessories, sleepwear, and gift bundles.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comparisons are to fiscal 2020</w:t>
      </w:r>
      <w:r>
        <w:rPr>
          <w:rFonts w:ascii="Arial" w:cs="Arial" w:eastAsia="Arial" w:hAnsi="Arial"/>
          <w:sz w:val="18"/>
          <w:szCs w:val="18"/>
          <w:b w:val="1"/>
          <w:bCs w:val="1"/>
          <w:color w:val="auto"/>
        </w:rPr>
        <w:t>.</w:t>
      </w:r>
    </w:p>
    <w:p>
      <w:pPr>
        <w:spacing w:after="0" w:line="6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net sales increased $462.1 million, or 15.3%, to $3.49 billion.</w:t>
      </w:r>
    </w:p>
    <w:p>
      <w:pPr>
        <w:spacing w:after="0" w:line="63" w:lineRule="exact"/>
        <w:rPr>
          <w:rFonts w:ascii="Arial" w:cs="Arial" w:eastAsia="Arial" w:hAnsi="Arial"/>
          <w:sz w:val="18"/>
          <w:szCs w:val="18"/>
          <w:color w:val="auto"/>
        </w:rPr>
      </w:pPr>
    </w:p>
    <w:p>
      <w:pPr>
        <w:ind w:left="1300" w:right="40" w:hanging="320"/>
        <w:spacing w:after="0" w:line="259"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U.S. Retail store sales increased 29.1% primarily due to increased average selling prices per unit as a result of decreased promotions as our marketing strategy focused more on emotional marketing and increased retail store traffic in the United States as a result of progress in vaccinations and easing COVID-19 related restrictions. The passage of pandemic relief legislation in March 2021, including enhanced child tax credits, also contributed to this increase.</w:t>
      </w:r>
    </w:p>
    <w:p>
      <w:pPr>
        <w:spacing w:after="0" w:line="24" w:lineRule="exact"/>
        <w:rPr>
          <w:rFonts w:ascii="Arial" w:cs="Arial" w:eastAsia="Arial" w:hAnsi="Arial"/>
          <w:sz w:val="18"/>
          <w:szCs w:val="18"/>
          <w:color w:val="auto"/>
        </w:rPr>
      </w:pPr>
    </w:p>
    <w:p>
      <w:pPr>
        <w:ind w:left="1300" w:right="16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closed approximately 110 less profitable retail stores in the United States in fiscal 2021. While these retail store closures negatively impacted total retail store sales, these closures helped improve our operating profitability. We focused on digital marketing and omni-channel capabilities in order to retain customers and to continue to serve their needs.</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U.S. Wholesale sales increased 13.1%, primarily due to increased demand in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Demand from our wholesale customers has remained strong, and although we managed through supply chain and transportation delays, our sales were negatively impacted.</w:t>
      </w:r>
    </w:p>
    <w:p>
      <w:pPr>
        <w:spacing w:after="0" w:line="21" w:lineRule="exact"/>
        <w:rPr>
          <w:rFonts w:ascii="Arial" w:cs="Arial" w:eastAsia="Arial" w:hAnsi="Arial"/>
          <w:sz w:val="18"/>
          <w:szCs w:val="18"/>
          <w:color w:val="auto"/>
        </w:rPr>
      </w:pPr>
    </w:p>
    <w:p>
      <w:pPr>
        <w:jc w:val="both"/>
        <w:ind w:left="1300" w:right="30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International sales increased 29.2% in fiscal 2021, primarily due to strong performance in our Canadian retail stores and eCommerce channels. Additionally, we saw significant growth in sales from our international wholesale partners as these partners recovered from business disruptions as a result of COVID-19.</w:t>
      </w:r>
    </w:p>
    <w:p>
      <w:pPr>
        <w:spacing w:after="0" w:line="21" w:lineRule="exact"/>
        <w:rPr>
          <w:rFonts w:ascii="Arial" w:cs="Arial" w:eastAsia="Arial" w:hAnsi="Arial"/>
          <w:sz w:val="18"/>
          <w:szCs w:val="18"/>
          <w:color w:val="auto"/>
        </w:rPr>
      </w:pPr>
    </w:p>
    <w:p>
      <w:pPr>
        <w:ind w:left="1300" w:right="46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omni-channel programs continued to deliver growth as a result of our investments and enhancements in these programs, which included implementing omni-channel programs in Canada during fiscal 2021.</w:t>
      </w:r>
    </w:p>
    <w:p>
      <w:pPr>
        <w:spacing w:after="0" w:line="48" w:lineRule="exact"/>
        <w:rPr>
          <w:rFonts w:ascii="Arial" w:cs="Arial" w:eastAsia="Arial" w:hAnsi="Arial"/>
          <w:sz w:val="18"/>
          <w:szCs w:val="18"/>
          <w:color w:val="auto"/>
        </w:rPr>
      </w:pPr>
    </w:p>
    <w:p>
      <w:pPr>
        <w:ind w:left="660" w:hanging="328"/>
        <w:spacing w:after="0" w:line="257" w:lineRule="auto"/>
        <w:tabs>
          <w:tab w:leader="none" w:pos="656" w:val="left"/>
        </w:tabs>
        <w:numPr>
          <w:ilvl w:val="0"/>
          <w:numId w:val="16"/>
        </w:numPr>
        <w:rPr>
          <w:rFonts w:ascii="Arial" w:cs="Arial" w:eastAsia="Arial" w:hAnsi="Arial"/>
          <w:sz w:val="14"/>
          <w:szCs w:val="14"/>
          <w:b w:val="1"/>
          <w:bCs w:val="1"/>
          <w:color w:val="auto"/>
        </w:rPr>
      </w:pPr>
      <w:r>
        <w:rPr>
          <w:rFonts w:ascii="Arial" w:cs="Arial" w:eastAsia="Arial" w:hAnsi="Arial"/>
          <w:sz w:val="18"/>
          <w:szCs w:val="18"/>
          <w:color w:val="auto"/>
        </w:rPr>
        <w:t>Gross profit increased $348.8 million, or 26.6%, to $1.66 billion. Gross margin increased 430 basis points (“bps”) to 47.7%, primarily driven by higher consolidated net sales across our business segments, coupled with increased average selling prices per unit. Increased inbound transportation and inbound freight costs, including increased transportation rates and $33.6 million in inbound air freight, primarily related to the U.S. Wholesale segment, were partially offset by a release of adverse purchase commitments related to better than expected sales of inventory and utilization of fabric that were reserved for in fiscal 2020.</w:t>
      </w:r>
    </w:p>
    <w:p>
      <w:pPr>
        <w:spacing w:after="0" w:line="52" w:lineRule="exact"/>
        <w:rPr>
          <w:rFonts w:ascii="Arial" w:cs="Arial" w:eastAsia="Arial" w:hAnsi="Arial"/>
          <w:sz w:val="14"/>
          <w:szCs w:val="14"/>
          <w:b w:val="1"/>
          <w:bCs w:val="1"/>
          <w:color w:val="auto"/>
        </w:rPr>
      </w:pPr>
    </w:p>
    <w:p>
      <w:pPr>
        <w:ind w:left="660" w:right="240" w:hanging="328"/>
        <w:spacing w:after="0" w:line="296" w:lineRule="auto"/>
        <w:tabs>
          <w:tab w:leader="none" w:pos="656" w:val="left"/>
        </w:tabs>
        <w:numPr>
          <w:ilvl w:val="0"/>
          <w:numId w:val="16"/>
        </w:numPr>
        <w:rPr>
          <w:rFonts w:ascii="Arial" w:cs="Arial" w:eastAsia="Arial" w:hAnsi="Arial"/>
          <w:sz w:val="13"/>
          <w:szCs w:val="13"/>
          <w:b w:val="1"/>
          <w:bCs w:val="1"/>
          <w:color w:val="auto"/>
        </w:rPr>
      </w:pPr>
      <w:r>
        <w:rPr>
          <w:rFonts w:ascii="Arial" w:cs="Arial" w:eastAsia="Arial" w:hAnsi="Arial"/>
          <w:sz w:val="16"/>
          <w:szCs w:val="16"/>
          <w:color w:val="auto"/>
        </w:rPr>
        <w:t>SG&amp;A expenses as a percentage of total net sales (“SG&amp;A rate”) decreased 240 bps to 34.2%. The decrease in the SG&amp;A rate was primarily driven by increased consolidated net sales and better leverage of retail store expenses as more sales shifted back to the retail stores. Additional drivers include decreased eCommerce fulfillment costs, decreased organizational restructuring charges, and decreased costs associated with the COVID-19 pandemic, which were partially offset by increased performance-based compensation expense. This increase in performance-based compensation, which includes bonuses, 401(k) contributions, and other incentive compensation, is an investment 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30" w:name="page31"/>
    <w:bookmarkEnd w:id="30"/>
    <w:p>
      <w:pPr>
        <w:ind w:left="328" w:right="140"/>
        <w:spacing w:after="0" w:line="277" w:lineRule="auto"/>
        <w:rPr>
          <w:sz w:val="20"/>
          <w:szCs w:val="20"/>
          <w:color w:val="auto"/>
        </w:rPr>
      </w:pPr>
      <w:r>
        <w:rPr>
          <w:rFonts w:ascii="Arial" w:cs="Arial" w:eastAsia="Arial" w:hAnsi="Arial"/>
          <w:sz w:val="18"/>
          <w:szCs w:val="18"/>
          <w:color w:val="auto"/>
        </w:rPr>
        <w:t>rewarding and retaining our high quality employees, who have remained focused on providing the best value and experience in young children’s apparel.</w:t>
      </w:r>
    </w:p>
    <w:p>
      <w:pPr>
        <w:spacing w:after="0" w:line="49" w:lineRule="exact"/>
        <w:rPr>
          <w:sz w:val="20"/>
          <w:szCs w:val="20"/>
          <w:color w:val="auto"/>
        </w:rPr>
      </w:pPr>
    </w:p>
    <w:p>
      <w:pPr>
        <w:ind w:left="328" w:hanging="328"/>
        <w:spacing w:after="0" w:line="263"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8"/>
          <w:szCs w:val="18"/>
          <w:color w:val="auto"/>
        </w:rPr>
        <w:t>Operating income increased $307.2 million to $497.1 million, and operating margin increased 800 bps to 14.3%, primarily due to the factors discussed above and the recognition of $44.2 million in goodwill and indefinite-lived tradename assets impairments charges in fiscal 2020 that did not re-occur in fiscal 2021.</w:t>
      </w:r>
    </w:p>
    <w:p>
      <w:pPr>
        <w:spacing w:after="0" w:line="48" w:lineRule="exact"/>
        <w:rPr>
          <w:rFonts w:ascii="Arial" w:cs="Arial" w:eastAsia="Arial" w:hAnsi="Arial"/>
          <w:sz w:val="14"/>
          <w:szCs w:val="14"/>
          <w:color w:val="auto"/>
        </w:rPr>
      </w:pPr>
    </w:p>
    <w:p>
      <w:pPr>
        <w:ind w:left="328" w:right="360" w:hanging="328"/>
        <w:spacing w:after="0" w:line="27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increased $230.0 million to $339.7 million, primarily due to the factors discussed above, partially offset by an increase in income taxes.</w:t>
      </w:r>
    </w:p>
    <w:p>
      <w:pPr>
        <w:spacing w:after="0" w:line="48"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Diluted net income per common share increased from $2.50 to $7.81.</w:t>
      </w:r>
    </w:p>
    <w:p>
      <w:pPr>
        <w:spacing w:after="0" w:line="103"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Because of the significant adverse impact that the COVID-19 pandemic had on our operations during the first half of fiscal 2020, we believe that a better understanding of the profitability growth that has resulted from our strong product offerings, increased price realization, and productivity initiatives is obtained by comparing to our pre-pandemic results in fiscal 2019.</w:t>
      </w:r>
    </w:p>
    <w:p>
      <w:pPr>
        <w:spacing w:after="0" w:line="21" w:lineRule="exact"/>
        <w:rPr>
          <w:rFonts w:ascii="Arial" w:cs="Arial" w:eastAsia="Arial" w:hAnsi="Arial"/>
          <w:sz w:val="18"/>
          <w:szCs w:val="18"/>
          <w:color w:val="auto"/>
        </w:rPr>
      </w:pPr>
    </w:p>
    <w:p>
      <w:pPr>
        <w:ind w:left="968" w:hanging="320"/>
        <w:spacing w:after="0" w:line="275"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Compared to fiscal 2019, consolidated net sales decreased $32.8 million, or 0.9%, primarily due to decreased sales of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as we focused on more profitable customers and decreased sales in our U.S. retail stores as a result of store closures throughout fiscal 2021. Despite the disruptions related to the COVID-19 pandemic, we improved on our average selling prices per unit, increased sales in our overall U.S. Retail segment partially due to investments in eCommerce and omni-channel capabilities, and saw meaningful growth in our exclusive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brands and in our International segment.</w:t>
      </w:r>
    </w:p>
    <w:p>
      <w:pPr>
        <w:spacing w:after="0" w:line="14" w:lineRule="exact"/>
        <w:rPr>
          <w:rFonts w:ascii="Arial" w:cs="Arial" w:eastAsia="Arial" w:hAnsi="Arial"/>
          <w:sz w:val="17"/>
          <w:szCs w:val="17"/>
          <w:color w:val="auto"/>
        </w:rPr>
      </w:pPr>
    </w:p>
    <w:p>
      <w:pPr>
        <w:ind w:left="968" w:hanging="320"/>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Compared to fiscal 2019, gross profit increased $153.7 million, or 10.2%, and gross margin increased 480 bps, primarily due to increased average selling prices per unit. These drivers were partially offset by the increased inbound transportation and inbound freight costs mentioned above.</w:t>
      </w:r>
    </w:p>
    <w:p>
      <w:pPr>
        <w:spacing w:after="0" w:line="21" w:lineRule="exact"/>
        <w:rPr>
          <w:rFonts w:ascii="Arial" w:cs="Arial" w:eastAsia="Arial" w:hAnsi="Arial"/>
          <w:sz w:val="18"/>
          <w:szCs w:val="18"/>
          <w:color w:val="auto"/>
        </w:rPr>
      </w:pPr>
    </w:p>
    <w:p>
      <w:pPr>
        <w:ind w:left="968" w:right="220" w:hanging="320"/>
        <w:spacing w:after="0" w:line="296" w:lineRule="auto"/>
        <w:tabs>
          <w:tab w:leader="none" w:pos="965" w:val="left"/>
        </w:tabs>
        <w:numPr>
          <w:ilvl w:val="1"/>
          <w:numId w:val="17"/>
        </w:numPr>
        <w:rPr>
          <w:rFonts w:ascii="Arial" w:cs="Arial" w:eastAsia="Arial" w:hAnsi="Arial"/>
          <w:sz w:val="13"/>
          <w:szCs w:val="13"/>
          <w:color w:val="auto"/>
        </w:rPr>
      </w:pPr>
      <w:r>
        <w:rPr>
          <w:rFonts w:ascii="Arial" w:cs="Arial" w:eastAsia="Arial" w:hAnsi="Arial"/>
          <w:sz w:val="16"/>
          <w:szCs w:val="16"/>
          <w:color w:val="auto"/>
        </w:rPr>
        <w:t xml:space="preserve">Compared to fiscal 2019, operating income increased $125.2 million, or 33.7%, and operating margin increased 370 bps compared to fiscal 2019, primarily due to the increase in gross margin discussed above, partially offset by a 180 bps increase in SG&amp;A rate. The increase in SG&amp;A rate was primarily due to increased performance-based compensation expense, partially offset by better leverage of retail store expenses and the closure of less profitable stores in fiscal 2021. Fiscal 2019 was also impacted by a $30.8 million non-cash impairment charge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in fiscal 2019 that did not re-occur in fiscal 2021.</w:t>
      </w:r>
    </w:p>
    <w:p>
      <w:pPr>
        <w:spacing w:after="0" w:line="26" w:lineRule="exact"/>
        <w:rPr>
          <w:rFonts w:ascii="Arial" w:cs="Arial" w:eastAsia="Arial" w:hAnsi="Arial"/>
          <w:sz w:val="13"/>
          <w:szCs w:val="13"/>
          <w:color w:val="auto"/>
        </w:rPr>
      </w:pPr>
    </w:p>
    <w:p>
      <w:pPr>
        <w:ind w:left="328" w:right="20" w:hanging="328"/>
        <w:spacing w:after="0" w:line="27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Inventories increased $48.5 million, or 8.1%, to $647.7 million primarily due to increased demand and increased in-transit inventory due to delays in the production and transportation of our products.</w:t>
      </w:r>
    </w:p>
    <w:p>
      <w:pPr>
        <w:spacing w:after="0" w:line="48"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provided by operating activities decreased $320.2 million, primarily due to a decrease in vendor payment terms.</w:t>
      </w:r>
    </w:p>
    <w:p>
      <w:pPr>
        <w:spacing w:after="0" w:line="103" w:lineRule="exact"/>
        <w:rPr>
          <w:rFonts w:ascii="Arial" w:cs="Arial" w:eastAsia="Arial" w:hAnsi="Arial"/>
          <w:sz w:val="18"/>
          <w:szCs w:val="18"/>
          <w:color w:val="auto"/>
        </w:rPr>
      </w:pPr>
    </w:p>
    <w:p>
      <w:pPr>
        <w:ind w:left="328" w:right="20" w:hanging="328"/>
        <w:spacing w:after="0" w:line="286" w:lineRule="auto"/>
        <w:tabs>
          <w:tab w:leader="none" w:pos="324" w:val="left"/>
        </w:tabs>
        <w:numPr>
          <w:ilvl w:val="0"/>
          <w:numId w:val="17"/>
        </w:numPr>
        <w:rPr>
          <w:rFonts w:ascii="Arial" w:cs="Arial" w:eastAsia="Arial" w:hAnsi="Arial"/>
          <w:sz w:val="13"/>
          <w:szCs w:val="13"/>
          <w:color w:val="auto"/>
        </w:rPr>
      </w:pPr>
      <w:r>
        <w:rPr>
          <w:rFonts w:ascii="Arial" w:cs="Arial" w:eastAsia="Arial" w:hAnsi="Arial"/>
          <w:sz w:val="17"/>
          <w:szCs w:val="17"/>
          <w:color w:val="auto"/>
        </w:rPr>
        <w:t>In fiscal 2021, we reinstated our common stock repurchase program and resumed paying cash dividends on our common shares. Under these return of capital initiatives, we returned $359.5 million to our shareholders, comprised of $299.3 million in share repurchases and $60.1 million in cash dividends. Compared to fiscal 2019, the return of capital to our shareholders increased 25.5%.</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9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FISCAL YEAR ENDED JANUARY 1, 2022 (52 WEEKS) COMPARED TO 2020 FISCAL YEAR ENDED JANUARY 2, 2021 (53 WEEKS)</w:t>
      </w:r>
    </w:p>
    <w:p>
      <w:pPr>
        <w:spacing w:after="0" w:line="1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1080"/>
              <w:spacing w:after="0"/>
              <w:rPr>
                <w:sz w:val="20"/>
                <w:szCs w:val="20"/>
                <w:color w:val="auto"/>
              </w:rPr>
            </w:pPr>
            <w:r>
              <w:rPr>
                <w:rFonts w:ascii="Arial" w:cs="Arial" w:eastAsia="Arial" w:hAnsi="Arial"/>
                <w:sz w:val="16"/>
                <w:szCs w:val="16"/>
                <w:b w:val="1"/>
                <w:bCs w:val="1"/>
                <w:color w:val="auto"/>
              </w:rPr>
              <w:t>Fiscal year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159"/>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 bps Change</w:t>
            </w:r>
          </w:p>
        </w:tc>
        <w:tc>
          <w:tcPr>
            <w:tcW w:w="0" w:type="dxa"/>
            <w:vAlign w:val="bottom"/>
          </w:tcPr>
          <w:p>
            <w:pPr>
              <w:spacing w:after="0"/>
              <w:rPr>
                <w:sz w:val="1"/>
                <w:szCs w:val="1"/>
                <w:color w:val="auto"/>
              </w:rPr>
            </w:pPr>
          </w:p>
        </w:tc>
      </w:tr>
      <w:tr>
        <w:trPr>
          <w:trHeight w:val="213"/>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(52 weeks)</w:t>
            </w: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(53 weeks)</w:t>
            </w: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3,486,440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3,024,334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462,106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1,832,045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1,696,224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135,821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(7,879)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14,668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(22,547)</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1,662,274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1,313,442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348,832</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47.7 %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43.4 %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430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28,681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26,276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1,193,876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1,105,607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88,269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impairment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497,079</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189,869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307,210</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Operating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800 bps</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60,294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56,062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4,232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438,290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134,984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303,306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98,542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73,275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22.5 %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18.7 %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380 bps</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109,717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230,031</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considered not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Consolidated net sales increased $462.1 million, or 15.3%, to $3.49 billion in fiscal 2021. This increase was primarily driven by increased average selling prices per unit as a result of decreased promotions and increased retail store traffic. The passage of pandemic relief legislation in March 2021, including enhanced child tax credits, strong consumer reaction to our product offerings, increased demand with many of our wholesale customers, increased net sales in Canada as we continue to gain market share, and increased demand with our international wholesale partners as these partners began to recover from COVID-19 business disruptions also contributed to this increase. Higher sales in these channels were partially offset by decreased net sales in our domestic eCommerce channel as customer traffic rebounded in our stores. Fiscal 2020 was adversely impacted by the temporary closure of our retail stores in March, April, and May 2020 and reduced demand in our other businesses as a result of disruptions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40"/>
        <w:spacing w:after="0" w:line="289" w:lineRule="auto"/>
        <w:rPr>
          <w:sz w:val="20"/>
          <w:szCs w:val="20"/>
          <w:color w:val="auto"/>
        </w:rPr>
      </w:pPr>
      <w:r>
        <w:rPr>
          <w:rFonts w:ascii="Arial" w:cs="Arial" w:eastAsia="Arial" w:hAnsi="Arial"/>
          <w:sz w:val="16"/>
          <w:szCs w:val="16"/>
          <w:color w:val="auto"/>
        </w:rPr>
        <w:t>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in fiscal 2020 contributed approximately $32.1 million in additional consolidated net sales. Changes in foreign currency exchange rates used for translation in fiscal 2021, as compared to fiscal 2020, had a favorable effect on our consolidated net sales of approximately $20.0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gross profit increased $348.8 million, or 26.6%, to $1.66 billion in fiscal 2021. Consolidated gross margin increased 430 bps to 47.7%.</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consolidated gross profit and gross margin was primarily driven by higher consolidated net sales across our business segments, coupled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increased average selling prices per unit. Increased inbound transportation and inbound freight costs, including increased transportation rates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$33.6 million in inbound air freight, primarily related to the U.S. Wholesale segment, were partially offset by a release of adverse purchase commitments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better than expected sales of inventory and utilization of fabric that were reserved in fiscal 2020. As a result of labor shortages, supply chain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constraints, and inflation, we expect the increase in transportation rates to continue in fiscal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Royalty income increased $2.4 million, or 9.2%, to $28.7 million in fiscal 2021, primarily due to increased licensee sales volume as our licensees recovered from business disruptions related to COVID-19.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Consolidated SG&amp;A expenses increased $88.3 million, or 8.0%, to $1.19 billion in fiscal 2021 while the SG&amp;A rate decreased approximately 240 bps to 34.2%. The decrease in the SG&amp;A rate was primarily driven by increased consolidated net sales and better leverage of retail store expenses as sales in retail stores rebounded from COVID-19 related disruptions in fiscal 2020. Additional drivers include decreased eCommerce fulfillment costs, decreased organizational restructuring charges, and decreased costs associated with the COVID-19 pandemic, which were partially offset by increased performance-based compensation expense. Organizational restructuring charges were $2.4 million in fiscal 2021 compared to $16.6 million in fiscal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 This charge did not reoccur in fiscal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During the first quarter of fiscal 2020,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non-cash impairment charges of $15.5 million and $11.0 million during the first quarter of fiscal 2020 related to our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were recorded in connection with the acquisition of OshKosh B’Gosh, Inc. in July 2005 and Skip Hop Holdings, Inc. in February 2017, respectively. This charge did not reoccur in fiscal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Consolidated operating income increased $307.2 million to $497.1 million in fiscal 2021 and increased as a percentage of net sales by approximately 800 bps to 14.3%,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Interest expense increased $4.2 million, or 7.5%, to $60.3 million in fiscal 2021. Weighted-average borrowings for fiscal 2021 were $1.00 billion at an effective interest rate of 6.02%, compared to weighted-average borrowings for fiscal 2020 of $1.03 billion at an effective interest rate of 5.39%. The decrease in weighted-average borrowings was attributable to the absence of borrowings under our secured revolving credit facility during all of fiscal 2021, partially offset by the issuance of $500 million in principal amount of senior notes in May 2020. The increase in the effective interest rate was primarily due to the interest rate differential between our secured revolving credit facility and our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income tax provision increased $73.3 million to $98.5 million in fiscal 2021 and the effective tax rate increased approximately 380 bps to 22.5% in fiscal 2021 from 18.7% in fiscal 2020. The increased effective tax rate in fiscal 2021 primarily reflected a greater proportion of our income earned in the U.S., which has a higher tax rate than other jurisdictions income is generated.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net income increased $230.0 million to $339.7 million in fiscal 2021, due to the factors previously discussed.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Fiscal Year 2021 (52 Weeks) compared to Fiscal Year 2020 (53 Weeks)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fiscal years ended January 1, 2022 and January 2, 2021: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Fiscal year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1"/>
              </w:rPr>
              <w:t>% of consolidated</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(53 weeks)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1,899,262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54.5 %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227,618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460,763</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356,602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29.2 %</w:t>
            </w: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6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368,221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19.4 %</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146,806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221,415</w:t>
            </w:r>
          </w:p>
        </w:tc>
        <w:tc>
          <w:tcPr>
            <w:tcW w:w="122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63,806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65,030</w:t>
            </w:r>
          </w:p>
        </w:tc>
        <w:tc>
          <w:tcPr>
            <w:tcW w:w="122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(130,317)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(97,169)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3"/>
        </w:trPr>
        <w:tc>
          <w:tcPr>
            <w:tcW w:w="2660" w:type="dxa"/>
            <w:vAlign w:val="bottom"/>
          </w:tcPr>
          <w:p>
            <w:pPr>
              <w:ind w:left="220"/>
              <w:spacing w:after="0"/>
              <w:rPr>
                <w:sz w:val="20"/>
                <w:szCs w:val="20"/>
                <w:color w:val="auto"/>
              </w:rPr>
            </w:pPr>
            <w:r>
              <w:rPr>
                <w:rFonts w:ascii="Arial" w:cs="Arial" w:eastAsia="Arial" w:hAnsi="Arial"/>
                <w:sz w:val="16"/>
                <w:szCs w:val="16"/>
                <w:color w:val="auto"/>
              </w:rPr>
              <w:t>Consolidated operating income</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497,079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189,869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307,210</w:t>
            </w:r>
          </w:p>
        </w:tc>
        <w:tc>
          <w:tcPr>
            <w:tcW w:w="122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a result of the temporary store closures in fiscal 2020 in response to COVID-19, we have not included a discussion of fiscal 2021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U.S. Retail segment net sales increased $227.6 million, or 13.6%, to $1.90 billion in fiscal 2021. The increase in net sales was primarily driven by increased retail store traffic due to more stores being open throughout fiscal 2021 compared to fiscal 2020 and increased average selling prices per unit as a result of decreased promotions. These drivers were partially offset by decreased net sales through our eCommerce channel.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$18.2 million in additional sales to the U.S. Retail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we operated 751 retail stores in the U.S. compared to 864 in fiscal 2020. All stores were open as of January 1, 2022.</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U.S. Retail segment operating income increased $221.4 million to $368.2 million, and operating margin increased 1,060 bps to 19.4%. The primary drivers of the increase in operating margin were a 600 bps increase in gross margin and a 390 bps decrease in SG&amp;A rate. The increase in gross margin was primarily due to increased average selling prices per unit and a release of adverse purchase commitment reserves related to better than expected sales of inventory and utilization of fabric that were reserved in fiscal 2020. The decrease in the SG&amp;A rate was primarily due to increased net sales, better leverage of retail store expenses due to increased store traffic, and decreased COVID-19 related charges, partially offset by increased performance-based compensation expense. Additional drivers include operating lease assets impairment charges in fiscal 2020 that did not reoccur in fiscal 2021 and decreased organizational restructuring expenses, partially offset by increased marketing expense.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1340"/>
        <w:spacing w:after="0" w:line="406" w:lineRule="auto"/>
        <w:rPr>
          <w:sz w:val="20"/>
          <w:szCs w:val="20"/>
          <w:color w:val="auto"/>
        </w:rPr>
      </w:pPr>
      <w:r>
        <w:rPr>
          <w:rFonts w:ascii="Arial" w:cs="Arial" w:eastAsia="Arial" w:hAnsi="Arial"/>
          <w:sz w:val="18"/>
          <w:szCs w:val="18"/>
          <w:color w:val="auto"/>
        </w:rPr>
        <w:t xml:space="preserve">increase in operating margin was also impacted by intangible assets impairment charges in fiscal 2020 that did not reoccur in fiscal 2021. </w:t>
      </w:r>
      <w:r>
        <w:rPr>
          <w:rFonts w:ascii="Arial" w:cs="Arial" w:eastAsia="Arial" w:hAnsi="Arial"/>
          <w:sz w:val="18"/>
          <w:szCs w:val="18"/>
          <w:b w:val="1"/>
          <w:bCs w:val="1"/>
          <w:i w:val="1"/>
          <w:iCs w:val="1"/>
          <w:color w:val="auto"/>
        </w:rPr>
        <w:t>U.S. Wholesale</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 xml:space="preserve">U.S. Wholesale segment net sales increased $130.3 million, or 13.1%, to $1.13 billion in fiscal 2021, primarily due to increased demand for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$10.6 million in additional sales to the U.S. Wholesale segment.</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U.S. Wholesale segment operating income increased $53.9 million, or 38.1%, to $195.4 million, and operating margin increased 310 bps to 17.3%. The primary drivers of the increase in operating margin were a 130 bps increase in gross margin, a 10 bps increase in royalty income, and a 100 bps decrease in SG&amp;A rate. The increase in gross margin was primarily due to favorable customer mix, decreased inventory provisions, and a release of adverse purchase commitment reserves related to better than expected sales of inventory and utilization of fabric that were reserved in fiscal 2020, offset by increased inbound transportation and inbound freight costs. Additional drivers include increased average selling prices per unit and decreased product costs. The increase in royalty income was primarily due to increased licensee sales volume as our licensees recovered from business disruptions related to COVID-19. The decrease in the SG&amp;A rate was primarily due to increased sales, decreased COVID-19 related charges, and decreased bad debt expense, partially offset by increased performance-based compensation expense and increased marketing expense. The increase in operating margin was also impacted by intangible assets impairment charges in fiscal 2020 that did not reoccur in fiscal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International segment net sales increased $104.2 million, or 29.2%, to $460.8 million in fiscal 2021. Changes in foreign currency exchange rates, primarily between the U.S. dollar and the Canadian dollar, had a $20.0 million favorable effect on International segment net sales. The increase in net sales was primarily driven by increased retail store traffic in Canada, growth in our Canadian eCommerce business due to increased demand and the introduction of omni-channel capabilities, and increased sales to our international partners.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fiscal 2020 contributed approximately $3.3 million in additional sales to the International segment.</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January 1, 2022, we operated 186 retail stores in Canada, compared to 193 at the end of fiscal 2020. As of January 1, 2022, we operated 43 retail stores in Mexico, compared to 44 in fiscal 2020. Due to COVID-19 related disruptions, we temporarily closed a number of retail stores and reduced retail store operating hours throughout fiscal 2021.</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International segment operating income was $63.8 million in fiscal 2021 compared to an operating loss of $1.2 million in fiscal 2020. Operating margin increased 1,410 bps to 13.8%. The increase in the operating margin was primarily attributable to a 440 bps increase in gross margin and a 400 bps decrease in the SG&amp;A rate. The increase in gross margin was primarily due to increased average selling prices per unit and a release of adverse purchase commitment reserves related to better than expected sales of inventory and utilization of fabric that were reserved in fiscal 2020. The decrease in the SG&amp;A rate was primarily due to increased net sales, better leverage of retail store expenses due to increased store traffic, and decreased COVID-19 related charges, partially offset by increased performance-based compensation expense. The operating loss in fiscal 2020 also included a $17.7 million goodwill impairment charge and intangible assets impairment charges in fiscal 2020 that did not reoccur in fiscal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stock-based compensation.</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Unallocated corporate expenses increased $33.1 million, or 34.1%, to $130.3 million in fiscal 2021. Unallocated corporate expenses, as a percentage of consolidated net sales, increased 50 bps to 3.7%. The increase as a percentage of consolidated net sales was primarily due to increased performance-based compensation expense, partially offset by increased net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ongoing cash needs are primarily for working capital, capital expenditures, interest on debt, and the return of capital to our shareholders. We expect that our primary sources of liquidity will be cash and cash equivalents on hand, cash flow from operations, and available borrowing capacity under our secured revolving credit facility. We believe that our sources of liquidity will fund our projected requirements for at least the next twelve months. However, these sources of liquidity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5" w:name="page36"/>
    <w:bookmarkEnd w:id="35"/>
    <w:p>
      <w:pPr>
        <w:ind w:right="40"/>
        <w:spacing w:after="0" w:line="277" w:lineRule="auto"/>
        <w:rPr>
          <w:sz w:val="20"/>
          <w:szCs w:val="20"/>
          <w:color w:val="auto"/>
        </w:rPr>
      </w:pPr>
      <w:r>
        <w:rPr>
          <w:rFonts w:ascii="Arial" w:cs="Arial" w:eastAsia="Arial" w:hAnsi="Arial"/>
          <w:sz w:val="18"/>
          <w:szCs w:val="18"/>
          <w:color w:val="auto"/>
        </w:rPr>
        <w:t>affected by the COVID-19 pandemic and other events described in our risk factors, as discussed under the heading “Risk Factors” in Part I, Item 1A of this Annual Report on Form 10-K.</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discussed under the heading “Recent Developments” in Part II, Item 7 of this Annual Report on Form 10-K, we expect delays in the production and transportation of our product, and the increased costs to mitigate these delays, to continue and to adversely impact our financial results in fiscal 2022. We cannot predict the timing and amount of such impact.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As of January 1, 2022, we had approximately $984.3 million of cash and cash equivalents held at major financial institutions, including approximately</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$112.7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accounts receivable at January 1, 2022 were $231.4 million compared to $186.5 million at January 2, 2021. The increase of $44.8 million, or 24.0%, primarily reflects increased wholesale customer demand and the timing of wholesale customer receipts, partially offset by improved days sales outstanding.</w:t>
      </w:r>
    </w:p>
    <w:p>
      <w:pPr>
        <w:spacing w:after="0" w:line="8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Inventories at January 1, 2022 were $647.7 million compared to $599.3 million at January 2, 2021. The increase of $48.5 million, or 8.1%, was primarily due to increased demand and increased in-transit inventory due to delays in production and transportation of our products, partially offset by decreased pack and hold inventory.</w:t>
      </w:r>
    </w:p>
    <w:p>
      <w:pPr>
        <w:spacing w:after="0" w:line="14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Accounts payable at January 1, 2022 were $407.0 million compared to $472.1 million at January 2, 2021. The decrease of $65.1 million, or 13.8%, is primarily due a decrease in vendor payment terms, which had been extended in fiscal 2020 in response to the COVID-19 pandemic.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cash provided by operating activities for fiscal 2021 was $268.3 million, compared to $588.5 million in fiscal 2020. Our cash flow provided by operating activities is driven by net income and changes in our working capital. The decrease in net cash provided by operating activities was primarily due to a decrease in vendor payment terms, partially offset by increased profitability.</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facilitate a voluntary supply chain finance (“SCF”) program through participating financial institutions. This SCF program enables our suppliers to sell their receivables due from the Company to a participating financial institution at their discretion. We are not a party to the agreements between the participating financial institutions and the suppliers in connection with the SCF program. The range of payment terms we negotiate with our suppliers is consistent, irrespective of whether a supplier participates in the SCF program. No guarantees are provided by the Company or any of our subsidiaries under the SCF program. The amounts payable to participating financial institutions for suppliers who voluntarily participate in the SCF program are included in Accounts payable on our consolidated statement balance sheets. Payments made under the SCF program, like payments on other Accounts payable, are a reduction to our operating cash flow.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cash used in investing activities was $32.4 million in fiscal 2021, compared to $31.5 million in fiscal 2020. This increase in net cash used in investing activities is primarily due to increased capital expenditures, partially offset by increased proceeds from sales of investments in marketable securities. Capital expenditures in fiscal 2021 primarily included $22.6 million for information technology initiatives, $9.1 million for omni-channel initiatives and our U.S. and international retail store openings and remodels, and $4.2 million for our distribution facilities.</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plan to invest approximately $65 million in capital expenditures in fiscal 2022, which primarily relates to U.S. and international retail store openings and remodels, strategic information technology initiatives, and investments in our distribution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in financing activities was $352.7 million in fiscal 2021, compared to net cash provided by financing activities of $324.8 million in fiscal 2020. This change in cash flow from financing activities was primarily due to an issuance of $500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6" w:name="page37"/>
    <w:bookmarkEnd w:id="36"/>
    <w:p>
      <w:pPr>
        <w:ind w:right="200"/>
        <w:spacing w:after="0" w:line="277" w:lineRule="auto"/>
        <w:rPr>
          <w:sz w:val="20"/>
          <w:szCs w:val="20"/>
          <w:color w:val="auto"/>
        </w:rPr>
      </w:pPr>
      <w:r>
        <w:rPr>
          <w:rFonts w:ascii="Arial" w:cs="Arial" w:eastAsia="Arial" w:hAnsi="Arial"/>
          <w:sz w:val="18"/>
          <w:szCs w:val="18"/>
          <w:color w:val="auto"/>
        </w:rPr>
        <w:t>million in principal amount of senior notes in May 2020, which did not reoccur in fiscal 2021, and an increase in the return of capital to our shareholders through common stock share repurchases and cash dividends in fiscal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January 1, 2022, we had no outstanding borrowings under our secured revolving credit facility, exclusive of $4.1 million of outstanding letters of credit. As of January 2, 2021, we had no outstanding borrowings under our secured revolving credit facility, exclusive of $5.0 million of outstanding letters of credit. As of January 1, 2022 and January 2, 2021, there was approximately $745.9 million and $745.0 million available for future borrowing, respectively.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Our secured revolving credit facility provides for an aggregate credit line of $750 million which includes a $650 million U.S. dollar facility and a</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$100 million multicurrency facility denominated in U.S. dollars, Canadian dollars, Euros, Pounds Sterling, or other currencies agreed to by the applicable lenders. The credit facility matures on September 21, 2023.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5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May 4, 2020, through our wholly owned subsidiary, The William Carter Company (“TWCC”), we entered into Amendment No. 2 to our fourth amended and restated credit agreement (“Amendment No. 2”). Amendment No. 2 provided for, among other things, access to additional capital and increased flexibility under financial maintenance covenants, which we sought in part due to the unforeseen negative effects of the COVID-19 pandemic.</w:t>
      </w:r>
    </w:p>
    <w:p>
      <w:pPr>
        <w:spacing w:after="0" w:line="12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April 21, 2021, through our wholly owned subsidiary, TWCC, we entered into Amendment No. 3 to our fourth amended and restated credit agreement (“Amendment No. 3”). Among other things, Amendment No. 3 provided that through the remainder of the Restricted Period, which ended on the date the we delivered our financial statements and associated certificates relating to the third quarter of fiscal 2021:</w:t>
      </w:r>
    </w:p>
    <w:p>
      <w:pPr>
        <w:spacing w:after="0" w:line="125" w:lineRule="exact"/>
        <w:rPr>
          <w:sz w:val="20"/>
          <w:szCs w:val="20"/>
          <w:color w:val="auto"/>
        </w:rPr>
      </w:pPr>
    </w:p>
    <w:p>
      <w:pPr>
        <w:ind w:left="660" w:right="2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have maintained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62" w:lineRule="exact"/>
        <w:rPr>
          <w:rFonts w:ascii="Arial" w:cs="Arial" w:eastAsia="Arial" w:hAnsi="Arial"/>
          <w:sz w:val="18"/>
          <w:szCs w:val="18"/>
          <w:color w:val="auto"/>
        </w:rPr>
      </w:pPr>
    </w:p>
    <w:p>
      <w:pPr>
        <w:ind w:left="660" w:right="160" w:hanging="328"/>
        <w:spacing w:after="0" w:line="29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were permitted to make additional restricted payments, including to pay cash dividends and repurchase common stock, in an amount not to exceed $250 million, provided that (a) no default or event of default will have occurred and be continuing or would result from the payment and</w:t>
      </w: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(b) after giving effect to the payment, we would have been in compliance with Revised Liquidity Requirement as of the last day of the most recent month.</w:t>
      </w:r>
    </w:p>
    <w:p>
      <w:pPr>
        <w:spacing w:after="0" w:line="1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Approximately $0.2 million, including both bank fees and other third-party expenses, has been capitalized in connection with Amendment No. 3 and is being amortized over the remaining term of the secured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our secured revolving credit facility returned to its pre-COVID 19 terms that were in effect prior to Amendment No. 2.</w:t>
      </w:r>
    </w:p>
    <w:p>
      <w:pPr>
        <w:spacing w:after="0" w:line="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were no weighted-average borrowings for fiscal 2021 compared to $212.2 million of weighted-average borrowings for fiscal 2020. The decrease in weighted-average borrowings for fiscal 2021 was due to the absence of borrowings under our secured revolving credit facility during fiscal 2021.</w:t>
      </w:r>
    </w:p>
    <w:p>
      <w:pPr>
        <w:spacing w:after="0" w:line="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of January 1, 2022, the interest rate margins applicable to the amended revolving credit facility were 1.125% for LIBOR rate and 0.125% for base rate loans. The effective interest rate for borrowings under the secured revolving credit facility during fiscal 2020 was 2.84%.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we were in compliance with our financial and other covenants under our secured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TWCC had $500.0 million principal amount of senior notes outstanding, bearing interest at a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5.500% per annum, and maturing on May 15, 2025, and $500.0 million principal amount of senior notes outstanding, bearing interest at a rate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5.625% per annum, and maturing on March 15, 2027. On our consolidated balance sheet, the $1.00 billion of outstanding senior notes as of January 1, 2022 is reported net of $8.6 million of unamortized issuance-related debt costs, and the $1.00 billion of outstanding senior notes as of January 2, 2021 is reported net of $10.5 million of unamortized issuance-related debt costs.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8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indentures governing the senior notes provides that 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plus accrued and unpaid interest to (but excluding) the date of purchase.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indentures governing the senior notes include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Debt Extinguishment</w:t>
      </w:r>
    </w:p>
    <w:p>
      <w:pPr>
        <w:spacing w:after="0" w:line="108"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We intend to redeem our 5.500% senior notes in the first quarter of fiscal 2022, subject to market conditions, using cash on hand. Redemption of the 5.500% senior notes will require payment of an early redemption premium, which along with transaction fees and unamortized debt issuance costs is estimated to result in a loss on extinguishment of debt of approximately $21 million in the first quarter of fiscal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24, 2022, our Board of Directors authorized share repurchases up to $1.00 billion, inclusive of approximately $301.9 million remaining under previous authorizations.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Open-market repurchases of our common stock during fiscal years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For the fiscal year ended</w:t>
            </w: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299,339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r>
    </w:tbl>
    <w:p>
      <w:pPr>
        <w:spacing w:after="0" w:line="256"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color w:val="auto"/>
        </w:rPr>
        <w:t>The total remaining capacity under outstanding repurchase authorizations as of January 1, 2022 was approximately $351.1 million, exclusive of the February 2022 share repurchase authorization, based on settled repurchase transactions. The share repurchase authorizations have no expiration dates.</w:t>
      </w:r>
    </w:p>
    <w:p>
      <w:pPr>
        <w:spacing w:after="0" w:line="6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third quarter of fiscal 2021, we reinstated our common stock share repurchase program. We had previously announced the suspension of our common stock share repurchase program, in connection with the COVID-19 pandemic, at the end of the first quarter in fiscal 2020. Future repurchases may occur from time to time in the open market, in privately negotiated transactions, or otherwise. The timing and amount of any repurchases will be at our discretion subject to restrictions under our revolving credit facility, market conditions, stock price, other investment priorities, and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24, 2022, the Company's Board of Directors authorized a quarterly cash dividend payment of $0.75 per common share, payable on March 18, 2022 to shareholders of record at the close of business on March 8, 2022.</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Board of Directors declared and we paid cash dividends of $0.60 per share in the first quarter of fiscal 2020. On May 1, 2020, in connection with the COVID-19 pandemic, our Board of Directors suspended our quarterly cash dividend.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ind w:right="380"/>
        <w:spacing w:after="0" w:line="301" w:lineRule="auto"/>
        <w:rPr>
          <w:sz w:val="20"/>
          <w:szCs w:val="20"/>
          <w:color w:val="auto"/>
        </w:rPr>
      </w:pPr>
      <w:r>
        <w:rPr>
          <w:rFonts w:ascii="Arial" w:cs="Arial" w:eastAsia="Arial" w:hAnsi="Arial"/>
          <w:sz w:val="16"/>
          <w:szCs w:val="16"/>
          <w:color w:val="auto"/>
        </w:rPr>
        <w:t>the Board of Directors did not declare and we did not pay cash dividends in the second, third, or fourth quarters of fiscal 2020, or in the first quarter of fiscal 2021. The Board of Directors declared and we paid cash dividends of $0.40 per share in each of the second and third quarters of fiscal 2021 and $0.60 per share in the fourth quarter of fiscal 2021. Our Board of Directors will evaluate future dividend declarations based on a number of factors, including restrictions under our secured revolving credit facility, business conditions, our financial performance, and other considerations.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as of January 1, 2022, the maturity or expiration dates of mandatory contractual obligations and commitments for the following fiscal years: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line="216" w:lineRule="exact"/>
              <w:rPr>
                <w:sz w:val="20"/>
                <w:szCs w:val="20"/>
                <w:color w:val="auto"/>
              </w:rPr>
            </w:pPr>
            <w:r>
              <w:rPr>
                <w:rFonts w:ascii="Arial" w:cs="Arial" w:eastAsia="Arial" w:hAnsi="Arial"/>
                <w:sz w:val="16"/>
                <w:szCs w:val="16"/>
                <w:color w:val="auto"/>
              </w:rPr>
              <w:t>Interest on debt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250,938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639,767</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obligations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623,081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596,260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1,891,147</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145"/>
        </w:trPr>
        <w:tc>
          <w:tcPr>
            <w:tcW w:w="330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color w:val="auto"/>
              </w:rPr>
              <w:t>Total financial obligations and commitments</w:t>
            </w:r>
            <w:r>
              <w:rPr>
                <w:rFonts w:ascii="Arial" w:cs="Arial" w:eastAsia="Arial" w:hAnsi="Arial"/>
                <w:sz w:val="16"/>
                <w:szCs w:val="16"/>
                <w:color w:val="auto"/>
                <w:vertAlign w:val="superscript"/>
              </w:rPr>
              <w:t>(3)(4)</w:t>
            </w: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224,253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197,084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169,209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623,081</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85,319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596,260</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1,895,206</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(5)</w:t>
            </w: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i) a fixed interest rate of 5.500% for the senior notes due 2025, and ii) a fixed interest rate of 5.625% for the senior notes due 2027.</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minimum lease obligation includes all lease and non-lease components that were included in the measurement of the lease liability.</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table above excludes our reserves for income taxes, as we are unable to reasonably predict the ultimate amount or timing of settlement.</w:t>
      </w:r>
    </w:p>
    <w:p>
      <w:pPr>
        <w:spacing w:after="0" w:line="55" w:lineRule="exact"/>
        <w:rPr>
          <w:rFonts w:ascii="Arial" w:cs="Arial" w:eastAsia="Arial" w:hAnsi="Arial"/>
          <w:sz w:val="14"/>
          <w:szCs w:val="14"/>
          <w:color w:val="auto"/>
        </w:rPr>
      </w:pPr>
    </w:p>
    <w:p>
      <w:pPr>
        <w:ind w:left="340" w:right="120" w:hanging="332"/>
        <w:spacing w:after="0" w:line="273"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table above excludes purchase obligations. Our estimate as of January 1, 2022 for commitments to purchase inventory in the normal course of business, which are cancellable (with or without penalty, depending on the stage of production) and span a period of one year or less, was between $550 million and $650 million.</w:t>
      </w:r>
    </w:p>
    <w:p>
      <w:pPr>
        <w:spacing w:after="0" w:line="11" w:lineRule="exact"/>
        <w:rPr>
          <w:rFonts w:ascii="Arial" w:cs="Arial" w:eastAsia="Arial" w:hAnsi="Arial"/>
          <w:sz w:val="14"/>
          <w:szCs w:val="14"/>
          <w:color w:val="auto"/>
        </w:rPr>
      </w:pPr>
    </w:p>
    <w:p>
      <w:pPr>
        <w:ind w:left="340" w:right="280" w:hanging="332"/>
        <w:spacing w:after="0" w:line="257"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table above excludes any potential future Company funding for obligations under our defined benefit retirement plans. Our estimates of such obligations as of January 1, 2022 have been determined in accordance with U.S. GAAP and are included in other current liabilities and other long-term liabilities on our consolidated balance sheet, as described in Item 8 “Financial Statements and Supplementary Data” under Note 11, Employee Benefit Plans,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108"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our longer-term strategic plans, although no assurance can be given in this regard.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significant accounting policies are described in our accompanying consolidated financial statements. The following discussion addresses our critical accounting policies and estimates, which are those policies that require management’s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9" w:name="page40"/>
    <w:bookmarkEnd w:id="39"/>
    <w:p>
      <w:pPr>
        <w:ind w:right="1340"/>
        <w:spacing w:after="0" w:line="406" w:lineRule="auto"/>
        <w:rPr>
          <w:sz w:val="20"/>
          <w:szCs w:val="20"/>
          <w:color w:val="auto"/>
        </w:rPr>
      </w:pPr>
      <w:r>
        <w:rPr>
          <w:rFonts w:ascii="Arial" w:cs="Arial" w:eastAsia="Arial" w:hAnsi="Arial"/>
          <w:sz w:val="18"/>
          <w:szCs w:val="18"/>
          <w:color w:val="auto"/>
        </w:rPr>
        <w:t xml:space="preserve">difficult and subjective judgments, often as a result of the need to make estimates about the effect of matters that are inherently uncertain. </w:t>
      </w:r>
      <w:r>
        <w:rPr>
          <w:rFonts w:ascii="Arial" w:cs="Arial" w:eastAsia="Arial" w:hAnsi="Arial"/>
          <w:sz w:val="18"/>
          <w:szCs w:val="18"/>
          <w:b w:val="1"/>
          <w:bCs w:val="1"/>
          <w:color w:val="auto"/>
        </w:rPr>
        <w:t>Revenue Recognition and Accounts Receivable Allowance</w:t>
      </w:r>
    </w:p>
    <w:p>
      <w:pPr>
        <w:spacing w:after="0" w:line="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expected credit losses are reflected in Selling, general and administrative expenses on our consolidated statement of operations and provisions for chargebacks are reflected as a reduction in Net sales on our consolidated statement of operations.</w:t>
      </w:r>
    </w:p>
    <w:p>
      <w:pPr>
        <w:spacing w:after="0" w:line="13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Cooperative advertising arrangements reimburse customers for marketing activities for certain of our products. We record these reimbursements under cooperative advertising arrangements with certain of our major wholesale customers at fair value. Fair value is determined based upon, among other factors, comparable market analysis for similar advertisements. We have included the fair value of these arrangements of approximately $0.2 million for fiscal 2021, $0.5 million for fiscal 2020, and $3.1 million for fiscal 2019 as a component of SG&amp;A expenses on our consolidated statements of operations, rather than as a reduction of net sales. Amounts determined to be in excess of the fair value of these arrangements are recorded as a reduction of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circumstances, we do not allow our wholesale customers to return goods to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goods sold when the related inventory item is sold. 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 reserve for these adverse inventory and fabric purchase commitments. Increases to this reserve are reflected in Costs of goods sold on our consolidated statement of operations. Due to the materiality of these charges in fiscal 2020, these charges have been presented separately on our consolidated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Tradename</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ind w:right="40"/>
        <w:spacing w:after="0" w:line="263" w:lineRule="auto"/>
        <w:rPr>
          <w:sz w:val="20"/>
          <w:szCs w:val="20"/>
          <w:color w:val="auto"/>
        </w:rPr>
      </w:pPr>
      <w:r>
        <w:rPr>
          <w:rFonts w:ascii="Arial" w:cs="Arial" w:eastAsia="Arial" w:hAnsi="Arial"/>
          <w:sz w:val="18"/>
          <w:szCs w:val="18"/>
          <w:color w:val="auto"/>
        </w:rPr>
        <w:t>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4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a quantitative assessment for goodwill, we compare the fair value of a reporting unit to its carrying value, including goodwill. We use the income approach and the market approach to determine the fair value of a reporting unit. The assumptions used in these approaches include revenue growth and profitability, terminal values, discount rates, and an implied control premium.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revenue growth rates and selecting the appropriate terminal value, discount rate, and royalty rate.</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our most recent annual assessment, performed as of January 1, 2022, using a qualitative assessment, there were no impairments in the values of goodwill or indefinite-lived or definite-lived intangible assets.</w:t>
      </w:r>
    </w:p>
    <w:p>
      <w:pPr>
        <w:spacing w:after="0" w:line="1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the first quarter of fiscal 2020, the Company concluded that impairment indicators existed due to the decrease in the Company’s market capitalization, lower than expected actual sales, and lower projected sales and profitability, primarily due to the impacts from the outbreak of COVID-19.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goodwill impairment assessment for the Other International reporting unit was performed in accordance with ASC 350,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w:t>
      </w:r>
      <w:r>
        <w:rPr>
          <w:rFonts w:ascii="Arial" w:cs="Arial" w:eastAsia="Arial" w:hAnsi="Arial"/>
          <w:sz w:val="17"/>
          <w:szCs w:val="17"/>
          <w:color w:val="auto"/>
        </w:rPr>
        <w:t>(“ASC 350”) and compares the carrying value of the Other International reporting unit to its fair value. Consistent with prior practice,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1, 2022 was $11.7 million.</w:t>
      </w:r>
    </w:p>
    <w:p>
      <w:pPr>
        <w:spacing w:after="0" w:line="13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and</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tradename assets, respectively. The charge recorded on our indefinite-lived</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tradename asset included charges of</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as of January 1, 2022 were $70.0 million and $15.0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Accrued Expenses</w:t>
      </w:r>
    </w:p>
    <w:p>
      <w:pPr>
        <w:spacing w:after="0" w:line="10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0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related to unrecognized tax benefits is recognized as a component of interest expense and associated penalties related to unrecognized tax benefits are recognized as a component of income tax expense.</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results for fiscal 2021, a hypothetical 100 bps increase in our effective tax rate would have resulted in an increase in our income tax expense of $4.4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currency of substantially all of our foreign operations is the local currency.</w:t>
      </w:r>
    </w:p>
    <w:p>
      <w:pPr>
        <w:spacing w:after="0" w:line="19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Transaction gains and losses, such as those resulting from the settlement of nonfunctional currency receivables and payables, including intercompany balances, are included in Other expense (income), net in our consolidated statements of operations. Additionally, payable and receivable balances denominated in nonfunctional currencies are marked-to-market at the end of each reporting period, and the gain or loss is recognized in Other expense (income), net in our consolidated statements of operations.</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part of our overall strategy to manage the level of exposure to the risk of foreign currency exchange rate fluctuations, primarily between the U.S. dollar and the currencies of Canada and Mexico, we may use foreign currency forward contracts to hedge purchases that are made in U.S. dollars, primarily for inventory purchases in our Canadian and Mexican businesses. As part of a hedging strategy, we may use foreign currency forward exchange contracts that typically have maturities of less than 12 months and provide continuing coverage throughout the hedging period. Historically, these contracts have not been designated for hedge accounting treatment, and therefore changes in the fair value of these contracts were recorded in our consolidated statement of 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60"/>
        <w:spacing w:after="0" w:line="277" w:lineRule="auto"/>
        <w:rPr>
          <w:sz w:val="20"/>
          <w:szCs w:val="20"/>
          <w:color w:val="auto"/>
        </w:rPr>
      </w:pPr>
      <w:r>
        <w:rPr>
          <w:rFonts w:ascii="Arial" w:cs="Arial" w:eastAsia="Arial" w:hAnsi="Arial"/>
          <w:sz w:val="18"/>
          <w:szCs w:val="18"/>
          <w:color w:val="auto"/>
        </w:rPr>
        <w:t>quoted currency exchange rates), classified as Level 2 within the fair value hierarchy. At January 1, 2022, there were no unsettled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deferred gains and losses in Accumulated other comprehensive income (loss) within stockholder’s equity. Deferred gains and losses that exceed 10% of the greater of the plan’s projected benefit obligations or market value of assets are amortized to earnings over the average remaining life of inactive plan participants.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Any future obligation under our pension plan not funded from returns on plan assets are expected to be funded from cash flows from operations.</w:t>
      </w:r>
    </w:p>
    <w:p>
      <w:pPr>
        <w:spacing w:after="0" w:line="21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11,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 the cost resulting from all stock-based payment transactions in the financial statements at grant date fair value. The fair value of stock awards is determined based on the quoted closing price of our common stock on the date of grant. The fair value of stock options is determined based on the Black-Scholes option pricing model, which requires the use of subjective assumptions. These assumptions include the following:</w:t>
      </w:r>
    </w:p>
    <w:p>
      <w:pPr>
        <w:spacing w:after="0" w:line="30" w:lineRule="exact"/>
        <w:rPr>
          <w:sz w:val="20"/>
          <w:szCs w:val="20"/>
          <w:color w:val="auto"/>
        </w:rPr>
      </w:pPr>
    </w:p>
    <w:p>
      <w:pPr>
        <w:ind w:left="660" w:right="3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We use actual monthly historical changes in the market value of our stock covering the expected life of stock options being valued. An increase in the expected volatility will increase the fair value of the stock option and related compensation expense.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48" w:lineRule="exact"/>
        <w:rPr>
          <w:rFonts w:ascii="Arial" w:cs="Arial" w:eastAsia="Arial" w:hAnsi="Arial"/>
          <w:sz w:val="18"/>
          <w:szCs w:val="18"/>
          <w:color w:val="auto"/>
        </w:rPr>
      </w:pPr>
    </w:p>
    <w:p>
      <w:pPr>
        <w:ind w:left="660" w:right="38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5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 yield – We estimate a dividend yield based on the current dividend amount as a percentage of our current stock price. An increase in the dividend yield will decrease the fair value of the stock option and related stock-based compensation expense.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Forfeitures – We estimate forfeitures of stock-based awards based on historical experience and expected future activity.</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ind w:right="3780"/>
        <w:spacing w:after="0" w:line="354" w:lineRule="auto"/>
        <w:rPr>
          <w:sz w:val="20"/>
          <w:szCs w:val="20"/>
          <w:color w:val="auto"/>
        </w:rPr>
      </w:pPr>
      <w:r>
        <w:rPr>
          <w:rFonts w:ascii="Arial" w:cs="Arial" w:eastAsia="Arial" w:hAnsi="Arial"/>
          <w:sz w:val="18"/>
          <w:szCs w:val="18"/>
          <w:b w:val="1"/>
          <w:bCs w:val="1"/>
          <w:color w:val="auto"/>
        </w:rPr>
        <w:t>ITEM 7A. QUANTITATIVE AND QUALITATIVE DISCLOSURES ABOUT MARKET RISK Currency and Interest Rate Risks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6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fiscal 2021, compared to fiscal 2020, had a $20.0 million favorable effect on our consolidated net sales.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 variable interest rates. As of January 1, 2022, there were no variable rate borrowings outstanding under the amended revolving credit facility. As a result, the impact of a hypothetical 100 bps increase in the effective interest rate would not result in a material amount of additional interest expense over a 12-month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CARTER’S,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jc w:val="center"/>
              <w:ind w:left="39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9"/>
        </w:trPr>
        <w:tc>
          <w:tcPr>
            <w:tcW w:w="824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238 ID )</w:t>
            </w:r>
          </w:p>
        </w:tc>
        <w:tc>
          <w:tcPr>
            <w:tcW w:w="480" w:type="dxa"/>
            <w:vAlign w:val="bottom"/>
          </w:tcPr>
          <w:p>
            <w:pPr>
              <w:spacing w:after="0"/>
              <w:rPr>
                <w:sz w:val="18"/>
                <w:szCs w:val="18"/>
                <w:color w:val="auto"/>
              </w:rPr>
            </w:pPr>
          </w:p>
        </w:tc>
        <w:tc>
          <w:tcPr>
            <w:tcW w:w="340" w:type="dxa"/>
            <w:vAlign w:val="bottom"/>
            <w:tcBorders>
              <w:top w:val="single" w:sz="8" w:color="auto"/>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11"/>
          </w:tcPr>
          <w:p>
            <w:pPr>
              <w:spacing w:after="0"/>
              <w:rPr>
                <w:sz w:val="20"/>
                <w:szCs w:val="20"/>
                <w:color w:val="auto"/>
              </w:rPr>
            </w:pPr>
            <w:r>
              <w:rPr>
                <w:rFonts w:ascii="Arial" w:cs="Arial" w:eastAsia="Arial" w:hAnsi="Arial"/>
                <w:sz w:val="18"/>
                <w:szCs w:val="18"/>
                <w:color w:val="0000FF"/>
              </w:rPr>
              <w:t>Consolidated Balance Sheets at January 1, 2022 and January 2, 2021</w:t>
            </w:r>
          </w:p>
        </w:tc>
        <w:tc>
          <w:tcPr>
            <w:tcW w:w="820" w:type="dxa"/>
            <w:vAlign w:val="bottom"/>
            <w:gridSpan w:val="4"/>
          </w:tcPr>
          <w:p>
            <w:pPr>
              <w:jc w:val="center"/>
              <w:ind w:left="39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11"/>
          </w:tcPr>
          <w:p>
            <w:pPr>
              <w:spacing w:after="0"/>
              <w:rPr>
                <w:sz w:val="20"/>
                <w:szCs w:val="20"/>
                <w:color w:val="auto"/>
              </w:rPr>
            </w:pPr>
            <w:r>
              <w:rPr>
                <w:rFonts w:ascii="Arial" w:cs="Arial" w:eastAsia="Arial" w:hAnsi="Arial"/>
                <w:sz w:val="18"/>
                <w:szCs w:val="18"/>
                <w:color w:val="0000FF"/>
                <w:w w:val="89"/>
              </w:rPr>
              <w:t>Consolidated Statements of Operations for the fiscal years ended January 1, 2022, January 2, 2021, and December</w:t>
            </w:r>
          </w:p>
        </w:tc>
        <w:tc>
          <w:tcPr>
            <w:tcW w:w="820" w:type="dxa"/>
            <w:vAlign w:val="bottom"/>
            <w:gridSpan w:val="4"/>
            <w:vMerge w:val="restart"/>
          </w:tcPr>
          <w:p>
            <w:pPr>
              <w:jc w:val="center"/>
              <w:ind w:left="39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156"/>
        </w:trPr>
        <w:tc>
          <w:tcPr>
            <w:tcW w:w="62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0000FF"/>
                <w:w w:val="85"/>
              </w:rPr>
              <w:t>28, 2019</w:t>
            </w:r>
          </w:p>
        </w:tc>
        <w:tc>
          <w:tcPr>
            <w:tcW w:w="8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5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11"/>
          </w:tcPr>
          <w:p>
            <w:pPr>
              <w:spacing w:after="0"/>
              <w:rPr>
                <w:sz w:val="20"/>
                <w:szCs w:val="20"/>
                <w:color w:val="auto"/>
              </w:rPr>
            </w:pPr>
            <w:r>
              <w:rPr>
                <w:rFonts w:ascii="Arial" w:cs="Arial" w:eastAsia="Arial" w:hAnsi="Arial"/>
                <w:sz w:val="18"/>
                <w:szCs w:val="18"/>
                <w:color w:val="0000FF"/>
                <w:w w:val="91"/>
              </w:rPr>
              <w:t>Consolidated Statements of Comprehensive Income for the fiscal years ended January 1, 2022, January 2, 2021,</w:t>
            </w:r>
          </w:p>
        </w:tc>
        <w:tc>
          <w:tcPr>
            <w:tcW w:w="820" w:type="dxa"/>
            <w:vAlign w:val="bottom"/>
            <w:gridSpan w:val="4"/>
            <w:vMerge w:val="restart"/>
          </w:tcPr>
          <w:p>
            <w:pPr>
              <w:jc w:val="center"/>
              <w:ind w:left="39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156"/>
        </w:trPr>
        <w:tc>
          <w:tcPr>
            <w:tcW w:w="172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8"/>
              </w:rPr>
              <w:t>and December 28, 2019</w:t>
            </w:r>
          </w:p>
        </w:tc>
        <w:tc>
          <w:tcPr>
            <w:tcW w:w="6340" w:type="dxa"/>
            <w:vAlign w:val="bottom"/>
            <w:tcBorders>
              <w:top w:val="single" w:sz="8" w:color="0000FF"/>
            </w:tcBorders>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11"/>
          </w:tcPr>
          <w:p>
            <w:pPr>
              <w:spacing w:after="0"/>
              <w:rPr>
                <w:sz w:val="20"/>
                <w:szCs w:val="20"/>
                <w:color w:val="auto"/>
              </w:rPr>
            </w:pPr>
            <w:r>
              <w:rPr>
                <w:rFonts w:ascii="Arial" w:cs="Arial" w:eastAsia="Arial" w:hAnsi="Arial"/>
                <w:sz w:val="18"/>
                <w:szCs w:val="18"/>
                <w:color w:val="0000FF"/>
                <w:w w:val="97"/>
              </w:rPr>
              <w:t>Consolidated Statements of Cash Flows for the fiscal years ended January 1, 2022, January 2, 2021, and</w:t>
            </w:r>
          </w:p>
        </w:tc>
        <w:tc>
          <w:tcPr>
            <w:tcW w:w="820" w:type="dxa"/>
            <w:vAlign w:val="bottom"/>
            <w:gridSpan w:val="4"/>
            <w:vMerge w:val="restart"/>
          </w:tcPr>
          <w:p>
            <w:pPr>
              <w:jc w:val="center"/>
              <w:ind w:left="39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156"/>
        </w:trPr>
        <w:tc>
          <w:tcPr>
            <w:tcW w:w="1420" w:type="dxa"/>
            <w:vAlign w:val="bottom"/>
            <w:tcBorders>
              <w:top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8"/>
              </w:rPr>
              <w:t>December 28, 2019</w:t>
            </w:r>
          </w:p>
        </w:tc>
        <w:tc>
          <w:tcPr>
            <w:tcW w:w="6080" w:type="dxa"/>
            <w:vAlign w:val="bottom"/>
            <w:tcBorders>
              <w:top w:val="single" w:sz="8" w:color="0000FF"/>
            </w:tcBorders>
            <w:gridSpan w:val="6"/>
          </w:tcPr>
          <w:p>
            <w:pPr>
              <w:spacing w:after="0"/>
              <w:rPr>
                <w:sz w:val="13"/>
                <w:szCs w:val="13"/>
                <w:color w:val="auto"/>
              </w:rPr>
            </w:pPr>
          </w:p>
        </w:tc>
        <w:tc>
          <w:tcPr>
            <w:tcW w:w="740" w:type="dxa"/>
            <w:vAlign w:val="bottom"/>
            <w:gridSpan w:val="3"/>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Changes in Stockholders' Equity for the fiscal years ended January 1, 2022, January 2,</w:t>
            </w:r>
          </w:p>
        </w:tc>
        <w:tc>
          <w:tcPr>
            <w:tcW w:w="820" w:type="dxa"/>
            <w:vAlign w:val="bottom"/>
            <w:gridSpan w:val="4"/>
            <w:vMerge w:val="restart"/>
          </w:tcPr>
          <w:p>
            <w:pPr>
              <w:jc w:val="center"/>
              <w:ind w:left="39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156"/>
        </w:trPr>
        <w:tc>
          <w:tcPr>
            <w:tcW w:w="8240" w:type="dxa"/>
            <w:vAlign w:val="bottom"/>
            <w:gridSpan w:val="11"/>
          </w:tcPr>
          <w:p>
            <w:pPr>
              <w:spacing w:after="0" w:line="156" w:lineRule="exact"/>
              <w:rPr>
                <w:sz w:val="20"/>
                <w:szCs w:val="20"/>
                <w:color w:val="auto"/>
              </w:rPr>
            </w:pPr>
            <w:r>
              <w:rPr>
                <w:rFonts w:ascii="Arial" w:cs="Arial" w:eastAsia="Arial" w:hAnsi="Arial"/>
                <w:sz w:val="18"/>
                <w:szCs w:val="18"/>
                <w:color w:val="0000FF"/>
              </w:rPr>
              <w:t>2021, and December 28, 2019</w:t>
            </w: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gridSpan w:val="11"/>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820" w:type="dxa"/>
            <w:vAlign w:val="bottom"/>
            <w:gridSpan w:val="4"/>
          </w:tcPr>
          <w:p>
            <w:pPr>
              <w:jc w:val="center"/>
              <w:ind w:left="39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50</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Carter’s,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Carter’s, Inc. and its subsidiaries (the “Company”) as of January 1, 2022 and January 2, 2021, and the related consolidated statements of operations, of comprehensive income, of changes in stockholders’ equity and of cash flows for each of the three years in the period ended January 1, 2022, including the related notes (collectively referred to as the “consolidated financial statements”). We also have audited the Company’s internal control over financial reporting as of January 1, 2022,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1, 2022 and January 2, 2021, and the results of its operations and its cash flows for each of the three years in the period ended January 1, 2022 in conformity with accounting principles generally accepted in the United States of America. Also in our opinion, the Company maintained, in all material respects, effective internal control over financial reporting as of January 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6" w:name="page47"/>
    <w:bookmarkEnd w:id="46"/>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U.S. Wholesale</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Notes 2 and 3 to the consolidated financial statements, the Company’s U.S. wholesale revenue was $1,126,415 thousand for the year ended January 1, 2022.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customers, including discounts.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principal consideration for our determination that performing procedures relating to U.S. wholesale revenue recognition is a critical audit matter is the significant audit effort in performing procedures related to the Company’s revenue recognition.</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wholesale revenue at the transaction price once control passes to the customer. These procedures also included, among others (i) testing the completeness, accuracy, and occurrence of revenue recognized for a sample of revenue transactions by obtaining and inspecting source documents, including purchase orders, invoices, proof of shipment, and subsequent cash receipts, where applicable; ii) testing the completeness, accuracy, and occurrence of a sample of sales incentive transactions by obtaining and inspecting source documents, including support for the nature of the incentive, amount, and agreement with the customer; and iii) confirming a sample of outstanding customer invoice balances as of January 1, 2022 and obtaining and inspecting source documents, including invoices, proof of shipment, and subsequent cash receipts, where applicable, for confirmations not returned.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(dollars in thousands, except for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1, 2022</w:t>
            </w:r>
          </w:p>
        </w:tc>
        <w:tc>
          <w:tcPr>
            <w:tcW w:w="24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 2021</w:t>
            </w:r>
          </w:p>
        </w:tc>
        <w:tc>
          <w:tcPr>
            <w:tcW w:w="0" w:type="dxa"/>
            <w:vAlign w:val="bottom"/>
          </w:tcPr>
          <w:p>
            <w:pPr>
              <w:spacing w:after="0"/>
              <w:rPr>
                <w:sz w:val="1"/>
                <w:szCs w:val="1"/>
                <w:color w:val="auto"/>
              </w:rPr>
            </w:pP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1,102,323</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 of allowance for credit losses of $7,281 and $5,940, respectively</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231,354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186,512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Finished goods inventories, net of inventory reserves of $14,378 and $14,206, respectively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599,262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57,927</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1,913,521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1,946,024</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216,004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262,345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593,008</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Tradenames,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307,643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307,893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211,776</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33,969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37,510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34,024</w:t>
            </w:r>
          </w:p>
        </w:tc>
        <w:tc>
          <w:tcPr>
            <w:tcW w:w="0" w:type="dxa"/>
            <w:vAlign w:val="bottom"/>
          </w:tcPr>
          <w:p>
            <w:pPr>
              <w:spacing w:after="0"/>
              <w:rPr>
                <w:sz w:val="1"/>
                <w:szCs w:val="1"/>
                <w:color w:val="auto"/>
              </w:rPr>
            </w:pPr>
          </w:p>
        </w:tc>
      </w:tr>
      <w:tr>
        <w:trPr>
          <w:trHeight w:val="213"/>
        </w:trPr>
        <w:tc>
          <w:tcPr>
            <w:tcW w:w="74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3,201,797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3,392,580</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407,044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472,140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operating lease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185,152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176,449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135,240</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792,532</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991,370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989,530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52,770</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441,861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554,497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65,218</w:t>
            </w:r>
          </w:p>
        </w:tc>
        <w:tc>
          <w:tcPr>
            <w:tcW w:w="0" w:type="dxa"/>
            <w:vAlign w:val="bottom"/>
          </w:tcPr>
          <w:p>
            <w:pPr>
              <w:spacing w:after="0"/>
              <w:rPr>
                <w:sz w:val="1"/>
                <w:szCs w:val="1"/>
                <w:color w:val="auto"/>
              </w:rPr>
            </w:pPr>
          </w:p>
        </w:tc>
      </w:tr>
      <w:tr>
        <w:trPr>
          <w:trHeight w:val="207"/>
        </w:trPr>
        <w:tc>
          <w:tcPr>
            <w:tcW w:w="740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2,251,611</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2,454,547</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 Note 17</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Preferred stock; par value $0.01 per share; 100,000 shares authorized; none issued or outstanding at January 01,</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and January 02, 2021</w:t>
            </w:r>
          </w:p>
        </w:tc>
        <w:tc>
          <w:tcPr>
            <w:tcW w:w="240" w:type="dxa"/>
            <w:vAlign w:val="bottom"/>
            <w:vMerge w:val="continue"/>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voting; par value $0.01 per share; 150,000,000 shares authorized; 41,148,870 and 43,780,075</w:t>
            </w: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shares issued and outstanding at January 1, 2022 and January 2, 2021,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(28,897)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950,186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3,201,797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3,392,580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fiscal year ended</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159"/>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jc w:val="center"/>
              <w:ind w:right="40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120" w:type="dxa"/>
            <w:vAlign w:val="bottom"/>
          </w:tcPr>
          <w:p>
            <w:pPr>
              <w:spacing w:after="0"/>
              <w:rPr>
                <w:sz w:val="13"/>
                <w:szCs w:val="13"/>
                <w:color w:val="auto"/>
              </w:rPr>
            </w:pPr>
          </w:p>
        </w:tc>
        <w:tc>
          <w:tcPr>
            <w:tcW w:w="1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220" w:type="dxa"/>
            <w:vAlign w:val="bottom"/>
          </w:tcPr>
          <w:p>
            <w:pPr>
              <w:spacing w:after="0"/>
              <w:rPr>
                <w:sz w:val="13"/>
                <w:szCs w:val="13"/>
                <w:color w:val="auto"/>
              </w:rPr>
            </w:pPr>
          </w:p>
        </w:tc>
        <w:tc>
          <w:tcPr>
            <w:tcW w:w="178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w w:val="98"/>
              </w:rPr>
              <w:t>December 28, 2019</w:t>
            </w:r>
          </w:p>
        </w:tc>
      </w:tr>
      <w:tr>
        <w:trPr>
          <w:trHeight w:val="213"/>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(52 weeks)</w:t>
            </w:r>
          </w:p>
        </w:tc>
        <w:tc>
          <w:tcPr>
            <w:tcW w:w="12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(53 weeks)</w:t>
            </w:r>
          </w:p>
        </w:tc>
        <w:tc>
          <w:tcPr>
            <w:tcW w:w="220" w:type="dxa"/>
            <w:vAlign w:val="bottom"/>
          </w:tcPr>
          <w:p>
            <w:pPr>
              <w:spacing w:after="0"/>
              <w:rPr>
                <w:sz w:val="18"/>
                <w:szCs w:val="18"/>
                <w:color w:val="auto"/>
              </w:rPr>
            </w:pPr>
          </w:p>
        </w:tc>
        <w:tc>
          <w:tcPr>
            <w:tcW w:w="1780" w:type="dxa"/>
            <w:vAlign w:val="bottom"/>
          </w:tcPr>
          <w:p>
            <w:pPr>
              <w:jc w:val="right"/>
              <w:ind w:right="559"/>
              <w:spacing w:after="0"/>
              <w:rPr>
                <w:sz w:val="20"/>
                <w:szCs w:val="20"/>
                <w:color w:val="auto"/>
              </w:rPr>
            </w:pPr>
            <w:r>
              <w:rPr>
                <w:rFonts w:ascii="Arial" w:cs="Arial" w:eastAsia="Arial" w:hAnsi="Arial"/>
                <w:sz w:val="16"/>
                <w:szCs w:val="16"/>
                <w:b w:val="1"/>
                <w:bCs w:val="1"/>
                <w:color w:val="auto"/>
              </w:rPr>
              <w:t>(52 weeks)</w:t>
            </w: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3,519,286</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1,832,045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1,696,224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2,008,630</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Adverse purchase commitments (inventory and raw materials), net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1,662,274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1,313,442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1,508,550</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34,637</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1,193,876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1,105,607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1,140,515</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2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30,800</w:t>
            </w: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497,079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371,872</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56,062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37,617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w:t>
            </w:r>
          </w:p>
        </w:tc>
      </w:t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438,290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134,984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327,952</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64,150</w:t>
            </w: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263,802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29"/>
        </w:trPr>
        <w:tc>
          <w:tcPr>
            <w:tcW w:w="50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2.00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40" w:type="dxa"/>
            <w:vAlign w:val="bottom"/>
          </w:tcPr>
          <w:p>
            <w:pPr>
              <w:spacing w:after="0"/>
              <w:rPr>
                <w:sz w:val="13"/>
                <w:szCs w:val="13"/>
                <w:color w:val="auto"/>
              </w:rPr>
            </w:pPr>
          </w:p>
        </w:tc>
        <w:tc>
          <w:tcPr>
            <w:tcW w:w="17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80" w:type="dxa"/>
            <w:vAlign w:val="bottom"/>
          </w:tcPr>
          <w:p>
            <w:pPr>
              <w:spacing w:after="0"/>
              <w:rPr>
                <w:sz w:val="13"/>
                <w:szCs w:val="13"/>
                <w:color w:val="auto"/>
              </w:rPr>
            </w:pPr>
          </w:p>
        </w:tc>
        <w:tc>
          <w:tcPr>
            <w:tcW w:w="168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w w:val="95"/>
              </w:rPr>
              <w:t>December 28, 2019</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(52 weeks)</w:t>
            </w: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(53 weeks)</w:t>
            </w:r>
          </w:p>
        </w:tc>
        <w:tc>
          <w:tcPr>
            <w:tcW w:w="180" w:type="dxa"/>
            <w:vAlign w:val="bottom"/>
          </w:tcPr>
          <w:p>
            <w:pPr>
              <w:spacing w:after="0"/>
              <w:rPr>
                <w:sz w:val="18"/>
                <w:szCs w:val="18"/>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b w:val="1"/>
                <w:bCs w:val="1"/>
                <w:color w:val="auto"/>
              </w:rPr>
              <w:t>(52 weeks)</w:t>
            </w:r>
          </w:p>
        </w:tc>
        <w:tc>
          <w:tcPr>
            <w:tcW w:w="0" w:type="dxa"/>
            <w:vAlign w:val="bottom"/>
          </w:tcPr>
          <w:p>
            <w:pPr>
              <w:spacing w:after="0"/>
              <w:rPr>
                <w:sz w:val="1"/>
                <w:szCs w:val="1"/>
                <w:color w:val="auto"/>
              </w:rPr>
            </w:pPr>
          </w:p>
        </w:tc>
      </w:tr>
      <w:tr>
        <w:trPr>
          <w:trHeight w:val="21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263,802</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3"/>
              </w:rPr>
              <w:t>Unrealized gain (loss) on OshKosh defined benefit plan, net of (tax expense) or</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6"/>
              </w:rPr>
              <w:t>tax benefit of $(1,220), $680, and $(230) for the fiscal years 2021, 2020,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80"/>
              <w:spacing w:after="0" w:line="166" w:lineRule="exact"/>
              <w:rPr>
                <w:sz w:val="20"/>
                <w:szCs w:val="20"/>
                <w:color w:val="auto"/>
              </w:rPr>
            </w:pPr>
            <w:r>
              <w:rPr>
                <w:rFonts w:ascii="Arial" w:cs="Arial" w:eastAsia="Arial" w:hAnsi="Arial"/>
                <w:sz w:val="16"/>
                <w:szCs w:val="16"/>
                <w:color w:val="auto"/>
                <w:w w:val="95"/>
              </w:rPr>
              <w:t>Unrealized (loss) gain on Carter’s post-retirement benefit obligation, net of tax</w:t>
            </w: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9"/>
        </w:trPr>
        <w:tc>
          <w:tcPr>
            <w:tcW w:w="5440" w:type="dxa"/>
            <w:vAlign w:val="bottom"/>
          </w:tcPr>
          <w:p>
            <w:pPr>
              <w:ind w:left="180"/>
              <w:spacing w:after="0"/>
              <w:rPr>
                <w:sz w:val="20"/>
                <w:szCs w:val="20"/>
                <w:color w:val="auto"/>
              </w:rPr>
            </w:pPr>
            <w:r>
              <w:rPr>
                <w:rFonts w:ascii="Arial" w:cs="Arial" w:eastAsia="Arial" w:hAnsi="Arial"/>
                <w:sz w:val="16"/>
                <w:szCs w:val="16"/>
                <w:color w:val="auto"/>
                <w:w w:val="92"/>
              </w:rPr>
              <w:t>benefit of $40, $39, and $150 for fiscal years 2021, 2020, and 2019,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0" w:type="dxa"/>
            <w:vAlign w:val="bottom"/>
          </w:tcPr>
          <w:p>
            <w:pPr>
              <w:spacing w:after="0"/>
              <w:rPr>
                <w:sz w:val="1"/>
                <w:szCs w:val="1"/>
                <w:color w:val="auto"/>
              </w:rPr>
            </w:pPr>
          </w:p>
        </w:tc>
      </w:tr>
      <w:tr>
        <w:trPr>
          <w:trHeight w:val="207"/>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comprehensive income</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w:t>
            </w:r>
          </w:p>
        </w:tc>
        <w:tc>
          <w:tcPr>
            <w:tcW w:w="0" w:type="dxa"/>
            <w:vAlign w:val="bottom"/>
          </w:tcPr>
          <w:p>
            <w:pPr>
              <w:spacing w:after="0"/>
              <w:rPr>
                <w:sz w:val="1"/>
                <w:szCs w:val="1"/>
                <w:color w:val="auto"/>
              </w:rPr>
            </w:pP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270,507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fiscal year ended</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January 1, 2022</w:t>
            </w:r>
          </w:p>
        </w:tc>
        <w:tc>
          <w:tcPr>
            <w:tcW w:w="120" w:type="dxa"/>
            <w:vAlign w:val="bottom"/>
          </w:tcPr>
          <w:p>
            <w:pPr>
              <w:spacing w:after="0"/>
              <w:rPr>
                <w:sz w:val="11"/>
                <w:szCs w:val="11"/>
                <w:color w:val="auto"/>
              </w:rPr>
            </w:pPr>
          </w:p>
        </w:tc>
        <w:tc>
          <w:tcPr>
            <w:tcW w:w="1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January 2, 2021</w:t>
            </w:r>
          </w:p>
        </w:tc>
        <w:tc>
          <w:tcPr>
            <w:tcW w:w="200" w:type="dxa"/>
            <w:vAlign w:val="bottom"/>
          </w:tcPr>
          <w:p>
            <w:pPr>
              <w:spacing w:after="0"/>
              <w:rPr>
                <w:sz w:val="11"/>
                <w:szCs w:val="11"/>
                <w:color w:val="auto"/>
              </w:rPr>
            </w:pPr>
          </w:p>
        </w:tc>
        <w:tc>
          <w:tcPr>
            <w:tcW w:w="162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w w:val="99"/>
              </w:rPr>
              <w:t>December 28, 2019</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(53 weeks)</w:t>
            </w:r>
          </w:p>
        </w:tc>
        <w:tc>
          <w:tcPr>
            <w:tcW w:w="200" w:type="dxa"/>
            <w:vAlign w:val="bottom"/>
          </w:tcPr>
          <w:p>
            <w:pPr>
              <w:spacing w:after="0"/>
              <w:rPr>
                <w:sz w:val="16"/>
                <w:szCs w:val="16"/>
                <w:color w:val="auto"/>
              </w:rPr>
            </w:pPr>
          </w:p>
        </w:tc>
        <w:tc>
          <w:tcPr>
            <w:tcW w:w="1620" w:type="dxa"/>
            <w:vAlign w:val="bottom"/>
          </w:tcPr>
          <w:p>
            <w:pPr>
              <w:jc w:val="right"/>
              <w:ind w:right="508"/>
              <w:spacing w:after="0"/>
              <w:rPr>
                <w:sz w:val="20"/>
                <w:szCs w:val="20"/>
                <w:color w:val="auto"/>
              </w:rPr>
            </w:pPr>
            <w:r>
              <w:rPr>
                <w:rFonts w:ascii="Arial" w:cs="Arial" w:eastAsia="Arial" w:hAnsi="Arial"/>
                <w:sz w:val="14"/>
                <w:szCs w:val="14"/>
                <w:b w:val="1"/>
                <w:bCs w:val="1"/>
                <w:color w:val="auto"/>
              </w:rPr>
              <w:t>(52 weeks)</w:t>
            </w:r>
          </w:p>
        </w:tc>
        <w:tc>
          <w:tcPr>
            <w:tcW w:w="0" w:type="dxa"/>
            <w:vAlign w:val="bottom"/>
          </w:tcPr>
          <w:p>
            <w:pPr>
              <w:spacing w:after="0"/>
              <w:rPr>
                <w:sz w:val="1"/>
                <w:szCs w:val="1"/>
                <w:color w:val="auto"/>
              </w:rPr>
            </w:pPr>
          </w:p>
        </w:tc>
      </w:tr>
      <w:tr>
        <w:trPr>
          <w:trHeight w:val="17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339,748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109,717</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263,802</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Depreciation on property, plant, and equipment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90,284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92,207</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89"/>
        </w:trPr>
        <w:tc>
          <w:tcPr>
            <w:tcW w:w="5560" w:type="dxa"/>
            <w:vAlign w:val="bottom"/>
          </w:tcPr>
          <w:p>
            <w:pPr>
              <w:ind w:left="300"/>
              <w:spacing w:after="0" w:line="189" w:lineRule="exact"/>
              <w:rPr>
                <w:sz w:val="20"/>
                <w:szCs w:val="20"/>
                <w:color w:val="auto"/>
              </w:rPr>
            </w:pPr>
            <w:r>
              <w:rPr>
                <w:rFonts w:ascii="Arial" w:cs="Arial" w:eastAsia="Arial" w:hAnsi="Arial"/>
                <w:sz w:val="14"/>
                <w:szCs w:val="14"/>
                <w:color w:val="auto"/>
              </w:rPr>
              <w:t>Provisions for (recoveries of) excess and obsolete inventory, net</w:t>
            </w:r>
            <w:r>
              <w:rPr>
                <w:rFonts w:ascii="Arial" w:cs="Arial" w:eastAsia="Arial" w:hAnsi="Arial"/>
                <w:sz w:val="18"/>
                <w:szCs w:val="18"/>
                <w:color w:val="auto"/>
                <w:vertAlign w:val="superscript"/>
              </w:rPr>
              <w:t>(1)</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4,866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(5,791)</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Goodwill impairment</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Intangible asset impairments</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26,500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30,800</w:t>
            </w:r>
          </w:p>
        </w:tc>
        <w:tc>
          <w:tcPr>
            <w:tcW w:w="0" w:type="dxa"/>
            <w:vAlign w:val="bottom"/>
          </w:tcPr>
          <w:p>
            <w:pPr>
              <w:spacing w:after="0"/>
              <w:rPr>
                <w:sz w:val="1"/>
                <w:szCs w:val="1"/>
                <w:color w:val="auto"/>
              </w:rPr>
            </w:pPr>
          </w:p>
        </w:tc>
      </w:tr>
      <w:tr>
        <w:trPr>
          <w:trHeight w:val="138"/>
        </w:trPr>
        <w:tc>
          <w:tcPr>
            <w:tcW w:w="5560" w:type="dxa"/>
            <w:vAlign w:val="bottom"/>
            <w:shd w:val="clear" w:color="auto" w:fill="CCEEFF"/>
          </w:tcPr>
          <w:p>
            <w:pPr>
              <w:ind w:left="300"/>
              <w:spacing w:after="0" w:line="139" w:lineRule="exact"/>
              <w:rPr>
                <w:sz w:val="20"/>
                <w:szCs w:val="20"/>
                <w:color w:val="auto"/>
              </w:rPr>
            </w:pPr>
            <w:r>
              <w:rPr>
                <w:rFonts w:ascii="Arial" w:cs="Arial" w:eastAsia="Arial" w:hAnsi="Arial"/>
                <w:sz w:val="14"/>
                <w:szCs w:val="14"/>
                <w:color w:val="auto"/>
                <w:w w:val="98"/>
              </w:rPr>
              <w:t>Other asset impairments and loss on disposal of property, plant and equipment, net of</w:t>
            </w:r>
          </w:p>
        </w:tc>
        <w:tc>
          <w:tcPr>
            <w:tcW w:w="26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recoveries</w:t>
            </w:r>
          </w:p>
        </w:tc>
        <w:tc>
          <w:tcPr>
            <w:tcW w:w="26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16,529</w:t>
            </w: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Unrealized foreign currency exchange loss (gain), net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Provisions for (recoveries of) doubtful accounts receivable from customers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7,823</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gains on investments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86"/>
        </w:trPr>
        <w:tc>
          <w:tcPr>
            <w:tcW w:w="5560" w:type="dxa"/>
            <w:vAlign w:val="bottom"/>
          </w:tcPr>
          <w:p>
            <w:pPr>
              <w:ind w:left="300"/>
              <w:spacing w:after="0"/>
              <w:rPr>
                <w:sz w:val="20"/>
                <w:szCs w:val="20"/>
                <w:color w:val="auto"/>
              </w:rPr>
            </w:pPr>
            <w:r>
              <w:rPr>
                <w:rFonts w:ascii="Arial" w:cs="Arial" w:eastAsia="Arial" w:hAnsi="Arial"/>
                <w:sz w:val="14"/>
                <w:szCs w:val="14"/>
                <w:color w:val="auto"/>
              </w:rPr>
              <w:t>Deferred income taxes benefit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(23,254)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(13,300)</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Effect of changes in operating assets and liabilities: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4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58,275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460"/>
              <w:spacing w:after="0" w:line="193" w:lineRule="exact"/>
              <w:rPr>
                <w:sz w:val="20"/>
                <w:szCs w:val="20"/>
                <w:color w:val="auto"/>
              </w:rPr>
            </w:pPr>
            <w:r>
              <w:rPr>
                <w:rFonts w:ascii="Arial" w:cs="Arial" w:eastAsia="Arial" w:hAnsi="Arial"/>
                <w:sz w:val="14"/>
                <w:szCs w:val="14"/>
                <w:color w:val="auto"/>
              </w:rPr>
              <w:t>Finished goods inventories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186"/>
        </w:trPr>
        <w:tc>
          <w:tcPr>
            <w:tcW w:w="556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6,866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(9,782)</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 and 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(87,311)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286,235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268,258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588,494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387,215</w:t>
            </w:r>
          </w:p>
        </w:tc>
        <w:tc>
          <w:tcPr>
            <w:tcW w:w="0" w:type="dxa"/>
            <w:vAlign w:val="bottom"/>
          </w:tcPr>
          <w:p>
            <w:pPr>
              <w:spacing w:after="0"/>
              <w:rPr>
                <w:sz w:val="1"/>
                <w:szCs w:val="1"/>
                <w:color w:val="auto"/>
              </w:rPr>
            </w:pPr>
          </w:p>
        </w:tc>
      </w:tr>
      <w:tr>
        <w:trPr>
          <w:trHeight w:val="145"/>
        </w:trPr>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(61,419)</w:t>
            </w:r>
          </w:p>
        </w:tc>
        <w:tc>
          <w:tcPr>
            <w:tcW w:w="0" w:type="dxa"/>
            <w:vAlign w:val="bottom"/>
          </w:tcPr>
          <w:p>
            <w:pPr>
              <w:spacing w:after="0"/>
              <w:rPr>
                <w:sz w:val="1"/>
                <w:szCs w:val="1"/>
                <w:color w:val="auto"/>
              </w:rPr>
            </w:pPr>
          </w:p>
        </w:tc>
      </w:tr>
      <w:tr>
        <w:trPr>
          <w:trHeight w:val="189"/>
        </w:trPr>
        <w:tc>
          <w:tcPr>
            <w:tcW w:w="5560" w:type="dxa"/>
            <w:vAlign w:val="bottom"/>
          </w:tcPr>
          <w:p>
            <w:pPr>
              <w:ind w:left="140"/>
              <w:spacing w:after="0" w:line="189" w:lineRule="exact"/>
              <w:rPr>
                <w:sz w:val="20"/>
                <w:szCs w:val="20"/>
                <w:color w:val="auto"/>
              </w:rPr>
            </w:pPr>
            <w:r>
              <w:rPr>
                <w:rFonts w:ascii="Arial" w:cs="Arial" w:eastAsia="Arial" w:hAnsi="Arial"/>
                <w:sz w:val="14"/>
                <w:szCs w:val="14"/>
                <w:color w:val="auto"/>
              </w:rPr>
              <w:t>Proceeds from sale of investments</w:t>
            </w:r>
            <w:r>
              <w:rPr>
                <w:rFonts w:ascii="Arial" w:cs="Arial" w:eastAsia="Arial" w:hAnsi="Arial"/>
                <w:sz w:val="18"/>
                <w:szCs w:val="18"/>
                <w:color w:val="auto"/>
                <w:vertAlign w:val="superscript"/>
              </w:rPr>
              <w:t>(2)</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Disposals and recoveries from property, plant, and equipment</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(32,442)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(31,471)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(60,670)</w:t>
            </w:r>
          </w:p>
        </w:tc>
        <w:tc>
          <w:tcPr>
            <w:tcW w:w="0" w:type="dxa"/>
            <w:vAlign w:val="bottom"/>
          </w:tcPr>
          <w:p>
            <w:pPr>
              <w:spacing w:after="0"/>
              <w:rPr>
                <w:sz w:val="1"/>
                <w:szCs w:val="1"/>
                <w:color w:val="auto"/>
              </w:rPr>
            </w:pPr>
          </w:p>
        </w:tc>
      </w:tr>
      <w:tr>
        <w:trPr>
          <w:trHeight w:val="145"/>
        </w:trPr>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senior notes due 2025</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Proceeds from senior notes due 2027</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senior notes due 2021</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Premiums paid to extinguish debt</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debt issuance costs</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(5,793)</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Borrowings under secured revolving credit facility</w:t>
            </w:r>
          </w:p>
        </w:tc>
        <w:tc>
          <w:tcPr>
            <w:tcW w:w="26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644,000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secured revolving credit facility</w:t>
            </w:r>
          </w:p>
        </w:tc>
        <w:tc>
          <w:tcPr>
            <w:tcW w:w="2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(361,000)</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(299,339)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(45,255)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(196,910)</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(89,591)</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rPr>
                <w:sz w:val="20"/>
                <w:szCs w:val="20"/>
                <w:color w:val="auto"/>
              </w:rPr>
            </w:pPr>
            <w:r>
              <w:rPr>
                <w:rFonts w:ascii="Arial" w:cs="Arial" w:eastAsia="Arial" w:hAnsi="Arial"/>
                <w:sz w:val="14"/>
                <w:szCs w:val="14"/>
                <w:color w:val="auto"/>
              </w:rPr>
              <w:t>Withholdings from vesting of restricted stock</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(352,710)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324,843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(283,384)</w:t>
            </w:r>
          </w:p>
        </w:tc>
        <w:tc>
          <w:tcPr>
            <w:tcW w:w="0" w:type="dxa"/>
            <w:vAlign w:val="bottom"/>
          </w:tcPr>
          <w:p>
            <w:pPr>
              <w:spacing w:after="0"/>
              <w:rPr>
                <w:sz w:val="1"/>
                <w:szCs w:val="1"/>
                <w:color w:val="auto"/>
              </w:rPr>
            </w:pPr>
          </w:p>
        </w:tc>
      </w:tr>
      <w:tr>
        <w:trPr>
          <w:trHeight w:val="145"/>
        </w:trPr>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effect of exchange rate changes on cash and cash equivalents</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8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888,012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44,234</w:t>
            </w:r>
          </w:p>
        </w:tc>
        <w:tc>
          <w:tcPr>
            <w:tcW w:w="0" w:type="dxa"/>
            <w:vAlign w:val="bottom"/>
          </w:tcPr>
          <w:p>
            <w:pPr>
              <w:spacing w:after="0"/>
              <w:rPr>
                <w:sz w:val="1"/>
                <w:szCs w:val="1"/>
                <w:color w:val="auto"/>
              </w:rPr>
            </w:pPr>
          </w:p>
        </w:tc>
      </w:tr>
      <w:tr>
        <w:trPr>
          <w:trHeight w:val="18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fiscal year</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1,102,323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170,077</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fiscal year</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984,294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1,102,323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214,311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flows for fiscal 2019 were revised to reflect the reclassification of $11.6 million related to the recoveries of excess and obsolete inventory.</w:t>
      </w:r>
    </w:p>
    <w:p>
      <w:pPr>
        <w:spacing w:after="0" w:line="55" w:lineRule="exact"/>
        <w:rPr>
          <w:rFonts w:ascii="Arial" w:cs="Arial" w:eastAsia="Arial" w:hAnsi="Arial"/>
          <w:sz w:val="14"/>
          <w:szCs w:val="14"/>
          <w:color w:val="auto"/>
        </w:rPr>
      </w:pPr>
    </w:p>
    <w:p>
      <w:pPr>
        <w:ind w:left="340" w:right="540" w:hanging="332"/>
        <w:spacing w:after="0" w:line="273"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flows for fiscal 2020 were revised to reflect the reclassification of $1.4 million proceeds from sale of investments from cash flows from operating activities to cash flows from investing activities.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1" w:name="page52"/>
    <w:bookmarkEnd w:id="51"/>
    <w:p>
      <w:pPr>
        <w:jc w:val="center"/>
        <w:ind w:right="-11"/>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(dollars in thousands)</w:t>
      </w:r>
    </w:p>
    <w:p>
      <w:pPr>
        <w:spacing w:after="0" w:line="49"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Common stock -</w:t>
            </w: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stock -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45,629,014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869,433</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6"/>
                <w:szCs w:val="16"/>
                <w:color w:val="auto"/>
              </w:rPr>
              <w:t>274,960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14,490</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 of restricted</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(46,429)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5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tcPr>
          <w:p>
            <w:pPr>
              <w:jc w:val="right"/>
              <w:spacing w:after="0"/>
              <w:rPr>
                <w:sz w:val="20"/>
                <w:szCs w:val="20"/>
                <w:color w:val="auto"/>
              </w:rPr>
            </w:pPr>
            <w:r>
              <w:rPr>
                <w:rFonts w:ascii="Arial" w:cs="Arial" w:eastAsia="Arial" w:hAnsi="Arial"/>
                <w:sz w:val="16"/>
                <w:szCs w:val="16"/>
                <w:color w:val="auto"/>
              </w:rPr>
              <w:t>213,030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16,529</w:t>
            </w:r>
          </w:p>
        </w:tc>
        <w:tc>
          <w:tcPr>
            <w:tcW w:w="0" w:type="dxa"/>
            <w:vAlign w:val="bottom"/>
          </w:tcPr>
          <w:p>
            <w:pPr>
              <w:spacing w:after="0"/>
              <w:rPr>
                <w:sz w:val="1"/>
                <w:szCs w:val="1"/>
                <w:color w:val="auto"/>
              </w:rPr>
            </w:pPr>
          </w:p>
        </w:tc>
      </w:tr>
      <w:tr>
        <w:trPr>
          <w:trHeight w:val="213"/>
        </w:trPr>
        <w:tc>
          <w:tcPr>
            <w:tcW w:w="298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(2,107,472)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(196,910)</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Cash dividends declared and paid of $2.00</w:t>
            </w:r>
          </w:p>
        </w:tc>
        <w:tc>
          <w:tcPr>
            <w:tcW w:w="1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(89,591)</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270,507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43,963,103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(47,337)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12,830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w w:val="96"/>
              </w:rPr>
              <w:t>Cash dividends declared and paid of $0.60</w:t>
            </w: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112,591</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43,780,075</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3"/>
              </w:rPr>
              <w:t>Withholdings from vesting of restricted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(41,523)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(4,019)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21,029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(299,339)</w:t>
            </w: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line="166" w:lineRule="exact"/>
              <w:rPr>
                <w:sz w:val="20"/>
                <w:szCs w:val="20"/>
                <w:color w:val="auto"/>
              </w:rPr>
            </w:pPr>
            <w:r>
              <w:rPr>
                <w:rFonts w:ascii="Arial" w:cs="Arial" w:eastAsia="Arial" w:hAnsi="Arial"/>
                <w:sz w:val="16"/>
                <w:szCs w:val="16"/>
                <w:color w:val="auto"/>
                <w:w w:val="96"/>
              </w:rPr>
              <w:t>Cash dividends declared and paid of $1.40</w:t>
            </w: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(60,124)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(60,124)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343,611</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500" w:type="dxa"/>
            <w:vAlign w:val="bottom"/>
          </w:tcPr>
          <w:p>
            <w:pPr>
              <w:jc w:val="right"/>
              <w:spacing w:after="0"/>
              <w:rPr>
                <w:sz w:val="20"/>
                <w:szCs w:val="20"/>
                <w:color w:val="auto"/>
              </w:rPr>
            </w:pPr>
            <w:r>
              <w:rPr>
                <w:rFonts w:ascii="Arial" w:cs="Arial" w:eastAsia="Arial" w:hAnsi="Arial"/>
                <w:sz w:val="16"/>
                <w:szCs w:val="16"/>
                <w:color w:val="auto"/>
              </w:rPr>
              <w:t>41,148,870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(28,897)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978,672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950,186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32" w:right="80" w:hanging="332"/>
        <w:spacing w:after="0" w:line="257" w:lineRule="auto"/>
        <w:tabs>
          <w:tab w:leader="none" w:pos="324"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2019, the Company reclassified $1.5 million of tax benefits from “Accumulated other comprehensive loss” to “Retained earnings” for the tax effects resulting from the December 22, 2017 enactment of the Tax Cut and Jobs Act in accordance with the adoption of Accounting Standards Update 2018-02, </w:t>
      </w:r>
      <w:r>
        <w:rPr>
          <w:rFonts w:ascii="Arial" w:cs="Arial" w:eastAsia="Arial" w:hAnsi="Arial"/>
          <w:sz w:val="14"/>
          <w:szCs w:val="14"/>
          <w:i w:val="1"/>
          <w:iCs w:val="1"/>
          <w:color w:val="auto"/>
        </w:rPr>
        <w:t>Reclassification of Certain Tax Effects from</w:t>
      </w:r>
      <w:r>
        <w:rPr>
          <w:rFonts w:ascii="Arial" w:cs="Arial" w:eastAsia="Arial" w:hAnsi="Arial"/>
          <w:sz w:val="14"/>
          <w:szCs w:val="14"/>
          <w:color w:val="auto"/>
        </w:rPr>
        <w:t xml:space="preserve"> </w:t>
      </w:r>
      <w:r>
        <w:rPr>
          <w:rFonts w:ascii="Arial" w:cs="Arial" w:eastAsia="Arial" w:hAnsi="Arial"/>
          <w:sz w:val="14"/>
          <w:szCs w:val="14"/>
          <w:i w:val="1"/>
          <w:iCs w:val="1"/>
          <w:color w:val="auto"/>
        </w:rPr>
        <w:t>Accumulated Other Comprehensive Income</w:t>
      </w:r>
      <w:r>
        <w:rPr>
          <w:rFonts w:ascii="Arial" w:cs="Arial" w:eastAsia="Arial" w:hAnsi="Arial"/>
          <w:sz w:val="14"/>
          <w:szCs w:val="14"/>
          <w:color w:val="auto"/>
        </w:rPr>
        <w:t>.</w:t>
      </w: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648"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Carter’s My First Love, little planet, </w:t>
      </w:r>
      <w:r>
        <w:rPr>
          <w:rFonts w:ascii="Arial" w:cs="Arial" w:eastAsia="Arial" w:hAnsi="Arial"/>
          <w:sz w:val="18"/>
          <w:szCs w:val="18"/>
          <w:color w:val="auto"/>
        </w:rPr>
        <w:t>and other brands. The Company’s products are sourced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Carter’s, Inc. and its wholly owned subsidiaries. All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08"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The Company’s fiscal year ends on the Saturday in December or January nearest December 31. Every five or six years, our fiscal year includes an additional 53</w:t>
      </w:r>
      <w:r>
        <w:rPr>
          <w:rFonts w:ascii="Arial" w:cs="Arial" w:eastAsia="Arial" w:hAnsi="Arial"/>
          <w:sz w:val="28"/>
          <w:szCs w:val="28"/>
          <w:color w:val="auto"/>
          <w:vertAlign w:val="superscript"/>
        </w:rPr>
        <w:t>rd</w:t>
      </w:r>
      <w:r>
        <w:rPr>
          <w:rFonts w:ascii="Arial" w:cs="Arial" w:eastAsia="Arial" w:hAnsi="Arial"/>
          <w:sz w:val="18"/>
          <w:szCs w:val="18"/>
          <w:color w:val="auto"/>
        </w:rPr>
        <w:t xml:space="preserve"> week of results. Fiscal 2021, which ended on January 1, 2022, contained 52 weeks. Fiscal 2020, which ended on January 2, 2021, contained 53 weeks. Fiscal 2019, which ended on December 28, 2019, contained 52 weeks.</w:t>
      </w:r>
    </w:p>
    <w:p>
      <w:pPr>
        <w:spacing w:after="0" w:line="159"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Certain expenses increased in relationship to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while other expenses, such as fixed costs and expenses incurred on a calendar-month basis, did not increase. The consolidated gross margin for the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is slightly lower than the consolidated gross margin for fiscal 2020 due to increased promotional activity during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Consolidated Financial Statements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Adjustments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Adjustments</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also recognizes gains and losses on transactions that are denominated in a currency other than the respective entity’s functional currency. Foreign currency transaction gains and losses also include the impact of intercompany loans with foreign subsidiaries.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of a long-term nature are accounted for as translation adjustments and are included in Accumulated other comprehensive income (loss) within the accompanying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part of the Company’s overall strategy to manage the level of exposure to the risk of foreign currency exchange rate fluctuations, primarily between the U.S. dollar and the currencies of Canada and Mexico, the Company may use foreign currency forward contracts to hedge purchases that are made in U.S. dollars, primarily for inventory purchases in its Canadian and Mexican operations. As part of this hedging strategy, the Company may use foreign currency forward exchange contracts with maturities of less than 12 months to provide continuing coverage throughout the hedging period. Historically, these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contracts were not designated for hedge accounting treatment, and therefore changes in the fair value of these contracts have been recorded in Other (income) expense, net in the Company’s consolidated statements of operations. Such foreign currency 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 However, money market funds held in a rabbi trust that are being used as investments to satisfy the Company’s obligations under its deferred compensation plans are treated as investments and recorded in Other assets on the accompanying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Cash Deposits Risk</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January 1, 2022, the Company had approximately $984.3 million of cash and cash equivalents in major financial institutions, including approximately $112.7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2020, and 2019, no one customer accounted for 10% or more of the Company’s consolidated net sales.</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At January 1, 2022, three wholesale customers each had individual receivable balances in excess of 10% of gross accounts receivable, and the total receivable balances due from these three wholesale customers in the aggregate equaled approximately 52% of total gross trade receivables outstanding. At January 2, 2021, three wholesale customers each had individual receivable balances in excess of 10% of gross accounts receivable, and the total receivable balances due from these three wholesale customers in the aggregate equaled approximately 69% of total gross trade receivables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Accounts for Wholesale Accounts Receivable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Reserves</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expected credit losses are reflected in Selling, general, and administrative (“SG&amp;A”) expenses on the consolidated statement of operations and provisions for chargebacks are reflected as a reduction in Net sales on the consolidated statement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Reserves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Except in very limited instances, the Company does not allow its wholesale customers to return goods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Inventories, which consist primarily of finished goods, are stated approximately at the lower of cost (first-in, first-out basis for wholesale inventory and average cost for retail inventory)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purchases are reflected as reductions in the cost of the related inventory item, and are therefore reflected in cost of sales when the related inventory item is sold.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Right of 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4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sheets.</w:t>
      </w:r>
    </w:p>
    <w:p>
      <w:pPr>
        <w:spacing w:after="0" w:line="19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gain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purchases software licenses from external vendors and also develops software internally using Company employees and consultants. Software license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 If a software application does not include a purchased license for the software, such as a cloud-based software application, the arrangement is accounted for as a service contract. Cloud computing implementation costs incurred in a hosting arrangement that is a service contract and that meet the applicable criteria are capitalized and reported in Prepaid expenses and other current assets on the consolidated balances sheets. Any capitalized costs are amortized over the term of the hosting arrangement, and the expense is presented in the same line item within the consolidated statements of operations as the expense for the service contract’s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Impairment Reviews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revenue growth and profitability, terminal values, discount rates, an implied control premium, and, in the case of tradenames, royalty rates.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 and the Company documents the relevant qualitative factors that support the strength in the fair value.</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 quantitative assessment for goodwill, the Company compares the fair value of a reporting unit to its carrying value, including goodwill. The Company uses the income approach and the market approach to determine the fair value of a reporting unit. The assumptions used in these approaches include revenue growth and profitability, terminal values, discount rates, and an implied control premium. These assumptions are consistent with those of hypothetical marketplace participants. An impairment is recorded for any excess carrying value above the fair value of the reporting unit, not to exceed the carrying value of goodwill.</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upon our most recent annual assessment, performed as of January 1, 2022, using a qualitative assessment, there were no impairments in the value of goodwill.</w:t>
      </w:r>
    </w:p>
    <w:p>
      <w:pPr>
        <w:spacing w:after="0" w:line="1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the first quarter of fiscal 2020, the Company concluded that impairment indicators existed due to the decrease in the Company’s market capitalization, lower than expected actual sales, and lower projected sales and profitability, primarily due to the impacts from the outbreak of COVID-19.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goodwill impairment assessment for the Other International reporting unit was performed in accordance with ASC 350, “</w:t>
      </w:r>
      <w:r>
        <w:rPr>
          <w:rFonts w:ascii="Arial" w:cs="Arial" w:eastAsia="Arial" w:hAnsi="Arial"/>
          <w:sz w:val="18"/>
          <w:szCs w:val="18"/>
          <w:i w:val="1"/>
          <w:iCs w:val="1"/>
          <w:color w:val="auto"/>
        </w:rPr>
        <w:t>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(“ASC 350”) and compares the carrying value of the Other International reporting unit to its fair value. Consistent with prior practice,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Other International reporting unit was determined using the income approach and the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1, 2022 was $11.7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Tradenames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our most recent annual assessment, performed as of January 1, 2022, using a qualitative assessment, there were no impairments in the values of our indefinite-lived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As discussed above, during the first quarter of fiscal 2020, the Company conducted interim quantitative impairment assessments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 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respectively. The charge recorded on our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included charges of $13.6 million, $1.6 million, and $0.3 million in the U.S. Retail, U.S. Wholesale, and International segments, respectively, to reflect the impairment of the value ascribed to the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values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as of January 1, 2022 were $70.0 million and $15.0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Other Long-Lived Assets</w:t>
      </w:r>
    </w:p>
    <w:p>
      <w:pPr>
        <w:spacing w:after="0" w:line="1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reviews other long-lived assets, including operating lease assets,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 There were no impairments to other long-lived assets in fiscal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Issuance Costs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Debt issuance costs associated with the Company’s secured revolving credit facility and senior term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sheets and classified as either current or non-current based on the expiration date of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8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color w:val="auto"/>
        </w:rPr>
        <w:t>Quoted prices for similar assets and liabilities in active markets or inputs that are observable.</w:t>
      </w:r>
    </w:p>
    <w:p>
      <w:pPr>
        <w:spacing w:after="0" w:line="23"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reflecting management’s own assumptions about the inputs used in pricing the asset or liability.</w:t>
      </w:r>
    </w:p>
    <w:p>
      <w:pPr>
        <w:spacing w:after="0" w:line="27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 Had the Company been required to remeasure and adjust the carrying values of its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to fair value at the end of each reporting period, such fair value measurements would have been disclosed as a Level 2 liability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five-step model to recognize revenue:</w:t>
      </w:r>
    </w:p>
    <w:p>
      <w:pPr>
        <w:spacing w:after="0" w:line="90" w:lineRule="exact"/>
        <w:rPr>
          <w:sz w:val="20"/>
          <w:szCs w:val="20"/>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Identity the performance obligation(s);</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0" w:lineRule="exact"/>
        <w:rPr>
          <w:rFonts w:ascii="Arial" w:cs="Arial" w:eastAsia="Arial" w:hAnsi="Arial"/>
          <w:sz w:val="18"/>
          <w:szCs w:val="18"/>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 the transaction price to each performance obligation if multiple obligations exist; and</w:t>
      </w:r>
    </w:p>
    <w:p>
      <w:pPr>
        <w:spacing w:after="0" w:line="103" w:lineRule="exact"/>
        <w:rPr>
          <w:rFonts w:ascii="Arial" w:cs="Arial" w:eastAsia="Arial" w:hAnsi="Arial"/>
          <w:sz w:val="18"/>
          <w:szCs w:val="18"/>
          <w:color w:val="auto"/>
        </w:rPr>
      </w:pPr>
    </w:p>
    <w:p>
      <w:pPr>
        <w:ind w:left="960" w:hanging="30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Recognize the revenue when the performance obligations are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 identifies each distinct performance obligation to transfer goods (or bundle of goods). The Company recognizes revenue when (or as) it satisfies a performance obligation by transferring control of the goods to the customer. Other than inbound and outbound freight and shipping arrangements, the Company does not use third parties to satisfy its performance obligations in revenue arrangements with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When Performance Obligations Are Satisfied</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Wholesale Revenues - The Company typically transfers control upon shipment. However, in certain arrangements where the Company retains the risk of loss during shipment, satisfaction of the performance obligation occurs when the goods reach the customer.</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Loyalty program - Retail customers can earn loyalty points that accumulate towards earning reward certificates that are redeemable for a specified amount off of future purchases for a specified period of time. Points and reward certificates earned by retail customers under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program breakage is recognized as revenue based on the customer redemption pattern.</w:t>
      </w:r>
    </w:p>
    <w:p>
      <w:pPr>
        <w:spacing w:after="0" w:line="1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Gift Cards - Customer purchases of gift cards are not recognized as revenue until the gift card is redeemed. The revenue that is deferred is recorded within Other current liabilities on the Company’s consolidated balance sheets. Gift card breakage is recognized as revenue based on the customer redemption pattern.</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Royalty Revenues - The Company satisfies its performance obligations with licensees over time as customers have the right to use the intellectual property over the contract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Payment Terms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Retail customers tender a form of payment, such as cash or a credit/debit card, at point of sale. For wholesale customers and licensees, payment is due based on established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 and Refunds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establishes return provisions for retail customers. Except in very limited instances, the Company does not allow its wholesale customers to return goods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Sale of Goods - The Company relies on shipping terms to determine when performance obligations are satisfied. When goods are shipped to wholesale customers “FOB Shipping Point,” control of the goods is transferred to the customer at the time of shipment if there are no remaining performance obligations. The Company recognizes the revenue once control passes to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 on-line and pick up in store, buy-on-line, ship-to-store, and buy-on-line, deliver-from-store, when the product is physically delivered to the customer or when the product arrives at the store and has been picked up by the customer.</w:t>
      </w:r>
    </w:p>
    <w:p>
      <w:pPr>
        <w:spacing w:after="0" w:line="12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1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For retail transactions, the Company has significant experience with return patterns and relies on this experience to estimate expected returns when determining the transaction price.</w:t>
      </w:r>
    </w:p>
    <w:p>
      <w:pPr>
        <w:spacing w:after="0" w:line="14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Standalone Selling Prices - For arrangements that contain multiple performance obligations, the Company allocates the transaction price to each performance obligation on a relative standalone selling price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Obtain a Contract - Incremental costs to obtain contracts are not material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those previously disclosed, the Company has made the following accounting policy elections and practical expedients:</w:t>
      </w:r>
    </w:p>
    <w:p>
      <w:pPr>
        <w:spacing w:after="0" w:line="104" w:lineRule="exact"/>
        <w:rPr>
          <w:sz w:val="20"/>
          <w:szCs w:val="20"/>
          <w:color w:val="auto"/>
        </w:rPr>
      </w:pPr>
    </w:p>
    <w:p>
      <w:pPr>
        <w:ind w:left="660" w:right="8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Portfolio Approach - The Company uses the portfolio approach when multiple contracts or performance obligations are involved in the determination of revenue recognition.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Taxes - The Company excludes from the transaction price any taxes collected from customers that are remitted to taxing authorities.</w:t>
      </w:r>
    </w:p>
    <w:p>
      <w:pPr>
        <w:spacing w:after="0" w:line="10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Shipping and Handling Charges - Charges that are incurred before and after the customer obtains control of goods are deemed to be fulfillment costs.</w:t>
      </w:r>
    </w:p>
    <w:p>
      <w:pPr>
        <w:spacing w:after="0" w:line="4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 Value of Money - The Company’s payment terms are less than one year from the transfer of goods. Therefore, the Company does not adjust promised amounts of consideration for the effects of the time value of money.</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Cooperative advertising arrangements reimburse customers for marketing activities for certain of our products. The Company records these reimbursements under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$0.2 million for fiscal 2021, $0.5 million for fiscal 2020, and $3.1 million for fiscal 2019 as a component of SG&amp;A expenses on the Company’s consolidated statements of operations, rather than as a reduction of Net sales. Amounts determined to be in excess of the fair value of these arrangements are recorded as a reduction of Net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Selling, General and Administrative Expenses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cost of product, cost of goods sold include changes to our inventory reserve and expenses related to the merchandising, design, and procurement of product, including inbound freight costs, purchasing and receiving costs, and inspection costs. Also included in costs of goods sold are the costs of shipping eCommerce product to end consumers. For omni-channel transactions, costs of goods sold include the costs of shipping product to end customers or to retail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Retail store occupancy costs, distribution expenses, and generally all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$206.6 million, $190.7 million, and $191.1 million for fiscal years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Gross profit is calculated as consolidated net sales less cost of goods sold, and gross margin is calculated as gross profit divided by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Definitions of gross profit and gross margin vary across the industry and, as such, our metrics may not be comparable to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Royalties and License Fees</w:t>
      </w:r>
    </w:p>
    <w:p>
      <w:pPr>
        <w:spacing w:after="0" w:line="10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We license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and Carter’s My First Love</w:t>
      </w:r>
      <w:r>
        <w:rPr>
          <w:rFonts w:ascii="Arial" w:cs="Arial" w:eastAsia="Arial" w:hAnsi="Arial"/>
          <w:sz w:val="18"/>
          <w:szCs w:val="18"/>
          <w:color w:val="auto"/>
        </w:rPr>
        <w:t xml:space="preserve"> brands to partners to expand our product offerings to include bedding, cribs, diaper bags, footwear, gift sets, hair accessories, jewelry, outerwear, paper goods, socks, shoes, swimwear, and toys. These royalties are recorded as earned, based upon the sales of licensed products by licensees and reported as royalty income on the Company’s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Advertising production costs and costs associated with communicating advertising that has been produced are expensed when the advertising event takes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place. Certain other advertising costs where it is uncertain when the expected benefits would occur are expensed as incurred. Advertising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$102.8 million, $75.6 million, and $93.4 million for fiscal years 2021, 2020, and 2019, respectively, and are included in SG&amp;A expenses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operations. Deferred advertising costs for advertisements that have not yet occurred or for advertising services that have not yet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received were $4.1 million and $3.8 million at January 1, 2022 and January 2, 2021, respectively, and are included 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on the Company’s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Arrangements</w:t>
      </w:r>
    </w:p>
    <w:p>
      <w:pPr>
        <w:spacing w:after="0" w:line="10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Company recognizes the cost resulting from all stock-based payment transactions in the financial statements at grant date fair value. Stock-based compensation expense is recognized over the requisite service period, net of estimated forfeitures. For performance awards containing retirement provisions, stock-based compensation expense is recognized over the period from the grant date to the date retirement eligibility is achieved, if that is expected to occur during the nominal service period, or over the period in which the required performance period has been met. For awards containing retirement provisions that are granted to retirement eligible employees, stock-based compensation expense is recognized over the period in which the required performance has been met.</w:t>
      </w:r>
    </w:p>
    <w:p>
      <w:pPr>
        <w:spacing w:after="0" w:line="152"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determines the fair value of stock options using the Black-Scholes option pricing model, which requires the use of the following subjective assumptions:</w:t>
      </w:r>
    </w:p>
    <w:p>
      <w:pPr>
        <w:spacing w:after="0" w:line="49" w:lineRule="exact"/>
        <w:rPr>
          <w:sz w:val="20"/>
          <w:szCs w:val="20"/>
          <w:color w:val="auto"/>
        </w:rPr>
      </w:pPr>
    </w:p>
    <w:p>
      <w:pPr>
        <w:jc w:val="both"/>
        <w:ind w:left="660" w:right="24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 This is a measure of the amount by which a stock price has fluctuated or is expected to fluctuate. The Company uses actual monthly historical changes in the market value of its stock covering the expected life of options being valued. An increase in the expected volatility will increase the fair value of the stock option and related compensation expense.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Risk-free interest rate - This is the U.S. Treasury rate as of the grant date having a term equal to the expected term of the stock option. An increase in the risk-free interest rate will increase the fair value of the stock option and related compensation expense.</w:t>
      </w:r>
    </w:p>
    <w:p>
      <w:pPr>
        <w:spacing w:after="0" w:line="35" w:lineRule="exact"/>
        <w:rPr>
          <w:rFonts w:ascii="Arial" w:cs="Arial" w:eastAsia="Arial" w:hAnsi="Arial"/>
          <w:sz w:val="18"/>
          <w:szCs w:val="18"/>
          <w:color w:val="auto"/>
        </w:rPr>
      </w:pPr>
    </w:p>
    <w:p>
      <w:pPr>
        <w:ind w:left="660" w:right="24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term - This is the period of time over which the stock options granted are expected to remain outstanding and is based on historical experience and 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right="34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Dividend yield - The Company estimates a dividend yield based on the current dividend amount as a percentage of the current stock price. An increase in the dividend yield will decrease the fair value of the stock option and the related compensation expenses.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Forfeitures - The Company estimates forfeitures of stock-based awards based on historical experience and expected future activity.</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Changes in these subjective assumptions can materially affect the estimate of fair value of stock-based compensation expense and the related amount recognized in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For performance awards containing retirement provisions, stock-based compensation expense is recognized over the period from the grant date to the date retirement eligibility is achieved, if that is expected to occur during the nominal service period, or over the period in which the required performance period has been met. For awards containing retirement provisions that are granted to retirement eligible employees, stock-based compensation expense is recognized over the period in which the required performance has been met. The Company reassesses the probability of vesting at each reporting period and adjusts stock-based compensation expense based on its probability assessment.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The accompanying consolidated financial statements reflect current and deferred tax provisions,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paid in cash approximated $59.0 million, $55.1 million, and $36.5 million for fiscal years 2021, 2020, and 2019, respectively. Income taxes paid in cash approximated $115.3 million, $54.7 million and $67.6 million for fiscal years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Additions to property, plant and equipment of approximately $15.4 million, $6.0 million, and $1.2 million were excluded from capital expenditures on the Company’s consolidated statements of cash flows for fiscal years 2021, 2020, and 2019, respectively, since these amounts were accrued and unpaid at the end of each respective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Repurchases of Common Stock</w:t>
      </w:r>
    </w:p>
    <w:p>
      <w:pPr>
        <w:spacing w:after="0" w:line="9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2021,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4"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w:t>
      </w:r>
    </w:p>
    <w:p>
      <w:pPr>
        <w:spacing w:after="0" w:line="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net of tax. These costs are then subsequently recognized as components of net periodic benefit cost in the consolidated statements of operations. Under the provisions of ASU No. 2015-04, </w:t>
      </w:r>
      <w:r>
        <w:rPr>
          <w:rFonts w:ascii="Arial" w:cs="Arial" w:eastAsia="Arial" w:hAnsi="Arial"/>
          <w:sz w:val="17"/>
          <w:szCs w:val="17"/>
          <w:i w:val="1"/>
          <w:iCs w:val="1"/>
          <w:color w:val="auto"/>
        </w:rPr>
        <w:t>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Benefit Obligation and Plan Assets</w:t>
      </w:r>
      <w:r>
        <w:rPr>
          <w:rFonts w:ascii="Arial" w:cs="Arial" w:eastAsia="Arial" w:hAnsi="Arial"/>
          <w:sz w:val="17"/>
          <w:szCs w:val="17"/>
          <w:color w:val="auto"/>
        </w:rPr>
        <w:t>, the Company is permitted to use December 31 of each year, as opposed to the Company’s last day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as an alternate measurement date for its defined benefit plans.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and Severance Costs</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Be Adopted After Fiscal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(“ASU 2020-04”). ASU 2020-04 provides optional expedients and exceptions for applying GAAP to contracts, hedging relationships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affected by reference rate reform if certain criteria are met. The optional guidance is provided to ease the potential burden of accounting for reference rate reform. ASU 2020-04 is effective for all entities as of March 12, 2020 through December 31, 2022. The Company does not expect adoption of ASU 2020-04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fiscal years 2021, 2020, and 2019 were as follows:</w:t>
      </w:r>
    </w:p>
    <w:p>
      <w:pPr>
        <w:sectPr>
          <w:pgSz w:w="11900" w:h="16838" w:orient="portrait"/>
          <w:cols w:equalWidth="0" w:num="1">
            <w:col w:w="11220"/>
          </w:cols>
          <w:pgMar w:left="320" w:top="121" w:right="35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(dollars in thousands)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 net</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(dollars in thousands)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 net</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(dollars in thousands)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 net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Fiscal year ended January 1, 2022 (52 weeks)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ind w:left="10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1"/>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1,126,415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171,703</w:t>
            </w:r>
          </w:p>
        </w:tc>
        <w:tc>
          <w:tcPr>
            <w:tcW w:w="12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1,298,118</w:t>
            </w:r>
          </w:p>
        </w:tc>
      </w:tr>
      <w:tr>
        <w:trPr>
          <w:trHeight w:val="219"/>
        </w:trPr>
        <w:tc>
          <w:tcPr>
            <w:tcW w:w="2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1,899,262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289,060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2,188,322</w:t>
            </w:r>
          </w:p>
        </w:tc>
      </w:tr>
      <w:tr>
        <w:trPr>
          <w:trHeight w:val="209"/>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1,899,262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1,126,415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460,763</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3,486,440</w:t>
            </w:r>
          </w:p>
        </w:tc>
      </w:tr>
      <w:tr>
        <w:trPr>
          <w:trHeight w:val="23"/>
        </w:trPr>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8,541</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15,808</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4,332</w:t>
            </w:r>
          </w:p>
        </w:tc>
        <w:tc>
          <w:tcPr>
            <w:tcW w:w="120" w:type="dxa"/>
            <w:vAlign w:val="bottom"/>
          </w:tcPr>
          <w:p>
            <w:pPr>
              <w:spacing w:after="0"/>
              <w:rPr>
                <w:sz w:val="24"/>
                <w:szCs w:val="24"/>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-2741930</wp:posOffset>
            </wp:positionH>
            <wp:positionV relativeFrom="paragraph">
              <wp:posOffset>-673100</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-398780</wp:posOffset>
            </wp:positionV>
            <wp:extent cx="711517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-132715</wp:posOffset>
            </wp:positionV>
            <wp:extent cx="711517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8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Fiscal year ended January 2, 2021 (53 weeks)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1"/>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120,244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1,116,332</w:t>
            </w:r>
          </w:p>
        </w:tc>
      </w:tr>
      <w:tr>
        <w:trPr>
          <w:trHeight w:val="219"/>
        </w:trPr>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236,358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1,908,002</w:t>
            </w:r>
          </w:p>
        </w:tc>
      </w:tr>
      <w:tr>
        <w:trPr>
          <w:trHeight w:val="210"/>
        </w:trPr>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1,671,644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996,088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356,602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3,024,334</w:t>
            </w:r>
          </w:p>
        </w:tc>
      </w:tr>
      <w:tr>
        <w:trPr>
          <w:trHeight w:val="23"/>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9"/>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8,732</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13,120</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26,276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-673100</wp:posOffset>
            </wp:positionV>
            <wp:extent cx="70980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-398780</wp:posOffset>
            </wp:positionV>
            <wp:extent cx="709803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-132715</wp:posOffset>
            </wp:positionV>
            <wp:extent cx="70980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83"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Fiscal year ended December 28, 2019 (52 weeks)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1,205,646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163,793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1,369,439</w:t>
            </w:r>
          </w:p>
        </w:tc>
      </w:tr>
      <w:tr>
        <w:trPr>
          <w:trHeight w:val="219"/>
        </w:trPr>
        <w:tc>
          <w:tcPr>
            <w:tcW w:w="4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1,884,150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265,697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2,149,847</w:t>
            </w:r>
          </w:p>
        </w:tc>
      </w:tr>
      <w:tr>
        <w:trPr>
          <w:trHeight w:val="209"/>
        </w:trPr>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1,884,150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1,205,646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429,490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3,519,286</w:t>
            </w:r>
          </w:p>
        </w:tc>
      </w:tr>
      <w:tr>
        <w:trPr>
          <w:trHeight w:val="24"/>
        </w:trPr>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8"/>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12,990</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17,670</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34,637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-672465</wp:posOffset>
            </wp:positionV>
            <wp:extent cx="70980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-398145</wp:posOffset>
            </wp:positionV>
            <wp:extent cx="709803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-132715</wp:posOffset>
            </wp:positionV>
            <wp:extent cx="70980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880"/>
          </w:cols>
          <w:pgMar w:left="320" w:top="121" w:right="35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2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1, 2022</w:t>
            </w:r>
          </w:p>
        </w:tc>
        <w:tc>
          <w:tcPr>
            <w:tcW w:w="260" w:type="dxa"/>
            <w:vAlign w:val="bottom"/>
          </w:tcPr>
          <w:p>
            <w:pPr>
              <w:spacing w:after="0"/>
              <w:rPr>
                <w:sz w:val="18"/>
                <w:szCs w:val="18"/>
                <w:color w:val="auto"/>
              </w:rPr>
            </w:pP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233,928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180,830</w:t>
            </w: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5,733</w:t>
            </w: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allowances and 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r>
      <w:tr>
        <w:trPr>
          <w:trHeight w:val="206"/>
        </w:trPr>
        <w:tc>
          <w:tcPr>
            <w:tcW w:w="720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250,049</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198,878</w:t>
            </w:r>
          </w:p>
        </w:tc>
      </w:tr>
      <w:tr>
        <w:trPr>
          <w:trHeight w:val="219"/>
        </w:trPr>
        <w:tc>
          <w:tcPr>
            <w:tcW w:w="72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231,354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186,512</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allowance for credit losses of $7.3 million and $5.9 million for the periods ended January 1, 2022 and January 2,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3" w:name="page64"/>
    <w:bookmarkEnd w:id="6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Wholesale accounts receivable reserves is as follows: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29, 2018</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Reclassification to Trade receivables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Balance at December 28, 2019</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provisions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Balance at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Additional provisions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January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Wholesale accounts</w:t>
      </w:r>
    </w:p>
    <w:p>
      <w:pPr>
        <w:ind w:left="240"/>
        <w:spacing w:after="0"/>
        <w:rPr>
          <w:sz w:val="20"/>
          <w:szCs w:val="20"/>
          <w:color w:val="auto"/>
        </w:rPr>
      </w:pPr>
      <w:r>
        <w:rPr>
          <w:rFonts w:ascii="Arial" w:cs="Arial" w:eastAsia="Arial" w:hAnsi="Arial"/>
          <w:sz w:val="16"/>
          <w:szCs w:val="16"/>
          <w:b w:val="1"/>
          <w:bCs w:val="1"/>
          <w:color w:val="auto"/>
        </w:rPr>
        <w:t>receivable reserves</w:t>
      </w:r>
    </w:p>
    <w:p>
      <w:pPr>
        <w:spacing w:after="0" w:line="32" w:lineRule="exact"/>
        <w:rPr>
          <w:sz w:val="20"/>
          <w:szCs w:val="20"/>
          <w:color w:val="auto"/>
        </w:rPr>
      </w:pPr>
    </w:p>
    <w:p>
      <w:pPr>
        <w:ind w:left="1280" w:hanging="1278"/>
        <w:spacing w:after="0"/>
        <w:tabs>
          <w:tab w:leader="none" w:pos="12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11,866</w:t>
      </w:r>
    </w:p>
    <w:p>
      <w:pPr>
        <w:spacing w:after="0" w:line="43"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6"/>
          <w:szCs w:val="16"/>
          <w:color w:val="auto"/>
        </w:rPr>
        <w:t>9,047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(7,939)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(1,691)</w:t>
      </w:r>
    </w:p>
    <w:p>
      <w:pPr>
        <w:spacing w:after="0" w:line="46" w:lineRule="exact"/>
        <w:rPr>
          <w:sz w:val="20"/>
          <w:szCs w:val="20"/>
          <w:color w:val="auto"/>
        </w:rPr>
      </w:pPr>
    </w:p>
    <w:p>
      <w:pPr>
        <w:ind w:left="1280" w:hanging="1278"/>
        <w:spacing w:after="0"/>
        <w:tabs>
          <w:tab w:leader="none" w:pos="12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11,283</w:t>
      </w:r>
    </w:p>
    <w:p>
      <w:pPr>
        <w:spacing w:after="0" w:line="43" w:lineRule="exact"/>
        <w:rPr>
          <w:rFonts w:ascii="Arial" w:cs="Arial" w:eastAsia="Arial" w:hAnsi="Arial"/>
          <w:sz w:val="15"/>
          <w:szCs w:val="15"/>
          <w:color w:val="auto"/>
        </w:rPr>
      </w:pPr>
    </w:p>
    <w:p>
      <w:pPr>
        <w:ind w:left="1340"/>
        <w:spacing w:after="0"/>
        <w:rPr>
          <w:rFonts w:ascii="Arial" w:cs="Arial" w:eastAsia="Arial" w:hAnsi="Arial"/>
          <w:sz w:val="15"/>
          <w:szCs w:val="15"/>
          <w:color w:val="auto"/>
        </w:rPr>
      </w:pPr>
      <w:r>
        <w:rPr>
          <w:rFonts w:ascii="Arial" w:cs="Arial" w:eastAsia="Arial" w:hAnsi="Arial"/>
          <w:sz w:val="16"/>
          <w:szCs w:val="16"/>
          <w:color w:val="auto"/>
        </w:rPr>
        <w:t>9,625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1398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6" w:lineRule="exact"/>
        <w:rPr>
          <w:sz w:val="20"/>
          <w:szCs w:val="20"/>
          <w:color w:val="auto"/>
        </w:rPr>
      </w:pPr>
    </w:p>
    <w:p>
      <w:pPr>
        <w:ind w:left="1260" w:hanging="1258"/>
        <w:spacing w:after="0"/>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12,366</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13,282</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5"/>
          <w:szCs w:val="15"/>
          <w:color w:val="auto"/>
        </w:rPr>
        <w:t>(6,953)</w:t>
      </w:r>
    </w:p>
    <w:p>
      <w:pPr>
        <w:spacing w:after="0" w:line="57" w:lineRule="exact"/>
        <w:rPr>
          <w:sz w:val="20"/>
          <w:szCs w:val="20"/>
          <w:color w:val="auto"/>
        </w:rPr>
      </w:pPr>
    </w:p>
    <w:p>
      <w:pPr>
        <w:ind w:left="1260" w:hanging="1258"/>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18,695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1139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740" w:space="720"/>
            <w:col w:w="1780"/>
          </w:cols>
          <w:pgMar w:left="320" w:top="121" w:right="339" w:bottom="1440" w:gutter="0" w:footer="0" w:header="0"/>
        </w:sectPr>
      </w:pPr>
    </w:p>
    <w:p>
      <w:pPr>
        <w:ind w:left="340" w:right="160" w:hanging="332"/>
        <w:spacing w:after="0" w:line="273"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 reclassified $1.7 million of customer support related items from Wholesale accounts receivable reserves into Trade receivables from wholesale customers, net for the period December 28, 2019.</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Charges to the reserve include total write-offs of $6.5 million related to the bankruptcy of customers during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1, 2022</w:t>
            </w:r>
          </w:p>
        </w:tc>
        <w:tc>
          <w:tcPr>
            <w:tcW w:w="280" w:type="dxa"/>
            <w:vAlign w:val="bottom"/>
          </w:tcPr>
          <w:p>
            <w:pPr>
              <w:spacing w:after="0"/>
              <w:rPr>
                <w:sz w:val="18"/>
                <w:szCs w:val="18"/>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 2021</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21,619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18,300</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r>
      <w:tr>
        <w:trPr>
          <w:trHeight w:val="216"/>
        </w:trPr>
        <w:tc>
          <w:tcPr>
            <w:tcW w:w="71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4"/>
        </w:trPr>
        <w:tc>
          <w:tcPr>
            <w:tcW w:w="7180" w:type="dxa"/>
            <w:vAlign w:val="bottom"/>
            <w:tcBorders>
              <w:bottom w:val="single" w:sz="8" w:color="CCEEFF"/>
            </w:tcBorders>
            <w:shd w:val="clear" w:color="auto" w:fill="CCEEFF"/>
          </w:tcPr>
          <w:p>
            <w:pPr>
              <w:ind w:left="48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24,255</w:t>
            </w:r>
          </w:p>
        </w:tc>
      </w:tr>
      <w:tr>
        <w:trPr>
          <w:trHeight w:val="21"/>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1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10"/>
        </w:trPr>
        <w:tc>
          <w:tcPr>
            <w:tcW w:w="7180" w:type="dxa"/>
            <w:vAlign w:val="bottom"/>
          </w:tcPr>
          <w:p>
            <w:pPr>
              <w:ind w:left="580"/>
              <w:spacing w:after="0"/>
              <w:rPr>
                <w:sz w:val="20"/>
                <w:szCs w:val="20"/>
                <w:color w:val="auto"/>
              </w:rPr>
            </w:pPr>
            <w:r>
              <w:rPr>
                <w:rFonts w:ascii="Arial" w:cs="Arial" w:eastAsia="Arial" w:hAnsi="Arial"/>
                <w:sz w:val="16"/>
                <w:szCs w:val="16"/>
                <w:color w:val="auto"/>
              </w:rPr>
              <w:t>Total contract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right="240" w:hanging="332"/>
        <w:spacing w:after="0" w:line="273" w:lineRule="auto"/>
        <w:tabs>
          <w:tab w:leader="none" w:pos="332"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amount reflects the non-current portion of the Carter’s credit card upfront bonus.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Contract Liabilities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Unredeemed gift cards - the Company is obligated to transfer goods in the future to customers who have purchased gift cards. Periodic changes in the gift card contract liability result from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w:t>
      </w:r>
    </w:p>
    <w:p>
      <w:pPr>
        <w:spacing w:after="0" w:line="14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reward certificate redemptions and expirations. The earning and redemption cycles for our loyalty program are under one year in duration.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the periods presented, the Company’s finance leases were not material to the consolidated balance sheets, consolidated statements of operations, or statement of cash flows.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components of lease expense are included in SG&amp;A expenses on the Company’s consolidated statements of operations for the fiscal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For the fiscal year ended</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1, 2022</w:t>
            </w: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January 2, 2021</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28, 2019</w:t>
            </w: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180,056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179,982</w:t>
            </w:r>
          </w:p>
        </w:tc>
      </w:tr>
      <w:tr>
        <w:trPr>
          <w:trHeight w:val="216"/>
        </w:trPr>
        <w:tc>
          <w:tcPr>
            <w:tcW w:w="5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63,043</w:t>
            </w: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252,027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short-term leases, which are not material, and operating lease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080" w:type="dxa"/>
            <w:vAlign w:val="bottom"/>
            <w:gridSpan w:val="2"/>
          </w:tcPr>
          <w:p>
            <w:pPr>
              <w:ind w:left="440"/>
              <w:spacing w:after="0"/>
              <w:rPr>
                <w:sz w:val="20"/>
                <w:szCs w:val="20"/>
                <w:color w:val="auto"/>
              </w:rPr>
            </w:pPr>
            <w:r>
              <w:rPr>
                <w:rFonts w:ascii="Arial" w:cs="Arial" w:eastAsia="Arial" w:hAnsi="Arial"/>
                <w:sz w:val="16"/>
                <w:szCs w:val="16"/>
                <w:b w:val="1"/>
                <w:bCs w:val="1"/>
                <w:color w:val="auto"/>
              </w:rPr>
              <w:t>January 1, 2022</w:t>
            </w:r>
          </w:p>
        </w:tc>
        <w:tc>
          <w:tcPr>
            <w:tcW w:w="1980" w:type="dxa"/>
            <w:vAlign w:val="bottom"/>
          </w:tcPr>
          <w:p>
            <w:pPr>
              <w:ind w:left="440"/>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operating lease term (years)</w:t>
            </w: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5.4</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Weighted average discount rate for operating leases</w:t>
            </w: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980" w:type="dxa"/>
            <w:vAlign w:val="bottom"/>
          </w:tcPr>
          <w:p>
            <w:pPr>
              <w:jc w:val="right"/>
              <w:ind w:right="699"/>
              <w:spacing w:after="0"/>
              <w:rPr>
                <w:sz w:val="20"/>
                <w:szCs w:val="20"/>
                <w:color w:val="auto"/>
              </w:rPr>
            </w:pPr>
            <w:r>
              <w:rPr>
                <w:rFonts w:ascii="Arial" w:cs="Arial" w:eastAsia="Arial" w:hAnsi="Arial"/>
                <w:sz w:val="16"/>
                <w:szCs w:val="16"/>
                <w:color w:val="auto"/>
              </w:rPr>
              <w:t>3.33%</w:t>
            </w:r>
          </w:p>
        </w:tc>
      </w:tr>
    </w:tbl>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fiscal 2021 and fiscal 2020 was $209.1 million and $161.7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assets obtained in exchange for operating lease liabilities in fiscal 2021 and fiscal 2020 were $39.6 million and $62.6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the 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164,338</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141,248</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113,584</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81,206</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57,194</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2026</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82,197</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639,767</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(50,369)</w:t>
            </w:r>
          </w:p>
        </w:tc>
      </w:tr>
      <w:tr>
        <w:trPr>
          <w:trHeight w:val="238"/>
        </w:trPr>
        <w:tc>
          <w:tcPr>
            <w:tcW w:w="9600" w:type="dxa"/>
            <w:vAlign w:val="bottom"/>
            <w:tcBorders>
              <w:bottom w:val="single" w:sz="8" w:color="CCEEFF"/>
            </w:tcBorders>
            <w:shd w:val="clear" w:color="auto" w:fill="CCEEFF"/>
          </w:tcPr>
          <w:p>
            <w:pPr>
              <w:ind w:left="140"/>
              <w:spacing w:after="0" w:line="213" w:lineRule="exact"/>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589,398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w:t>
      </w:r>
    </w:p>
    <w:p>
      <w:pPr>
        <w:spacing w:after="0" w:line="1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January 1, 2022, the minimum rental commitments for additional operating lease contracts, primarily for retail stores, that have not yet commenced are $6.8 million. These operating leases will commence between fiscal year 2022 and fiscal year 2023 with lease terms of 3 years to 10 years.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20" w:type="dxa"/>
            <w:vAlign w:val="bottom"/>
          </w:tcPr>
          <w:p>
            <w:pPr>
              <w:jc w:val="right"/>
              <w:ind w:right="299"/>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 and leasehold improvements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328,771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358,121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Fixtures, equipment, and computer hardware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280,022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308,260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159,558</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Marketing fixtures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9,819</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w:t>
            </w:r>
          </w:p>
        </w:tc>
      </w:tr>
      <w:tr>
        <w:trPr>
          <w:trHeight w:val="209"/>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744,930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846,325</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(528,926)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(583,980)</w:t>
            </w: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216,004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262,345</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was approximately $90.4 million, $90.3 million, and $92.2 million for fiscal years 2021, 2020, and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28, 2019</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229,026</w:t>
            </w:r>
          </w:p>
        </w:tc>
      </w:tr>
      <w:tr>
        <w:trPr>
          <w:trHeight w:val="216"/>
        </w:trPr>
        <w:tc>
          <w:tcPr>
            <w:tcW w:w="5240" w:type="dxa"/>
            <w:vAlign w:val="bottom"/>
          </w:tcPr>
          <w:p>
            <w:pPr>
              <w:spacing w:after="0" w:line="216"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183"/>
        </w:trPr>
        <w:tc>
          <w:tcPr>
            <w:tcW w:w="5240" w:type="dxa"/>
            <w:vAlign w:val="bottom"/>
          </w:tcPr>
          <w:p>
            <w:pPr>
              <w:spacing w:after="0" w:line="183" w:lineRule="exact"/>
              <w:rPr>
                <w:sz w:val="20"/>
                <w:szCs w:val="20"/>
                <w:color w:val="auto"/>
              </w:rPr>
            </w:pPr>
            <w:r>
              <w:rPr>
                <w:rFonts w:ascii="Arial" w:cs="Arial" w:eastAsia="Arial" w:hAnsi="Arial"/>
                <w:sz w:val="16"/>
                <w:szCs w:val="16"/>
                <w:b w:val="1"/>
                <w:bCs w:val="1"/>
                <w:color w:val="auto"/>
              </w:rPr>
              <w:t>Balance at January 2, 2021</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83,934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74,454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53,388</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211,776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5240" w:type="dxa"/>
            <w:vAlign w:val="bottom"/>
          </w:tcPr>
          <w:p>
            <w:pPr>
              <w:spacing w:after="0" w:line="213" w:lineRule="exact"/>
              <w:rPr>
                <w:sz w:val="20"/>
                <w:szCs w:val="20"/>
                <w:color w:val="auto"/>
              </w:rPr>
            </w:pPr>
            <w:r>
              <w:rPr>
                <w:rFonts w:ascii="Arial" w:cs="Arial" w:eastAsia="Arial" w:hAnsi="Arial"/>
                <w:sz w:val="16"/>
                <w:szCs w:val="16"/>
                <w:b w:val="1"/>
                <w:bCs w:val="1"/>
                <w:color w:val="auto"/>
              </w:rPr>
              <w:t>Balance at January 1, 2022</w:t>
            </w:r>
            <w:r>
              <w:rPr>
                <w:rFonts w:ascii="Arial" w:cs="Arial" w:eastAsia="Arial" w:hAnsi="Arial"/>
                <w:sz w:val="21"/>
                <w:szCs w:val="21"/>
                <w:b w:val="1"/>
                <w:bCs w:val="1"/>
                <w:color w:val="auto"/>
                <w:vertAlign w:val="superscript"/>
              </w:rPr>
              <w:t>(2)</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53,635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212,023</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460" w:hanging="332"/>
        <w:spacing w:after="0" w:line="273"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Goodwill for the International reporting unit is net of accumulated impairment losses of $17.7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January 1, 2022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2"/>
              </w:rPr>
              <w:t>January 2, 2021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8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average useful</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14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life</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right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16"/>
        </w:trPr>
        <w:tc>
          <w:tcPr>
            <w:tcW w:w="2580" w:type="dxa"/>
            <w:vAlign w:val="bottom"/>
          </w:tcPr>
          <w:p>
            <w:pPr>
              <w:ind w:left="20"/>
              <w:spacing w:after="0" w:line="216" w:lineRule="exact"/>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70,000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(2)</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2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9"/>
              </w:rPr>
              <w:t>5 - 20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tradenames, net</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307,643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307,893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32,290</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rPr>
              <w:t>Carter’s Mexico customer</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1"/>
              </w:rPr>
              <w:t>10 years</w:t>
            </w: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1,679</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relationships</w:t>
            </w:r>
          </w:p>
        </w:tc>
        <w:tc>
          <w:tcPr>
            <w:tcW w:w="1280" w:type="dxa"/>
            <w:vAlign w:val="bottom"/>
            <w:tcBorders>
              <w:bottom w:val="single" w:sz="8" w:color="CCEEFF"/>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customer relationships, net</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20" w:hanging="332"/>
        <w:spacing w:after="0" w:line="273" w:lineRule="auto"/>
        <w:tabs>
          <w:tab w:leader="none" w:pos="3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180" w:hanging="332"/>
        <w:spacing w:after="0" w:line="273" w:lineRule="auto"/>
        <w:tabs>
          <w:tab w:leader="none" w:pos="3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goodwill and indefinite-lived tradename assets are subject to annual impairment reviews as of the last day of each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annual assessments, impairment reviews may also be triggered by any significant events or changes in circumstances affecting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upon our most recent annual assessment, performed as of January 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2022, using a qualitative assessment, there were no impairments in the values of goodwill or indefinite-lived or definite-lived intangible assets.</w:t>
      </w:r>
    </w:p>
    <w:p>
      <w:pPr>
        <w:spacing w:after="0" w:line="19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the first quarter of fiscal 2020, the Company concluded that impairment indicators existed due to the decrease in the Company’s market capitalization, lower than expected actual sales, and lower projected sales and profitability, primarily due to the impacts from the outbreak of COVID-19.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goodwill impairment assessment for the Other International reporting unit was performed in accordance with ASC 350,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w:t>
      </w:r>
      <w:r>
        <w:rPr>
          <w:rFonts w:ascii="Arial" w:cs="Arial" w:eastAsia="Arial" w:hAnsi="Arial"/>
          <w:sz w:val="17"/>
          <w:szCs w:val="17"/>
          <w:color w:val="auto"/>
        </w:rPr>
        <w:t>(“ASC 350”) and compares the carrying value of the Other International reporting unit to its fair value. Consistent with prior practice,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 Mexico goodwill, respectively. The carrying value of the Company’s goodwill for the Other International reporting unit as of January 1, 2022 was $11.7 million.</w:t>
      </w:r>
    </w:p>
    <w:p>
      <w:pPr>
        <w:spacing w:after="0" w:line="13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and</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tradename assets, respectively. The charge recorded on our indefinite-lived</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tradename asset included charges of</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as of January 1, 2022 were $70.0 million and $15.0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fiscal 2019, the Company’s Skip Hop business experienced lower than expected actual and projected sales and profitability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lower domestic demand, including the loss of a significant customer that declared bankruptcy (Toys “R” Us), lower international demand and higher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costs primarily driven by tariffs imposed on products sourced from China. As a result, the Company conducted an interim impairment assessment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third quarter of fiscal 2019 on the value of the Company’s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that was recorded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Skip Hop Holdings, Inc. in February 2017. The indefinite-lived tradename asset assessment was performed in accordance with ASC 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and was determined using a discounted cash flow analysis which examined the hypothetical cost savings that accrue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ownership of the tradename. Based on this assessment, a charge of $30.8 million was recorded during the third quarter of fiscal 2019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charge included charges of $19.1 million, $10.5 million, and $1.2 million in the U.S. Wholesale,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Changes in the carrying values between comparative periods for goodwill related to the International segment were due to fluctuations in the foreign currency exchange rates between the Canadian and U.S. dollar that were used in the remeasurement process for preparing the Company’s consolidated financial statements. The changes in the carrying values of goodwill for Skip Hop and Carter’s Mexico and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subject to amortization was approximately $3.7 million for each of fiscal years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CARTER’S,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7300" w:type="dxa"/>
            <w:vAlign w:val="bottom"/>
            <w:gridSpan w:val="11"/>
          </w:tcPr>
          <w:p>
            <w:pPr>
              <w:ind w:left="34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6520" w:type="dxa"/>
            <w:vAlign w:val="bottom"/>
            <w:gridSpan w:val="5"/>
          </w:tcPr>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Amortization expense</w:t>
            </w:r>
          </w:p>
        </w:tc>
        <w:tc>
          <w:tcPr>
            <w:tcW w:w="0" w:type="dxa"/>
            <w:vAlign w:val="bottom"/>
          </w:tcPr>
          <w:p>
            <w:pPr>
              <w:spacing w:after="0"/>
              <w:rPr>
                <w:sz w:val="1"/>
                <w:szCs w:val="1"/>
                <w:color w:val="auto"/>
              </w:rPr>
            </w:pPr>
          </w:p>
        </w:tc>
      </w:tr>
      <w:tr>
        <w:trPr>
          <w:trHeight w:val="213"/>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Arial" w:cs="Arial" w:eastAsia="Arial" w:hAnsi="Arial"/>
                <w:sz w:val="16"/>
                <w:szCs w:val="16"/>
                <w:color w:val="auto"/>
              </w:rPr>
              <w:t>2023</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3,685</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Arial" w:cs="Arial" w:eastAsia="Arial" w:hAnsi="Arial"/>
                <w:sz w:val="16"/>
                <w:szCs w:val="16"/>
                <w:color w:val="auto"/>
              </w:rPr>
              <w:t>2025</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486"/>
        </w:trPr>
        <w:tc>
          <w:tcPr>
            <w:tcW w:w="6520" w:type="dxa"/>
            <w:vAlign w:val="bottom"/>
            <w:gridSpan w:val="5"/>
          </w:tcPr>
          <w:p>
            <w:pPr>
              <w:spacing w:after="0"/>
              <w:rPr>
                <w:sz w:val="20"/>
                <w:szCs w:val="20"/>
                <w:color w:val="auto"/>
              </w:rPr>
            </w:pPr>
            <w:r>
              <w:rPr>
                <w:rFonts w:ascii="Arial" w:cs="Arial" w:eastAsia="Arial" w:hAnsi="Arial"/>
                <w:sz w:val="18"/>
                <w:szCs w:val="18"/>
                <w:b w:val="1"/>
                <w:bCs w:val="1"/>
                <w:color w:val="auto"/>
              </w:rPr>
              <w:t>NOTE 7 – ACCUMULATED OTHER COMPREHENSIVE (LOSS) INCOME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40" w:type="dxa"/>
            <w:vAlign w:val="bottom"/>
            <w:gridSpan w:val="8"/>
          </w:tcPr>
          <w:p>
            <w:pPr>
              <w:spacing w:after="0"/>
              <w:rPr>
                <w:sz w:val="20"/>
                <w:szCs w:val="20"/>
                <w:color w:val="auto"/>
              </w:rPr>
            </w:pPr>
            <w:r>
              <w:rPr>
                <w:rFonts w:ascii="Arial" w:cs="Arial" w:eastAsia="Arial" w:hAnsi="Arial"/>
                <w:sz w:val="18"/>
                <w:szCs w:val="18"/>
                <w:color w:val="auto"/>
              </w:rPr>
              <w:t>The components of Accumulated other comprehensive (loss) income consisted of the following: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Pension liability</w:t>
            </w:r>
          </w:p>
        </w:tc>
        <w:tc>
          <w:tcPr>
            <w:tcW w:w="160" w:type="dxa"/>
            <w:vAlign w:val="bottom"/>
          </w:tcPr>
          <w:p>
            <w:pPr>
              <w:spacing w:after="0"/>
              <w:rPr>
                <w:sz w:val="24"/>
                <w:szCs w:val="2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Post-retirement</w:t>
            </w:r>
          </w:p>
        </w:tc>
        <w:tc>
          <w:tcPr>
            <w:tcW w:w="2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Cumulative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Accumulated other</w:t>
            </w:r>
          </w:p>
        </w:tc>
        <w:tc>
          <w:tcPr>
            <w:tcW w:w="0" w:type="dxa"/>
            <w:vAlign w:val="bottom"/>
          </w:tcPr>
          <w:p>
            <w:pPr>
              <w:spacing w:after="0"/>
              <w:rPr>
                <w:sz w:val="1"/>
                <w:szCs w:val="1"/>
                <w:color w:val="auto"/>
              </w:rPr>
            </w:pPr>
          </w:p>
        </w:tc>
      </w:tr>
      <w:tr>
        <w:trPr>
          <w:trHeight w:val="162"/>
        </w:trPr>
        <w:tc>
          <w:tcPr>
            <w:tcW w:w="24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5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CCEEFF"/>
            </w:tcBorders>
            <w:vMerge w:val="continue"/>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liability adjustments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w w:val="89"/>
              </w:rPr>
              <w:t>adjustments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w w:val="93"/>
              </w:rPr>
              <w:t>(32,964)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line="216" w:lineRule="exact"/>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2019 change</w:t>
            </w:r>
          </w:p>
        </w:tc>
        <w:tc>
          <w:tcPr>
            <w:tcW w:w="2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w:t>
            </w:r>
          </w:p>
        </w:tc>
        <w:tc>
          <w:tcPr>
            <w:tcW w:w="0" w:type="dxa"/>
            <w:vAlign w:val="bottom"/>
          </w:tcPr>
          <w:p>
            <w:pPr>
              <w:spacing w:after="0"/>
              <w:rPr>
                <w:sz w:val="1"/>
                <w:szCs w:val="1"/>
                <w:color w:val="auto"/>
              </w:rPr>
            </w:pPr>
          </w:p>
        </w:tc>
      </w:tr>
      <w:tr>
        <w:trPr>
          <w:trHeight w:val="20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720"/>
              <w:spacing w:after="0"/>
              <w:rPr>
                <w:sz w:val="20"/>
                <w:szCs w:val="20"/>
                <w:color w:val="auto"/>
              </w:rPr>
            </w:pPr>
            <w:r>
              <w:rPr>
                <w:rFonts w:ascii="Arial" w:cs="Arial" w:eastAsia="Arial" w:hAnsi="Arial"/>
                <w:sz w:val="16"/>
                <w:szCs w:val="16"/>
                <w:color w:val="auto"/>
                <w:w w:val="93"/>
              </w:rPr>
              <w:t>(26,522)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(35,634)</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2020 change</w:t>
            </w:r>
          </w:p>
        </w:tc>
        <w:tc>
          <w:tcPr>
            <w:tcW w:w="24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07"/>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720"/>
              <w:spacing w:after="0"/>
              <w:rPr>
                <w:sz w:val="20"/>
                <w:szCs w:val="20"/>
                <w:color w:val="auto"/>
              </w:rPr>
            </w:pPr>
            <w:r>
              <w:rPr>
                <w:rFonts w:ascii="Arial" w:cs="Arial" w:eastAsia="Arial" w:hAnsi="Arial"/>
                <w:sz w:val="16"/>
                <w:szCs w:val="16"/>
                <w:color w:val="auto"/>
                <w:w w:val="93"/>
              </w:rPr>
              <w:t>(21,307)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2021 change</w:t>
            </w:r>
          </w:p>
        </w:tc>
        <w:tc>
          <w:tcPr>
            <w:tcW w:w="2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2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(8,920)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ind w:left="720"/>
              <w:spacing w:after="0"/>
              <w:rPr>
                <w:sz w:val="20"/>
                <w:szCs w:val="20"/>
                <w:color w:val="auto"/>
              </w:rPr>
            </w:pPr>
            <w:r>
              <w:rPr>
                <w:rFonts w:ascii="Arial" w:cs="Arial" w:eastAsia="Arial" w:hAnsi="Arial"/>
                <w:sz w:val="16"/>
                <w:szCs w:val="16"/>
                <w:color w:val="auto"/>
                <w:w w:val="93"/>
              </w:rPr>
              <w:t>(21,302)</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right="300" w:hanging="332"/>
        <w:spacing w:after="0" w:line="312" w:lineRule="auto"/>
        <w:tabs>
          <w:tab w:leader="none" w:pos="3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In fiscal 2019, 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3"/>
          <w:szCs w:val="13"/>
          <w:i w:val="1"/>
          <w:iCs w:val="1"/>
          <w:color w:val="auto"/>
        </w:rPr>
        <w:t>Reclassification of Certain Tax Effects from Accumulated Other Comprehensive Income</w:t>
      </w:r>
      <w:r>
        <w:rPr>
          <w:rFonts w:ascii="Arial" w:cs="Arial" w:eastAsia="Arial" w:hAnsi="Arial"/>
          <w:sz w:val="13"/>
          <w:szCs w:val="13"/>
          <w:color w:val="auto"/>
        </w:rPr>
        <w:t>.</w:t>
      </w:r>
    </w:p>
    <w:p>
      <w:pPr>
        <w:spacing w:after="0" w:line="11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January 1, 2022 and January 2, 2021, the cumulative tax effect on the pension liability adjustments were $2.8 million and $4.0 million, respectively. As of January 1, 2022 and January 2, 2021, the cumulative tax effect on the post-retirement liability adjustments were approximately $0.4 million and $0.5 million, respectively.</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fiscal years ended January 1, 2022 and January 2, 2021,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11</w:t>
      </w:r>
      <w:r>
        <w:rPr>
          <w:rFonts w:ascii="Arial" w:cs="Arial" w:eastAsia="Arial" w:hAnsi="Arial"/>
          <w:sz w:val="18"/>
          <w:szCs w:val="18"/>
          <w:i w:val="1"/>
          <w:iCs w:val="1"/>
          <w:color w:val="auto"/>
        </w:rPr>
        <w:t>, Employee Benefit Plans</w:t>
      </w:r>
      <w:r>
        <w:rPr>
          <w:rFonts w:ascii="Arial" w:cs="Arial" w:eastAsia="Arial" w:hAnsi="Arial"/>
          <w:sz w:val="18"/>
          <w:szCs w:val="18"/>
          <w:color w:val="auto"/>
        </w:rPr>
        <w:t>, to the consolidated financial statements.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 2022</w:t>
            </w:r>
          </w:p>
        </w:tc>
        <w:tc>
          <w:tcPr>
            <w:tcW w:w="200" w:type="dxa"/>
            <w:vAlign w:val="bottom"/>
          </w:tcPr>
          <w:p>
            <w:pPr>
              <w:spacing w:after="0"/>
              <w:rPr>
                <w:sz w:val="18"/>
                <w:szCs w:val="18"/>
                <w:color w:val="auto"/>
              </w:rPr>
            </w:pPr>
          </w:p>
        </w:tc>
        <w:tc>
          <w:tcPr>
            <w:tcW w:w="152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$500 million, 5.500% Senior Notes due 2025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$500 million, 5.625% Senior Notes due 2027</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r>
      <w:tr>
        <w:trPr>
          <w:trHeight w:val="212"/>
        </w:trPr>
        <w:tc>
          <w:tcPr>
            <w:tcW w:w="7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989,530</w:t>
            </w:r>
          </w:p>
        </w:tc>
      </w:tr>
      <w:tr>
        <w:trPr>
          <w:trHeight w:val="213"/>
        </w:trPr>
        <w:tc>
          <w:tcPr>
            <w:tcW w:w="7700" w:type="dxa"/>
            <w:vAlign w:val="bottom"/>
          </w:tcPr>
          <w:p>
            <w:pPr>
              <w:ind w:left="20"/>
              <w:spacing w:after="0"/>
              <w:rPr>
                <w:sz w:val="20"/>
                <w:szCs w:val="20"/>
                <w:color w:val="auto"/>
              </w:rPr>
            </w:pPr>
            <w:r>
              <w:rPr>
                <w:rFonts w:ascii="Arial" w:cs="Arial" w:eastAsia="Arial" w:hAnsi="Arial"/>
                <w:sz w:val="16"/>
                <w:szCs w:val="16"/>
                <w:color w:val="auto"/>
              </w:rPr>
              <w:t>Secured revolving credit facility</w:t>
            </w: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7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991,370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989,530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January 1, 2022, the Company had no outstanding borrowings under its secured revolving credit facility, exclusive of $4.1 million of outstanding letters of credit. As of January 2, 2021, the Company had no outstanding borrowings under its secured revolving credit facility, exclusive of $5.0 million of outstanding letters of credit. As of January 1, 2022 and January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2021, there was approximately $745.9 million and $745.0 million available for future borrowing, respectively. All outstanding borrowings under the Company’s secured revolving credit facility are classified as non-current liabilities on the Company’s consolidated balance sheets due to contractual repayment terms under the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Secured Revolving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revolving credit facility provides for an aggregate credit line of $750 million which includes a $650 million U.S. dollar facility and a</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$100 million multicurrency facility denominated in U.S. dollars, Canadian dollars, Euros, Pounds Sterling, or other currencies agreed to by the applicable lenders. The credit facility matures on September 21, 2023.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4, 2020, the Company, through its wholly owned subsidiary, The William Carter Company (“TWCC”), entered into Amendment No. 2 to its fourth amended and restated credit agreement (“Amendment No. 2”). Amendment No. 2 provided for, among other things, access to additional capital and increased flexibility under financial maintenance covenants, which the Company sought in part due to the unforeseen negative effects of the COVID-19 pandemic.</w:t>
      </w:r>
    </w:p>
    <w:p>
      <w:pPr>
        <w:spacing w:after="0" w:line="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April 21, 2021, the Company, through its wholly owned subsidiary, TWCC, entered into Amendment No. 3 to its fourth amended and restated credit agreement (“Amendment No. 3”). Among other things, Amendment No. 3 provided that through the remainder of the Restricted Period, which ended on the date the Company delivered its financial statements and associated certificates relating to the third quarter of fiscal 2021:</w:t>
      </w:r>
    </w:p>
    <w:p>
      <w:pPr>
        <w:spacing w:after="0" w:line="138" w:lineRule="exact"/>
        <w:rPr>
          <w:sz w:val="20"/>
          <w:szCs w:val="20"/>
          <w:color w:val="auto"/>
        </w:rPr>
      </w:pPr>
    </w:p>
    <w:p>
      <w:pPr>
        <w:ind w:left="660" w:right="4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must have maintained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48" w:lineRule="exact"/>
        <w:rPr>
          <w:rFonts w:ascii="Arial" w:cs="Arial" w:eastAsia="Arial" w:hAnsi="Arial"/>
          <w:sz w:val="18"/>
          <w:szCs w:val="18"/>
          <w:color w:val="auto"/>
        </w:rPr>
      </w:pPr>
    </w:p>
    <w:p>
      <w:pPr>
        <w:ind w:left="660" w:right="180" w:hanging="328"/>
        <w:spacing w:after="0" w:line="29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were permitted to make additional restricted payments, including to pay cash dividends and repurchase common stock, in an amount not to exceed $250 million, provided that (a) no default or event of default will have occurred and be continuing or would result from the payment and</w:t>
      </w:r>
    </w:p>
    <w:p>
      <w:pPr>
        <w:ind w:left="660" w:right="20"/>
        <w:spacing w:after="0" w:line="260" w:lineRule="auto"/>
        <w:rPr>
          <w:rFonts w:ascii="Arial" w:cs="Arial" w:eastAsia="Arial" w:hAnsi="Arial"/>
          <w:sz w:val="16"/>
          <w:szCs w:val="16"/>
          <w:color w:val="auto"/>
        </w:rPr>
      </w:pPr>
      <w:r>
        <w:rPr>
          <w:rFonts w:ascii="Arial" w:cs="Arial" w:eastAsia="Arial" w:hAnsi="Arial"/>
          <w:sz w:val="18"/>
          <w:szCs w:val="18"/>
          <w:color w:val="auto"/>
        </w:rPr>
        <w:t>(b) after giving effect to the payment, we would have been in compliance with Revised Liquidity Requirement as of the last day of the most recent month.</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Approximately $0.2 million, including both bank fees and other third-party expenses, has been capitalized in connection with Amendment No. 3 and is being amortized over the remaining term of the secured revolving credit facility.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 2022, the Company’s secured revolving credit facility returned to its pre-COVID 19 terms that were in effect prior to Amendment No. 2.</w:t>
      </w:r>
    </w:p>
    <w:p>
      <w:pPr>
        <w:spacing w:after="0" w:line="12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January 1, 2022, the interest rate margins applicable to the amended revolving credit facility were 1.125% for LIBOR (London Interbank Offered Rate) rate loans and 0.125% for base rate loans. There were no U.S. dollar borrowings or foreign currency borrowings outstanding on January 1, 2022 or January 2,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the Company was in compliance with its financial and other covenants under the secured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Issuance of Senior Notes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11, 2020, TWCC issued $500 million principal amount of senior notes at par, bearing interest at a rate of 5.500% per annum, and maturing on May 15, 2025, all of which were outstanding as of January 1, 2022.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third-party expenses, has been capitalized in connection with the issuance and is being amortized over the term of the senior notes.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and after May 15, 2022, TWCC may redeem all or part of the senior notes at the redemption prices (expressed as percentages of principal amount of the senior notes to be redeemed) set forth below, plus accrued and unpaid interest.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redemption price is applicable when the redemption occurs during the twelve-month period beginning on May 15 of each of the years indicated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212"/>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102.75 %</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2023</w:t>
            </w:r>
          </w:p>
        </w:tc>
        <w:tc>
          <w:tcPr>
            <w:tcW w:w="5640" w:type="dxa"/>
            <w:vAlign w:val="bottom"/>
          </w:tcPr>
          <w:p>
            <w:pPr>
              <w:jc w:val="right"/>
              <w:spacing w:after="0"/>
              <w:rPr>
                <w:sz w:val="20"/>
                <w:szCs w:val="20"/>
                <w:color w:val="auto"/>
              </w:rPr>
            </w:pPr>
            <w:r>
              <w:rPr>
                <w:rFonts w:ascii="Arial" w:cs="Arial" w:eastAsia="Arial" w:hAnsi="Arial"/>
                <w:sz w:val="16"/>
                <w:szCs w:val="16"/>
                <w:color w:val="auto"/>
              </w:rPr>
              <w:t>101.38 %</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Redemption and Issuance of Senior Notes</w:t>
      </w:r>
    </w:p>
    <w:p>
      <w:pPr>
        <w:spacing w:after="0" w:line="90"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On March 14, 2019,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30"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TWCC received net proceeds from the offering of the senior notes of approximately $494.8 million, after deducting underwriting fees and other expenses, which TWCC used to redeem the senior notes discussed above and repay borrowings outstanding under the Company’s secured revolving credit facility. Approximately $5.8 million, including both bank fees and other third-party expenses, was capitalized in connection with the issuance and is being amortized over the term of the senior notes.</w:t>
      </w:r>
    </w:p>
    <w:p>
      <w:pPr>
        <w:spacing w:after="0" w:line="14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and after March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March 15 of each of the years indicated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56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Percentage</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102.81 %</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2023</w:t>
            </w:r>
          </w:p>
        </w:tc>
        <w:tc>
          <w:tcPr>
            <w:tcW w:w="5640" w:type="dxa"/>
            <w:vAlign w:val="bottom"/>
          </w:tcPr>
          <w:p>
            <w:pPr>
              <w:jc w:val="right"/>
              <w:spacing w:after="0"/>
              <w:rPr>
                <w:sz w:val="20"/>
                <w:szCs w:val="20"/>
                <w:color w:val="auto"/>
              </w:rPr>
            </w:pPr>
            <w:r>
              <w:rPr>
                <w:rFonts w:ascii="Arial" w:cs="Arial" w:eastAsia="Arial" w:hAnsi="Arial"/>
                <w:sz w:val="16"/>
                <w:szCs w:val="16"/>
                <w:color w:val="auto"/>
              </w:rPr>
              <w:t>101.41 %</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and thereafter</w:t>
            </w:r>
          </w:p>
        </w:tc>
        <w:tc>
          <w:tcPr>
            <w:tcW w:w="5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mentioned above are unsecured and are fully and unconditionally guaranteed by Carter’s, Inc. and certain domestic subsidiaries of TWCC.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are 100% owned directly or indirectly by Carter’s, Inc. and all guarantees are joint, several and unconditional.</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1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February 24, 2022, the Company’s Board of Directors authorized share repurchases up to $1.00 billion, inclusive of approximately $301.9 million remaining under previous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1, 2022</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2,967,619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2,107,472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 xml:space="preserve">Aggregate cost of shares repurchased </w:t>
            </w:r>
            <w:r>
              <w:rPr>
                <w:rFonts w:ascii="Arial" w:cs="Arial" w:eastAsia="Arial" w:hAnsi="Arial"/>
                <w:sz w:val="16"/>
                <w:szCs w:val="16"/>
                <w:i w:val="1"/>
                <w:iCs w:val="1"/>
                <w:color w:val="auto"/>
              </w:rPr>
              <w:t>(dollars in thousands)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299,339</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196,910</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r>
    </w:tbl>
    <w:p>
      <w:pPr>
        <w:spacing w:after="0" w:line="256"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color w:val="auto"/>
        </w:rPr>
        <w:t>The total remaining capacity under outstanding repurchase authorizations as of January 1, 2022 was approximately $351.1 million, exclusive of the February 2022 share repurchase authorization, based on settled repurchase transactions. The share repurchase authorizations have no expiration dates.</w:t>
      </w:r>
    </w:p>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quarter of fiscal 2021, the Company reinstated its common stock share repurchase program. The Company had previously announced the suspension of its common stock share repurchase program, in connection with the COVID-19 pandemic, at the end of the first quarter in fiscal 2020. 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On February 24, 2022, the Company’s Board of Directors authorized a quarterly cash dividend payment of $0.75 per common share, payable on March 18, 2022 to shareholders of record at the close of business on March 8, 2022.</w:t>
      </w:r>
    </w:p>
    <w:p>
      <w:pPr>
        <w:spacing w:after="0" w:line="49"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The Board of Directors declared and the Company paid quarterly cash dividends of $0.60 per common share in the first quarter of fiscal 2020. On May 1, 2020, in connection with the COVID-19 pandemic, the Company’s Board of Directors suspended the quarterly cash dividend. As a result, the Company’s Board of Directors did not declare and the Company did not pay cash dividends in the second, third, or fourth quarters of fiscal 2020, or in the first quarter of fiscal 2021. The Board of Directors declared and the Company paid quarterly cash dividends of $0.40 per common share in each of the second and third quarters of fiscal 2021 and $0.60 per common share in the fourth quarter of fiscal 2021.</w:t>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will evaluate future dividend declarations based on a number of factors, including restrictions under the Company’s revolving credit facility, business conditions, the Company’s financial performance, and other considerations.</w:t>
      </w:r>
    </w:p>
    <w:p>
      <w:pPr>
        <w:spacing w:after="0" w:line="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Provisions in the Company’s secured revolving credit facility could have the effect of restricting the Company’s ability to pay cash dividends on, or make future repurchases of its common stock, as further described in Note 8</w:t>
      </w:r>
      <w:r>
        <w:rPr>
          <w:rFonts w:ascii="Arial" w:cs="Arial" w:eastAsia="Arial" w:hAnsi="Arial"/>
          <w:sz w:val="17"/>
          <w:szCs w:val="17"/>
          <w:i w:val="1"/>
          <w:iCs w:val="1"/>
          <w:color w:val="auto"/>
        </w:rPr>
        <w:t>, Long-Term Debt,</w:t>
      </w:r>
      <w:r>
        <w:rPr>
          <w:rFonts w:ascii="Arial" w:cs="Arial" w:eastAsia="Arial" w:hAnsi="Arial"/>
          <w:sz w:val="17"/>
          <w:szCs w:val="17"/>
          <w:color w:val="auto"/>
        </w:rPr>
        <w:t xml:space="preserve"> to the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5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January 1, 2022, the maximum number of shares of stock available under the Plan was 18,778,392, and there were 3,027,361 remaining shares available for grant under the Plan. The Plan makes a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cost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5"/>
              </w:rPr>
              <w:t>For the fiscal years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Restricted stock:</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Time-based awards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9,432</w:t>
            </w:r>
          </w:p>
        </w:tc>
      </w:tr>
      <w:tr>
        <w:trPr>
          <w:trHeight w:val="213"/>
        </w:trPr>
        <w:tc>
          <w:tcPr>
            <w:tcW w:w="5620" w:type="dxa"/>
            <w:vAlign w:val="bottom"/>
          </w:tcPr>
          <w:p>
            <w:pPr>
              <w:ind w:left="120"/>
              <w:spacing w:after="0"/>
              <w:rPr>
                <w:sz w:val="20"/>
                <w:szCs w:val="20"/>
                <w:color w:val="auto"/>
              </w:rPr>
            </w:pPr>
            <w:r>
              <w:rPr>
                <w:rFonts w:ascii="Arial" w:cs="Arial" w:eastAsia="Arial" w:hAnsi="Arial"/>
                <w:sz w:val="16"/>
                <w:szCs w:val="16"/>
                <w:color w:val="auto"/>
              </w:rPr>
              <w:t>Performance-based awards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1,552</w:t>
            </w: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awards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21,029</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16,529</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fiscal 2020, the achievement of performance target estimates was revised resulting in a reversal of previously recognized stock-based compensation expense for outstanding performance-based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 options vest in equal annual installments over a four-year period. The Company issues new shares to satisfy stock option exercises. There were no stock options granted in fiscal 2021,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stock options for the fiscal year ended January 1, 2022 were as follows: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00" w:type="dxa"/>
            <w:vAlign w:val="bottom"/>
          </w:tcPr>
          <w:p>
            <w:pPr>
              <w:spacing w:after="0"/>
              <w:rPr>
                <w:sz w:val="16"/>
                <w:szCs w:val="16"/>
                <w:color w:val="auto"/>
              </w:rPr>
            </w:pP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Aggregate 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remaining</w:t>
            </w: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 terms</w:t>
            </w:r>
          </w:p>
        </w:tc>
        <w:tc>
          <w:tcPr>
            <w:tcW w:w="100" w:type="dxa"/>
            <w:vAlign w:val="bottom"/>
          </w:tcPr>
          <w:p>
            <w:pPr>
              <w:spacing w:after="0"/>
              <w:rPr>
                <w:sz w:val="14"/>
                <w:szCs w:val="14"/>
                <w:color w:val="auto"/>
              </w:rPr>
            </w:pPr>
          </w:p>
        </w:tc>
        <w:tc>
          <w:tcPr>
            <w:tcW w:w="1420" w:type="dxa"/>
            <w:vAlign w:val="bottom"/>
          </w:tcPr>
          <w:p>
            <w:pPr>
              <w:jc w:val="right"/>
              <w:ind w:right="519"/>
              <w:spacing w:after="0" w:line="162" w:lineRule="exact"/>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January 2,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860,711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(178,803)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61.49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118.88</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Outstanding, January 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658,666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Vested and expected to vest,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10,825</w:t>
            </w:r>
          </w:p>
        </w:tc>
        <w:tc>
          <w:tcPr>
            <w:tcW w:w="0" w:type="dxa"/>
            <w:vAlign w:val="bottom"/>
          </w:tcPr>
          <w:p>
            <w:pPr>
              <w:spacing w:after="0"/>
              <w:rPr>
                <w:sz w:val="1"/>
                <w:szCs w:val="1"/>
                <w:color w:val="auto"/>
              </w:rPr>
            </w:pPr>
          </w:p>
        </w:tc>
      </w:t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Exercisable, January 1, 2022</w:t>
            </w:r>
          </w:p>
        </w:tc>
        <w:tc>
          <w:tcPr>
            <w:tcW w:w="1500" w:type="dxa"/>
            <w:vAlign w:val="bottom"/>
          </w:tcPr>
          <w:p>
            <w:pPr>
              <w:jc w:val="right"/>
              <w:spacing w:after="0"/>
              <w:rPr>
                <w:sz w:val="20"/>
                <w:szCs w:val="20"/>
                <w:color w:val="auto"/>
              </w:rPr>
            </w:pPr>
            <w:r>
              <w:rPr>
                <w:rFonts w:ascii="Arial" w:cs="Arial" w:eastAsia="Arial" w:hAnsi="Arial"/>
                <w:sz w:val="16"/>
                <w:szCs w:val="16"/>
                <w:color w:val="auto"/>
              </w:rPr>
              <w:t>617,715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87.34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10,814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Company did not grant any stock options in fiscal 2021.</w:t>
      </w:r>
    </w:p>
    <w:p>
      <w:pPr>
        <w:spacing w:after="0" w:line="19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intrinsic value of stock options exercised during the fiscal years ended January 1, 2022, January 2, 2021, and December 28, 2019 was approximately $7.8 million, $8.2 million, and $13.3 million, respectively. At January 1, 2022, there was approximately $0.2 million of unrecognized compensation cost (net of estimated forfeitures) related to stock options, which is expected to be recognized over a weighted-average period of approximately 0.2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stock awards issued under the Plan vest based upon: 1) continued service (time-based) or 2) a combination of continued service and performance targets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all restricted stock awards during the fiscal year ended January 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420" w:type="dxa"/>
            <w:vAlign w:val="bottom"/>
          </w:tcPr>
          <w:p>
            <w:pPr>
              <w:jc w:val="center"/>
              <w:ind w:left="599"/>
              <w:spacing w:after="0"/>
              <w:rPr>
                <w:sz w:val="20"/>
                <w:szCs w:val="20"/>
                <w:color w:val="auto"/>
              </w:rPr>
            </w:pPr>
            <w:r>
              <w:rPr>
                <w:rFonts w:ascii="Arial" w:cs="Arial" w:eastAsia="Arial" w:hAnsi="Arial"/>
                <w:sz w:val="16"/>
                <w:szCs w:val="16"/>
                <w:b w:val="1"/>
                <w:bCs w:val="1"/>
                <w:color w:val="auto"/>
                <w:w w:val="89"/>
              </w:rPr>
              <w:t>Restricted</w:t>
            </w:r>
          </w:p>
        </w:tc>
        <w:tc>
          <w:tcPr>
            <w:tcW w:w="680" w:type="dxa"/>
            <w:vAlign w:val="bottom"/>
          </w:tcPr>
          <w:p>
            <w:pPr>
              <w:spacing w:after="0"/>
              <w:rPr>
                <w:sz w:val="16"/>
                <w:szCs w:val="16"/>
                <w:color w:val="auto"/>
              </w:rPr>
            </w:pPr>
          </w:p>
        </w:tc>
        <w:tc>
          <w:tcPr>
            <w:tcW w:w="2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Weighted-average grant-date</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420" w:type="dxa"/>
            <w:vAlign w:val="bottom"/>
          </w:tcPr>
          <w:p>
            <w:pPr>
              <w:jc w:val="center"/>
              <w:ind w:left="619"/>
              <w:spacing w:after="0" w:line="162" w:lineRule="exact"/>
              <w:rPr>
                <w:sz w:val="20"/>
                <w:szCs w:val="20"/>
                <w:color w:val="auto"/>
              </w:rPr>
            </w:pPr>
            <w:r>
              <w:rPr>
                <w:rFonts w:ascii="Arial" w:cs="Arial" w:eastAsia="Arial" w:hAnsi="Arial"/>
                <w:sz w:val="16"/>
                <w:szCs w:val="16"/>
                <w:b w:val="1"/>
                <w:bCs w:val="1"/>
                <w:color w:val="auto"/>
                <w:w w:val="86"/>
              </w:rPr>
              <w:t>stock</w:t>
            </w:r>
          </w:p>
        </w:tc>
        <w:tc>
          <w:tcPr>
            <w:tcW w:w="68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90"/>
              </w:rPr>
              <w:t>awards</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ind w:right="6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2, 2021</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462,537</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101.87</w:t>
            </w:r>
          </w:p>
        </w:tc>
        <w:tc>
          <w:tcPr>
            <w:tcW w:w="0" w:type="dxa"/>
            <w:vAlign w:val="bottom"/>
          </w:tcPr>
          <w:p>
            <w:pPr>
              <w:spacing w:after="0"/>
              <w:rPr>
                <w:sz w:val="1"/>
                <w:szCs w:val="1"/>
                <w:color w:val="auto"/>
              </w:rPr>
            </w:pPr>
          </w:p>
        </w:tc>
      </w:tr>
      <w:tr>
        <w:trPr>
          <w:trHeight w:val="213"/>
        </w:trPr>
        <w:tc>
          <w:tcPr>
            <w:tcW w:w="83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325,322</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98.28</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(116,238)</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(126,908)</w:t>
            </w:r>
          </w:p>
        </w:tc>
        <w:tc>
          <w:tcPr>
            <w:tcW w:w="52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110.21</w:t>
            </w:r>
          </w:p>
        </w:tc>
        <w:tc>
          <w:tcPr>
            <w:tcW w:w="0" w:type="dxa"/>
            <w:vAlign w:val="bottom"/>
          </w:tcPr>
          <w:p>
            <w:pPr>
              <w:spacing w:after="0"/>
              <w:rPr>
                <w:sz w:val="1"/>
                <w:szCs w:val="1"/>
                <w:color w:val="auto"/>
              </w:rPr>
            </w:pPr>
          </w:p>
        </w:tc>
      </w:tr>
      <w:tr>
        <w:trPr>
          <w:trHeight w:val="233"/>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1,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544,713</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During fiscal 2020, a total of 140,345 shares of restricted stock vested with a weighted-average fair value of $89.80 per share. During fiscal 2019, a total of 131,924 shares of restricted stock vested with a weighted-average fair value of $93.03 per share.</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January 1, 2022, there was approximately $30.9 million of unrecognized compensation cost (net of estimated forfeitures) related to all restricted stock awards which is expected to be recognized over a weighted-average period of approximately 2.5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Awards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Time-based restricted stock awards vest in equal annual installments or cliff vest after a three-year or four-year period. During fiscal years 2021, 2020, and 2019, a total of 116,238 shares, 125,209 shares, and 102,492 shares, respectively, of time-based restricted stock vested with a weighted-average fair value of $99.32 per share, $90.52 per share, and $93.70 per share, respectively. At January 1, 2022, there was approximately $30.7 million of unrecognized compensation cost (net of estimated forfeitures) related to time-based restricted stock which is expected to be recognized over a weighted-average period of approximately 2.5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Awards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20" w:type="dxa"/>
            <w:vAlign w:val="bottom"/>
            <w:gridSpan w:val="2"/>
            <w:vMerge w:val="restart"/>
          </w:tcPr>
          <w:p>
            <w:pPr>
              <w:ind w:left="2940"/>
              <w:spacing w:after="0"/>
              <w:rPr>
                <w:sz w:val="20"/>
                <w:szCs w:val="20"/>
                <w:color w:val="auto"/>
              </w:rPr>
            </w:pPr>
            <w:r>
              <w:rPr>
                <w:rFonts w:ascii="Arial" w:cs="Arial" w:eastAsia="Arial" w:hAnsi="Arial"/>
                <w:sz w:val="16"/>
                <w:szCs w:val="16"/>
                <w:b w:val="1"/>
                <w:bCs w:val="1"/>
                <w:color w:val="auto"/>
              </w:rPr>
              <w:t>Fiscal year</w:t>
            </w:r>
          </w:p>
        </w:tc>
        <w:tc>
          <w:tcPr>
            <w:tcW w:w="23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Number of shares granted</w:t>
            </w:r>
          </w:p>
        </w:tc>
        <w:tc>
          <w:tcPr>
            <w:tcW w:w="100" w:type="dxa"/>
            <w:vAlign w:val="bottom"/>
          </w:tcPr>
          <w:p>
            <w:pPr>
              <w:spacing w:after="0"/>
              <w:rPr>
                <w:sz w:val="16"/>
                <w:szCs w:val="16"/>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Weighted-average fair value</w:t>
            </w:r>
          </w:p>
        </w:tc>
        <w:tc>
          <w:tcPr>
            <w:tcW w:w="0" w:type="dxa"/>
            <w:vAlign w:val="bottom"/>
          </w:tcPr>
          <w:p>
            <w:pPr>
              <w:spacing w:after="0"/>
              <w:rPr>
                <w:sz w:val="1"/>
                <w:szCs w:val="1"/>
                <w:color w:val="auto"/>
              </w:rPr>
            </w:pPr>
          </w:p>
        </w:tc>
      </w:tr>
      <w:tr>
        <w:trPr>
          <w:trHeight w:val="213"/>
        </w:trPr>
        <w:tc>
          <w:tcPr>
            <w:tcW w:w="672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right"/>
              <w:ind w:right="679"/>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212"/>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88.87</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58,320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108.76</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w:t>
            </w: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did not grant any performance-based restricted stock awards in fiscal 2021.</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Performance-based restricted stock awards cliff vest after a three-year period, subject to the achievement of the performance target. During the fiscal year ended January 1, 2022, no performance shares vested. As of January 1, 2022, a total of 56,814 performance shares were unvested with a weighted-average fair value of $88.87 per share. Vesting of these 56,814 performance shares is based on the performance targets for the shares granted in fiscal 2019. As of January 1, 2022, there was $0.2 million unrecognized compensation cost related to the unvested performance-based restricted stock awards based on the current estimates of the number of awards that will vest.</w:t>
      </w:r>
    </w:p>
    <w:p>
      <w:pPr>
        <w:spacing w:after="0" w:line="14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For performance awards containing retirement provisions, stock-based compensation expense is recognized over the period from the grant date to the date retirement eligibility is achieved and required performance has been met, if that is expected to occur during the nominal service period. For awards containing retirement provisions that are granted to retirement eligible employees, stock-based compensation expense is recognized over the period in which the required performance has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0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Included in restricted stock awards are grants to non-management members of the Company’s Board of Directors. At issuance, these awards were fully vested and issued as shares of the Company’s common stock. During fiscal years 2021, 2020, and 2019, such awards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gridSpan w:val="2"/>
            <w:vMerge w:val="restart"/>
          </w:tcPr>
          <w:p>
            <w:pPr>
              <w:ind w:left="1800"/>
              <w:spacing w:after="0"/>
              <w:rPr>
                <w:sz w:val="20"/>
                <w:szCs w:val="20"/>
                <w:color w:val="auto"/>
              </w:rPr>
            </w:pPr>
            <w:r>
              <w:rPr>
                <w:rFonts w:ascii="Arial" w:cs="Arial" w:eastAsia="Arial" w:hAnsi="Arial"/>
                <w:sz w:val="16"/>
                <w:szCs w:val="16"/>
                <w:b w:val="1"/>
                <w:bCs w:val="1"/>
                <w:color w:val="auto"/>
              </w:rPr>
              <w:t>Fiscal year</w:t>
            </w:r>
          </w:p>
        </w:tc>
        <w:tc>
          <w:tcPr>
            <w:tcW w:w="22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Number of shares issued</w:t>
            </w:r>
          </w:p>
        </w:tc>
        <w:tc>
          <w:tcPr>
            <w:tcW w:w="240" w:type="dxa"/>
            <w:vAlign w:val="bottom"/>
          </w:tcPr>
          <w:p>
            <w:pPr>
              <w:spacing w:after="0"/>
              <w:rPr>
                <w:sz w:val="16"/>
                <w:szCs w:val="16"/>
                <w:color w:val="auto"/>
              </w:rPr>
            </w:pPr>
          </w:p>
        </w:tc>
        <w:tc>
          <w:tcPr>
            <w:tcW w:w="2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Fair value per share</w:t>
            </w:r>
          </w:p>
        </w:tc>
        <w:tc>
          <w:tcPr>
            <w:tcW w:w="300" w:type="dxa"/>
            <w:vAlign w:val="bottom"/>
          </w:tcPr>
          <w:p>
            <w:pPr>
              <w:spacing w:after="0"/>
              <w:rPr>
                <w:sz w:val="16"/>
                <w:szCs w:val="16"/>
                <w:color w:val="auto"/>
              </w:rPr>
            </w:pPr>
          </w:p>
        </w:tc>
        <w:tc>
          <w:tcPr>
            <w:tcW w:w="1880" w:type="dxa"/>
            <w:vAlign w:val="bottom"/>
          </w:tcPr>
          <w:p>
            <w:pPr>
              <w:jc w:val="right"/>
              <w:ind w:right="459"/>
              <w:spacing w:after="0"/>
              <w:rPr>
                <w:sz w:val="20"/>
                <w:szCs w:val="20"/>
                <w:color w:val="auto"/>
              </w:rPr>
            </w:pPr>
            <w:r>
              <w:rPr>
                <w:rFonts w:ascii="Arial" w:cs="Arial" w:eastAsia="Arial" w:hAnsi="Arial"/>
                <w:sz w:val="16"/>
                <w:szCs w:val="16"/>
                <w:b w:val="1"/>
                <w:bCs w:val="1"/>
                <w:color w:val="auto"/>
              </w:rPr>
              <w:t>Aggregate value</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2"/>
        </w:trPr>
        <w:tc>
          <w:tcPr>
            <w:tcW w:w="4360" w:type="dxa"/>
            <w:vAlign w:val="bottom"/>
            <w:tcBorders>
              <w:top w:val="single" w:sz="8" w:color="auto"/>
            </w:tcBorders>
            <w:shd w:val="clear" w:color="auto" w:fill="CCEEFF"/>
          </w:tcPr>
          <w:p>
            <w:pPr>
              <w:jc w:val="right"/>
              <w:ind w:right="3919"/>
              <w:spacing w:after="0"/>
              <w:rPr>
                <w:sz w:val="20"/>
                <w:szCs w:val="20"/>
                <w:color w:val="auto"/>
              </w:rPr>
            </w:pPr>
            <w:r>
              <w:rPr>
                <w:rFonts w:ascii="Arial" w:cs="Arial" w:eastAsia="Arial" w:hAnsi="Arial"/>
                <w:sz w:val="16"/>
                <w:szCs w:val="16"/>
                <w:color w:val="auto"/>
                <w:w w:val="95"/>
              </w:rPr>
              <w:t>2019</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3"/>
        </w:trPr>
        <w:tc>
          <w:tcPr>
            <w:tcW w:w="4360" w:type="dxa"/>
            <w:vAlign w:val="bottom"/>
          </w:tcPr>
          <w:p>
            <w:pPr>
              <w:jc w:val="right"/>
              <w:ind w:right="3919"/>
              <w:spacing w:after="0"/>
              <w:rPr>
                <w:sz w:val="20"/>
                <w:szCs w:val="20"/>
                <w:color w:val="auto"/>
              </w:rPr>
            </w:pPr>
            <w:r>
              <w:rPr>
                <w:rFonts w:ascii="Arial" w:cs="Arial" w:eastAsia="Arial" w:hAnsi="Arial"/>
                <w:sz w:val="16"/>
                <w:szCs w:val="16"/>
                <w:color w:val="auto"/>
                <w:w w:val="95"/>
              </w:rPr>
              <w:t>2020</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21,362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74.67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jc w:val="right"/>
              <w:ind w:right="3919"/>
              <w:spacing w:after="0"/>
              <w:rPr>
                <w:sz w:val="20"/>
                <w:szCs w:val="20"/>
                <w:color w:val="auto"/>
              </w:rPr>
            </w:pPr>
            <w:r>
              <w:rPr>
                <w:rFonts w:ascii="Arial" w:cs="Arial" w:eastAsia="Arial" w:hAnsi="Arial"/>
                <w:sz w:val="16"/>
                <w:szCs w:val="16"/>
                <w:color w:val="auto"/>
                <w:w w:val="95"/>
              </w:rPr>
              <w:t>2021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no proceeds from the issuance of these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OshKosh B’Gosh Pension Plan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retirement benefits under the OshKosh B’Gosh pension plan were frozen as of December 31, 2005. A reconciliation of changes in the projected pension benefit obligation and plan assets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4"/>
          </w:tcPr>
          <w:p>
            <w:pPr>
              <w:jc w:val="right"/>
              <w:ind w:right="147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18"/>
                <w:szCs w:val="18"/>
                <w:color w:val="auto"/>
              </w:rPr>
            </w:pPr>
          </w:p>
        </w:tc>
        <w:tc>
          <w:tcPr>
            <w:tcW w:w="2140" w:type="dxa"/>
            <w:vAlign w:val="bottom"/>
            <w:gridSpan w:val="2"/>
          </w:tcPr>
          <w:p>
            <w:pPr>
              <w:ind w:left="260"/>
              <w:spacing w:after="0"/>
              <w:rPr>
                <w:sz w:val="20"/>
                <w:szCs w:val="20"/>
                <w:color w:val="auto"/>
              </w:rPr>
            </w:pPr>
            <w:r>
              <w:rPr>
                <w:rFonts w:ascii="Arial" w:cs="Arial" w:eastAsia="Arial" w:hAnsi="Arial"/>
                <w:sz w:val="16"/>
                <w:szCs w:val="16"/>
                <w:b w:val="1"/>
                <w:bCs w:val="1"/>
                <w:color w:val="auto"/>
              </w:rPr>
              <w:t>January 1, 2022</w:t>
            </w:r>
          </w:p>
        </w:tc>
        <w:tc>
          <w:tcPr>
            <w:tcW w:w="360" w:type="dxa"/>
            <w:vAlign w:val="bottom"/>
          </w:tcPr>
          <w:p>
            <w:pPr>
              <w:spacing w:after="0"/>
              <w:rPr>
                <w:sz w:val="18"/>
                <w:szCs w:val="18"/>
                <w:color w:val="auto"/>
              </w:rPr>
            </w:pPr>
          </w:p>
        </w:tc>
        <w:tc>
          <w:tcPr>
            <w:tcW w:w="1960" w:type="dxa"/>
            <w:vAlign w:val="bottom"/>
          </w:tcPr>
          <w:p>
            <w:pPr>
              <w:jc w:val="right"/>
              <w:ind w:right="539"/>
              <w:spacing w:after="0"/>
              <w:rPr>
                <w:sz w:val="20"/>
                <w:szCs w:val="20"/>
                <w:color w:val="auto"/>
              </w:rPr>
            </w:pPr>
            <w:r>
              <w:rPr>
                <w:rFonts w:ascii="Arial" w:cs="Arial" w:eastAsia="Arial" w:hAnsi="Arial"/>
                <w:sz w:val="16"/>
                <w:szCs w:val="16"/>
                <w:b w:val="1"/>
                <w:bCs w:val="1"/>
                <w:color w:val="auto"/>
              </w:rPr>
              <w:t>January 2, 2021</w:t>
            </w: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projected benefit obligation:</w:t>
            </w:r>
          </w:p>
        </w:tc>
        <w:tc>
          <w:tcPr>
            <w:tcW w:w="38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Projected benefit obligation at beginning of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74,128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68,331</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cost</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Actuarial (gain) loss</w:t>
            </w: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6,666</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Projected benefit obligation at end of year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70,875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74,128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plan assets at beginning of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5,938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6,496</w:t>
            </w:r>
          </w:p>
        </w:tc>
      </w:tr>
      <w:tr>
        <w:trPr>
          <w:trHeight w:val="216"/>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Benefits paid</w:t>
            </w:r>
          </w:p>
        </w:tc>
        <w:tc>
          <w:tcPr>
            <w:tcW w:w="3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w:t>
            </w:r>
          </w:p>
        </w:tc>
      </w:tr>
      <w:tr>
        <w:trPr>
          <w:trHeight w:val="212"/>
        </w:trPr>
        <w:tc>
          <w:tcPr>
            <w:tcW w:w="6360" w:type="dxa"/>
            <w:vAlign w:val="bottom"/>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68,689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Unfunded status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8,711</w:t>
            </w:r>
          </w:p>
        </w:tc>
      </w:tr>
      <w:tr>
        <w:trPr>
          <w:trHeight w:val="21"/>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accumulated benefit obligation is equal to the projected benefit obligation as of January 1, 2022 and January 2, 2021 because the plan is frozen. The unfunded status is included in Other long-term liabilities in the Company’s consolidated balance sheet. The Company does not expect to make any contributions to the OshKosh B’Gosh pension plan during fiscal 2022 as the plan’s funding exceeds the minimum funding requirements. The actuarial gain in fiscal 2021 was primarily attributable to a higher discount rate, and the actuarial loss incurred in fiscal 2020 was primarily attributable to a lower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Pension Cost and Changes Recognized in Other Comprehensive Income</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components of net periodic pension cost recognized in the statement of operations and changes recognized in other comprehensive income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January 2,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199"/>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Interest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2,171</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2,432</w:t>
            </w:r>
          </w:p>
        </w:tc>
      </w:tr>
      <w:tr>
        <w:trPr>
          <w:trHeight w:val="219"/>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16"/>
        </w:trPr>
        <w:tc>
          <w:tcPr>
            <w:tcW w:w="56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r>
      <w:tr>
        <w:trPr>
          <w:trHeight w:val="207"/>
        </w:trPr>
        <w:tc>
          <w:tcPr>
            <w:tcW w:w="5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periodic pension (benefit)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145"/>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3"/>
        </w:trPr>
        <w:tc>
          <w:tcPr>
            <w:tcW w:w="5600" w:type="dxa"/>
            <w:vAlign w:val="bottom"/>
          </w:tcPr>
          <w:p>
            <w:pPr>
              <w:ind w:left="140"/>
              <w:spacing w:after="0"/>
              <w:rPr>
                <w:sz w:val="20"/>
                <w:szCs w:val="20"/>
                <w:color w:val="auto"/>
              </w:rPr>
            </w:pPr>
            <w:r>
              <w:rPr>
                <w:rFonts w:ascii="Arial" w:cs="Arial" w:eastAsia="Arial" w:hAnsi="Arial"/>
                <w:sz w:val="16"/>
                <w:szCs w:val="16"/>
                <w:color w:val="auto"/>
              </w:rPr>
              <w:t>Net (gain) loss arising during the fiscal year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(4,765)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3,387</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9"/>
        </w:trPr>
        <w:tc>
          <w:tcPr>
            <w:tcW w:w="56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loss</w:t>
            </w:r>
            <w:r>
              <w:rPr>
                <w:rFonts w:ascii="Arial" w:cs="Arial" w:eastAsia="Arial" w:hAnsi="Arial"/>
                <w:sz w:val="21"/>
                <w:szCs w:val="21"/>
                <w:color w:val="auto"/>
                <w:vertAlign w:val="superscript"/>
              </w:rPr>
              <w: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06"/>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changes recognized in other comprehensive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r>
      <w:tr>
        <w:trPr>
          <w:trHeight w:val="23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Total net periodic cost and changes recognized in other comprehensive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360" w:hanging="332"/>
        <w:spacing w:after="0" w:line="273"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2022, approximately $0.2 million is expected to be reclassified from accumulated other comprehensive loss to a component of net periodic pension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used in determining the benefit obligation and net periodic pension cost for our pension plan is presented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80" w:type="dxa"/>
            <w:vAlign w:val="bottom"/>
            <w:gridSpan w:val="3"/>
          </w:tcPr>
          <w:p>
            <w:pPr>
              <w:spacing w:after="0"/>
              <w:rPr>
                <w:sz w:val="20"/>
                <w:szCs w:val="20"/>
                <w:color w:val="auto"/>
              </w:rPr>
            </w:pPr>
            <w:r>
              <w:rPr>
                <w:rFonts w:ascii="Arial" w:cs="Arial" w:eastAsia="Arial" w:hAnsi="Arial"/>
                <w:sz w:val="16"/>
                <w:szCs w:val="16"/>
                <w:b w:val="1"/>
                <w:bCs w:val="1"/>
                <w:color w:val="auto"/>
              </w:rPr>
              <w:t>Benefit obligation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7"/>
              </w:rPr>
              <w:t>Net periodic pension cost</w:t>
            </w:r>
          </w:p>
        </w:tc>
        <w:tc>
          <w:tcPr>
            <w:tcW w:w="45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95"/>
              </w:rPr>
              <w:t>2019</w:t>
            </w:r>
          </w:p>
        </w:tc>
      </w:tr>
      <w:tr>
        <w:trPr>
          <w:trHeight w:val="206"/>
        </w:trPr>
        <w:tc>
          <w:tcPr>
            <w:tcW w:w="20" w:type="dxa"/>
            <w:vAlign w:val="bottom"/>
          </w:tcPr>
          <w:p>
            <w:pPr>
              <w:spacing w:after="0"/>
              <w:rPr>
                <w:sz w:val="17"/>
                <w:szCs w:val="17"/>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4.00%</w:t>
            </w:r>
          </w:p>
        </w:tc>
      </w:tr>
      <w:tr>
        <w:trPr>
          <w:trHeight w:val="219"/>
        </w:trPr>
        <w:tc>
          <w:tcPr>
            <w:tcW w:w="20" w:type="dxa"/>
            <w:vAlign w:val="bottom"/>
            <w:shd w:val="clear" w:color="auto" w:fill="CCEEFF"/>
          </w:tcPr>
          <w:p>
            <w:pPr>
              <w:spacing w:after="0"/>
              <w:rPr>
                <w:sz w:val="19"/>
                <w:szCs w:val="19"/>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Expected long-term rate of return on plan assets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5.50%</w:t>
            </w:r>
          </w:p>
        </w:tc>
      </w:tr>
    </w:tbl>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discount rates used at January 1, 2022, January 2, 2021, and December 28, 2019 were determined with consideration given to the FTSE Pension Liability Index and the Bloomberg US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0.25% change in the assumed discount rate would result in an increase or decrease in the amount of the pension plan's projected benefit obligation of approximately $2.3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benefit payments for its defined benefit pension plans as follows for the next ten fiscal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2023</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3,350</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6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2027-2031</w:t>
            </w:r>
          </w:p>
        </w:tc>
        <w:tc>
          <w:tcPr>
            <w:tcW w:w="46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investment strategy is to invest in a well-diversified portfolio consisting of mutual funds or group annuity contracts that minimize concentration of risks by utilizing a variety of asset types, fund strategies, and fund managers. The target allocation for plan assets is 60% bond funds, 36% equity securities, and 4% real estate investments. The plan expects to gradually reduce its equity exposure.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investment policy anticipates a rate of return sufficient to fund pension plan benefits while minimizing the risk to the Company of additional funding. To calculate net periodic pension cost for the next fiscal year, the Company will use an expected long-term rate of return on plan assets of 5.50%. The Company believes that this annual return on plan assets can be achieved based on actual returns over a long-term basis, the current allocation, and investment strategy.</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Equity securities primarily include funds invested in large-cap and mid-cap companies, primarily located in the U.S., with a small exposure to international equities. Fixed income securities include funds holding corporate bonds of companies from diverse industries, and U.S. Treasuries. Real estate funds include investments in actively managed mutual funds that invest in real estate.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pension plan assets at January 1, 2022 and January 2, 2021, by asset category,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January 1, 2022</w:t>
            </w: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January 2, 2021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358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Asset category</w:t>
            </w:r>
          </w:p>
        </w:tc>
        <w:tc>
          <w:tcPr>
            <w:tcW w:w="260" w:type="dxa"/>
            <w:vAlign w:val="bottom"/>
          </w:tcPr>
          <w:p>
            <w:pPr>
              <w:spacing w:after="0"/>
              <w:rPr>
                <w:sz w:val="14"/>
                <w:szCs w:val="14"/>
                <w:color w:val="auto"/>
              </w:rPr>
            </w:pPr>
          </w:p>
        </w:tc>
        <w:tc>
          <w:tcPr>
            <w:tcW w:w="1000" w:type="dxa"/>
            <w:vAlign w:val="bottom"/>
            <w:gridSpan w:val="2"/>
          </w:tcPr>
          <w:p>
            <w:pPr>
              <w:ind w:left="140"/>
              <w:spacing w:after="0" w:line="169"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4"/>
                <w:szCs w:val="14"/>
                <w:color w:val="auto"/>
              </w:rPr>
            </w:pPr>
          </w:p>
        </w:tc>
        <w:tc>
          <w:tcPr>
            <w:tcW w:w="1060" w:type="dxa"/>
            <w:vAlign w:val="bottom"/>
            <w:gridSpan w:val="2"/>
          </w:tcPr>
          <w:p>
            <w:pPr>
              <w:ind w:left="120"/>
              <w:spacing w:after="0" w:line="169" w:lineRule="exact"/>
              <w:rPr>
                <w:sz w:val="20"/>
                <w:szCs w:val="20"/>
                <w:color w:val="auto"/>
              </w:rPr>
            </w:pPr>
            <w:r>
              <w:rPr>
                <w:rFonts w:ascii="Arial" w:cs="Arial" w:eastAsia="Arial" w:hAnsi="Arial"/>
                <w:sz w:val="16"/>
                <w:szCs w:val="16"/>
                <w:b w:val="1"/>
                <w:bCs w:val="1"/>
                <w:color w:val="auto"/>
              </w:rPr>
              <w:t>Level 1</w:t>
            </w:r>
          </w:p>
        </w:tc>
        <w:tc>
          <w:tcPr>
            <w:tcW w:w="8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4"/>
                <w:szCs w:val="14"/>
                <w:color w:val="auto"/>
              </w:rPr>
            </w:pPr>
          </w:p>
        </w:tc>
        <w:tc>
          <w:tcPr>
            <w:tcW w:w="1020" w:type="dxa"/>
            <w:vAlign w:val="bottom"/>
            <w:gridSpan w:val="2"/>
          </w:tcPr>
          <w:p>
            <w:pPr>
              <w:ind w:left="100"/>
              <w:spacing w:after="0" w:line="169" w:lineRule="exact"/>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4"/>
                <w:szCs w:val="14"/>
                <w:color w:val="auto"/>
              </w:rPr>
            </w:pPr>
          </w:p>
        </w:tc>
        <w:tc>
          <w:tcPr>
            <w:tcW w:w="94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Equity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U.S. Large-Cap blend</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Large-Cap growth</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Mid-Cap growth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U.S. Small-Cap blend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International blend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Fixed income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Corporate bonds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Arial" w:cs="Arial" w:eastAsia="Arial" w:hAnsi="Arial"/>
                <w:sz w:val="16"/>
                <w:szCs w:val="16"/>
                <w:color w:val="auto"/>
              </w:rPr>
              <w:t>Real estate</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224</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category comprises low-cost equity index funds not actively managed that track the Standard &amp; Poor’s 500 Index.</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category invests in both U.S. Treasuries and mid-term corporate debt from U.S. issuers from diverse industries.</w:t>
      </w:r>
    </w:p>
    <w:p>
      <w:pPr>
        <w:spacing w:after="0" w:line="55" w:lineRule="exact"/>
        <w:rPr>
          <w:rFonts w:ascii="Arial" w:cs="Arial" w:eastAsia="Arial" w:hAnsi="Arial"/>
          <w:sz w:val="14"/>
          <w:szCs w:val="14"/>
          <w:color w:val="auto"/>
        </w:rPr>
      </w:pPr>
    </w:p>
    <w:p>
      <w:pPr>
        <w:ind w:left="340" w:right="160" w:hanging="332"/>
        <w:spacing w:after="0" w:line="273"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category represents an investment in a mutual fund that invests primarily in real estate securities, including common stocks, preferred stock and other equity securities issued by real estate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Life and Medical Plan</w:t>
      </w:r>
    </w:p>
    <w:p>
      <w:pPr>
        <w:spacing w:after="0" w:line="10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6" w:name="page77"/>
    <w:bookmarkEnd w:id="76"/>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Post-Retirement Benefit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accumulated post-retirement benefit obligation (“APBO”) under this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For the fiscal years ended</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1, 2022</w:t>
            </w:r>
          </w:p>
        </w:tc>
        <w:tc>
          <w:tcPr>
            <w:tcW w:w="280" w:type="dxa"/>
            <w:vAlign w:val="bottom"/>
          </w:tcPr>
          <w:p>
            <w:pPr>
              <w:spacing w:after="0"/>
              <w:rPr>
                <w:sz w:val="18"/>
                <w:szCs w:val="18"/>
                <w:color w:val="auto"/>
              </w:rPr>
            </w:pPr>
          </w:p>
        </w:tc>
        <w:tc>
          <w:tcPr>
            <w:tcW w:w="1760" w:type="dxa"/>
            <w:vAlign w:val="bottom"/>
          </w:tcPr>
          <w:p>
            <w:pPr>
              <w:jc w:val="right"/>
              <w:ind w:right="37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beginning of fiscal year</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APBO at end of fiscal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Approximately $2.4 million and $2.7 million of the APBO at the end of fiscal 2021 and 2020, respectively, were classified as other long term liabilities in the Company’s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Post-Retirement Benefit Cost and Changes Recognized in Other Comprehensive Income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components of net periodic post-retirement benefit cost recognized in the statement of operations and changes recognized in other comprehensive income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For the fiscal year ended</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28, 2019</w:t>
            </w:r>
          </w:p>
        </w:tc>
        <w:tc>
          <w:tcPr>
            <w:tcW w:w="0" w:type="dxa"/>
            <w:vAlign w:val="bottom"/>
          </w:tcPr>
          <w:p>
            <w:pPr>
              <w:spacing w:after="0"/>
              <w:rPr>
                <w:sz w:val="1"/>
                <w:szCs w:val="1"/>
                <w:color w:val="auto"/>
              </w:rPr>
            </w:pPr>
          </w:p>
        </w:tc>
      </w:tr>
      <w:tr>
        <w:trPr>
          <w:trHeight w:val="19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60"/>
              <w:spacing w:after="0" w:line="216"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periodic post-retirement benefit (income)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45"/>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Net (gain) loss arising during the fiscal year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Amortization of net gain</w:t>
            </w:r>
            <w:r>
              <w:rPr>
                <w:rFonts w:ascii="Arial" w:cs="Arial" w:eastAsia="Arial" w:hAnsi="Arial"/>
                <w:sz w:val="21"/>
                <w:szCs w:val="21"/>
                <w:color w:val="auto"/>
                <w:vertAlign w:val="superscript"/>
              </w:rPr>
              <w:t>(*)</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changes recognized in other comprehensive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45"/>
        </w:trPr>
        <w:tc>
          <w:tcPr>
            <w:tcW w:w="5620" w:type="dxa"/>
            <w:vAlign w:val="bottom"/>
            <w:shd w:val="clear" w:color="auto" w:fill="CCEEFF"/>
          </w:tcPr>
          <w:p>
            <w:pPr>
              <w:ind w:left="400"/>
              <w:spacing w:after="0" w:line="145" w:lineRule="exact"/>
              <w:rPr>
                <w:sz w:val="20"/>
                <w:szCs w:val="20"/>
                <w:color w:val="auto"/>
              </w:rPr>
            </w:pPr>
            <w:r>
              <w:rPr>
                <w:rFonts w:ascii="Arial" w:cs="Arial" w:eastAsia="Arial" w:hAnsi="Arial"/>
                <w:sz w:val="16"/>
                <w:szCs w:val="16"/>
                <w:b w:val="1"/>
                <w:bCs w:val="1"/>
                <w:color w:val="auto"/>
                <w:w w:val="99"/>
              </w:rPr>
              <w:t>Total net periodic post-retirement benefit (income) cost and changes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recognized in other comprehensive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340" w:hanging="332"/>
        <w:spacing w:after="0" w:line="27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pre-tax amounts reclassified from accumulated other comprehensive loss. For fiscal 2022, approximately $0.3 million is expected to be reclassified from accumulated other comprehensive loss to a component of net periodic post-retirement benefit cost.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actuarial computations utilized the following assumptions, using year-end measurement dates: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560" w:type="dxa"/>
            <w:vAlign w:val="bottom"/>
            <w:gridSpan w:val="3"/>
          </w:tcPr>
          <w:p>
            <w:pPr>
              <w:spacing w:after="0"/>
              <w:rPr>
                <w:sz w:val="20"/>
                <w:szCs w:val="20"/>
                <w:color w:val="auto"/>
              </w:rPr>
            </w:pPr>
            <w:r>
              <w:rPr>
                <w:rFonts w:ascii="Arial" w:cs="Arial" w:eastAsia="Arial" w:hAnsi="Arial"/>
                <w:sz w:val="16"/>
                <w:szCs w:val="16"/>
                <w:b w:val="1"/>
                <w:bCs w:val="1"/>
                <w:color w:val="auto"/>
              </w:rPr>
              <w:t>Post-retirement benefit obligation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Discount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2.00%</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Net periodic post-retirement benefit cost</w:t>
            </w:r>
          </w:p>
        </w:tc>
        <w:tc>
          <w:tcPr>
            <w:tcW w:w="37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479"/>
              <w:spacing w:after="0" w:line="175" w:lineRule="exact"/>
              <w:rPr>
                <w:sz w:val="20"/>
                <w:szCs w:val="20"/>
                <w:color w:val="auto"/>
              </w:rPr>
            </w:pPr>
            <w:r>
              <w:rPr>
                <w:rFonts w:ascii="Arial" w:cs="Arial" w:eastAsia="Arial" w:hAnsi="Arial"/>
                <w:sz w:val="16"/>
                <w:szCs w:val="16"/>
                <w:b w:val="1"/>
                <w:bCs w:val="1"/>
                <w:color w:val="auto"/>
              </w:rPr>
              <w:t>2019</w:t>
            </w:r>
          </w:p>
        </w:tc>
      </w:tr>
      <w:tr>
        <w:trPr>
          <w:trHeight w:val="203"/>
        </w:trPr>
        <w:tc>
          <w:tcPr>
            <w:tcW w:w="20" w:type="dxa"/>
            <w:vAlign w:val="bottom"/>
          </w:tcPr>
          <w:p>
            <w:pPr>
              <w:spacing w:after="0"/>
              <w:rPr>
                <w:sz w:val="17"/>
                <w:szCs w:val="17"/>
                <w:color w:val="auto"/>
              </w:rPr>
            </w:pPr>
          </w:p>
        </w:tc>
        <w:tc>
          <w:tcPr>
            <w:tcW w:w="656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2.00%</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4.00%</w:t>
            </w:r>
          </w:p>
        </w:tc>
      </w:tr>
    </w:tbl>
    <w:p>
      <w:pPr>
        <w:spacing w:after="0" w:line="2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discount rates used at January 1, 2022, January 2, 2021, and December 28, 2019, were determined with primary consideration given to the FTSE Pension Discount Curve and Liability Index adjusted for the timing of expected plan distributions. The Company believes this index reflects a risk-free rate with maturities that are comparable to the timing of the expected payments under the plan.</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contribution for these post-retirement benefit obligations was approximately $0.3 million for fiscal years 2021, 2020, and 2019. The Company expects that its contribution and benefit payments for post-retirement benefit obligations will be approximately $0.3 million for fiscal years 2022 and 2023, and approximately $0.2 million for fiscal years 2024, 2025, and 2026. For the five years subsequent to fiscal 2026, the aggregate contributions and benefit payments for post-retirement benefit obligations is expected to be approximately $0.8 million. The Company does not pre-fund this plan and as a result there are no plan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 any subsequent calendar year. The plan provides for a discretionary employer match of employee contributions. The Company’s expense for the U.S. defined contribution savings plan totaled approximately $16.1 million, $7.7 million, and $8.0 million for the fiscal years ended January 1, 2022, January 2, 2021, and December 28, 2019, respectively. Expenses related to the Canadian defined contribution savings plan were approximately $0.3 million in fiscal year 2021, $0.2 million in fiscal year 2020, and $0.1 million in fiscal year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0"/>
              </w:rPr>
              <w:t>For the fiscal year ended</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January 2, 2021</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560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Current tax provision:</w:t>
            </w:r>
          </w:p>
        </w:tc>
        <w:tc>
          <w:tcPr>
            <w:tcW w:w="2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404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75,408</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31,085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50,162</w:t>
            </w:r>
          </w:p>
        </w:tc>
      </w:tr>
      <w:tr>
        <w:trPr>
          <w:trHeight w:val="21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10,548</w:t>
            </w: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Deferred tax provision (benefit):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3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(10,541)</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(18,449)</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(10,775)</w:t>
            </w:r>
          </w:p>
        </w:tc>
      </w:tr>
      <w:tr>
        <w:trPr>
          <w:trHeight w:val="219"/>
        </w:trPr>
        <w:tc>
          <w:tcPr>
            <w:tcW w:w="2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r>
      <w:tr>
        <w:trPr>
          <w:trHeight w:val="213"/>
        </w:trPr>
        <w:tc>
          <w:tcPr>
            <w:tcW w:w="2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r>
      <w:tr>
        <w:trPr>
          <w:trHeight w:val="209"/>
        </w:trPr>
        <w:tc>
          <w:tcPr>
            <w:tcW w:w="2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(13,300)</w:t>
            </w:r>
          </w:p>
        </w:tc>
      </w:tr>
      <w:tr>
        <w:trPr>
          <w:trHeight w:val="213"/>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6"/>
                <w:szCs w:val="16"/>
                <w:color w:val="auto"/>
              </w:rPr>
              <w:t>Total provision</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64,150</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approximately $85.5 million. Unrecognized deferred tax liability related to undistributed earnings from the Company’s subsidiaries in Canada and Mexico is estimated to be approximately $3.6 million, based on applicable withholding taxes, levels of foreign income previously taxed in the U.S. and applicable foreign tax credit limitations.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 U.S. income tax on its foreign earnings under Global Intangible Low-Taxed Income (“GILTI”) as a period expense in the period in which additional tax is due.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January 2,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28, 2019</w:t>
            </w:r>
          </w:p>
        </w:tc>
      </w:tr>
      <w:tr>
        <w:trPr>
          <w:trHeight w:val="212"/>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333,900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225,488</w:t>
            </w:r>
          </w:p>
        </w:tc>
      </w:tr>
      <w:tr>
        <w:trPr>
          <w:trHeight w:val="213"/>
        </w:trPr>
        <w:tc>
          <w:tcPr>
            <w:tcW w:w="5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102,464</w:t>
            </w:r>
          </w:p>
        </w:tc>
      </w:tr>
      <w:tr>
        <w:trPr>
          <w:trHeight w:val="23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438,290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327,952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Rate Reconciliation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Company’s effective income tax rate and the federal statutory tax rate is reconciled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188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1980" w:type="dxa"/>
            <w:vAlign w:val="bottom"/>
            <w:gridSpan w:val="2"/>
          </w:tcPr>
          <w:p>
            <w:pPr>
              <w:ind w:left="380"/>
              <w:spacing w:after="0"/>
              <w:rPr>
                <w:sz w:val="20"/>
                <w:szCs w:val="20"/>
                <w:color w:val="auto"/>
              </w:rPr>
            </w:pPr>
            <w:r>
              <w:rPr>
                <w:rFonts w:ascii="Arial" w:cs="Arial" w:eastAsia="Arial" w:hAnsi="Arial"/>
                <w:sz w:val="16"/>
                <w:szCs w:val="16"/>
                <w:b w:val="1"/>
                <w:bCs w:val="1"/>
                <w:color w:val="auto"/>
              </w:rPr>
              <w:t>January 1, 2022</w:t>
            </w: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January 2, 2021</w:t>
            </w:r>
          </w:p>
        </w:tc>
        <w:tc>
          <w:tcPr>
            <w:tcW w:w="188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28, 2019</w:t>
            </w:r>
          </w:p>
        </w:tc>
      </w:tr>
      <w:tr>
        <w:trPr>
          <w:trHeight w:val="212"/>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Statutory federal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State income taxes, net of federal income tax benefit</w:t>
            </w:r>
          </w:p>
        </w:tc>
        <w:tc>
          <w:tcPr>
            <w:tcW w:w="188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foreign operations</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Settlement of uncertain tax positions</w:t>
            </w:r>
          </w:p>
        </w:tc>
        <w:tc>
          <w:tcPr>
            <w:tcW w:w="18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stock-based compensation</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impairments and other</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Company’s calculation of the components of deferred tax assets and liabilities as of January 1, 2022 and January 2,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line="138" w:lineRule="exact"/>
              <w:rPr>
                <w:sz w:val="20"/>
                <w:szCs w:val="20"/>
                <w:color w:val="auto"/>
              </w:rPr>
            </w:pPr>
            <w:r>
              <w:rPr>
                <w:rFonts w:ascii="Arial" w:cs="Arial" w:eastAsia="Arial" w:hAnsi="Arial"/>
                <w:sz w:val="16"/>
                <w:szCs w:val="16"/>
                <w:b w:val="1"/>
                <w:bCs w:val="1"/>
                <w:color w:val="auto"/>
                <w:w w:val="88"/>
              </w:rPr>
              <w:t>Deferred tax assets:</w:t>
            </w:r>
          </w:p>
        </w:tc>
        <w:tc>
          <w:tcPr>
            <w:tcW w:w="61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480" w:type="dxa"/>
            <w:vAlign w:val="bottom"/>
            <w:tcBorders>
              <w:bottom w:val="single" w:sz="8" w:color="CCEEFF"/>
            </w:tcBorders>
            <w:gridSpan w:val="4"/>
            <w:shd w:val="clear" w:color="auto" w:fill="CCEEFF"/>
          </w:tcPr>
          <w:p>
            <w:pPr>
              <w:jc w:val="right"/>
              <w:ind w:right="1159"/>
              <w:spacing w:after="0" w:line="142" w:lineRule="exact"/>
              <w:rPr>
                <w:sz w:val="20"/>
                <w:szCs w:val="20"/>
                <w:color w:val="auto"/>
              </w:rPr>
            </w:pPr>
            <w:r>
              <w:rPr>
                <w:rFonts w:ascii="Arial" w:cs="Arial" w:eastAsia="Arial" w:hAnsi="Arial"/>
                <w:sz w:val="16"/>
                <w:szCs w:val="16"/>
                <w:color w:val="auto"/>
              </w:rPr>
              <w:t>Assets (Liabilities)</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Accounts receivable allowance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4,072</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13,807</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Equity-based compensation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Deferred employee benefits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7,928</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Leasing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130,776</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w:t>
            </w:r>
          </w:p>
        </w:tc>
      </w:tr>
      <w:tr>
        <w:trPr>
          <w:trHeight w:val="213"/>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178,358</w:t>
            </w:r>
          </w:p>
        </w:tc>
      </w:tr>
      <w:tr>
        <w:trPr>
          <w:trHeight w:val="155"/>
        </w:trPr>
        <w:tc>
          <w:tcPr>
            <w:tcW w:w="20" w:type="dxa"/>
            <w:vAlign w:val="bottom"/>
          </w:tcPr>
          <w:p>
            <w:pPr>
              <w:spacing w:after="0"/>
              <w:rPr>
                <w:sz w:val="13"/>
                <w:szCs w:val="13"/>
                <w:color w:val="auto"/>
              </w:rPr>
            </w:pPr>
          </w:p>
        </w:tc>
        <w:tc>
          <w:tcPr>
            <w:tcW w:w="750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Deferred tax liabilities: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(38,777)</w:t>
            </w:r>
          </w:p>
        </w:tc>
      </w:tr>
      <w:tr>
        <w:trPr>
          <w:trHeight w:val="213"/>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Leasing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(80,818)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(107,269)</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(76,409)</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w:t>
            </w: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(228,048)</w:t>
            </w:r>
          </w:p>
        </w:tc>
      </w:tr>
      <w:tr>
        <w:trPr>
          <w:trHeight w:val="145"/>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deferred tax liability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1000"/>
              <w:spacing w:after="0"/>
              <w:rPr>
                <w:sz w:val="20"/>
                <w:szCs w:val="20"/>
                <w:color w:val="auto"/>
              </w:rPr>
            </w:pPr>
            <w:r>
              <w:rPr>
                <w:rFonts w:ascii="Arial" w:cs="Arial" w:eastAsia="Arial" w:hAnsi="Arial"/>
                <w:sz w:val="16"/>
                <w:szCs w:val="16"/>
                <w:color w:val="auto"/>
              </w:rPr>
              <w:t>Assets (Liabilities)</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ind w:left="1140"/>
              <w:spacing w:after="0"/>
              <w:rPr>
                <w:sz w:val="20"/>
                <w:szCs w:val="20"/>
                <w:color w:val="auto"/>
              </w:rPr>
            </w:pPr>
            <w:r>
              <w:rPr>
                <w:rFonts w:ascii="Arial" w:cs="Arial" w:eastAsia="Arial" w:hAnsi="Arial"/>
                <w:sz w:val="16"/>
                <w:szCs w:val="16"/>
                <w:color w:val="auto"/>
                <w:w w:val="99"/>
              </w:rPr>
              <w:t>2,800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3"/>
              </w:rPr>
              <w:t>(40,910)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(52,770)</w:t>
            </w:r>
          </w:p>
        </w:tc>
      </w:tr>
      <w:tr>
        <w:trPr>
          <w:trHeight w:val="212"/>
        </w:trPr>
        <w:tc>
          <w:tcPr>
            <w:tcW w:w="7500" w:type="dxa"/>
            <w:vAlign w:val="bottom"/>
          </w:tcPr>
          <w:p>
            <w:pPr>
              <w:ind w:left="20"/>
              <w:spacing w:after="0"/>
              <w:rPr>
                <w:sz w:val="20"/>
                <w:szCs w:val="20"/>
                <w:color w:val="auto"/>
              </w:rPr>
            </w:pPr>
            <w:r>
              <w:rPr>
                <w:rFonts w:ascii="Arial" w:cs="Arial" w:eastAsia="Arial" w:hAnsi="Arial"/>
                <w:sz w:val="16"/>
                <w:szCs w:val="16"/>
                <w:color w:val="auto"/>
              </w:rPr>
              <w:t>Net deferred tax liability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3"/>
              </w:rPr>
              <w:t>(38,110)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(49,690)</w:t>
            </w:r>
          </w:p>
        </w:tc>
      </w:tr>
      <w:tr>
        <w:trPr>
          <w:trHeight w:val="21"/>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beginning and ending amount of unrecognized tax benefits: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29, 2018</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2019</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2,197</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r>
      <w:tr>
        <w:trPr>
          <w:trHeight w:val="207"/>
        </w:trPr>
        <w:tc>
          <w:tcPr>
            <w:tcW w:w="94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13,923</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2020</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r>
      <w:tr>
        <w:trPr>
          <w:trHeight w:val="207"/>
        </w:trPr>
        <w:tc>
          <w:tcPr>
            <w:tcW w:w="94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12,523</w:t>
            </w:r>
          </w:p>
        </w:tc>
      </w:tr>
      <w:tr>
        <w:trPr>
          <w:trHeight w:val="219"/>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2021</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13"/>
        </w:trPr>
        <w:tc>
          <w:tcPr>
            <w:tcW w:w="9440" w:type="dxa"/>
            <w:vAlign w:val="bottom"/>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(2,207)</w:t>
            </w:r>
          </w:p>
        </w:tc>
      </w:tr>
      <w:tr>
        <w:trPr>
          <w:trHeight w:val="216"/>
        </w:trPr>
        <w:tc>
          <w:tcPr>
            <w:tcW w:w="9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r>
      <w:tr>
        <w:trPr>
          <w:trHeight w:val="212"/>
        </w:trPr>
        <w:tc>
          <w:tcPr>
            <w:tcW w:w="94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8,856</w:t>
            </w:r>
          </w:p>
        </w:tc>
      </w:tr>
      <w:tr>
        <w:trPr>
          <w:trHeight w:val="21"/>
        </w:trPr>
        <w:tc>
          <w:tcPr>
            <w:tcW w:w="9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As of January 1, 2022, the Company had gross unrecognized tax benefits of approximately $8.9 million, of which $7.5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Included in the reserves for unrecognized tax benefits are approximately $3.1 million of reserves for which the statute of limitations is expected to expire within the next fiscal year. If these tax benefits are ultimately recognized, such recognition, net of federal income taxes, may affect the annual effective tax rate for fiscal 2022 and the effective tax rate in the quarter in which the benefits are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component of income tax expense. During fiscal 2021, 2020, and 2019, expense recorded on uncertain tax positions was approximately $0.4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$0.5 million, respectively. The Company had accrued interest on uncertain tax positions of approximately $1.8 million and $2.7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January 1, 2022 and January 2,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959"/>
              <w:spacing w:after="0"/>
              <w:rPr>
                <w:sz w:val="20"/>
                <w:szCs w:val="20"/>
                <w:color w:val="auto"/>
              </w:rPr>
            </w:pPr>
            <w:r>
              <w:rPr>
                <w:rFonts w:ascii="Arial" w:cs="Arial" w:eastAsia="Arial" w:hAnsi="Arial"/>
                <w:sz w:val="16"/>
                <w:szCs w:val="16"/>
                <w:b w:val="1"/>
                <w:bCs w:val="1"/>
                <w:color w:val="auto"/>
                <w:w w:val="90"/>
              </w:rPr>
              <w:t>For the fiscal year ended</w:t>
            </w:r>
          </w:p>
        </w:tc>
        <w:tc>
          <w:tcPr>
            <w:tcW w:w="11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1, 2022</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January 2, 2021</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28, 2019</w:t>
            </w:r>
          </w:p>
        </w:tc>
      </w:tr>
      <w:tr>
        <w:trPr>
          <w:trHeight w:val="21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(52 weeks)</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(53 weeks)</w:t>
            </w:r>
          </w:p>
        </w:tc>
        <w:tc>
          <w:tcPr>
            <w:tcW w:w="22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(52 weeks)</w:t>
            </w: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4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rPr>
              <w:t>Weighted-average number of common and common equivalent shares outstanding:</w:t>
            </w: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Basic number of common shares outstanding</w:t>
            </w:r>
          </w:p>
        </w:tc>
        <w:tc>
          <w:tcPr>
            <w:tcW w:w="1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42,853,009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43,242,967</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44,402,438</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Dilutive effect of equity awards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305,514</w:t>
            </w: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43,002,628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43,407,721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44,707,952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spacing w:after="0" w:line="145" w:lineRule="exact"/>
              <w:rPr>
                <w:sz w:val="20"/>
                <w:szCs w:val="20"/>
                <w:color w:val="auto"/>
              </w:rPr>
            </w:pPr>
            <w:r>
              <w:rPr>
                <w:rFonts w:ascii="Arial" w:cs="Arial" w:eastAsia="Arial" w:hAnsi="Arial"/>
                <w:sz w:val="16"/>
                <w:szCs w:val="16"/>
                <w:color w:val="auto"/>
                <w:w w:val="88"/>
              </w:rPr>
              <w:t>Earnings per share:</w:t>
            </w:r>
          </w:p>
        </w:tc>
        <w:tc>
          <w:tcPr>
            <w:tcW w:w="554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800" w:type="dxa"/>
            <w:vAlign w:val="bottom"/>
            <w:gridSpan w:val="4"/>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263,802</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Income allocated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335,635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Basic net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339,748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109,717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263,802</w:t>
            </w:r>
          </w:p>
        </w:tc>
      </w:tr>
      <w:tr>
        <w:trPr>
          <w:trHeight w:val="219"/>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Income allocated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40" w:type="dxa"/>
            <w:vAlign w:val="bottom"/>
            <w:gridSpan w:val="3"/>
          </w:tcPr>
          <w:p>
            <w:pPr>
              <w:ind w:left="180"/>
              <w:spacing w:after="0"/>
              <w:rPr>
                <w:sz w:val="20"/>
                <w:szCs w:val="20"/>
                <w:color w:val="auto"/>
              </w:rPr>
            </w:pPr>
            <w:r>
              <w:rPr>
                <w:rFonts w:ascii="Arial" w:cs="Arial" w:eastAsia="Arial" w:hAnsi="Arial"/>
                <w:sz w:val="16"/>
                <w:szCs w:val="16"/>
                <w:color w:val="auto"/>
              </w:rPr>
              <w:t>Net income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108,602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Diluted net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Anti-dilutive shares excluded from dilutive earnings per share calculations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351,777</w:t>
            </w:r>
          </w:p>
        </w:tc>
      </w:tr>
    </w:tbl>
    <w:p>
      <w:pPr>
        <w:spacing w:after="0" w:line="130"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volume of antidilutive shares is, in part, due to the related unamortized compensation costs.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grants shares of its common stock in the form of restricted stock awards to certain key employees under the Company’s Amended and Restated Equity Incentive Plan (see Note 10,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to the consolidated financial statements). Prior to vesting of the restricted stock awards, the grant recipients are entitled to receive non-forfeitable cash dividends if the 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6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Company does not evaluate performance or allocate resources based on segment asset data, and therefore total segment assets are not presented. 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segment information for our reportable segments and unallocated corporate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For the fiscal year ended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January 1, 2022</w:t>
            </w:r>
          </w:p>
        </w:tc>
        <w:tc>
          <w:tcPr>
            <w:tcW w:w="100" w:type="dxa"/>
            <w:vAlign w:val="bottom"/>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3"/>
                <w:szCs w:val="13"/>
                <w:color w:val="auto"/>
              </w:rPr>
            </w:pP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7"/>
              </w:rPr>
              <w:t>January 2, 2021</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 of Consolidated</w:t>
            </w:r>
          </w:p>
        </w:tc>
        <w:tc>
          <w:tcPr>
            <w:tcW w:w="120" w:type="dxa"/>
            <w:vAlign w:val="bottom"/>
          </w:tcPr>
          <w:p>
            <w:pPr>
              <w:spacing w:after="0"/>
              <w:rPr>
                <w:sz w:val="13"/>
                <w:szCs w:val="13"/>
                <w:color w:val="auto"/>
              </w:rPr>
            </w:pPr>
          </w:p>
        </w:tc>
        <w:tc>
          <w:tcPr>
            <w:tcW w:w="14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December 28, 2019</w:t>
            </w: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 of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Consolidated Net</w:t>
            </w: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(52 weeks)</w:t>
            </w: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16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(53 weeks)</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Net Sales</w:t>
            </w:r>
          </w:p>
        </w:tc>
        <w:tc>
          <w:tcPr>
            <w:tcW w:w="120" w:type="dxa"/>
            <w:vAlign w:val="bottom"/>
          </w:tcPr>
          <w:p>
            <w:pPr>
              <w:spacing w:after="0"/>
              <w:rPr>
                <w:sz w:val="18"/>
                <w:szCs w:val="18"/>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b w:val="1"/>
                <w:bCs w:val="1"/>
                <w:color w:val="auto"/>
              </w:rPr>
              <w:t>(52 weeks)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Net sales:</w:t>
            </w: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Retail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1,899,262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54.5 %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1,671,644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55.3 %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1,884,150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53.5 %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1,205,646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460,763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356,602</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429,490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340"/>
              <w:spacing w:after="0" w:line="148" w:lineRule="exact"/>
              <w:rPr>
                <w:sz w:val="20"/>
                <w:szCs w:val="20"/>
                <w:color w:val="auto"/>
              </w:rPr>
            </w:pPr>
            <w:r>
              <w:rPr>
                <w:rFonts w:ascii="Arial" w:cs="Arial" w:eastAsia="Arial" w:hAnsi="Arial"/>
                <w:sz w:val="16"/>
                <w:szCs w:val="16"/>
                <w:color w:val="auto"/>
                <w:w w:val="95"/>
              </w:rPr>
              <w:t>Total consolidated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0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20" w:type="dxa"/>
            <w:vAlign w:val="bottom"/>
            <w:vMerge w:val="restart"/>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100" w:type="dxa"/>
            <w:vAlign w:val="bottom"/>
            <w:vMerge w:val="restart"/>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sales</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7"/>
              </w:rPr>
              <w:t>Operating income (loss):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8"/>
              </w:rPr>
              <w:t>Net Sales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Net Sales</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368,221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146,806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225,874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195,369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141,456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212,558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gridSpan w:val="3"/>
          </w:tcPr>
          <w:p>
            <w:pPr>
              <w:spacing w:after="0" w:line="162" w:lineRule="exact"/>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(130,317)</w:t>
            </w:r>
          </w:p>
        </w:tc>
        <w:tc>
          <w:tcPr>
            <w:tcW w:w="10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(97,169)</w:t>
            </w:r>
          </w:p>
        </w:tc>
        <w:tc>
          <w:tcPr>
            <w:tcW w:w="120" w:type="dxa"/>
            <w:vAlign w:val="bottom"/>
          </w:tcPr>
          <w:p>
            <w:pPr>
              <w:spacing w:after="0"/>
              <w:rPr>
                <w:sz w:val="14"/>
                <w:szCs w:val="14"/>
                <w:color w:val="auto"/>
              </w:rPr>
            </w:pPr>
          </w:p>
        </w:tc>
        <w:tc>
          <w:tcPr>
            <w:tcW w:w="1460" w:type="dxa"/>
            <w:vAlign w:val="bottom"/>
            <w:gridSpan w:val="2"/>
            <w:vMerge w:val="restart"/>
          </w:tcPr>
          <w:p>
            <w:pPr>
              <w:ind w:left="114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(103,210)</w:t>
            </w: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Total operating income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371,872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40" w:right="40" w:hanging="332"/>
        <w:spacing w:after="0" w:line="273"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additional segment information for our reportable segments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January 1, 2022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6"/>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7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Wholesale</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7"/>
              </w:rPr>
              <w:t>(0.6)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100" w:type="dxa"/>
            <w:vAlign w:val="bottom"/>
          </w:tcPr>
          <w:p>
            <w:pPr>
              <w:spacing w:after="0"/>
              <w:rPr>
                <w:sz w:val="18"/>
                <w:szCs w:val="18"/>
                <w:color w:val="auto"/>
              </w:rPr>
            </w:pPr>
          </w:p>
        </w:tc>
        <w:tc>
          <w:tcPr>
            <w:tcW w:w="880" w:type="dxa"/>
            <w:vAlign w:val="bottom"/>
          </w:tcPr>
          <w:p>
            <w:pPr>
              <w:jc w:val="center"/>
              <w:ind w:left="479"/>
              <w:spacing w:after="0"/>
              <w:rPr>
                <w:sz w:val="20"/>
                <w:szCs w:val="20"/>
                <w:color w:val="auto"/>
              </w:rPr>
            </w:pPr>
            <w:r>
              <w:rPr>
                <w:rFonts w:ascii="Arial" w:cs="Arial" w:eastAsia="Arial" w:hAnsi="Arial"/>
                <w:sz w:val="16"/>
                <w:szCs w:val="16"/>
                <w:color w:val="auto"/>
                <w:w w:val="89"/>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Gain on modification of retail store leases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7"/>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840" w:type="dxa"/>
            <w:vAlign w:val="bottom"/>
          </w:tcPr>
          <w:p>
            <w:pPr>
              <w:ind w:left="220"/>
              <w:spacing w:after="0" w:line="210"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center"/>
              <w:ind w:left="439"/>
              <w:spacing w:after="0"/>
              <w:rPr>
                <w:sz w:val="20"/>
                <w:szCs w:val="20"/>
                <w:color w:val="auto"/>
              </w:rPr>
            </w:pPr>
            <w:r>
              <w:rPr>
                <w:rFonts w:ascii="Arial" w:cs="Arial" w:eastAsia="Arial" w:hAnsi="Arial"/>
                <w:sz w:val="16"/>
                <w:szCs w:val="16"/>
                <w:color w:val="auto"/>
                <w:w w:val="97"/>
              </w:rPr>
              <w:t>(1.2)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fiscal year ended January 1, 2022 also includes corporate charges related to organizational restructuring of $0.7 million.</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Related to gains on the modification of previously impaired retail store leases.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Total charges for the fiscal year ended January 1, 2022 exclude a customer bankruptcy recovery of $38,000.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January 2, 2021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6"/>
                <w:szCs w:val="16"/>
                <w:b w:val="1"/>
                <w:bCs w:val="1"/>
                <w:color w:val="auto"/>
                <w:w w:val="94"/>
              </w:rPr>
              <w:t>December 28, 2019</w:t>
            </w: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Charges:</w:t>
            </w:r>
          </w:p>
        </w:tc>
        <w:tc>
          <w:tcPr>
            <w:tcW w:w="10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3"/>
              </w:rPr>
              <w:t>U.S. Retail</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240"/>
              <w:spacing w:after="0" w:line="158" w:lineRule="exact"/>
              <w:rPr>
                <w:sz w:val="20"/>
                <w:szCs w:val="20"/>
                <w:color w:val="auto"/>
              </w:rPr>
            </w:pPr>
            <w:r>
              <w:rPr>
                <w:rFonts w:ascii="Arial" w:cs="Arial" w:eastAsia="Arial" w:hAnsi="Arial"/>
                <w:sz w:val="16"/>
                <w:szCs w:val="16"/>
                <w:b w:val="1"/>
                <w:bCs w:val="1"/>
                <w:color w:val="auto"/>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U.S. 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U.S.</w:t>
            </w:r>
          </w:p>
        </w:tc>
        <w:tc>
          <w:tcPr>
            <w:tcW w:w="12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Wholesale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Wholesale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Organizational restructuring </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Incremental costs associated with COVID-19 pandemic</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360" w:type="dxa"/>
            <w:vAlign w:val="bottom"/>
          </w:tcPr>
          <w:p>
            <w:pPr>
              <w:ind w:left="20"/>
              <w:spacing w:after="0" w:line="166" w:lineRule="exact"/>
              <w:rPr>
                <w:sz w:val="20"/>
                <w:szCs w:val="20"/>
                <w:color w:val="auto"/>
              </w:rPr>
            </w:pPr>
            <w:r>
              <w:rPr>
                <w:rFonts w:ascii="Arial" w:cs="Arial" w:eastAsia="Arial" w:hAnsi="Arial"/>
                <w:sz w:val="16"/>
                <w:szCs w:val="16"/>
                <w:color w:val="auto"/>
              </w:rPr>
              <w:t>Retail store operating leases and other long-lived asset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line="213" w:lineRule="exact"/>
              <w:rPr>
                <w:sz w:val="20"/>
                <w:szCs w:val="20"/>
                <w:color w:val="auto"/>
              </w:rPr>
            </w:pPr>
            <w:r>
              <w:rPr>
                <w:rFonts w:ascii="Arial" w:cs="Arial" w:eastAsia="Arial" w:hAnsi="Arial"/>
                <w:sz w:val="16"/>
                <w:szCs w:val="16"/>
                <w:color w:val="auto"/>
              </w:rPr>
              <w:t>impairments, net of gain</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Benefit related to sale of inventory previously reserved in China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6"/>
        </w:trPr>
        <w:tc>
          <w:tcPr>
            <w:tcW w:w="4360" w:type="dxa"/>
            <w:vAlign w:val="bottom"/>
          </w:tcPr>
          <w:p>
            <w:pPr>
              <w:ind w:left="20"/>
              <w:spacing w:after="0" w:line="166" w:lineRule="exact"/>
              <w:rPr>
                <w:sz w:val="20"/>
                <w:szCs w:val="20"/>
                <w:color w:val="auto"/>
              </w:rPr>
            </w:pPr>
            <w:r>
              <w:rPr>
                <w:rFonts w:ascii="Arial" w:cs="Arial" w:eastAsia="Arial" w:hAnsi="Arial"/>
                <w:sz w:val="16"/>
                <w:szCs w:val="16"/>
                <w:color w:val="auto"/>
                <w:w w:val="96"/>
              </w:rPr>
              <w:t>Reversal of store restructuring costs previously recorded during</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the third quarter of fiscal 2017</w:t>
            </w: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bankruptcy recovery</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Arial" w:cs="Arial" w:eastAsia="Arial" w:hAnsi="Arial"/>
                <w:sz w:val="16"/>
                <w:szCs w:val="16"/>
                <w:color w:val="auto"/>
              </w:rPr>
              <w:t>Total charges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40" w:hanging="332"/>
        <w:spacing w:after="0" w:line="273"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fiscal year ended January 2, 2021 and the fiscal year ended December 28, 2019 also includes corporate charges related to organizational restructuring of $7.4 million and $1.6 million, respectively.</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Impairments include an immaterial gain on the remeasurement of retail store operating 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 by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inventory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75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464,229</w:t>
            </w: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U.S. Retail</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47,889</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87,144</w:t>
            </w:r>
          </w:p>
        </w:tc>
      </w:tr>
      <w:tr>
        <w:trPr>
          <w:trHeight w:val="213"/>
        </w:trPr>
        <w:tc>
          <w:tcPr>
            <w:tcW w:w="754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647,742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599,262</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U.S. Wholesale inventories also include inventory produced and warehoused for the U.S. Retail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consolidated net sales by product: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0"/>
              </w:rPr>
              <w:t>For the fiscal year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62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January 1, 2022</w:t>
            </w:r>
          </w:p>
        </w:tc>
        <w:tc>
          <w:tcPr>
            <w:tcW w:w="220" w:type="dxa"/>
            <w:vAlign w:val="bottom"/>
          </w:tcPr>
          <w:p>
            <w:pPr>
              <w:spacing w:after="0"/>
              <w:rPr>
                <w:sz w:val="13"/>
                <w:szCs w:val="13"/>
                <w:color w:val="auto"/>
              </w:rPr>
            </w:pPr>
          </w:p>
        </w:tc>
        <w:tc>
          <w:tcPr>
            <w:tcW w:w="166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January 2, 2021</w:t>
            </w:r>
          </w:p>
        </w:tc>
        <w:tc>
          <w:tcPr>
            <w:tcW w:w="160" w:type="dxa"/>
            <w:vAlign w:val="bottom"/>
          </w:tcPr>
          <w:p>
            <w:pPr>
              <w:spacing w:after="0"/>
              <w:rPr>
                <w:sz w:val="13"/>
                <w:szCs w:val="13"/>
                <w:color w:val="auto"/>
              </w:rPr>
            </w:pPr>
          </w:p>
        </w:tc>
        <w:tc>
          <w:tcPr>
            <w:tcW w:w="160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4"/>
              </w:rPr>
              <w:t>December 28, 2019</w:t>
            </w:r>
          </w:p>
        </w:tc>
        <w:tc>
          <w:tcPr>
            <w:tcW w:w="0" w:type="dxa"/>
            <w:vAlign w:val="bottom"/>
          </w:tcPr>
          <w:p>
            <w:pPr>
              <w:spacing w:after="0"/>
              <w:rPr>
                <w:sz w:val="1"/>
                <w:szCs w:val="1"/>
                <w:color w:val="auto"/>
              </w:rPr>
            </w:pPr>
          </w:p>
        </w:tc>
      </w:tr>
      <w:tr>
        <w:trPr>
          <w:trHeight w:val="213"/>
        </w:trPr>
        <w:tc>
          <w:tcPr>
            <w:tcW w:w="5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(52 weeks)</w:t>
            </w: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(53 weeks)</w:t>
            </w:r>
          </w:p>
        </w:tc>
        <w:tc>
          <w:tcPr>
            <w:tcW w:w="160" w:type="dxa"/>
            <w:vAlign w:val="bottom"/>
          </w:tcPr>
          <w:p>
            <w:pPr>
              <w:spacing w:after="0"/>
              <w:rPr>
                <w:sz w:val="18"/>
                <w:szCs w:val="18"/>
                <w:color w:val="auto"/>
              </w:rPr>
            </w:pPr>
          </w:p>
        </w:tc>
        <w:tc>
          <w:tcPr>
            <w:tcW w:w="1600" w:type="dxa"/>
            <w:vAlign w:val="bottom"/>
          </w:tcPr>
          <w:p>
            <w:pPr>
              <w:jc w:val="right"/>
              <w:ind w:right="439"/>
              <w:spacing w:after="0"/>
              <w:rPr>
                <w:sz w:val="20"/>
                <w:szCs w:val="20"/>
                <w:color w:val="auto"/>
              </w:rPr>
            </w:pPr>
            <w:r>
              <w:rPr>
                <w:rFonts w:ascii="Arial" w:cs="Arial" w:eastAsia="Arial" w:hAnsi="Arial"/>
                <w:sz w:val="16"/>
                <w:szCs w:val="16"/>
                <w:b w:val="1"/>
                <w:bCs w:val="1"/>
                <w:color w:val="auto"/>
              </w:rPr>
              <w:t>(52 weeks)</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Playclothes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1,362,847</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Baby</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1,124,961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1,026,910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1,228,905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Sleepwear</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428,541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498,993</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3,486,440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3,024,334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3,519,286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 product offerings include bedding, outerwear, swimwear, shoes, socks, diaper bags, gift sets, toys, and hair accessories.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international sales principally represent sales to customers in Canada. Such sales were 65.0%, 70.3%, and 65.6% of total international net sales in fiscal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Property, plant, and equipment, net, and Operating lease assets by geographic area: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For the fiscal year ended</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613,111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753,232</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90,641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102,121</w:t>
            </w:r>
          </w:p>
        </w:tc>
      </w:tr>
      <w:tr>
        <w:trPr>
          <w:trHeight w:val="238"/>
        </w:trPr>
        <w:tc>
          <w:tcPr>
            <w:tcW w:w="7480" w:type="dxa"/>
            <w:vAlign w:val="bottom"/>
            <w:tcBorders>
              <w:bottom w:val="single" w:sz="8" w:color="CCEEFF"/>
            </w:tcBorders>
            <w:shd w:val="clear" w:color="auto" w:fill="CCEEFF"/>
          </w:tcPr>
          <w:p>
            <w:pPr>
              <w:ind w:left="22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703,752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855,353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Fiscal year ended January 2, 2021 was revised to reflect the inclusion of operating lease assets.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Long-lived assets in the international segment primarily relate to Canada. Long-lived assets in Canada were 82.7% and 87.9% of total international long-lived assets at the end of fiscal 2021 and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$17.5 million and $20.2 million at the end of fiscal 2021 and fiscal 2020,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$2.3 million and $2.0 million for fiscal 2021 and fiscal 2020, respectively. These amounts are included in Other expense (income), net on the Company’s consolidated statement of operations.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fair value of the Company’s pension plan assets at January 1, 2022 and January 2, 2021, by asset category, are disclosed in Note 11,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1, 2022, the Company had no outstanding borrowings under its secured revolving credit facility.</w:t>
      </w:r>
    </w:p>
    <w:p>
      <w:pPr>
        <w:spacing w:after="0" w:line="19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fair value of the Company’s senior notes at January 1, 2022 was approximately $1.04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and Long-Lived Tangible Assets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1, 2022</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2, 2021</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26,517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22,876</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13,850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21,164</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12,092</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and wages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30,385</w:t>
            </w:r>
          </w:p>
        </w:tc>
      </w:tr>
      <w:tr>
        <w:trPr>
          <w:trHeight w:val="238"/>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contractual obligations and commitments include obligations associated with leases, the secured revolving credit agreement, senior notes,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ind w:left="5100"/>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102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January 1,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36" w:lineRule="exact"/>
        <w:rPr>
          <w:sz w:val="20"/>
          <w:szCs w:val="20"/>
          <w:color w:val="auto"/>
        </w:rPr>
      </w:pPr>
    </w:p>
    <w:p>
      <w:pPr>
        <w:ind w:left="660" w:right="2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4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Management, including our Chief Executive Officer and Chief Financial Officer, assessed the effectiveness of the Company’s internal control over financial reporting as of January 1, 2022. In making this assessment, management used the criteria set forth by the Committee of Sponsoring Organizations of the Treadway Commission (“COSO”)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this assessment, management has concluded that the Company’s internal control over financial reporting was effective as of January 1, 2022.</w:t>
      </w:r>
    </w:p>
    <w:p>
      <w:pPr>
        <w:spacing w:after="0" w:line="14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effectiveness of Carter’s, Inc. and its subsidiaries’ internal control over financial reporting as of January 1, 2022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fourth quarter of fiscal 2021 that have materially affected, or are reasonably likely to materially affect, the Company’s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right="3000"/>
        <w:spacing w:after="0" w:line="37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Annual Meeting of Stockholders of Carter’s, Inc. scheduled to be held on May 18, 2022. We intend to file such definitive proxy statement with the SEC pursuant to Regulation 14A within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18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equity compensation plan as of our most recent fiscal year end: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 to be</w:t>
            </w:r>
          </w:p>
        </w:tc>
        <w:tc>
          <w:tcPr>
            <w:tcW w:w="100" w:type="dxa"/>
            <w:vAlign w:val="bottom"/>
          </w:tcPr>
          <w:p>
            <w:pPr>
              <w:spacing w:after="0"/>
              <w:rPr>
                <w:sz w:val="14"/>
                <w:szCs w:val="14"/>
                <w:color w:val="auto"/>
              </w:rPr>
            </w:pPr>
          </w:p>
        </w:tc>
        <w:tc>
          <w:tcPr>
            <w:tcW w:w="1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Weighted-average exercise</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issued upon exercise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price of outstanding</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equity compensation 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options, warrants, and</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(excluding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gridSpan w:val="2"/>
            <w:vMerge w:val="continue"/>
          </w:tcPr>
          <w:p>
            <w:pPr>
              <w:spacing w:after="0"/>
              <w:rPr>
                <w:sz w:val="15"/>
                <w:szCs w:val="15"/>
                <w:color w:val="auto"/>
              </w:rPr>
            </w:pPr>
          </w:p>
        </w:tc>
        <w:tc>
          <w:tcPr>
            <w:tcW w:w="19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4"/>
              </w:rPr>
              <w:t>rights</w:t>
            </w:r>
          </w:p>
        </w:tc>
        <w:tc>
          <w:tcPr>
            <w:tcW w:w="100" w:type="dxa"/>
            <w:vAlign w:val="bottom"/>
          </w:tcPr>
          <w:p>
            <w:pPr>
              <w:spacing w:after="0"/>
              <w:rPr>
                <w:sz w:val="15"/>
                <w:szCs w:val="15"/>
                <w:color w:val="auto"/>
              </w:rPr>
            </w:pPr>
          </w:p>
        </w:tc>
        <w:tc>
          <w:tcPr>
            <w:tcW w:w="20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1"/>
                <w:szCs w:val="21"/>
                <w:color w:val="auto"/>
                <w:vertAlign w:val="superscript"/>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3,027,361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658,666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3,027,361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stock options that are outstanding or that are available for future issuance pursuant to the Carter’s, Inc. Amended and Restated Equity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called for by Item 12 is incorporated herein by reference to the definitive proxy statement referenced above in Item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0" w:type="dxa"/>
            <w:vAlign w:val="bottom"/>
            <w:gridSpan w:val="16"/>
          </w:tcPr>
          <w:p>
            <w:pPr>
              <w:ind w:left="20"/>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40" w:type="dxa"/>
            <w:vAlign w:val="bottom"/>
            <w:gridSpan w:val="2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(A)</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9"/>
          </w:tcPr>
          <w:p>
            <w:pPr>
              <w:jc w:val="center"/>
              <w:ind w:right="8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3360" w:type="dxa"/>
            <w:vAlign w:val="bottom"/>
            <w:gridSpan w:val="8"/>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Financial Statements filed as part of this report</w:t>
              </w:r>
            </w:hyperlink>
          </w:p>
        </w:tc>
        <w:tc>
          <w:tcPr>
            <w:tcW w:w="5560" w:type="dxa"/>
            <w:vAlign w:val="bottom"/>
            <w:gridSpan w:val="14"/>
          </w:tcPr>
          <w:p>
            <w:pPr>
              <w:spacing w:after="0"/>
              <w:rPr>
                <w:sz w:val="18"/>
                <w:szCs w:val="18"/>
                <w:color w:val="auto"/>
              </w:rPr>
            </w:pPr>
          </w:p>
        </w:tc>
        <w:tc>
          <w:tcPr>
            <w:tcW w:w="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20" w:type="dxa"/>
            <w:vAlign w:val="bottom"/>
            <w:gridSpan w:val="10"/>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Report of Independent Registered Public Accounting Firm</w:t>
              </w:r>
            </w:hyperlink>
          </w:p>
        </w:tc>
        <w:tc>
          <w:tcPr>
            <w:tcW w:w="4740" w:type="dxa"/>
            <w:vAlign w:val="bottom"/>
            <w:gridSpan w:val="14"/>
          </w:tcPr>
          <w:p>
            <w:pPr>
              <w:spacing w:after="0"/>
              <w:rPr>
                <w:sz w:val="18"/>
                <w:szCs w:val="18"/>
                <w:color w:val="auto"/>
              </w:rPr>
            </w:pPr>
          </w:p>
        </w:tc>
        <w:tc>
          <w:tcPr>
            <w:tcW w:w="20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Arial" w:cs="Arial" w:eastAsia="Arial" w:hAnsi="Arial"/>
                <w:sz w:val="18"/>
                <w:szCs w:val="18"/>
                <w:color w:val="0000FF"/>
              </w:rPr>
              <w:t>Consolidated Balance Sheets at January 1, 2022 and January 2, 2021</w:t>
            </w:r>
          </w:p>
        </w:tc>
        <w:tc>
          <w:tcPr>
            <w:tcW w:w="20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Arial" w:cs="Arial" w:eastAsia="Arial" w:hAnsi="Arial"/>
                <w:sz w:val="18"/>
                <w:szCs w:val="18"/>
                <w:color w:val="0000FF"/>
                <w:w w:val="93"/>
              </w:rPr>
              <w:t>Consolidated Statements of Operations for the fiscal years ended January 1, 2022, January 2, 2021, and December 28,</w:t>
            </w:r>
          </w:p>
        </w:tc>
        <w:tc>
          <w:tcPr>
            <w:tcW w:w="200" w:type="dxa"/>
            <w:vAlign w:val="bottom"/>
            <w:gridSpan w:val="3"/>
            <w:vMerge w:val="restart"/>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0000FF"/>
                <w:w w:val="84"/>
              </w:rPr>
              <w:t>2019</w:t>
            </w: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Arial" w:cs="Arial" w:eastAsia="Arial" w:hAnsi="Arial"/>
                <w:sz w:val="18"/>
                <w:szCs w:val="18"/>
                <w:color w:val="0000FF"/>
                <w:w w:val="95"/>
              </w:rPr>
              <w:t>Consolidated Statements of Comprehensive Income for the fiscal years ended January 1, 2022, January 2, 2021, and</w:t>
            </w:r>
          </w:p>
        </w:tc>
        <w:tc>
          <w:tcPr>
            <w:tcW w:w="200" w:type="dxa"/>
            <w:vAlign w:val="bottom"/>
            <w:gridSpan w:val="3"/>
            <w:vMerge w:val="restart"/>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36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December 28, 2019</w:t>
            </w:r>
          </w:p>
        </w:tc>
        <w:tc>
          <w:tcPr>
            <w:tcW w:w="1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Arial" w:cs="Arial" w:eastAsia="Arial" w:hAnsi="Arial"/>
                <w:sz w:val="18"/>
                <w:szCs w:val="18"/>
                <w:color w:val="0000FF"/>
                <w:w w:val="93"/>
              </w:rPr>
              <w:t>Consolidated Statements of Cash Flows for the fiscal years ended January 1, 2022, January 2, 2021, and December 28,</w:t>
            </w:r>
          </w:p>
        </w:tc>
        <w:tc>
          <w:tcPr>
            <w:tcW w:w="200" w:type="dxa"/>
            <w:vAlign w:val="bottom"/>
            <w:gridSpan w:val="3"/>
            <w:vMerge w:val="restart"/>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0000FF"/>
                <w:w w:val="84"/>
              </w:rPr>
              <w:t>2019</w:t>
            </w: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sz w:val="20"/>
                <w:szCs w:val="20"/>
                <w:color w:val="auto"/>
              </w:rPr>
            </w:pPr>
            <w:r>
              <w:rPr>
                <w:rFonts w:ascii="Arial" w:cs="Arial" w:eastAsia="Arial" w:hAnsi="Arial"/>
                <w:sz w:val="18"/>
                <w:szCs w:val="18"/>
                <w:color w:val="0000FF"/>
                <w:w w:val="92"/>
              </w:rPr>
              <w:t>Consolidated Statements of Changes in Stockholders' Equity for the fiscal years ended January 1, 2022, January 2, 2021,</w:t>
            </w:r>
          </w:p>
        </w:tc>
        <w:tc>
          <w:tcPr>
            <w:tcW w:w="200" w:type="dxa"/>
            <w:vAlign w:val="bottom"/>
            <w:gridSpan w:val="3"/>
            <w:vMerge w:val="restart"/>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8"/>
              </w:rPr>
              <w:t>and December 28, 2019</w:t>
            </w:r>
          </w:p>
        </w:tc>
        <w:tc>
          <w:tcPr>
            <w:tcW w:w="69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960" w:type="dxa"/>
            <w:vAlign w:val="bottom"/>
            <w:gridSpan w:val="2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200" w:type="dxa"/>
            <w:vAlign w:val="bottom"/>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50</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1"/>
                <w:szCs w:val="21"/>
                <w:color w:val="auto"/>
              </w:rPr>
            </w:pPr>
          </w:p>
        </w:tc>
        <w:tc>
          <w:tcPr>
            <w:tcW w:w="31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Financial Statement Schedules: None</w:t>
            </w:r>
          </w:p>
        </w:tc>
        <w:tc>
          <w:tcPr>
            <w:tcW w:w="582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(B)</w:t>
            </w:r>
          </w:p>
        </w:tc>
        <w:tc>
          <w:tcPr>
            <w:tcW w:w="8960" w:type="dxa"/>
            <w:vAlign w:val="bottom"/>
            <w:gridSpan w:val="24"/>
          </w:tcPr>
          <w:p>
            <w:pPr>
              <w:spacing w:after="0"/>
              <w:rPr>
                <w:sz w:val="20"/>
                <w:szCs w:val="20"/>
                <w:color w:val="auto"/>
              </w:rPr>
            </w:pPr>
            <w:r>
              <w:rPr>
                <w:rFonts w:ascii="Arial" w:cs="Arial" w:eastAsia="Arial" w:hAnsi="Arial"/>
                <w:sz w:val="18"/>
                <w:szCs w:val="18"/>
                <w:color w:val="auto"/>
              </w:rPr>
              <w:t>Exhibits: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 Number</w:t>
            </w:r>
          </w:p>
        </w:tc>
        <w:tc>
          <w:tcPr>
            <w:tcW w:w="8960" w:type="dxa"/>
            <w:vAlign w:val="bottom"/>
            <w:gridSpan w:val="24"/>
          </w:tcPr>
          <w:p>
            <w:pPr>
              <w:spacing w:after="0" w:line="194" w:lineRule="exact"/>
              <w:rPr>
                <w:sz w:val="20"/>
                <w:szCs w:val="20"/>
                <w:color w:val="auto"/>
              </w:rPr>
            </w:pPr>
            <w:r>
              <w:rPr>
                <w:rFonts w:ascii="Arial" w:cs="Arial" w:eastAsia="Arial" w:hAnsi="Arial"/>
                <w:sz w:val="18"/>
                <w:szCs w:val="18"/>
                <w:b w:val="1"/>
                <w:bCs w:val="1"/>
                <w:color w:val="auto"/>
              </w:rPr>
              <w:t>Description of Exhibits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9320" w:type="dxa"/>
            <w:vAlign w:val="bottom"/>
            <w:gridSpan w:val="31"/>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Certificate of Incorporation of Carter’s, Inc., as amended on May 22, 2017 (incorporated by reference to Exhibit 3.1 of Carter’s,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Inc.’s Current Report on Form 8-K filed on May 23, 2017).</w:t>
              </w:r>
            </w:hyperlink>
          </w:p>
        </w:tc>
        <w:tc>
          <w:tcPr>
            <w:tcW w:w="4700" w:type="dxa"/>
            <w:vAlign w:val="bottom"/>
            <w:tcBorders>
              <w:top w:val="single" w:sz="8" w:color="0000FF"/>
            </w:tcBorders>
            <w:gridSpan w:val="1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8960" w:type="dxa"/>
            <w:vAlign w:val="bottom"/>
            <w:gridSpan w:val="24"/>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Amended and Restated By-laws of Carter’s, Inc., as amended on May 22, 2017 (incorporated by reference to Exhibit 3.2 of</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Carter’s, Inc.’s Current Report on Form 8-K filed on May 23,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8"/>
                <w:szCs w:val="18"/>
                <w:color w:val="auto"/>
              </w:rPr>
            </w:pPr>
          </w:p>
        </w:tc>
        <w:tc>
          <w:tcPr>
            <w:tcW w:w="9320" w:type="dxa"/>
            <w:vAlign w:val="bottom"/>
            <w:gridSpan w:val="31"/>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Specimen Certificate of Common Stock (incorporated by reference to Exhibit 4.1 of Carter’s, Inc.’s Registration Statement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Form S-1A (No. 333-98679) filed on October 10, 2003).</w:t>
              </w:r>
            </w:hyperlink>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9320" w:type="dxa"/>
            <w:vAlign w:val="bottom"/>
            <w:gridSpan w:val="31"/>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Indenture, dated March 14, 2019, by and among The William Carter Company, certain guarantors from time to time party thereto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and Wells Fargo Bank, National Association, as Trustee (incorporated by reference to Exhibit 4.1 of Carter's, Inc.’s Current</w:t>
              </w:r>
            </w:hyperlink>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Report on Form 8-K filed on March 14,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4.2.1</w:t>
            </w:r>
          </w:p>
        </w:tc>
        <w:tc>
          <w:tcPr>
            <w:tcW w:w="60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5.625% Senior Notes due 2027 (included in Exhibit 4.2).</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9320" w:type="dxa"/>
            <w:vAlign w:val="bottom"/>
            <w:gridSpan w:val="31"/>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Indenture, dated May 11, 2020, by and among The William Carter Company, certain guarantors from time to time party thereto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and Wells Fargo Bank, National Association, as Trustee (incorporated by reference to Exhibit 4.1 of Carter’s, Inc.’s Current</w:t>
              </w:r>
            </w:hyperlink>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Report on Form 8-K filed on May 11, 2020).</w:t>
              </w:r>
            </w:hyperlink>
          </w:p>
        </w:tc>
        <w:tc>
          <w:tcPr>
            <w:tcW w:w="57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4.3.1</w:t>
            </w:r>
          </w:p>
        </w:tc>
        <w:tc>
          <w:tcPr>
            <w:tcW w:w="600" w:type="dxa"/>
            <w:vAlign w:val="bottom"/>
          </w:tcPr>
          <w:p>
            <w:pPr>
              <w:spacing w:after="0"/>
              <w:rPr>
                <w:sz w:val="18"/>
                <w:szCs w:val="18"/>
                <w:color w:val="auto"/>
              </w:rPr>
            </w:pPr>
          </w:p>
        </w:tc>
        <w:tc>
          <w:tcPr>
            <w:tcW w:w="8960" w:type="dxa"/>
            <w:vAlign w:val="bottom"/>
            <w:gridSpan w:val="24"/>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5.500% Senior Notes due 2025 (included in Exhibit 4.3).</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300" w:type="dxa"/>
            <w:vAlign w:val="bottom"/>
            <w:gridSpan w:val="9"/>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Description of Securities (incorporated by reference to Exhibit 4.3 of Carter’s, Inc.’s Annual Report on Form 10-K filed on</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February 24, 2020).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8"/>
                <w:szCs w:val="18"/>
                <w:color w:val="auto"/>
              </w:rPr>
            </w:pPr>
          </w:p>
        </w:tc>
        <w:tc>
          <w:tcPr>
            <w:tcW w:w="9320" w:type="dxa"/>
            <w:vAlign w:val="bottom"/>
            <w:gridSpan w:val="31"/>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Fourth Amended and Restated Credit Agreement, dated as of August 25, 2017, by and among The William Carter Company, as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U.S. Borrower, The Genuine Canadian Corp., as Canadian Borrower, Carter’s Holdings B.V., as Dutch Borrower, JPMorgan</w:t>
              </w:r>
            </w:hyperlink>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4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Chase Bank, N.A., as Administrative Agent, U.S. Dollar Facility Swing Line Lender, U.S. Dollar Facility L/C Issuer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0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Collateral Agent, JPMorgan Chase Bank, N.A., Toronto Branch, as Canadian Agent, a Multicurrency Facility Swing Line</w:t>
              </w:r>
            </w:hyperlink>
          </w:p>
        </w:tc>
        <w:tc>
          <w:tcPr>
            <w:tcW w:w="620" w:type="dxa"/>
            <w:vAlign w:val="bottom"/>
            <w:gridSpan w:val="13"/>
          </w:tcPr>
          <w:p>
            <w:pPr>
              <w:jc w:val="cente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Lender</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30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and a Multicurrency Facility L/C Issuer, J.P. Morgan Europe Limited, as European Agent, JPMorgan Chase Bank, N.A., London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60" w:type="dxa"/>
            <w:vAlign w:val="bottom"/>
            <w:tcBorders>
              <w:top w:val="single" w:sz="8" w:color="0000FF"/>
            </w:tcBorders>
            <w:gridSpan w:val="24"/>
          </w:tcPr>
          <w:p>
            <w:pPr>
              <w:spacing w:after="0" w:line="157" w:lineRule="exact"/>
              <w:rPr>
                <w:rFonts w:ascii="Arial" w:cs="Arial" w:eastAsia="Arial" w:hAnsi="Arial"/>
                <w:sz w:val="18"/>
                <w:szCs w:val="18"/>
                <w:u w:val="single" w:color="auto"/>
                <w:color w:val="0000FF"/>
                <w:w w:val="93"/>
              </w:rPr>
            </w:pPr>
            <w:hyperlink r:id="rId121">
              <w:r>
                <w:rPr>
                  <w:rFonts w:ascii="Arial" w:cs="Arial" w:eastAsia="Arial" w:hAnsi="Arial"/>
                  <w:sz w:val="18"/>
                  <w:szCs w:val="18"/>
                  <w:u w:val="single" w:color="auto"/>
                  <w:color w:val="0000FF"/>
                  <w:w w:val="93"/>
                </w:rPr>
                <w:t>Branch, as a Multicurrency Facility Swing Line Lender and a Multicurrency Facility L/C Issuer, Bank of America, N.A. and</w:t>
              </w:r>
            </w:hyperlink>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80" w:right="40"/>
        <w:spacing w:after="0" w:line="212"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Bank of Montreal, as Co-Syndication Agents, JPMorgan Chase Bank, N.A., Merrill Lynch, Pierce, Fenner &amp; Smith Incorporated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and BMO Capital Markets Corp., as Joint Lead Arrangers and Bookrunners, Branch Banking &amp; Trust Company, HSBC</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Securities (USA) Inc., Royal Bank of Canada, SunTrust Bank, U.S. Bank National Association and Wells Fargo Bank, National</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Association, as Co-Documentation Agents and certain other lenders party thereto (incorporated by reference to Exhibit 10.1 of</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Carter’s, Inc.’s Current Report on Form 8-K filed on August 31, 2017).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4"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10.1.1</w:t>
            </w:r>
          </w:p>
        </w:tc>
        <w:tc>
          <w:tcPr>
            <w:tcW w:w="9460" w:type="dxa"/>
            <w:vAlign w:val="bottom"/>
            <w:gridSpan w:val="43"/>
          </w:tcPr>
          <w:p>
            <w:pPr>
              <w:spacing w:after="0"/>
              <w:rPr>
                <w:rFonts w:ascii="Arial" w:cs="Arial" w:eastAsia="Arial" w:hAnsi="Arial"/>
                <w:sz w:val="18"/>
                <w:szCs w:val="18"/>
                <w:color w:val="0000FF"/>
                <w:w w:val="98"/>
              </w:rPr>
            </w:pPr>
            <w:hyperlink r:id="rId123">
              <w:r>
                <w:rPr>
                  <w:rFonts w:ascii="Arial" w:cs="Arial" w:eastAsia="Arial" w:hAnsi="Arial"/>
                  <w:sz w:val="18"/>
                  <w:szCs w:val="18"/>
                  <w:color w:val="0000FF"/>
                  <w:w w:val="98"/>
                </w:rPr>
                <w:t>Amendment No. 1, dated as of September 21, 2018, to the Fourth Amended and Restated Credit Agreement dated as of</w:t>
              </w:r>
            </w:hyperlink>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60" w:type="dxa"/>
            <w:vAlign w:val="bottom"/>
          </w:tcPr>
          <w:p>
            <w:pPr>
              <w:spacing w:after="0"/>
              <w:rPr>
                <w:sz w:val="13"/>
                <w:szCs w:val="13"/>
                <w:color w:val="auto"/>
              </w:rPr>
            </w:pPr>
          </w:p>
        </w:tc>
        <w:tc>
          <w:tcPr>
            <w:tcW w:w="9000" w:type="dxa"/>
            <w:vAlign w:val="bottom"/>
            <w:tcBorders>
              <w:bottom w:val="single" w:sz="8" w:color="0000FF"/>
            </w:tcBorders>
            <w:gridSpan w:val="25"/>
          </w:tcPr>
          <w:p>
            <w:pPr>
              <w:spacing w:after="0" w:line="156"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August 25, 2017, by and among The William Carter Company, as U.S. Borrower, The Genuine Canadian Corp., as Canadian</w:t>
              </w:r>
            </w:hyperlink>
          </w:p>
        </w:tc>
        <w:tc>
          <w:tcPr>
            <w:tcW w:w="4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9460" w:type="dxa"/>
            <w:vAlign w:val="bottom"/>
            <w:gridSpan w:val="43"/>
          </w:tcPr>
          <w:p>
            <w:pPr>
              <w:spacing w:after="0" w:line="156" w:lineRule="exact"/>
              <w:rPr>
                <w:rFonts w:ascii="Arial" w:cs="Arial" w:eastAsia="Arial" w:hAnsi="Arial"/>
                <w:sz w:val="18"/>
                <w:szCs w:val="18"/>
                <w:color w:val="0000FF"/>
                <w:w w:val="94"/>
              </w:rPr>
            </w:pPr>
            <w:hyperlink r:id="rId123">
              <w:r>
                <w:rPr>
                  <w:rFonts w:ascii="Arial" w:cs="Arial" w:eastAsia="Arial" w:hAnsi="Arial"/>
                  <w:sz w:val="18"/>
                  <w:szCs w:val="18"/>
                  <w:color w:val="0000FF"/>
                  <w:w w:val="94"/>
                </w:rPr>
                <w:t>Borrower, Carter’s Holdings B.V., as Dutch Borrower, JPMorgan Chase Bank, N.A., as Administrative Agent, Collateral Agent,</w:t>
              </w:r>
            </w:hyperlink>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922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U.S. Dollar Facility Swing Line Lender and U.S. Dollar Facility L/C Issuer, JPMorgan Chase Bank, N.A., Toronto Branch, as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9140" w:type="dxa"/>
            <w:vAlign w:val="bottom"/>
            <w:tcBorders>
              <w:top w:val="single" w:sz="8" w:color="0000FF"/>
            </w:tcBorders>
            <w:gridSpan w:val="31"/>
          </w:tcPr>
          <w:p>
            <w:pPr>
              <w:spacing w:after="0" w:line="156"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Canadian Agent, a Multicurrency Facility Swing Line Lender and a Multicurrency Facility L/C Issuer, J.P. Morgan Europe</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Limited, as European Agent, JPMorgan Chase Bank, N.A., London Branch, as a Multicurrency Facility Swing Line Lender</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1"/>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and a</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9400" w:type="dxa"/>
            <w:vAlign w:val="bottom"/>
            <w:tcBorders>
              <w:top w:val="single" w:sz="8" w:color="0000FF"/>
            </w:tcBorders>
            <w:gridSpan w:val="40"/>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Multicurrency Facility L/C Issuer, each lender from time to time party thereto and the other parties party thereto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6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73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reference to Exhibit 10.1 of Carter’s, Inc.'s Current Report on Form 8-K filed on September 26, 2018).</w:t>
              </w:r>
            </w:hyperlink>
          </w:p>
        </w:tc>
        <w:tc>
          <w:tcPr>
            <w:tcW w:w="200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60" w:type="dxa"/>
            <w:vAlign w:val="bottom"/>
            <w:vMerge w:val="continue"/>
          </w:tcPr>
          <w:p>
            <w:pPr>
              <w:spacing w:after="0"/>
              <w:rPr>
                <w:sz w:val="19"/>
                <w:szCs w:val="19"/>
                <w:color w:val="auto"/>
              </w:rPr>
            </w:pPr>
          </w:p>
        </w:tc>
        <w:tc>
          <w:tcPr>
            <w:tcW w:w="9460" w:type="dxa"/>
            <w:vAlign w:val="bottom"/>
            <w:gridSpan w:val="43"/>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Amendment No. 2, dated as of May 4, 2020, to the Fourth Amended and Restated Credit Agreement dated as of August 25, 2017,</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080" w:type="dxa"/>
            <w:vAlign w:val="bottom"/>
            <w:tcBorders>
              <w:top w:val="single" w:sz="8" w:color="0000FF"/>
              <w:bottom w:val="single" w:sz="8" w:color="0000FF"/>
            </w:tcBorders>
            <w:gridSpan w:val="29"/>
          </w:tcPr>
          <w:p>
            <w:pPr>
              <w:spacing w:after="0" w:line="182"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by and among The William Carter Company, as U.S. Borrower, The Genuine Canadian Corp., as Canadian Borrower, Carter's</w:t>
              </w:r>
            </w:hyperlink>
          </w:p>
        </w:tc>
        <w:tc>
          <w:tcPr>
            <w:tcW w:w="36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460" w:type="dxa"/>
            <w:vAlign w:val="bottom"/>
            <w:gridSpan w:val="43"/>
          </w:tcPr>
          <w:p>
            <w:pPr>
              <w:spacing w:after="0" w:line="182"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Holdings B.V., as Dutch Borrower, JPMorgan Chase Bank, N.A., as Administrative Agent, Collateral Agent, U.S. Dollar Facility</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320" w:type="dxa"/>
            <w:vAlign w:val="bottom"/>
            <w:tcBorders>
              <w:top w:val="single" w:sz="8" w:color="0000FF"/>
            </w:tcBorders>
            <w:gridSpan w:val="36"/>
          </w:tcPr>
          <w:p>
            <w:pPr>
              <w:spacing w:after="0" w:line="182"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Swing Line Lender and U.S. Dollar Facility L/C Issuer, JPMorgan Chase Bank, N.A., Toronto Branch, as Canadian Agent, 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Multicurrency Facility Swing Line Lender and a Multicurrency Facility L/C Issuer, J.P. Morgan Europe Limited, as European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060" w:type="dxa"/>
            <w:vAlign w:val="bottom"/>
            <w:gridSpan w:val="28"/>
          </w:tcPr>
          <w:p>
            <w:pPr>
              <w:spacing w:after="0" w:line="182"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Agent, JPMorgan Chase Bank, N.A., London Branch, as a Multicurrency Facility Swing Line Lender and a Multicurrency</w:t>
              </w:r>
            </w:hyperlink>
          </w:p>
        </w:tc>
        <w:tc>
          <w:tcPr>
            <w:tcW w:w="60" w:type="dxa"/>
            <w:vAlign w:val="bottom"/>
            <w:gridSpan w:val="2"/>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8800" w:type="dxa"/>
            <w:vAlign w:val="bottom"/>
            <w:tcBorders>
              <w:top w:val="single" w:sz="8" w:color="0000FF"/>
            </w:tcBorders>
            <w:gridSpan w:val="18"/>
          </w:tcPr>
          <w:p>
            <w:pPr>
              <w:spacing w:after="0" w:line="182"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Facility L/C Issuer, each lender from time to time party thereto and the other parties party thereto (incorporated by reference</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0"/>
          </w:tcPr>
          <w:p>
            <w:pPr>
              <w:ind w:left="20"/>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Exhibit 10.1 of Carter’s, Inc.’s Quarterly Report on Form 10-Q filed on July 24, 2020).</w:t>
              </w:r>
            </w:hyperlink>
          </w:p>
        </w:tc>
        <w:tc>
          <w:tcPr>
            <w:tcW w:w="2860" w:type="dxa"/>
            <w:vAlign w:val="bottom"/>
            <w:tcBorders>
              <w:top w:val="single" w:sz="8" w:color="0000FF"/>
            </w:tcBorders>
            <w:gridSpan w:val="22"/>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r>
              <w:rPr>
                <w:rFonts w:ascii="Arial" w:cs="Arial" w:eastAsia="Arial" w:hAnsi="Arial"/>
                <w:sz w:val="18"/>
                <w:szCs w:val="18"/>
                <w:color w:val="auto"/>
              </w:rPr>
              <w:t>10.1.3</w:t>
            </w:r>
          </w:p>
        </w:tc>
        <w:tc>
          <w:tcPr>
            <w:tcW w:w="9460" w:type="dxa"/>
            <w:vAlign w:val="bottom"/>
            <w:gridSpan w:val="43"/>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Amendment No. 3, dated as of April 21, 2021, to the Fourth Amended and Restated Credit Agreement dated as of August 25,</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040" w:type="dxa"/>
            <w:vAlign w:val="bottom"/>
            <w:tcBorders>
              <w:top w:val="single" w:sz="8" w:color="0000FF"/>
            </w:tcBorders>
            <w:gridSpan w:val="27"/>
          </w:tcPr>
          <w:p>
            <w:pPr>
              <w:spacing w:after="0" w:line="182"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2017, by and among The William Carter Company, as U.S. Borrower, The Genuine Canadian Corp., as Canadian Borrower,</w:t>
              </w:r>
            </w:hyperlink>
          </w:p>
        </w:tc>
        <w:tc>
          <w:tcPr>
            <w:tcW w:w="20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8920" w:type="dxa"/>
            <w:vAlign w:val="bottom"/>
            <w:tcBorders>
              <w:top w:val="single" w:sz="8" w:color="0000FF"/>
            </w:tcBorders>
            <w:gridSpan w:val="21"/>
          </w:tcPr>
          <w:p>
            <w:pPr>
              <w:spacing w:after="0" w:line="182"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Carter's Holdings B.V., as Dutch Borrower, JPMorgan Chase Bank, N.A., as Administrative Agent, Collateral Agent, U.S.</w:t>
              </w:r>
            </w:hyperlink>
          </w:p>
        </w:tc>
        <w:tc>
          <w:tcPr>
            <w:tcW w:w="540" w:type="dxa"/>
            <w:vAlign w:val="bottom"/>
            <w:gridSpan w:val="22"/>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Dollar</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340" w:type="dxa"/>
            <w:vAlign w:val="bottom"/>
            <w:tcBorders>
              <w:top w:val="single" w:sz="8" w:color="0000FF"/>
            </w:tcBorders>
            <w:gridSpan w:val="37"/>
          </w:tcPr>
          <w:p>
            <w:pPr>
              <w:spacing w:after="0" w:line="182"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Facility Swing Line Lender and U.S. Dollar Facility L/C Issuer, JPMorgan Chase Bank, N.A., Toronto Branch, as Canadian</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60" w:type="dxa"/>
            <w:vAlign w:val="bottom"/>
          </w:tcPr>
          <w:p>
            <w:pPr>
              <w:spacing w:after="0"/>
              <w:rPr>
                <w:sz w:val="15"/>
                <w:szCs w:val="15"/>
                <w:color w:val="auto"/>
              </w:rPr>
            </w:pPr>
          </w:p>
        </w:tc>
        <w:tc>
          <w:tcPr>
            <w:tcW w:w="9460" w:type="dxa"/>
            <w:vAlign w:val="bottom"/>
            <w:gridSpan w:val="43"/>
          </w:tcPr>
          <w:p>
            <w:pPr>
              <w:spacing w:after="0" w:line="182" w:lineRule="exact"/>
              <w:rPr>
                <w:rFonts w:ascii="Arial" w:cs="Arial" w:eastAsia="Arial" w:hAnsi="Arial"/>
                <w:sz w:val="18"/>
                <w:szCs w:val="18"/>
                <w:color w:val="0000FF"/>
                <w:w w:val="96"/>
              </w:rPr>
            </w:pPr>
            <w:hyperlink r:id="rId125">
              <w:r>
                <w:rPr>
                  <w:rFonts w:ascii="Arial" w:cs="Arial" w:eastAsia="Arial" w:hAnsi="Arial"/>
                  <w:sz w:val="18"/>
                  <w:szCs w:val="18"/>
                  <w:color w:val="0000FF"/>
                  <w:w w:val="96"/>
                </w:rPr>
                <w:t>Agent, a Multicurrency Facility Swing Line Lender and a Multicurrency Facility L/C Issuer, JPMorgan Chase Bank, N.A., as</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84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European Agent, JPMorgan Chase Bank, N.A., London Branch, as a Multicurrency Facility Swing Line Lender and a</w:t>
              </w:r>
            </w:hyperlink>
          </w:p>
        </w:tc>
        <w:tc>
          <w:tcPr>
            <w:tcW w:w="560" w:type="dxa"/>
            <w:vAlign w:val="bottom"/>
            <w:tcBorders>
              <w:top w:val="single" w:sz="8" w:color="0000FF"/>
            </w:tcBorders>
            <w:gridSpan w:val="14"/>
          </w:tcPr>
          <w:p>
            <w:pPr>
              <w:spacing w:after="0"/>
              <w:rPr>
                <w:sz w:val="15"/>
                <w:szCs w:val="15"/>
                <w:color w:val="auto"/>
              </w:rPr>
            </w:pPr>
          </w:p>
        </w:tc>
        <w:tc>
          <w:tcPr>
            <w:tcW w:w="22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9460" w:type="dxa"/>
            <w:vAlign w:val="bottom"/>
            <w:gridSpan w:val="43"/>
          </w:tcPr>
          <w:p>
            <w:pPr>
              <w:spacing w:after="0" w:line="182"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Multicurrency Facility L/C Issuer, each lender from time to time party thereto and the other parties party thereto (incorporated by</w:t>
              </w:r>
            </w:hyperlink>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846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reference to Exhibit 10.1 of Carter’s, Inc.'s Current Report on Form 8-K filed on April 26, 2021).</w:t>
              </w:r>
            </w:hyperlink>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gridSpan w:val="3"/>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gridSpan w:val="10"/>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10.2 *</w:t>
            </w:r>
          </w:p>
        </w:tc>
        <w:tc>
          <w:tcPr>
            <w:tcW w:w="9460" w:type="dxa"/>
            <w:vAlign w:val="bottom"/>
            <w:gridSpan w:val="43"/>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Form of Severance Agreement entered into from time to time between The William Carter Company and executive officers</w:t>
              </w:r>
            </w:hyperlink>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(incorporated by reference to Exhibit 10.2 of Carter’s, Inc.’s Quarterly Report on Form 10-Q filed on October 29, 2015).</w:t>
              </w:r>
            </w:hyperlink>
          </w:p>
        </w:tc>
        <w:tc>
          <w:tcPr>
            <w:tcW w:w="2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10.3 *</w:t>
            </w:r>
          </w:p>
        </w:tc>
        <w:tc>
          <w:tcPr>
            <w:tcW w:w="9460" w:type="dxa"/>
            <w:vAlign w:val="bottom"/>
            <w:gridSpan w:val="43"/>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Amended and Restated Equity Incentive Plan (incorporated by reference to Appendix B of Carter’s, Inc.’s Schedule 14A filed on</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93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April 4, 2018).</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10.4 *</w:t>
            </w:r>
          </w:p>
        </w:tc>
        <w:tc>
          <w:tcPr>
            <w:tcW w:w="9460" w:type="dxa"/>
            <w:vAlign w:val="bottom"/>
            <w:gridSpan w:val="43"/>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Amended and Restated Annual Incentive Compensation Plan (incorporated by reference to Appendix C of Carter’s, Inc.’s</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8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Schedule 14A filed on March 31, 2016).</w:t>
              </w:r>
            </w:hyperlink>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10.5 *</w:t>
            </w:r>
          </w:p>
        </w:tc>
        <w:tc>
          <w:tcPr>
            <w:tcW w:w="9460" w:type="dxa"/>
            <w:vAlign w:val="bottom"/>
            <w:gridSpan w:val="43"/>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The William Carter Company Severance Plan, amended and restated effective January 1, 2020 (incorporated by reference to</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89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Exhibit 10.5 of Carter’s, Inc.’s Annual Report on Form 10-K filed on February 24, 2020).</w:t>
              </w:r>
            </w:hyperlink>
          </w:p>
        </w:tc>
        <w:tc>
          <w:tcPr>
            <w:tcW w:w="280" w:type="dxa"/>
            <w:vAlign w:val="bottom"/>
            <w:gridSpan w:val="1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10.6 *</w:t>
            </w:r>
          </w:p>
        </w:tc>
        <w:tc>
          <w:tcPr>
            <w:tcW w:w="9460" w:type="dxa"/>
            <w:vAlign w:val="bottom"/>
            <w:gridSpan w:val="43"/>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The William Carter Company Deferred Compensation Plan, dated as of November 10, 2010 (incorporated by reference to Exhibit</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942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of Carter’s, Inc.’s Annual Report on Form 10-K filed on March 2,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10.7</w:t>
            </w:r>
          </w:p>
        </w:tc>
        <w:tc>
          <w:tcPr>
            <w:tcW w:w="9460" w:type="dxa"/>
            <w:vAlign w:val="bottom"/>
            <w:gridSpan w:val="43"/>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Lease Agreement dated March 29, 2012, between The William Carter Company and Duke Secured Financing 2009-1 ALZ, LLC</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9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(incorporated by reference to Exhibit 10.21 of Carter’s, Inc.’s Quarterly Report on Form 10-Q filed on April 27, 2012).</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10.8</w:t>
            </w:r>
          </w:p>
        </w:tc>
        <w:tc>
          <w:tcPr>
            <w:tcW w:w="9460" w:type="dxa"/>
            <w:vAlign w:val="bottom"/>
            <w:gridSpan w:val="43"/>
          </w:tcPr>
          <w:p>
            <w:pPr>
              <w:spacing w:after="0"/>
              <w:rPr>
                <w:rFonts w:ascii="Arial" w:cs="Arial" w:eastAsia="Arial" w:hAnsi="Arial"/>
                <w:sz w:val="18"/>
                <w:szCs w:val="18"/>
                <w:color w:val="0000FF"/>
                <w:w w:val="98"/>
              </w:rPr>
            </w:pPr>
            <w:hyperlink r:id="rId132">
              <w:r>
                <w:rPr>
                  <w:rFonts w:ascii="Arial" w:cs="Arial" w:eastAsia="Arial" w:hAnsi="Arial"/>
                  <w:sz w:val="18"/>
                  <w:szCs w:val="18"/>
                  <w:color w:val="0000FF"/>
                  <w:w w:val="98"/>
                </w:rPr>
                <w:t>Lease Agreement dated December 14, 2012, between The William Carter Company and Phipps Tower Associates, LLC</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862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(incorporated by reference to Exhibit 10.1 of Carter’s, Inc.’s Current Report on Form 8-K filed on December 14, 2012).</w:t>
              </w:r>
            </w:hyperlink>
          </w:p>
        </w:tc>
        <w:tc>
          <w:tcPr>
            <w:tcW w:w="320" w:type="dxa"/>
            <w:vAlign w:val="bottom"/>
            <w:gridSpan w:val="7"/>
          </w:tcPr>
          <w:p>
            <w:pPr>
              <w:spacing w:after="0"/>
              <w:rPr>
                <w:sz w:val="13"/>
                <w:szCs w:val="13"/>
                <w:color w:val="auto"/>
              </w:rPr>
            </w:pPr>
          </w:p>
        </w:tc>
        <w:tc>
          <w:tcPr>
            <w:tcW w:w="300" w:type="dxa"/>
            <w:vAlign w:val="bottom"/>
            <w:gridSpan w:val="11"/>
          </w:tcPr>
          <w:p>
            <w:pPr>
              <w:spacing w:after="0"/>
              <w:rPr>
                <w:sz w:val="13"/>
                <w:szCs w:val="13"/>
                <w:color w:val="auto"/>
              </w:rPr>
            </w:pPr>
          </w:p>
        </w:tc>
        <w:tc>
          <w:tcPr>
            <w:tcW w:w="2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0" w:type="dxa"/>
            <w:vAlign w:val="bottom"/>
            <w:gridSpan w:val="8"/>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10.8.1</w:t>
            </w:r>
          </w:p>
        </w:tc>
        <w:tc>
          <w:tcPr>
            <w:tcW w:w="8940" w:type="dxa"/>
            <w:vAlign w:val="bottom"/>
            <w:tcBorders>
              <w:bottom w:val="single" w:sz="8" w:color="0000FF"/>
            </w:tcBorders>
            <w:gridSpan w:val="22"/>
          </w:tcPr>
          <w:p>
            <w:pPr>
              <w:spacing w:after="0"/>
              <w:rPr>
                <w:rFonts w:ascii="Arial" w:cs="Arial" w:eastAsia="Arial" w:hAnsi="Arial"/>
                <w:sz w:val="18"/>
                <w:szCs w:val="18"/>
                <w:color w:val="0000FF"/>
                <w:w w:val="89"/>
              </w:rPr>
            </w:pPr>
            <w:hyperlink r:id="rId133">
              <w:r>
                <w:rPr>
                  <w:rFonts w:ascii="Arial" w:cs="Arial" w:eastAsia="Arial" w:hAnsi="Arial"/>
                  <w:sz w:val="18"/>
                  <w:szCs w:val="18"/>
                  <w:color w:val="0000FF"/>
                  <w:w w:val="89"/>
                </w:rPr>
                <w:t>Second Amendment to the Lease Agreement dated June 17, 2013, between The William Carter Company and Phipps Tower</w:t>
              </w:r>
            </w:hyperlink>
          </w:p>
        </w:tc>
        <w:tc>
          <w:tcPr>
            <w:tcW w:w="52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9460" w:type="dxa"/>
            <w:vAlign w:val="bottom"/>
            <w:gridSpan w:val="43"/>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Associates, LLC (incorporated by reference to Exhibit 10.19 of Carter’s, Inc.’s Quarterly Report on Form 10-Q filed on October</w:t>
              </w:r>
            </w:hyperlink>
          </w:p>
        </w:tc>
        <w:tc>
          <w:tcPr>
            <w:tcW w:w="0" w:type="dxa"/>
            <w:vAlign w:val="bottom"/>
          </w:tcPr>
          <w:p>
            <w:pPr>
              <w:spacing w:after="0"/>
              <w:rPr>
                <w:sz w:val="1"/>
                <w:szCs w:val="1"/>
                <w:color w:val="auto"/>
              </w:rPr>
            </w:pPr>
          </w:p>
        </w:tc>
      </w:tr>
      <w:tr>
        <w:trPr>
          <w:trHeight w:val="155"/>
        </w:trPr>
        <w:tc>
          <w:tcPr>
            <w:tcW w:w="186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24, 2013).</w:t>
              </w:r>
            </w:hyperlink>
          </w:p>
        </w:tc>
        <w:tc>
          <w:tcPr>
            <w:tcW w:w="3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21</w:t>
            </w:r>
          </w:p>
        </w:tc>
        <w:tc>
          <w:tcPr>
            <w:tcW w:w="20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Subsidiaries of Carter’s, Inc.</w:t>
              </w:r>
            </w:hyperlink>
          </w:p>
        </w:tc>
        <w:tc>
          <w:tcPr>
            <w:tcW w:w="7400" w:type="dxa"/>
            <w:vAlign w:val="bottom"/>
            <w:gridSpan w:val="4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8"/>
                <w:szCs w:val="18"/>
                <w:color w:val="auto"/>
              </w:rPr>
              <w:t>23</w:t>
            </w:r>
          </w:p>
        </w:tc>
        <w:tc>
          <w:tcPr>
            <w:tcW w:w="43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Consent of Independent Registered Public Accounting Firm.</w:t>
              </w:r>
            </w:hyperlink>
          </w:p>
        </w:tc>
        <w:tc>
          <w:tcPr>
            <w:tcW w:w="5100" w:type="dxa"/>
            <w:vAlign w:val="bottom"/>
            <w:gridSpan w:val="3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gridSpan w:val="43"/>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Rule 13a-15(e)/15d-15(e) and 13a-15(f)/15d-15(f) Certification.</w:t>
              </w:r>
            </w:hyperlink>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31.2</w:t>
            </w:r>
          </w:p>
        </w:tc>
        <w:tc>
          <w:tcPr>
            <w:tcW w:w="9340" w:type="dxa"/>
            <w:vAlign w:val="bottom"/>
            <w:gridSpan w:val="3"/>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Rule 13a-15(e)/15d-15(e) and 13a-15(f)/15d-15(f) Certification.</w:t>
              </w:r>
            </w:hyperlink>
          </w:p>
        </w:tc>
        <w:tc>
          <w:tcPr>
            <w:tcW w:w="0" w:type="dxa"/>
            <w:vAlign w:val="bottom"/>
          </w:tcPr>
          <w:p>
            <w:pPr>
              <w:spacing w:after="0"/>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32</w:t>
            </w:r>
          </w:p>
        </w:tc>
        <w:tc>
          <w:tcPr>
            <w:tcW w:w="194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97">
              <w:r>
                <w:rPr>
                  <w:rFonts w:ascii="Arial" w:cs="Arial" w:eastAsia="Arial" w:hAnsi="Arial"/>
                  <w:sz w:val="18"/>
                  <w:szCs w:val="18"/>
                  <w:color w:val="0000FF"/>
                  <w:w w:val="91"/>
                </w:rPr>
                <w:t>Section 1350 Certification.</w:t>
              </w:r>
            </w:hyperlink>
          </w:p>
        </w:tc>
        <w:tc>
          <w:tcPr>
            <w:tcW w:w="2660" w:type="dxa"/>
            <w:vAlign w:val="bottom"/>
            <w:tcBorders>
              <w:top w:val="single" w:sz="8" w:color="0000FF"/>
            </w:tcBorders>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line="196" w:lineRule="exact"/>
              <w:rPr>
                <w:sz w:val="20"/>
                <w:szCs w:val="20"/>
                <w:color w:val="auto"/>
              </w:rPr>
            </w:pPr>
            <w:r>
              <w:rPr>
                <w:rFonts w:ascii="Arial" w:cs="Arial" w:eastAsia="Arial" w:hAnsi="Arial"/>
                <w:sz w:val="18"/>
                <w:szCs w:val="18"/>
                <w:color w:val="auto"/>
              </w:rPr>
              <w:t>Exhibit</w:t>
            </w:r>
          </w:p>
        </w:tc>
        <w:tc>
          <w:tcPr>
            <w:tcW w:w="9340" w:type="dxa"/>
            <w:vAlign w:val="bottom"/>
            <w:gridSpan w:val="3"/>
          </w:tcPr>
          <w:p>
            <w:pPr>
              <w:spacing w:after="0" w:line="196" w:lineRule="exact"/>
              <w:rPr>
                <w:sz w:val="20"/>
                <w:szCs w:val="20"/>
                <w:color w:val="auto"/>
              </w:rPr>
            </w:pPr>
            <w:r>
              <w:rPr>
                <w:rFonts w:ascii="Arial" w:cs="Arial" w:eastAsia="Arial" w:hAnsi="Arial"/>
                <w:sz w:val="18"/>
                <w:szCs w:val="18"/>
                <w:color w:val="auto"/>
                <w:w w:val="97"/>
              </w:rPr>
              <w:t>XBRL Instance Document - the instant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(101).INS</w:t>
            </w:r>
          </w:p>
        </w:tc>
        <w:tc>
          <w:tcPr>
            <w:tcW w:w="934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(101).SCH</w:t>
            </w:r>
          </w:p>
        </w:tc>
        <w:tc>
          <w:tcPr>
            <w:tcW w:w="9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(101).CAL</w:t>
            </w:r>
          </w:p>
        </w:tc>
        <w:tc>
          <w:tcPr>
            <w:tcW w:w="9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(101).DEF</w:t>
            </w:r>
          </w:p>
        </w:tc>
        <w:tc>
          <w:tcPr>
            <w:tcW w:w="9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(101).LAB</w:t>
            </w:r>
          </w:p>
        </w:tc>
        <w:tc>
          <w:tcPr>
            <w:tcW w:w="9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line="176" w:lineRule="exact"/>
              <w:rPr>
                <w:sz w:val="20"/>
                <w:szCs w:val="20"/>
                <w:color w:val="auto"/>
              </w:rPr>
            </w:pPr>
            <w:r>
              <w:rPr>
                <w:rFonts w:ascii="Arial" w:cs="Arial" w:eastAsia="Arial" w:hAnsi="Arial"/>
                <w:sz w:val="18"/>
                <w:szCs w:val="18"/>
                <w:color w:val="auto"/>
              </w:rPr>
              <w:t>Exhibit</w:t>
            </w:r>
          </w:p>
        </w:tc>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 (101).PRE</w:t>
            </w:r>
          </w:p>
        </w:tc>
        <w:tc>
          <w:tcPr>
            <w:tcW w:w="9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Exhibit No. 104</w:t>
            </w:r>
          </w:p>
        </w:tc>
        <w:tc>
          <w:tcPr>
            <w:tcW w:w="934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10-K formatted as Inline XBRL</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their behalf by the undersigned, thereunto duly authorized.</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CARTER’S, INC.</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3625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3"/>
              </w:rPr>
              <w:t>Name</w:t>
            </w:r>
          </w:p>
        </w:tc>
        <w:tc>
          <w:tcPr>
            <w:tcW w:w="1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1360"/>
              <w:spacing w:after="0"/>
              <w:rPr>
                <w:sz w:val="20"/>
                <w:szCs w:val="20"/>
                <w:color w:val="auto"/>
              </w:rPr>
            </w:pPr>
            <w:r>
              <w:rPr>
                <w:rFonts w:ascii="Arial" w:cs="Arial" w:eastAsia="Arial" w:hAnsi="Arial"/>
                <w:sz w:val="18"/>
                <w:szCs w:val="18"/>
                <w:b w:val="1"/>
                <w:bCs w:val="1"/>
                <w:color w:val="auto"/>
              </w:rPr>
              <w:t>Date</w:t>
            </w:r>
          </w:p>
        </w:tc>
      </w:tr>
      <w:tr>
        <w:trPr>
          <w:trHeight w:val="20"/>
        </w:trPr>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MICHAEL D. CASEY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Chairman and Chief Executive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2"/>
              </w:rPr>
              <w:t>Michael D. Casey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RICHARD F. WESTENBERGER</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88"/>
              </w:rPr>
              <w:t>Richard F. Westenberger</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HALI BORENSTEIN</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3"/>
              </w:rPr>
              <w:t>Hali Borenstein</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LUIS BORGEN</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3"/>
              </w:rPr>
              <w:t>Luis Borgen</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GIUSEPPINA BUONFANTINO</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2"/>
              </w:rPr>
              <w:t>Giuseppina Buonfantino</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3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A. BRUCE CLEVERLY</w:t>
            </w:r>
          </w:p>
        </w:tc>
        <w:tc>
          <w:tcPr>
            <w:tcW w:w="44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gridSpan w:val="3"/>
          </w:tcPr>
          <w:p>
            <w:pPr>
              <w:jc w:val="center"/>
              <w:spacing w:after="0"/>
              <w:rPr>
                <w:sz w:val="20"/>
                <w:szCs w:val="20"/>
                <w:color w:val="auto"/>
              </w:rPr>
            </w:pPr>
            <w:r>
              <w:rPr>
                <w:rFonts w:ascii="Arial" w:cs="Arial" w:eastAsia="Arial" w:hAnsi="Arial"/>
                <w:sz w:val="18"/>
                <w:szCs w:val="18"/>
                <w:color w:val="auto"/>
                <w:w w:val="93"/>
              </w:rPr>
              <w:t>A. Bruce Cleverly</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JEVIN S. EAGLE</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Jevin S. Eagle</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P. HIPP</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4"/>
              </w:rPr>
              <w:t>Mark P. Hipp</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WILLIAM J. MONTGORIS</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5"/>
              </w:rPr>
              <w:t>William J. Montgoris</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PULVER</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David Pulver</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93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GRETCHEN W. SCHAR</w:t>
            </w:r>
          </w:p>
        </w:tc>
        <w:tc>
          <w:tcPr>
            <w:tcW w:w="1120" w:type="dxa"/>
            <w:vAlign w:val="bottom"/>
          </w:tcPr>
          <w:p>
            <w:pPr>
              <w:ind w:left="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3900"/>
              <w:spacing w:after="0"/>
              <w:rPr>
                <w:sz w:val="20"/>
                <w:szCs w:val="20"/>
                <w:color w:val="auto"/>
              </w:rPr>
            </w:pPr>
            <w:r>
              <w:rPr>
                <w:rFonts w:ascii="Arial" w:cs="Arial" w:eastAsia="Arial" w:hAnsi="Arial"/>
                <w:sz w:val="18"/>
                <w:szCs w:val="18"/>
                <w:color w:val="auto"/>
                <w:w w:val="88"/>
              </w:rPr>
              <w:t>February 25, 2022</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Gretchen W. Schar</w:t>
            </w: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1214"/>
        </w:trPr>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9940"/>
          </w:cols>
          <w:pgMar w:left="660" w:top="1232" w:right="12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Carter's,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William Carter Company is incorporated in Massachusetts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OshKosh B'Gosh,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Retail,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TWCC Product Development and Sales,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Giftcard Company, Inc. is incorporated in Florida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Holdings, Inc.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Inc. is incorporated in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Holdings B.V. is formed in the 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Genuine Canadian Corp. is incorporated in Ontario, Canada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Global Sourcing Limited is formed in Hong Kong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Shanghai Business Information Consulting Co., Ltd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(Shenzhen) Trading Company Limited is formed in China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Vietnam Company limited is formed in Vietnam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Skip Hop UK Limited is formed in England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Mexico LLC is incorporated in 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Carters Brands,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81" w:right="339" w:bottom="1440" w:gutter="0" w:footer="0" w:header="0"/>
        </w:sectPr>
      </w:pPr>
    </w:p>
    <w:bookmarkStart w:id="93" w:name="page94"/>
    <w:bookmarkEnd w:id="93"/>
    <w:p>
      <w:pPr>
        <w:ind w:left="1800"/>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333-177724, 333-168446, 333-125306, and 333-225144) of Carter’s, Inc. of our report dated February 25,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4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240" w:firstLine="180"/>
        <w:spacing w:after="0" w:line="286" w:lineRule="auto"/>
        <w:rPr>
          <w:sz w:val="20"/>
          <w:szCs w:val="20"/>
          <w:color w:val="auto"/>
        </w:rPr>
      </w:pPr>
      <w:r>
        <w:rPr>
          <w:rFonts w:ascii="Arial" w:cs="Arial" w:eastAsia="Arial" w:hAnsi="Arial"/>
          <w:sz w:val="17"/>
          <w:szCs w:val="17"/>
          <w:color w:val="auto"/>
        </w:rPr>
        <w:t>Each of the undersigned in the capacity indicated hereby certifies that, to his knowledge, this Annual Report on Form 10-K for the fiscal year ended January 1, 2022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27946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4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lvl w:ilvl="1">
      <w:lvlJc w:val="left"/>
      <w:lvlText w:val="◦"/>
      <w:numFmt w:val="bullet"/>
      <w:start w:val="1"/>
    </w:lvl>
  </w:abstractNum>
  <w:abstractNum w:abstractNumId="16">
    <w:nsid w:val="3804823E"/>
    <w:multiLevelType w:val="hybridMultilevel"/>
    <w:lvl w:ilvl="0">
      <w:lvlJc w:val="left"/>
      <w:lvlText w:val="•"/>
      <w:numFmt w:val="bullet"/>
      <w:start w:val="1"/>
    </w:lvl>
    <w:lvl w:ilvl="1">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22"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37" Type="http://schemas.openxmlformats.org/officeDocument/2006/relationships/hyperlink" Target="http://www.sec.gov/ix?doc=/Archives/edgar/data/1060822/000106082221000006/cri-20210102.htm#i15ddc261dd58491189c4dcf477ba08d8_40" TargetMode="External"/><Relationship Id="rId115" Type="http://schemas.openxmlformats.org/officeDocument/2006/relationships/hyperlink" Target="http://www.sec.gov/Archives/edgar/data/1060822/000119312517179483/d400342dex31.htm" TargetMode="External"/><Relationship Id="rId116" Type="http://schemas.openxmlformats.org/officeDocument/2006/relationships/hyperlink" Target="http://www.sec.gov/Archives/edgar/data/1060822/000119312517179483/d400342dex32.htm" TargetMode="External"/><Relationship Id="rId117" Type="http://schemas.openxmlformats.org/officeDocument/2006/relationships/hyperlink" Target="http://www.sec.gov/Archives/edgar/data/1060822/000104746903033160/a2120070zex-4_1.txt" TargetMode="External"/><Relationship Id="rId118" Type="http://schemas.openxmlformats.org/officeDocument/2006/relationships/hyperlink" Target="http://www.sec.gov/Archives/edgar/data/1060822/000119312519074908/d718900dex41.htm" TargetMode="External"/><Relationship Id="rId119" Type="http://schemas.openxmlformats.org/officeDocument/2006/relationships/hyperlink" Target="http://www.sec.gov/Archives/edgar/data/1060822/000119312520139193/d893842dex41.htm" TargetMode="External"/><Relationship Id="rId120" Type="http://schemas.openxmlformats.org/officeDocument/2006/relationships/hyperlink" Target="http://www.sec.gov/Archives/edgar/data/1060822/000106082220000004/descriptionofsecuritie.htm" TargetMode="External"/><Relationship Id="rId121" Type="http://schemas.openxmlformats.org/officeDocument/2006/relationships/hyperlink" Target="http://www.sec.gov/Archives/edgar/data/1060822/000119312517273645/d428481dex101.htm" TargetMode="External"/><Relationship Id="rId123" Type="http://schemas.openxmlformats.org/officeDocument/2006/relationships/hyperlink" Target="http://www.sec.gov/Archives/edgar/data/1060822/000119312518283958/d629122dex101.htm" TargetMode="External"/><Relationship Id="rId124" Type="http://schemas.openxmlformats.org/officeDocument/2006/relationships/hyperlink" Target="http://www.sec.gov/Archives/edgar/data/1060822/000106082220000015/carters-amendmentno2to.htm" TargetMode="External"/><Relationship Id="rId125" Type="http://schemas.openxmlformats.org/officeDocument/2006/relationships/hyperlink" Target="http://www.sec.gov/Archives/edgar/data/1060822/000119312521131505/d203730dex101.htm" TargetMode="External"/><Relationship Id="rId126" Type="http://schemas.openxmlformats.org/officeDocument/2006/relationships/hyperlink" Target="http://www.sec.gov/Archives/edgar/data/1060822/000106082215000029/cri-20151003exh102.htm" TargetMode="External"/><Relationship Id="rId127" Type="http://schemas.openxmlformats.org/officeDocument/2006/relationships/hyperlink" Target="http://www.sec.gov/Archives/edgar/data/1060822/000119312518107509/d483958ddef14a.htm#toc483958_22" TargetMode="External"/><Relationship Id="rId128" Type="http://schemas.openxmlformats.org/officeDocument/2006/relationships/hyperlink" Target="http://www.sec.gov/Archives/edgar/data/1060822/000119312516526057/d149556ddef14a.htm#toc149556_23" TargetMode="External"/><Relationship Id="rId129" Type="http://schemas.openxmlformats.org/officeDocument/2006/relationships/hyperlink" Target="http://www.sec.gov/Archives/edgar/data/1060822/000106082220000004/thewilliamcartercompan.htm" TargetMode="External"/><Relationship Id="rId130" Type="http://schemas.openxmlformats.org/officeDocument/2006/relationships/hyperlink" Target="http://www.sec.gov/Archives/edgar/data/1060822/000106082211000006/ex10_20.htm" TargetMode="External"/><Relationship Id="rId131" Type="http://schemas.openxmlformats.org/officeDocument/2006/relationships/hyperlink" Target="http://www.sec.gov/Archives/edgar/data/1060822/000106082212000017/cri-2012331exh1021.htm" TargetMode="External"/><Relationship Id="rId132" Type="http://schemas.openxmlformats.org/officeDocument/2006/relationships/hyperlink" Target="http://www.sec.gov/Archives/edgar/data/1060822/000106082212000036/exhibit101.htm" TargetMode="External"/><Relationship Id="rId133"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2022-02-25T10:38:43Z</dcterms:created>
  <dcterms:modified xsi:type="dcterms:W3CDTF">2022-02-25T10:38:43Z</dcterms:modified>
</cp:coreProperties>
</file>