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jc w:val="center"/>
        <w:ind w:left="4200" w:right="1300" w:hanging="2871"/>
        <w:spacing w:after="0" w:line="307" w:lineRule="auto"/>
        <w:tabs>
          <w:tab w:leader="none" w:pos="1678"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July 2, 2022</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3660" w:right="1260" w:hanging="2366"/>
        <w:spacing w:after="0" w:line="249" w:lineRule="auto"/>
        <w:tabs>
          <w:tab w:leader="none" w:pos="1709"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__________to __________</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Commission file number: 001-31829</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1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053" w:right="359" w:bottom="1440" w:gutter="0" w:footer="0" w:header="0"/>
        </w:sectPr>
      </w:pPr>
    </w:p>
    <w:p>
      <w:pPr>
        <w:spacing w:after="0" w:line="160"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13-3912933</w:t>
      </w:r>
    </w:p>
    <w:p>
      <w:pPr>
        <w:spacing w:after="0" w:line="34" w:lineRule="exact"/>
        <w:rPr>
          <w:sz w:val="24"/>
          <w:szCs w:val="24"/>
          <w:color w:val="auto"/>
        </w:rPr>
      </w:pPr>
    </w:p>
    <w:p>
      <w:pPr>
        <w:sectPr>
          <w:pgSz w:w="11900" w:h="16838" w:orient="portrait"/>
          <w:cols w:equalWidth="0" w:num="2">
            <w:col w:w="7140" w:space="720"/>
            <w:col w:w="3360"/>
          </w:cols>
          <w:pgMar w:left="320" w:top="1053" w:right="35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16" w:lineRule="exact"/>
        <w:rPr>
          <w:sz w:val="24"/>
          <w:szCs w:val="24"/>
          <w:color w:val="auto"/>
        </w:rPr>
      </w:pPr>
    </w:p>
    <w:p>
      <w:pPr>
        <w:sectPr>
          <w:pgSz w:w="11900" w:h="16838" w:orient="portrait"/>
          <w:cols w:equalWidth="0" w:num="2">
            <w:col w:w="6360" w:space="720"/>
            <w:col w:w="4140"/>
          </w:cols>
          <w:pgMar w:left="320" w:top="1053" w:right="359" w:bottom="1440" w:gutter="0" w:footer="0" w:header="0"/>
          <w:type w:val="continuous"/>
        </w:sectPr>
      </w:pP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410" w:type="dxa"/>
        <w:tblCellMar>
          <w:top w:w="0" w:type="dxa"/>
          <w:left w:w="0" w:type="dxa"/>
          <w:bottom w:w="0" w:type="dxa"/>
          <w:right w:w="0" w:type="dxa"/>
        </w:tblCellMar>
      </w:tblPr>
      <w:tr>
        <w:trPr>
          <w:trHeight w:val="228"/>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CRI</w:t>
            </w: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71" w:lineRule="exact"/>
        <w:rPr>
          <w:sz w:val="24"/>
          <w:szCs w:val="24"/>
          <w:color w:val="auto"/>
        </w:rPr>
      </w:pPr>
    </w:p>
    <w:p>
      <w:pPr>
        <w:ind w:right="28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0" w:lineRule="exact"/>
        <w:rPr>
          <w:sz w:val="24"/>
          <w:szCs w:val="24"/>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20" w:lineRule="exact"/>
        <w:rPr>
          <w:sz w:val="24"/>
          <w:szCs w:val="24"/>
          <w:color w:val="auto"/>
        </w:rPr>
      </w:pPr>
    </w:p>
    <w:p>
      <w:pPr>
        <w:jc w:val="center"/>
        <w:ind w:right="-19"/>
        <w:spacing w:after="0" w:line="208"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p>
      <w:pPr>
        <w:spacing w:after="0" w:line="89"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10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22, 2022, there were 38,996,378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6643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CARTER’S,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66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560" w:type="dxa"/>
            <w:vAlign w:val="bottom"/>
            <w:gridSpan w:val="5"/>
          </w:tcPr>
          <w:p>
            <w:pPr>
              <w:ind w:left="58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Financial Statements</w:t>
            </w: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Balance Sheets as of July 2, 2022, January 1, 2022 and July 3, 2021</w:t>
            </w:r>
          </w:p>
        </w:tc>
        <w:tc>
          <w:tcPr>
            <w:tcW w:w="820" w:type="dxa"/>
            <w:vAlign w:val="bottom"/>
            <w:gridSpan w:val="3"/>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Operations for the fiscal quarter and two fiscal quarters ended July 2,</w:t>
            </w:r>
          </w:p>
        </w:tc>
        <w:tc>
          <w:tcPr>
            <w:tcW w:w="820" w:type="dxa"/>
            <w:vAlign w:val="bottom"/>
            <w:gridSpan w:val="3"/>
            <w:vMerge w:val="restart"/>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0000FF"/>
                <w:w w:val="99"/>
              </w:rPr>
              <w:t>2</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7780" w:type="dxa"/>
            <w:vAlign w:val="bottom"/>
            <w:tcBorders>
              <w:top w:val="single" w:sz="8" w:color="0000FF"/>
            </w:tcBorders>
            <w:gridSpan w:val="2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2022 and July 3, 2021</w:t>
            </w: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Comprehensive Income for the fiscal quarter and two fiscal quarters</w:t>
            </w:r>
          </w:p>
        </w:tc>
        <w:tc>
          <w:tcPr>
            <w:tcW w:w="820" w:type="dxa"/>
            <w:vAlign w:val="bottom"/>
            <w:gridSpan w:val="3"/>
            <w:vMerge w:val="restart"/>
          </w:tcPr>
          <w:p>
            <w:pPr>
              <w:jc w:val="center"/>
              <w:ind w:left="658"/>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70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ended July 2, 2022 and July 3, 2021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Changes in Stockholders’ Equity for the fiscal quarters ended July 2,</w:t>
            </w:r>
          </w:p>
        </w:tc>
        <w:tc>
          <w:tcPr>
            <w:tcW w:w="820" w:type="dxa"/>
            <w:vAlign w:val="bottom"/>
            <w:gridSpan w:val="3"/>
            <w:vMerge w:val="restart"/>
            <w:shd w:val="clear" w:color="auto" w:fill="CCEEFF"/>
          </w:tcPr>
          <w:p>
            <w:pPr>
              <w:jc w:val="center"/>
              <w:ind w:left="658"/>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7740" w:type="dxa"/>
            <w:vAlign w:val="bottom"/>
            <w:tcBorders>
              <w:top w:val="single" w:sz="8" w:color="0000FF"/>
            </w:tcBorders>
            <w:gridSpan w:val="20"/>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2022, April 2, 2022, July 3, 2021 and April 3, 2021</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Unaudited Condensed Consolidated Statements of Cash Flows for the two fiscal quarters ended July 2, 2022 and July 3,</w:t>
            </w:r>
          </w:p>
        </w:tc>
        <w:tc>
          <w:tcPr>
            <w:tcW w:w="820" w:type="dxa"/>
            <w:vAlign w:val="bottom"/>
            <w:gridSpan w:val="3"/>
            <w:vMerge w:val="restart"/>
          </w:tcPr>
          <w:p>
            <w:pPr>
              <w:jc w:val="center"/>
              <w:ind w:left="658"/>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2021</w:t>
            </w: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Notes to the Unaudited Condensed Consolidated Financial Statements</w:t>
            </w:r>
          </w:p>
        </w:tc>
        <w:tc>
          <w:tcPr>
            <w:tcW w:w="820" w:type="dxa"/>
            <w:vAlign w:val="bottom"/>
            <w:gridSpan w:val="3"/>
            <w:shd w:val="clear" w:color="auto" w:fill="CCEEFF"/>
          </w:tcPr>
          <w:p>
            <w:pPr>
              <w:jc w:val="center"/>
              <w:ind w:left="658"/>
              <w:spacing w:after="0" w:line="175" w:lineRule="exact"/>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gridSpan w:val="3"/>
            <w:shd w:val="clear" w:color="auto" w:fill="CCEEFF"/>
          </w:tcPr>
          <w:p>
            <w:pPr>
              <w:spacing w:after="0"/>
              <w:rPr>
                <w:sz w:val="15"/>
                <w:szCs w:val="15"/>
                <w:color w:val="auto"/>
              </w:rPr>
            </w:pPr>
          </w:p>
        </w:tc>
        <w:tc>
          <w:tcPr>
            <w:tcW w:w="388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120" w:type="dxa"/>
            <w:vAlign w:val="bottom"/>
            <w:gridSpan w:val="9"/>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28</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3"/>
          </w:tcPr>
          <w:p>
            <w:pPr>
              <w:spacing w:after="0"/>
              <w:rPr>
                <w:sz w:val="15"/>
                <w:szCs w:val="15"/>
                <w:color w:val="auto"/>
              </w:rPr>
            </w:pPr>
          </w:p>
        </w:tc>
        <w:tc>
          <w:tcPr>
            <w:tcW w:w="3880" w:type="dxa"/>
            <w:vAlign w:val="bottom"/>
            <w:gridSpan w:val="14"/>
          </w:tcPr>
          <w:p>
            <w:pPr>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4120" w:type="dxa"/>
            <w:vAlign w:val="bottom"/>
            <w:gridSpan w:val="9"/>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29</w:t>
            </w:r>
          </w:p>
        </w:tc>
        <w:tc>
          <w:tcPr>
            <w:tcW w:w="0" w:type="dxa"/>
            <w:vAlign w:val="bottom"/>
          </w:tcPr>
          <w:p>
            <w:pPr>
              <w:spacing w:after="0"/>
              <w:rPr>
                <w:sz w:val="1"/>
                <w:szCs w:val="1"/>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2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32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6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380" w:type="dxa"/>
            <w:vAlign w:val="bottom"/>
            <w:tcBorders>
              <w:top w:val="single" w:sz="8" w:color="0000FF"/>
              <w:bottom w:val="single" w:sz="8" w:color="CCEEFF"/>
            </w:tcBorders>
          </w:tcPr>
          <w:p>
            <w:pPr>
              <w:spacing w:after="0"/>
              <w:rPr>
                <w:sz w:val="4"/>
                <w:szCs w:val="4"/>
                <w:color w:val="auto"/>
              </w:rPr>
            </w:pPr>
          </w:p>
        </w:tc>
        <w:tc>
          <w:tcPr>
            <w:tcW w:w="2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160" w:type="dxa"/>
            <w:vAlign w:val="bottom"/>
            <w:tcBorders>
              <w:top w:val="single" w:sz="8" w:color="0000FF"/>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1</w:t>
            </w:r>
          </w:p>
        </w:tc>
        <w:tc>
          <w:tcPr>
            <w:tcW w:w="640" w:type="dxa"/>
            <w:vAlign w:val="bottom"/>
            <w:gridSpan w:val="3"/>
            <w:shd w:val="clear" w:color="auto" w:fill="CCEEFF"/>
          </w:tcPr>
          <w:p>
            <w:pPr>
              <w:spacing w:after="0"/>
              <w:rPr>
                <w:sz w:val="15"/>
                <w:szCs w:val="15"/>
                <w:color w:val="auto"/>
              </w:rPr>
            </w:pPr>
          </w:p>
        </w:tc>
        <w:tc>
          <w:tcPr>
            <w:tcW w:w="1200" w:type="dxa"/>
            <w:vAlign w:val="bottom"/>
            <w:gridSpan w:val="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6800" w:type="dxa"/>
            <w:vAlign w:val="bottom"/>
            <w:gridSpan w:val="16"/>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8000" w:type="dxa"/>
            <w:vAlign w:val="bottom"/>
            <w:gridSpan w:val="23"/>
          </w:tcPr>
          <w:p>
            <w:pPr>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2</w:t>
            </w:r>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3</w:t>
            </w:r>
          </w:p>
        </w:tc>
        <w:tc>
          <w:tcPr>
            <w:tcW w:w="640" w:type="dxa"/>
            <w:vAlign w:val="bottom"/>
            <w:gridSpan w:val="3"/>
          </w:tcPr>
          <w:p>
            <w:pPr>
              <w:spacing w:after="0"/>
              <w:rPr>
                <w:sz w:val="15"/>
                <w:szCs w:val="15"/>
                <w:color w:val="auto"/>
              </w:rPr>
            </w:pPr>
          </w:p>
        </w:tc>
        <w:tc>
          <w:tcPr>
            <w:tcW w:w="3900" w:type="dxa"/>
            <w:vAlign w:val="bottom"/>
            <w:gridSpan w:val="15"/>
          </w:tcPr>
          <w:p>
            <w:pPr>
              <w:spacing w:after="0" w:line="175"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4100" w:type="dxa"/>
            <w:vAlign w:val="bottom"/>
            <w:gridSpan w:val="8"/>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w w:val="96"/>
              </w:rPr>
              <w:t>Item 4</w:t>
            </w:r>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30</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w w:val="96"/>
              </w:rPr>
              <w:t>Item 5</w:t>
            </w:r>
          </w:p>
        </w:tc>
        <w:tc>
          <w:tcPr>
            <w:tcW w:w="640" w:type="dxa"/>
            <w:vAlign w:val="bottom"/>
            <w:gridSpan w:val="3"/>
          </w:tcPr>
          <w:p>
            <w:pPr>
              <w:spacing w:after="0"/>
              <w:rPr>
                <w:sz w:val="15"/>
                <w:szCs w:val="15"/>
                <w:color w:val="auto"/>
              </w:rPr>
            </w:pPr>
          </w:p>
        </w:tc>
        <w:tc>
          <w:tcPr>
            <w:tcW w:w="158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6420" w:type="dxa"/>
            <w:vAlign w:val="bottom"/>
            <w:gridSpan w:val="13"/>
          </w:tcPr>
          <w:p>
            <w:pPr>
              <w:spacing w:after="0"/>
              <w:rPr>
                <w:sz w:val="15"/>
                <w:szCs w:val="15"/>
                <w:color w:val="auto"/>
              </w:rPr>
            </w:pPr>
          </w:p>
        </w:tc>
        <w:tc>
          <w:tcPr>
            <w:tcW w:w="1560" w:type="dxa"/>
            <w:vAlign w:val="bottom"/>
            <w:gridSpan w:val="5"/>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800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Exhibits</w:t>
            </w:r>
          </w:p>
        </w:tc>
        <w:tc>
          <w:tcPr>
            <w:tcW w:w="156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31</w:t>
            </w: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60" w:type="dxa"/>
            <w:vAlign w:val="bottom"/>
            <w:tcBorders>
              <w:top w:val="single" w:sz="8" w:color="CCEEFF"/>
            </w:tcBorders>
          </w:tcPr>
          <w:p>
            <w:pPr>
              <w:spacing w:after="0"/>
              <w:rPr>
                <w:sz w:val="4"/>
                <w:szCs w:val="4"/>
                <w:color w:val="auto"/>
              </w:rPr>
            </w:pPr>
          </w:p>
        </w:tc>
        <w:tc>
          <w:tcPr>
            <w:tcW w:w="960" w:type="dxa"/>
            <w:vAlign w:val="bottom"/>
            <w:tcBorders>
              <w:top w:val="single" w:sz="8" w:color="CCEEFF"/>
            </w:tcBorders>
          </w:tcPr>
          <w:p>
            <w:pPr>
              <w:spacing w:after="0"/>
              <w:rPr>
                <w:sz w:val="4"/>
                <w:szCs w:val="4"/>
                <w:color w:val="auto"/>
              </w:rPr>
            </w:pPr>
          </w:p>
        </w:tc>
        <w:tc>
          <w:tcPr>
            <w:tcW w:w="9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6"/>
                <w:szCs w:val="16"/>
                <w:color w:val="0000FF"/>
                <w:w w:val="99"/>
              </w:rPr>
              <w:t>32</w:t>
            </w:r>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60" w:type="dxa"/>
            <w:vAlign w:val="bottom"/>
            <w:tcBorders>
              <w:top w:val="single" w:sz="8" w:color="CCEEFF"/>
            </w:tcBorders>
          </w:tcPr>
          <w:p>
            <w:pPr>
              <w:spacing w:after="0"/>
              <w:rPr>
                <w:sz w:val="4"/>
                <w:szCs w:val="4"/>
                <w:color w:val="auto"/>
              </w:rPr>
            </w:pPr>
          </w:p>
        </w:tc>
        <w:tc>
          <w:tcPr>
            <w:tcW w:w="960" w:type="dxa"/>
            <w:vAlign w:val="bottom"/>
            <w:tcBorders>
              <w:top w:val="single" w:sz="8" w:color="CCEEFF"/>
            </w:tcBorders>
          </w:tcPr>
          <w:p>
            <w:pPr>
              <w:spacing w:after="0"/>
              <w:rPr>
                <w:sz w:val="4"/>
                <w:szCs w:val="4"/>
                <w:color w:val="auto"/>
              </w:rPr>
            </w:pPr>
          </w:p>
        </w:tc>
        <w:tc>
          <w:tcPr>
            <w:tcW w:w="9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Certifications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5"/>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00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960" w:type="dxa"/>
            <w:vAlign w:val="bottom"/>
            <w:tcBorders>
              <w:top w:val="single" w:sz="8" w:color="CCEEFF"/>
              <w:bottom w:val="single" w:sz="8" w:color="9A9A9A"/>
            </w:tcBorders>
          </w:tcPr>
          <w:p>
            <w:pPr>
              <w:spacing w:after="0"/>
              <w:rPr>
                <w:sz w:val="24"/>
                <w:szCs w:val="24"/>
                <w:color w:val="auto"/>
              </w:rPr>
            </w:pPr>
          </w:p>
        </w:tc>
        <w:tc>
          <w:tcPr>
            <w:tcW w:w="9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July 2, 2022</w:t>
            </w:r>
          </w:p>
        </w:tc>
        <w:tc>
          <w:tcPr>
            <w:tcW w:w="24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January 1, 2022</w:t>
            </w:r>
          </w:p>
        </w:tc>
        <w:tc>
          <w:tcPr>
            <w:tcW w:w="320" w:type="dxa"/>
            <w:vAlign w:val="bottom"/>
          </w:tcPr>
          <w:p>
            <w:pPr>
              <w:spacing w:after="0"/>
              <w:rPr>
                <w:sz w:val="17"/>
                <w:szCs w:val="17"/>
                <w:color w:val="auto"/>
              </w:rPr>
            </w:pPr>
          </w:p>
        </w:tc>
        <w:tc>
          <w:tcPr>
            <w:tcW w:w="154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July 3, 2021</w:t>
            </w:r>
          </w:p>
        </w:tc>
      </w:tr>
      <w:tr>
        <w:trPr>
          <w:trHeight w:val="187"/>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2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5"/>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231,339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984,294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1,120,901</w:t>
            </w:r>
          </w:p>
        </w:tc>
      </w:tr>
      <w:tr>
        <w:trPr>
          <w:trHeight w:val="148"/>
        </w:trPr>
        <w:tc>
          <w:tcPr>
            <w:tcW w:w="5400" w:type="dxa"/>
            <w:vAlign w:val="bottom"/>
          </w:tcPr>
          <w:p>
            <w:pPr>
              <w:ind w:left="120"/>
              <w:spacing w:after="0" w:line="149" w:lineRule="exact"/>
              <w:rPr>
                <w:sz w:val="20"/>
                <w:szCs w:val="20"/>
                <w:color w:val="auto"/>
              </w:rPr>
            </w:pPr>
            <w:r>
              <w:rPr>
                <w:rFonts w:ascii="Times New Roman" w:cs="Times New Roman" w:eastAsia="Times New Roman" w:hAnsi="Times New Roman"/>
                <w:sz w:val="15"/>
                <w:szCs w:val="15"/>
                <w:color w:val="auto"/>
              </w:rPr>
              <w:t>Accounts receivable, net of allowance for credit losses of $5,758, $7,281, and $7,130,</w:t>
            </w: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12"/>
        </w:trPr>
        <w:tc>
          <w:tcPr>
            <w:tcW w:w="5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respectively</w:t>
            </w:r>
          </w:p>
        </w:tc>
        <w:tc>
          <w:tcPr>
            <w:tcW w:w="320" w:type="dxa"/>
            <w:vAlign w:val="bottom"/>
          </w:tcPr>
          <w:p>
            <w:pPr>
              <w:spacing w:after="0"/>
              <w:rPr>
                <w:sz w:val="18"/>
                <w:szCs w:val="18"/>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183,920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231,354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163,957</w:t>
            </w:r>
          </w:p>
        </w:tc>
      </w:tr>
      <w:tr>
        <w:trPr>
          <w:trHeight w:val="153"/>
        </w:trPr>
        <w:tc>
          <w:tcPr>
            <w:tcW w:w="540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5"/>
                <w:szCs w:val="15"/>
                <w:color w:val="auto"/>
              </w:rPr>
              <w:t>Finished goods inventories, net of inventory reserves of $18,057, $14,378, and</w:t>
            </w: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$15,726, respectively</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858,258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647,742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619,617</w:t>
            </w:r>
          </w:p>
        </w:tc>
      </w:tr>
      <w:tr>
        <w:trPr>
          <w:trHeight w:val="200"/>
        </w:trPr>
        <w:tc>
          <w:tcPr>
            <w:tcW w:w="5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81,482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50,131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66,549</w:t>
            </w:r>
          </w:p>
        </w:tc>
      </w:tr>
      <w:tr>
        <w:trPr>
          <w:trHeight w:val="198"/>
        </w:trPr>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current assets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1,354,999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1,913,521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1,971,024</w:t>
            </w: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Property, plant, and equipment, net of accumulated depreciation of $548,013,</w:t>
            </w: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12"/>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$528,926, and $545,702, respectively</w:t>
            </w:r>
          </w:p>
        </w:tc>
        <w:tc>
          <w:tcPr>
            <w:tcW w:w="320" w:type="dxa"/>
            <w:vAlign w:val="bottom"/>
          </w:tcPr>
          <w:p>
            <w:pPr>
              <w:spacing w:after="0"/>
              <w:rPr>
                <w:sz w:val="18"/>
                <w:szCs w:val="18"/>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186,778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216,004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231,944</w:t>
            </w:r>
          </w:p>
        </w:tc>
      </w:tr>
      <w:tr>
        <w:trPr>
          <w:trHeight w:val="20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assets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449,350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487,748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527,121</w:t>
            </w: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Tradenames, net</w:t>
            </w:r>
          </w:p>
        </w:tc>
        <w:tc>
          <w:tcPr>
            <w:tcW w:w="3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307,518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307,643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307,768</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211,247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212,023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213,195</w:t>
            </w: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Customer relationships, net</w:t>
            </w:r>
          </w:p>
        </w:tc>
        <w:tc>
          <w:tcPr>
            <w:tcW w:w="3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32,248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33,969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35,777</w:t>
            </w: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31,747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30,889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29,097</w:t>
            </w:r>
          </w:p>
        </w:tc>
      </w:tr>
      <w:tr>
        <w:trPr>
          <w:trHeight w:val="198"/>
        </w:trPr>
        <w:tc>
          <w:tcPr>
            <w:tcW w:w="54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Total assets</w:t>
            </w: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2,573,887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3,201,797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3,315,926</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29"/>
        </w:trPr>
        <w:tc>
          <w:tcPr>
            <w:tcW w:w="5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0"/>
        </w:trPr>
        <w:tc>
          <w:tcPr>
            <w:tcW w:w="5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408,006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407,044</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356,826</w:t>
            </w:r>
          </w:p>
        </w:tc>
      </w:tr>
      <w:tr>
        <w:trPr>
          <w:trHeight w:val="205"/>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Current operating lease liabilities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142,981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147,537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158,270</w:t>
            </w:r>
          </w:p>
        </w:tc>
      </w:tr>
      <w:tr>
        <w:trPr>
          <w:trHeight w:val="200"/>
        </w:trPr>
        <w:tc>
          <w:tcPr>
            <w:tcW w:w="5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96,102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176,449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113,240</w:t>
            </w:r>
          </w:p>
        </w:tc>
      </w:tr>
      <w:tr>
        <w:trPr>
          <w:trHeight w:val="198"/>
        </w:trPr>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647,089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731,030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628,336</w:t>
            </w: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 net</w:t>
            </w:r>
          </w:p>
        </w:tc>
        <w:tc>
          <w:tcPr>
            <w:tcW w:w="3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616,275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991,370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990,437</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45,730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40,910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58,150</w:t>
            </w: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320" w:type="dxa"/>
            <w:vAlign w:val="bottom"/>
          </w:tcPr>
          <w:p>
            <w:pPr>
              <w:spacing w:after="0"/>
              <w:rPr>
                <w:sz w:val="17"/>
                <w:szCs w:val="17"/>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400,046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441,861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484,881</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43,881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46,440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56,618</w:t>
            </w:r>
          </w:p>
        </w:tc>
      </w:tr>
      <w:tr>
        <w:trPr>
          <w:trHeight w:val="194"/>
        </w:trPr>
        <w:tc>
          <w:tcPr>
            <w:tcW w:w="54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Total liabilities</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1,753,021</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2,251,611</w:t>
            </w:r>
          </w:p>
        </w:tc>
        <w:tc>
          <w:tcPr>
            <w:tcW w:w="10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2,218,422</w:t>
            </w:r>
          </w:p>
        </w:tc>
      </w:tr>
      <w:tr>
        <w:trPr>
          <w:trHeight w:val="164"/>
        </w:trPr>
        <w:tc>
          <w:tcPr>
            <w:tcW w:w="5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 Note 14</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64"/>
        </w:trPr>
        <w:tc>
          <w:tcPr>
            <w:tcW w:w="5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51"/>
        </w:trPr>
        <w:tc>
          <w:tcPr>
            <w:tcW w:w="54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Preferred stock; par value $0.01 per share; 100,000 shares authorized; none issued or</w:t>
            </w: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at July 2, 2022, January 1, 2022, and July 3, 2021</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Common stock, voting; par value $0.01 per share; 150,000,000 shares authorized;</w:t>
            </w: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8"/>
        </w:trPr>
        <w:tc>
          <w:tcPr>
            <w:tcW w:w="54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39,315,094, 41,148,870, and 44,011,080 shares issued and outstanding at July 2, 2022,</w:t>
            </w: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12"/>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January 1, 2022, and July 3, 2021, respectively</w:t>
            </w:r>
          </w:p>
        </w:tc>
        <w:tc>
          <w:tcPr>
            <w:tcW w:w="320" w:type="dxa"/>
            <w:vAlign w:val="bottom"/>
          </w:tcPr>
          <w:p>
            <w:pPr>
              <w:spacing w:after="0"/>
              <w:rPr>
                <w:sz w:val="18"/>
                <w:szCs w:val="18"/>
                <w:color w:val="auto"/>
              </w:rPr>
            </w:pPr>
          </w:p>
        </w:tc>
        <w:tc>
          <w:tcPr>
            <w:tcW w:w="15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r>
      <w:tr>
        <w:trPr>
          <w:trHeight w:val="20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31,521</w:t>
            </w:r>
          </w:p>
        </w:tc>
      </w:tr>
      <w:tr>
        <w:trPr>
          <w:trHeight w:val="200"/>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(27,263)</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Retained earnings</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852,676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978,672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1,092,806</w:t>
            </w:r>
          </w:p>
        </w:tc>
      </w:tr>
      <w:tr>
        <w:trPr>
          <w:trHeight w:val="194"/>
        </w:trPr>
        <w:tc>
          <w:tcPr>
            <w:tcW w:w="54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820,866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950,186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1,097,504</w:t>
            </w:r>
          </w:p>
        </w:tc>
      </w:tr>
      <w:tr>
        <w:trPr>
          <w:trHeight w:val="223"/>
        </w:trPr>
        <w:tc>
          <w:tcPr>
            <w:tcW w:w="5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2,573,887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3,201,797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3,315,926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 except per share data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20" w:type="dxa"/>
            <w:vAlign w:val="bottom"/>
          </w:tcPr>
          <w:p>
            <w:pPr>
              <w:spacing w:after="0"/>
              <w:rPr>
                <w:sz w:val="18"/>
                <w:szCs w:val="18"/>
                <w:color w:val="auto"/>
              </w:rPr>
            </w:pPr>
          </w:p>
        </w:tc>
        <w:tc>
          <w:tcPr>
            <w:tcW w:w="304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1"/>
        </w:trPr>
        <w:tc>
          <w:tcPr>
            <w:tcW w:w="4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July 3, 2021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July 3, 2021</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1,481,980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1,533,761</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790,851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781,524</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Adverse purchase commitments (inventory and raw materials), net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w:t>
            </w: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686,281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760,667</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w:t>
            </w:r>
          </w:p>
        </w:tc>
      </w:tr>
      <w:tr>
        <w:trPr>
          <w:trHeight w:val="21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521,315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539,697</w:t>
            </w: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235,078</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30,643</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47,081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93,211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135,422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206,501</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48,702</w:t>
            </w: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71,603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157,799</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29"/>
        </w:trPr>
        <w:tc>
          <w:tcPr>
            <w:tcW w:w="4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4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1"/>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July 3, 2021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July 3, 2021</w:t>
            </w:r>
          </w:p>
        </w:tc>
      </w:tr>
      <w:tr>
        <w:trPr>
          <w:trHeight w:val="21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36,970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157,799</w:t>
            </w:r>
          </w:p>
        </w:tc>
      </w:tr>
      <w:tr>
        <w:trPr>
          <w:trHeight w:val="21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r>
      <w:tr>
        <w:trPr>
          <w:trHeight w:val="212"/>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30,882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75,874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101,597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163,296</w:t>
            </w:r>
          </w:p>
        </w:tc>
      </w:tr>
      <w:tr>
        <w:trPr>
          <w:trHeight w:val="21"/>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amounts in thousands, except share amounts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0"/>
                <w:szCs w:val="20"/>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43,780,075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952,603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938,033</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87,422</w:t>
            </w:r>
          </w:p>
        </w:tc>
        <w:tc>
          <w:tcPr>
            <w:tcW w:w="0" w:type="dxa"/>
            <w:vAlign w:val="bottom"/>
          </w:tcPr>
          <w:p>
            <w:pPr>
              <w:spacing w:after="0"/>
              <w:rPr>
                <w:sz w:val="1"/>
                <w:szCs w:val="1"/>
                <w:color w:val="auto"/>
              </w:rPr>
            </w:pPr>
          </w:p>
        </w:tc>
      </w:tr>
      <w:tr>
        <w:trPr>
          <w:trHeight w:val="212"/>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3,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43,947,659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1,038,799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1,029,609</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 declared and paid of $0.40 per</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(17,596)</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75,874</w:t>
            </w: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3, 2021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44,011,080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1,092,806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1,097,504</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 shares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stock - $</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20"/>
                <w:szCs w:val="20"/>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41,148,870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950,186</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(74,496)</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$0.75 per</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70,715</w:t>
            </w:r>
          </w:p>
        </w:tc>
        <w:tc>
          <w:tcPr>
            <w:tcW w:w="0" w:type="dxa"/>
            <w:vAlign w:val="bottom"/>
          </w:tcPr>
          <w:p>
            <w:pPr>
              <w:spacing w:after="0"/>
              <w:rPr>
                <w:sz w:val="1"/>
                <w:szCs w:val="1"/>
                <w:color w:val="auto"/>
              </w:rPr>
            </w:pPr>
          </w:p>
        </w:tc>
      </w:tr>
      <w:tr>
        <w:trPr>
          <w:trHeight w:val="212"/>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2,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40,555,922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940,999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915,290</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6,359</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(1,272,354)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(101,810)</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 declared and paid of $0.75 per</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w:t>
            </w: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30,882</w:t>
            </w:r>
          </w:p>
        </w:tc>
        <w:tc>
          <w:tcPr>
            <w:tcW w:w="0" w:type="dxa"/>
            <w:vAlign w:val="bottom"/>
          </w:tcPr>
          <w:p>
            <w:pPr>
              <w:spacing w:after="0"/>
              <w:rPr>
                <w:sz w:val="1"/>
                <w:szCs w:val="1"/>
                <w:color w:val="auto"/>
              </w:rPr>
            </w:pPr>
          </w:p>
        </w:tc>
      </w:tr>
      <w:tr>
        <w:trPr>
          <w:trHeight w:val="237"/>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July 2,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39,315,094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820,866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4"/>
          </w:tcPr>
          <w:p>
            <w:pPr>
              <w:jc w:val="right"/>
              <w:ind w:right="1004"/>
              <w:spacing w:after="0"/>
              <w:rPr>
                <w:sz w:val="20"/>
                <w:szCs w:val="20"/>
                <w:color w:val="auto"/>
              </w:rPr>
            </w:pPr>
            <w:r>
              <w:rPr>
                <w:rFonts w:ascii="Times New Roman" w:cs="Times New Roman" w:eastAsia="Times New Roman" w:hAnsi="Times New Roman"/>
                <w:sz w:val="15"/>
                <w:szCs w:val="15"/>
                <w:b w:val="1"/>
                <w:bCs w:val="1"/>
                <w:color w:val="auto"/>
              </w:rPr>
              <w:t>Two fiscal quarters ended</w:t>
            </w:r>
          </w:p>
        </w:tc>
      </w:tr>
      <w:tr>
        <w:trPr>
          <w:trHeight w:val="200"/>
        </w:trPr>
        <w:tc>
          <w:tcPr>
            <w:tcW w:w="7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July 2, 2022</w:t>
            </w:r>
          </w:p>
        </w:tc>
        <w:tc>
          <w:tcPr>
            <w:tcW w:w="320" w:type="dxa"/>
            <w:vAlign w:val="bottom"/>
          </w:tcPr>
          <w:p>
            <w:pPr>
              <w:spacing w:after="0"/>
              <w:rPr>
                <w:sz w:val="17"/>
                <w:szCs w:val="17"/>
                <w:color w:val="auto"/>
              </w:rPr>
            </w:pPr>
          </w:p>
        </w:tc>
        <w:tc>
          <w:tcPr>
            <w:tcW w:w="154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July 3, 2021</w:t>
            </w:r>
          </w:p>
        </w:tc>
      </w:tr>
      <w:tr>
        <w:trPr>
          <w:trHeight w:val="18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2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104,903</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157,799</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income to net cash (used in) provided by operating activities: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Depreciation of property, plant, and equipment</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29,838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44,613</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1,866</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Provisions for excess and obsolete inventory</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1,451</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asset impairments and loss on disposal of property, plant and equipment, net of recoveries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2,056</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1,497</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12,218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12,322</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Unrealized foreign currency exchange (gain) loss, net</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(Recoveries of) provisions for doubtful accounts receivable from customers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Unrealized loss (gain) on investments</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(1,279)</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Deferred income taxes expense</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5,817</w:t>
            </w:r>
          </w:p>
        </w:tc>
      </w:tr>
      <w:tr>
        <w:trPr>
          <w:trHeight w:val="205"/>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4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Effect of changes in operating assets and liabilities: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5"/>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Accounts receivable</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48,973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21,620</w:t>
            </w:r>
          </w:p>
        </w:tc>
      </w:tr>
      <w:tr>
        <w:trPr>
          <w:trHeight w:val="200"/>
        </w:trPr>
        <w:tc>
          <w:tcPr>
            <w:tcW w:w="74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Finished goods inventories</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(215,519)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(19,663)</w:t>
            </w:r>
          </w:p>
        </w:tc>
      </w:tr>
      <w:tr>
        <w:trPr>
          <w:trHeight w:val="205"/>
        </w:trPr>
        <w:tc>
          <w:tcPr>
            <w:tcW w:w="7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(32,308)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(8,724)</w:t>
            </w:r>
          </w:p>
        </w:tc>
      </w:tr>
      <w:tr>
        <w:trPr>
          <w:trHeight w:val="200"/>
        </w:trPr>
        <w:tc>
          <w:tcPr>
            <w:tcW w:w="7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Accounts payable and other liabilities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(74,729)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(171,119)</w:t>
            </w:r>
          </w:p>
        </w:tc>
      </w:tr>
      <w:tr>
        <w:trPr>
          <w:trHeight w:val="196"/>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(93,595)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49,523</w:t>
            </w:r>
          </w:p>
        </w:tc>
      </w:tr>
      <w:tr>
        <w:trPr>
          <w:trHeight w:val="144"/>
        </w:trPr>
        <w:tc>
          <w:tcPr>
            <w:tcW w:w="7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Capital expenditures</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(16,313)</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(20,506)</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sale of investments</w:t>
            </w:r>
          </w:p>
        </w:tc>
        <w:tc>
          <w:tcPr>
            <w:tcW w:w="3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r>
      <w:tr>
        <w:trPr>
          <w:trHeight w:val="194"/>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(16,313)</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(15,506)</w:t>
            </w:r>
          </w:p>
        </w:tc>
      </w:tr>
      <w:tr>
        <w:trPr>
          <w:trHeight w:val="144"/>
        </w:trPr>
        <w:tc>
          <w:tcPr>
            <w:tcW w:w="7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200"/>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 of senior notes due 2025</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Premiums paid to extinguish debt</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 of debt issuance costs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Borrowings under secured revolving credit facility</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(176,306)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Dividends paid</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(60,460)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(17,596)</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Withholdings from vesting of restricted stock</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(3,698)</w:t>
            </w:r>
          </w:p>
        </w:tc>
      </w:tr>
      <w:tr>
        <w:trPr>
          <w:trHeight w:val="200"/>
        </w:trPr>
        <w:tc>
          <w:tcPr>
            <w:tcW w:w="74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exercises of stock options</w:t>
            </w: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5,147</w:t>
            </w:r>
          </w:p>
        </w:tc>
      </w:tr>
      <w:tr>
        <w:trPr>
          <w:trHeight w:val="20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74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(641,555)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(16,370)</w:t>
            </w:r>
          </w:p>
        </w:tc>
      </w:tr>
      <w:tr>
        <w:trPr>
          <w:trHeight w:val="144"/>
        </w:trPr>
        <w:tc>
          <w:tcPr>
            <w:tcW w:w="7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r>
      <w:tr>
        <w:trPr>
          <w:trHeight w:val="20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effect of exchange rate changes on cash and cash equivalents</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931</w:t>
            </w:r>
          </w:p>
        </w:tc>
      </w:tr>
      <w:tr>
        <w:trPr>
          <w:trHeight w:val="19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(752,955)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18,578</w:t>
            </w:r>
          </w:p>
        </w:tc>
      </w:tr>
      <w:tr>
        <w:trPr>
          <w:trHeight w:val="20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984,294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1,102,323</w:t>
            </w: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231,339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1,120,901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Carter’s, Inc. and its wholly-owned subsidiaries (collectively, the “Company”) design, source, and market branded childrenswear under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OshKosh, Skip Hop, Child of Mine, Just One You, Simple Joys, Carter’s My First Love, Little Planet, </w:t>
      </w:r>
      <w:r>
        <w:rPr>
          <w:rFonts w:ascii="Times New Roman" w:cs="Times New Roman" w:eastAsia="Times New Roman" w:hAnsi="Times New Roman"/>
          <w:sz w:val="18"/>
          <w:szCs w:val="18"/>
          <w:color w:val="auto"/>
        </w:rPr>
        <w:t>and other brands. The Company’s products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ended July 2, 2022 are not necessarily indicative of the results that may be expected for the current fiscal year ending December 31, 2022.</w:t>
      </w:r>
    </w:p>
    <w:p>
      <w:pPr>
        <w:spacing w:after="0" w:line="14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January 1, 2022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inventories, which consist primarily of finished goods, are stated approximately at the lower of cost (first-in, first-out basis for wholesale inventory and average cost for retail inventories) or net realizable value. Inventories at July 2, 2022 were $858.3 million compared to $619.6 million at July 3, 2021 and $647.7 million at January 1, 2022. The increase of $238.7 million, or 38.5%, at July 2, 2022 compared to July 3, 2021 is primarily due to planned earlier inventory ownership to offset transportation delays, longer holding periods for inventory to be sold in future periods, increased product costs, and lower than projected net sales. Due to the seasonal nature of our operations, the inventories balance at July 2, 2022 is not comparable to the inventories balance at January 1, 2022.</w:t>
      </w:r>
    </w:p>
    <w:p>
      <w:pPr>
        <w:spacing w:after="0" w:line="16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Inventory reserves at July 2, 2022 increased 14.8% compared to July 3, 2021. Although inventory levels have increased as of July 2, 2022, excess inventory reserve rates have remained relatively stable due to the overall health and planned use of the inventory. The liability for adverse inventory and fabric purchase commitments increased from $0.8 million as of July 3, 2021 to $5.2 million as of July 2, 2022 primarily due to reduced forward inventory commitments to better align with estimated lower customer demand.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anticipates an increased supply of inventory to continue for the remainder of fiscal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changes to these accounting policies.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second quarter and two quarters ended fiscal 2022 and 2021 were as follows: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6"/>
                <w:szCs w:val="16"/>
                <w:b w:val="1"/>
                <w:bCs w:val="1"/>
                <w:color w:val="auto"/>
              </w:rPr>
              <w:t>Fiscal quarter ended July 2, 2022</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220" w:type="dxa"/>
            <w:vAlign w:val="bottom"/>
          </w:tcPr>
          <w:p>
            <w:pPr>
              <w:spacing w:after="0"/>
              <w:rPr>
                <w:sz w:val="15"/>
                <w:szCs w:val="15"/>
                <w:color w:val="auto"/>
              </w:rPr>
            </w:pPr>
          </w:p>
        </w:tc>
        <w:tc>
          <w:tcPr>
            <w:tcW w:w="1540" w:type="dxa"/>
            <w:vAlign w:val="bottom"/>
            <w:gridSpan w:val="4"/>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640" w:type="dxa"/>
            <w:vAlign w:val="bottom"/>
          </w:tcPr>
          <w:p>
            <w:pPr>
              <w:spacing w:after="0"/>
              <w:rPr>
                <w:sz w:val="15"/>
                <w:szCs w:val="15"/>
                <w:color w:val="auto"/>
              </w:rPr>
            </w:pPr>
          </w:p>
        </w:tc>
        <w:tc>
          <w:tcPr>
            <w:tcW w:w="980" w:type="dxa"/>
            <w:vAlign w:val="bottom"/>
            <w:gridSpan w:val="2"/>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21"/>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37,019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261,035</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379,097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60,563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439,660</w:t>
            </w:r>
          </w:p>
        </w:tc>
      </w:tr>
      <w:tr>
        <w:trPr>
          <w:trHeight w:val="235"/>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97,582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700,695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5,602</w:t>
            </w:r>
          </w:p>
        </w:tc>
      </w:tr>
    </w:tbl>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Two fiscal quarters ended July 2, 2022</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jc w:val="right"/>
              <w:ind w:right="480"/>
              <w:spacing w:after="0" w:line="175" w:lineRule="exact"/>
              <w:rPr>
                <w:sz w:val="20"/>
                <w:szCs w:val="20"/>
                <w:color w:val="auto"/>
              </w:rPr>
            </w:pPr>
            <w:r>
              <w:rPr>
                <w:rFonts w:ascii="Times New Roman" w:cs="Times New Roman" w:eastAsia="Times New Roman" w:hAnsi="Times New Roman"/>
                <w:sz w:val="16"/>
                <w:szCs w:val="16"/>
                <w:b w:val="1"/>
                <w:bCs w:val="1"/>
                <w:color w:val="auto"/>
                <w:w w:val="99"/>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87,452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618,769</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745,455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863,211</w:t>
            </w:r>
          </w:p>
        </w:tc>
      </w:tr>
      <w:tr>
        <w:trPr>
          <w:trHeight w:val="23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205,208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1,481,980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13,076</w:t>
            </w:r>
          </w:p>
        </w:tc>
      </w:tr>
    </w:tbl>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6"/>
                <w:szCs w:val="16"/>
                <w:b w:val="1"/>
                <w:bCs w:val="1"/>
                <w:color w:val="auto"/>
              </w:rPr>
              <w:t>Fiscal quarter ended July 3, 2021</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44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5"/>
                <w:szCs w:val="15"/>
                <w:color w:val="auto"/>
              </w:rPr>
            </w:pPr>
          </w:p>
        </w:tc>
        <w:tc>
          <w:tcPr>
            <w:tcW w:w="14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1"/>
        </w:trPr>
        <w:tc>
          <w:tcPr>
            <w:tcW w:w="4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33,610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265,240</w:t>
            </w: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423,627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57,533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481,160</w:t>
            </w:r>
          </w:p>
        </w:tc>
      </w:tr>
      <w:tr>
        <w:trPr>
          <w:trHeight w:val="235"/>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746,400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6,645</w:t>
            </w:r>
          </w:p>
        </w:tc>
      </w:tr>
    </w:tbl>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Two fiscal quarters ended July 3, 2021</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i w:val="1"/>
                <w:iCs w:val="1"/>
                <w:color w:val="auto"/>
              </w:rPr>
              <w:t>(dollars in thousands)</w:t>
            </w:r>
          </w:p>
        </w:tc>
        <w:tc>
          <w:tcPr>
            <w:tcW w:w="260" w:type="dxa"/>
            <w:vAlign w:val="bottom"/>
          </w:tcPr>
          <w:p>
            <w:pPr>
              <w:spacing w:after="0"/>
              <w:rPr>
                <w:sz w:val="15"/>
                <w:szCs w:val="15"/>
                <w:color w:val="auto"/>
              </w:rPr>
            </w:pPr>
          </w:p>
        </w:tc>
        <w:tc>
          <w:tcPr>
            <w:tcW w:w="1460" w:type="dxa"/>
            <w:vAlign w:val="bottom"/>
            <w:gridSpan w:val="4"/>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U.S. Retail</w:t>
            </w:r>
          </w:p>
        </w:tc>
        <w:tc>
          <w:tcPr>
            <w:tcW w:w="300" w:type="dxa"/>
            <w:vAlign w:val="bottom"/>
          </w:tcPr>
          <w:p>
            <w:pPr>
              <w:spacing w:after="0"/>
              <w:rPr>
                <w:sz w:val="15"/>
                <w:szCs w:val="15"/>
                <w:color w:val="auto"/>
              </w:rPr>
            </w:pPr>
          </w:p>
        </w:tc>
        <w:tc>
          <w:tcPr>
            <w:tcW w:w="14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jc w:val="right"/>
              <w:ind w:right="480"/>
              <w:spacing w:after="0" w:line="175" w:lineRule="exact"/>
              <w:rPr>
                <w:sz w:val="20"/>
                <w:szCs w:val="20"/>
                <w:color w:val="auto"/>
              </w:rPr>
            </w:pPr>
            <w:r>
              <w:rPr>
                <w:rFonts w:ascii="Times New Roman" w:cs="Times New Roman" w:eastAsia="Times New Roman" w:hAnsi="Times New Roman"/>
                <w:sz w:val="16"/>
                <w:szCs w:val="16"/>
                <w:b w:val="1"/>
                <w:bCs w:val="1"/>
                <w:color w:val="auto"/>
                <w:w w:val="99"/>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591,409</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830,694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111,658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942,352</w:t>
            </w:r>
          </w:p>
        </w:tc>
      </w:tr>
      <w:tr>
        <w:trPr>
          <w:trHeight w:val="235"/>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830,694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1,533,761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14,108</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Accounts receivable, net, were as follows: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6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340" w:type="dxa"/>
            <w:vAlign w:val="bottom"/>
          </w:tcPr>
          <w:p>
            <w:pPr>
              <w:spacing w:after="0"/>
              <w:rPr>
                <w:sz w:val="18"/>
                <w:szCs w:val="18"/>
                <w:color w:val="auto"/>
              </w:rPr>
            </w:pPr>
          </w:p>
        </w:tc>
        <w:tc>
          <w:tcPr>
            <w:tcW w:w="16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July 3, 2021</w:t>
            </w:r>
          </w:p>
        </w:tc>
      </w:tr>
      <w:tr>
        <w:trPr>
          <w:trHeight w:val="21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from wholesale customers, net</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182,253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233,928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164,591</w:t>
            </w: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 receivable</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5,991</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allowances and other receivables</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w:t>
            </w:r>
          </w:p>
        </w:tc>
      </w:tr>
      <w:tr>
        <w:trPr>
          <w:trHeight w:val="20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receivables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198,127</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250,049</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180,060</w:t>
            </w: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Less: Wholesale accounts receivable reserves</w:t>
            </w:r>
            <w:r>
              <w:rPr>
                <w:rFonts w:ascii="Times New Roman" w:cs="Times New Roman" w:eastAsia="Times New Roman" w:hAnsi="Times New Roman"/>
                <w:sz w:val="21"/>
                <w:szCs w:val="21"/>
                <w:color w:val="auto"/>
                <w:vertAlign w:val="superscript"/>
              </w:rPr>
              <w:t>(*)</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(16,103)</w:t>
            </w: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183,920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231,354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163,957</w:t>
            </w:r>
          </w:p>
        </w:tc>
      </w:tr>
      <w:tr>
        <w:trPr>
          <w:trHeight w:val="21"/>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allowance for credit losses of $5.8 million, $7.3 million, and $7.1 million for the periods ended July 2, 2022, January 1, 2022, and July 3, 2021,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assets are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340" w:type="dxa"/>
            <w:vAlign w:val="bottom"/>
          </w:tcPr>
          <w:p>
            <w:pPr>
              <w:spacing w:after="0"/>
              <w:rPr>
                <w:sz w:val="18"/>
                <w:szCs w:val="18"/>
                <w:color w:val="auto"/>
              </w:rPr>
            </w:pPr>
          </w:p>
        </w:tc>
        <w:tc>
          <w:tcPr>
            <w:tcW w:w="16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July 3, 2021</w:t>
            </w:r>
          </w:p>
        </w:tc>
      </w:tr>
      <w:tr>
        <w:trPr>
          <w:trHeight w:val="19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3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Unredeemed gift cards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18,049</w:t>
            </w: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Unredeemed customer loyalty rewards</w:t>
            </w: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w:t>
            </w:r>
          </w:p>
        </w:tc>
      </w:tr>
      <w:tr>
        <w:trPr>
          <w:trHeight w:val="216"/>
        </w:trPr>
        <w:tc>
          <w:tcPr>
            <w:tcW w:w="514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Carter’s credit card - upfront bonus</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35"/>
        </w:trPr>
        <w:tc>
          <w:tcPr>
            <w:tcW w:w="5140" w:type="dxa"/>
            <w:vAlign w:val="bottom"/>
            <w:tcBorders>
              <w:bottom w:val="single" w:sz="8" w:color="CCEEFF"/>
            </w:tcBorders>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 contract liabilities - current</w:t>
            </w:r>
            <w:r>
              <w:rPr>
                <w:rFonts w:ascii="Times New Roman" w:cs="Times New Roman" w:eastAsia="Times New Roman" w:hAnsi="Times New Roman"/>
                <w:sz w:val="21"/>
                <w:szCs w:val="21"/>
                <w:color w:val="auto"/>
                <w:vertAlign w:val="superscript"/>
              </w:rPr>
              <w:t>(2)</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16"/>
        </w:trPr>
        <w:tc>
          <w:tcPr>
            <w:tcW w:w="51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Contract liabilities - non-current</w:t>
            </w:r>
            <w:r>
              <w:rPr>
                <w:rFonts w:ascii="Times New Roman" w:cs="Times New Roman" w:eastAsia="Times New Roman" w:hAnsi="Times New Roman"/>
                <w:sz w:val="21"/>
                <w:szCs w:val="21"/>
                <w:color w:val="auto"/>
                <w:vertAlign w:val="superscript"/>
              </w:rPr>
              <w:t>(3)</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9"/>
        </w:trPr>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28,207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26,092</w:t>
            </w:r>
          </w:p>
        </w:tc>
      </w:tr>
      <w:tr>
        <w:trPr>
          <w:trHeight w:val="21"/>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240" w:hanging="332"/>
        <w:spacing w:after="0" w:line="301"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 Other current liabilities on the Company’s consolidated balance sheet.</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the non-current portion of the Carter’s credit card upfront bonus.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the periods presented, the Company’s finance leases were not material to the consolidated balance sheets, consolidated statements of operations, or consolidated statements of cash flows.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components of lease expense are included in Selling, general, and administrative expenses on the Company’s consolidated statements of operations for the second quarter and first two quarters of fiscal 2022 and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20" w:type="dxa"/>
            <w:vAlign w:val="bottom"/>
          </w:tcPr>
          <w:p>
            <w:pPr>
              <w:spacing w:after="0"/>
              <w:rPr>
                <w:sz w:val="18"/>
                <w:szCs w:val="18"/>
                <w:color w:val="auto"/>
              </w:rPr>
            </w:pPr>
          </w:p>
        </w:tc>
        <w:tc>
          <w:tcPr>
            <w:tcW w:w="29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July 3, 2021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July 3, 2021</w:t>
            </w:r>
          </w:p>
        </w:tc>
      </w:tr>
      <w:tr>
        <w:trPr>
          <w:trHeight w:val="211"/>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84,798</w:t>
            </w:r>
          </w:p>
        </w:tc>
      </w:tr>
      <w:tr>
        <w:trPr>
          <w:trHeight w:val="216"/>
        </w:trPr>
        <w:tc>
          <w:tcPr>
            <w:tcW w:w="48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Variable lease cost</w:t>
            </w:r>
            <w:r>
              <w:rPr>
                <w:rFonts w:ascii="Times New Roman" w:cs="Times New Roman" w:eastAsia="Times New Roman" w:hAnsi="Times New Roman"/>
                <w:sz w:val="21"/>
                <w:szCs w:val="21"/>
                <w:color w:val="auto"/>
                <w:vertAlign w:val="superscript"/>
              </w:rPr>
              <w: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32,674</w:t>
            </w:r>
          </w:p>
        </w:tc>
      </w:tr>
      <w:tr>
        <w:trPr>
          <w:trHeight w:val="235"/>
        </w:trPr>
        <w:tc>
          <w:tcPr>
            <w:tcW w:w="4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lease cost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117,472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not material, and operating lease asset impairment charges.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July 2, 2022, the weighted average remaining operating lease term was 4.7 years, and the weighted average discount rate for operating leases was 3.32%.</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in the second quarter and first two quarters of fiscal 2022 were $42.5 million and $85.8 million, respectively.</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 in the second quarter and first two quarters of fiscal 2022 were $14.5 million and $30.8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 2022, the maturities of lease liabilities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81,872</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148,893</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120,016</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85,642</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61,239</w:t>
            </w: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39,305</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After 2027</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51,565</w:t>
            </w:r>
          </w:p>
        </w:tc>
      </w:tr>
      <w:tr>
        <w:trPr>
          <w:trHeight w:val="207"/>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588,532</w:t>
            </w:r>
          </w:p>
        </w:tc>
      </w:tr>
      <w:tr>
        <w:trPr>
          <w:trHeight w:val="21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(45,505)</w:t>
            </w:r>
          </w:p>
        </w:tc>
      </w:tr>
      <w:tr>
        <w:trPr>
          <w:trHeight w:val="212"/>
        </w:trPr>
        <w:tc>
          <w:tcPr>
            <w:tcW w:w="960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Present value of lease liabilities</w:t>
            </w:r>
            <w:r>
              <w:rPr>
                <w:rFonts w:ascii="Times New Roman" w:cs="Times New Roman" w:eastAsia="Times New Roman" w:hAnsi="Times New Roman"/>
                <w:sz w:val="21"/>
                <w:szCs w:val="21"/>
                <w:color w:val="auto"/>
                <w:vertAlign w:val="superscript"/>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543,027</w:t>
            </w:r>
          </w:p>
        </w:tc>
      </w:tr>
      <w:tr>
        <w:trPr>
          <w:trHeight w:val="21"/>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40" w:right="18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most of the Company’s leases do not provide an implicit rate, the incremental borrowing rate is applied based on information available at commencement date to determine the present value of lease payments.</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July 2, 2022, the minimum rental commitments for additional operating lease contracts, primarily for retail stores, that have not yet commenced are $21.7 million. These operating leases will commence between fiscal year 2022 and fiscal year 2023 with lease terms of 3 years to 10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ACCUMULATED OTHER COMPREHENSIVE LOSS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consisted of the following:</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320" w:type="dxa"/>
            <w:vAlign w:val="bottom"/>
          </w:tcPr>
          <w:p>
            <w:pPr>
              <w:spacing w:after="0"/>
              <w:rPr>
                <w:sz w:val="18"/>
                <w:szCs w:val="18"/>
                <w:color w:val="auto"/>
              </w:rPr>
            </w:pP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July 3, 2021</w:t>
            </w:r>
          </w:p>
        </w:tc>
      </w:tr>
      <w:tr>
        <w:trPr>
          <w:trHeight w:val="213"/>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w:t>
            </w:r>
          </w:p>
        </w:tc>
      </w:tr>
      <w:tr>
        <w:trPr>
          <w:trHeight w:val="216"/>
        </w:trPr>
        <w:tc>
          <w:tcPr>
            <w:tcW w:w="522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6"/>
                <w:szCs w:val="16"/>
                <w:color w:val="auto"/>
              </w:rPr>
              <w:t>Pension and post-retirement obligations</w:t>
            </w:r>
            <w:r>
              <w:rPr>
                <w:rFonts w:ascii="Times New Roman" w:cs="Times New Roman" w:eastAsia="Times New Roman" w:hAnsi="Times New Roman"/>
                <w:sz w:val="21"/>
                <w:szCs w:val="21"/>
                <w:color w:val="auto"/>
                <w:vertAlign w:val="superscript"/>
              </w:rPr>
              <w:t>(*)</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(11,453)</w:t>
            </w:r>
          </w:p>
        </w:tc>
      </w:tr>
      <w:tr>
        <w:trPr>
          <w:trHeight w:val="235"/>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taxes of $2.4 million, $2.4 million, and $3.5 million for the period ended July 2, 2022, January 1, 2022, and July 3, 2021, respectively.</w:t>
      </w:r>
    </w:p>
    <w:p>
      <w:pPr>
        <w:spacing w:after="0" w:line="19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first two quarters of both fiscal 2022 and fiscal 2021, no amounts were reclassified from Accumulated other comprehensive loss to the consolidated statement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and changes in the carrying amount of Goodwill attributable to each segment were as follows: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U.S. Wholesale</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2, 2021</w:t>
            </w: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211,776</w:t>
            </w: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impact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r>
      <w:tr>
        <w:trPr>
          <w:trHeight w:val="237"/>
        </w:trPr>
        <w:tc>
          <w:tcPr>
            <w:tcW w:w="5240" w:type="dxa"/>
            <w:vAlign w:val="bottom"/>
            <w:tcBorders>
              <w:top w:val="single" w:sz="8" w:color="CCEEFF"/>
              <w:bottom w:val="single" w:sz="8" w:color="CCEEFF"/>
            </w:tcBorders>
            <w:shd w:val="clear" w:color="auto" w:fill="CCEEFF"/>
          </w:tcPr>
          <w:p>
            <w:pPr>
              <w:spacing w:after="0" w:line="213" w:lineRule="exact"/>
              <w:rPr>
                <w:sz w:val="20"/>
                <w:szCs w:val="20"/>
                <w:color w:val="auto"/>
              </w:rPr>
            </w:pPr>
            <w:r>
              <w:rPr>
                <w:rFonts w:ascii="Times New Roman" w:cs="Times New Roman" w:eastAsia="Times New Roman" w:hAnsi="Times New Roman"/>
                <w:sz w:val="16"/>
                <w:szCs w:val="16"/>
                <w:b w:val="1"/>
                <w:bCs w:val="1"/>
                <w:color w:val="auto"/>
              </w:rPr>
              <w:t>Balance at July 3, 2021</w:t>
            </w:r>
            <w:r>
              <w:rPr>
                <w:rFonts w:ascii="Times New Roman" w:cs="Times New Roman" w:eastAsia="Times New Roman" w:hAnsi="Times New Roman"/>
                <w:sz w:val="21"/>
                <w:szCs w:val="21"/>
                <w:b w:val="1"/>
                <w:bCs w:val="1"/>
                <w:color w:val="auto"/>
                <w:vertAlign w:val="superscript"/>
              </w:rPr>
              <w:t>(*)</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213,195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212,023</w:t>
            </w:r>
          </w:p>
        </w:tc>
      </w:tr>
      <w:tr>
        <w:trPr>
          <w:trHeight w:val="21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impact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37"/>
        </w:trPr>
        <w:tc>
          <w:tcPr>
            <w:tcW w:w="5240" w:type="dxa"/>
            <w:vAlign w:val="bottom"/>
            <w:tcBorders>
              <w:top w:val="single" w:sz="8" w:color="CCEEFF"/>
              <w:bottom w:val="single" w:sz="8" w:color="CCEEFF"/>
            </w:tcBorders>
            <w:shd w:val="clear" w:color="auto" w:fill="CCEEFF"/>
          </w:tcPr>
          <w:p>
            <w:pPr>
              <w:spacing w:after="0" w:line="213" w:lineRule="exact"/>
              <w:rPr>
                <w:sz w:val="20"/>
                <w:szCs w:val="20"/>
                <w:color w:val="auto"/>
              </w:rPr>
            </w:pPr>
            <w:r>
              <w:rPr>
                <w:rFonts w:ascii="Times New Roman" w:cs="Times New Roman" w:eastAsia="Times New Roman" w:hAnsi="Times New Roman"/>
                <w:sz w:val="16"/>
                <w:szCs w:val="16"/>
                <w:b w:val="1"/>
                <w:bCs w:val="1"/>
                <w:color w:val="auto"/>
              </w:rPr>
              <w:t>Balance at July 2, 2022</w:t>
            </w:r>
            <w:r>
              <w:rPr>
                <w:rFonts w:ascii="Times New Roman" w:cs="Times New Roman" w:eastAsia="Times New Roman" w:hAnsi="Times New Roman"/>
                <w:sz w:val="21"/>
                <w:szCs w:val="21"/>
                <w:b w:val="1"/>
                <w:bCs w:val="1"/>
                <w:color w:val="auto"/>
                <w:vertAlign w:val="superscript"/>
              </w:rPr>
              <w:t>(*)</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211,247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Goodwill for the International reporting unit is net of accumulated impairment losses of $17.7 million.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carrying value of the Company’s intangible assets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3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average useful</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60" w:type="dxa"/>
            <w:vAlign w:val="bottom"/>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life</w:t>
            </w:r>
          </w:p>
        </w:tc>
        <w:tc>
          <w:tcPr>
            <w:tcW w:w="11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Skip Hop </w:t>
            </w:r>
            <w:r>
              <w:rPr>
                <w:rFonts w:ascii="Times New Roman" w:cs="Times New Roman" w:eastAsia="Times New Roman" w:hAnsi="Times New Roman"/>
                <w:sz w:val="16"/>
                <w:szCs w:val="16"/>
                <w:color w:val="auto"/>
              </w:rPr>
              <w:t>tradename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Indefinite</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Finite-life tradenames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5-20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tradenames, net</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307,518</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309,144</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Skip Hop customer relationships</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15 years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w:t>
            </w:r>
          </w:p>
        </w:tc>
        <w:tc>
          <w:tcPr>
            <w:tcW w:w="4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30,702</w:t>
            </w:r>
          </w:p>
        </w:tc>
        <w:tc>
          <w:tcPr>
            <w:tcW w:w="4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Carter’s Mexico customer relationships</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customer relationships, net</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32,248</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50,347</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 2021</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gridSpan w:val="5"/>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4"/>
                <w:szCs w:val="14"/>
                <w:color w:val="auto"/>
              </w:rPr>
            </w:pPr>
          </w:p>
        </w:tc>
        <w:tc>
          <w:tcPr>
            <w:tcW w:w="9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4"/>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4"/>
            <w:shd w:val="clear" w:color="auto" w:fill="CCEEFF"/>
          </w:tcPr>
          <w:p>
            <w:pPr>
              <w:jc w:val="center"/>
              <w:ind w:right="359"/>
              <w:spacing w:after="0"/>
              <w:rPr>
                <w:sz w:val="20"/>
                <w:szCs w:val="20"/>
                <w:color w:val="auto"/>
              </w:rPr>
            </w:pPr>
            <w:r>
              <w:rPr>
                <w:rFonts w:ascii="Times New Roman" w:cs="Times New Roman" w:eastAsia="Times New Roman" w:hAnsi="Times New Roman"/>
                <w:sz w:val="16"/>
                <w:szCs w:val="16"/>
                <w:color w:val="auto"/>
              </w:rPr>
              <w:t>Indefinite</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4"/>
          </w:tcPr>
          <w:p>
            <w:pPr>
              <w:jc w:val="center"/>
              <w:ind w:right="359"/>
              <w:spacing w:after="0"/>
              <w:rPr>
                <w:sz w:val="20"/>
                <w:szCs w:val="20"/>
                <w:color w:val="auto"/>
              </w:rPr>
            </w:pPr>
            <w:r>
              <w:rPr>
                <w:rFonts w:ascii="Times New Roman" w:cs="Times New Roman" w:eastAsia="Times New Roman" w:hAnsi="Times New Roman"/>
                <w:sz w:val="16"/>
                <w:szCs w:val="16"/>
                <w:color w:val="auto"/>
              </w:rPr>
              <w:t>Indefinite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Skip Hop </w:t>
            </w:r>
            <w:r>
              <w:rPr>
                <w:rFonts w:ascii="Times New Roman" w:cs="Times New Roman" w:eastAsia="Times New Roman" w:hAnsi="Times New Roman"/>
                <w:sz w:val="16"/>
                <w:szCs w:val="16"/>
                <w:color w:val="auto"/>
              </w:rPr>
              <w:t>tradename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center"/>
              <w:ind w:right="359"/>
              <w:spacing w:after="0"/>
              <w:rPr>
                <w:sz w:val="20"/>
                <w:szCs w:val="20"/>
                <w:color w:val="auto"/>
              </w:rPr>
            </w:pPr>
            <w:r>
              <w:rPr>
                <w:rFonts w:ascii="Times New Roman" w:cs="Times New Roman" w:eastAsia="Times New Roman" w:hAnsi="Times New Roman"/>
                <w:sz w:val="16"/>
                <w:szCs w:val="16"/>
                <w:color w:val="auto"/>
              </w:rPr>
              <w:t>Indefinite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Finite-life tradenames</w:t>
            </w: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4"/>
          </w:tcPr>
          <w:p>
            <w:pPr>
              <w:jc w:val="center"/>
              <w:ind w:right="359"/>
              <w:spacing w:after="0"/>
              <w:rPr>
                <w:sz w:val="20"/>
                <w:szCs w:val="20"/>
                <w:color w:val="auto"/>
              </w:rPr>
            </w:pPr>
            <w:r>
              <w:rPr>
                <w:rFonts w:ascii="Times New Roman" w:cs="Times New Roman" w:eastAsia="Times New Roman" w:hAnsi="Times New Roman"/>
                <w:sz w:val="16"/>
                <w:szCs w:val="16"/>
                <w:color w:val="auto"/>
              </w:rPr>
              <w:t>5-20 years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tradenames, net</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309,144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307,768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Skip Hop customer relationships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399"/>
              <w:spacing w:after="0"/>
              <w:rPr>
                <w:sz w:val="20"/>
                <w:szCs w:val="20"/>
                <w:color w:val="auto"/>
              </w:rPr>
            </w:pPr>
            <w:r>
              <w:rPr>
                <w:rFonts w:ascii="Times New Roman" w:cs="Times New Roman" w:eastAsia="Times New Roman" w:hAnsi="Times New Roman"/>
                <w:sz w:val="16"/>
                <w:szCs w:val="16"/>
                <w:color w:val="auto"/>
              </w:rPr>
              <w:t>15 years</w:t>
            </w:r>
          </w:p>
        </w:tc>
        <w:tc>
          <w:tcPr>
            <w:tcW w:w="4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47,300</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Carter’s Mexico customer relationships</w:t>
            </w: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gridSpan w:val="3"/>
          </w:tcPr>
          <w:p>
            <w:pPr>
              <w:jc w:val="center"/>
              <w:ind w:right="399"/>
              <w:spacing w:after="0"/>
              <w:rPr>
                <w:sz w:val="20"/>
                <w:szCs w:val="20"/>
                <w:color w:val="auto"/>
              </w:rPr>
            </w:pPr>
            <w:r>
              <w:rPr>
                <w:rFonts w:ascii="Times New Roman" w:cs="Times New Roman" w:eastAsia="Times New Roman" w:hAnsi="Times New Roman"/>
                <w:sz w:val="16"/>
                <w:szCs w:val="16"/>
                <w:color w:val="auto"/>
              </w:rPr>
              <w:t>10 years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customer relationships, net</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50,416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was approximately $0.9 million for both the second quarter of fiscal 2022 and the second quarter of fiscal 2021. Amortization expense was approximately $1.9 million for both the first two quarters of fiscal 2022 and the first two quarters of fiscal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amortization expense for the next five fiscal years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14"/>
        </w:trPr>
        <w:tc>
          <w:tcPr>
            <w:tcW w:w="98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0" w:type="dxa"/>
            <w:vAlign w:val="bottom"/>
          </w:tcPr>
          <w:p>
            <w:pPr>
              <w:spacing w:after="0"/>
              <w:rPr>
                <w:sz w:val="1"/>
                <w:szCs w:val="1"/>
                <w:color w:val="auto"/>
              </w:rPr>
            </w:pPr>
          </w:p>
        </w:tc>
      </w:tr>
      <w:tr>
        <w:trPr>
          <w:trHeight w:val="21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0" w:type="dxa"/>
            <w:vAlign w:val="bottom"/>
          </w:tcPr>
          <w:p>
            <w:pPr>
              <w:spacing w:after="0"/>
              <w:rPr>
                <w:sz w:val="1"/>
                <w:szCs w:val="1"/>
                <w:color w:val="auto"/>
              </w:rPr>
            </w:pP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0" w:type="dxa"/>
            <w:vAlign w:val="bottom"/>
          </w:tcPr>
          <w:p>
            <w:pPr>
              <w:spacing w:after="0"/>
              <w:rPr>
                <w:sz w:val="1"/>
                <w:szCs w:val="1"/>
                <w:color w:val="auto"/>
              </w:rPr>
            </w:pPr>
          </w:p>
        </w:tc>
      </w:tr>
      <w:tr>
        <w:trPr>
          <w:trHeight w:val="210"/>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in the following amounts for the fiscal periods indicated:</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3"/>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1260" w:type="dxa"/>
            <w:vAlign w:val="bottom"/>
          </w:tcPr>
          <w:p>
            <w:pPr>
              <w:jc w:val="right"/>
              <w:spacing w:after="0" w:line="213" w:lineRule="exact"/>
              <w:rPr>
                <w:sz w:val="20"/>
                <w:szCs w:val="20"/>
                <w:color w:val="auto"/>
              </w:rPr>
            </w:pPr>
            <w:r>
              <w:rPr>
                <w:rFonts w:ascii="Times New Roman" w:cs="Times New Roman" w:eastAsia="Times New Roman" w:hAnsi="Times New Roman"/>
                <w:sz w:val="16"/>
                <w:szCs w:val="16"/>
                <w:b w:val="1"/>
                <w:bCs w:val="1"/>
                <w:color w:val="auto"/>
              </w:rPr>
              <w:t>July 3, 2021</w:t>
            </w:r>
            <w:r>
              <w:rPr>
                <w:rFonts w:ascii="Times New Roman" w:cs="Times New Roman" w:eastAsia="Times New Roman" w:hAnsi="Times New Roman"/>
                <w:sz w:val="21"/>
                <w:szCs w:val="21"/>
                <w:b w:val="1"/>
                <w:bCs w:val="1"/>
                <w:color w:val="auto"/>
                <w:vertAlign w:val="superscript"/>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180" w:type="dxa"/>
            <w:vAlign w:val="bottom"/>
          </w:tcPr>
          <w:p>
            <w:pPr>
              <w:spacing w:after="0"/>
              <w:rPr>
                <w:sz w:val="18"/>
                <w:szCs w:val="18"/>
                <w:color w:val="auto"/>
              </w:rPr>
            </w:pPr>
          </w:p>
        </w:tc>
        <w:tc>
          <w:tcPr>
            <w:tcW w:w="1320" w:type="dxa"/>
            <w:vAlign w:val="bottom"/>
          </w:tcPr>
          <w:p>
            <w:pPr>
              <w:ind w:left="100"/>
              <w:spacing w:after="0" w:line="213" w:lineRule="exact"/>
              <w:rPr>
                <w:sz w:val="20"/>
                <w:szCs w:val="20"/>
                <w:color w:val="auto"/>
              </w:rPr>
            </w:pPr>
            <w:r>
              <w:rPr>
                <w:rFonts w:ascii="Times New Roman" w:cs="Times New Roman" w:eastAsia="Times New Roman" w:hAnsi="Times New Roman"/>
                <w:sz w:val="16"/>
                <w:szCs w:val="16"/>
                <w:b w:val="1"/>
                <w:bCs w:val="1"/>
                <w:color w:val="auto"/>
              </w:rPr>
              <w:t>July 3, 2021</w:t>
            </w:r>
            <w:r>
              <w:rPr>
                <w:rFonts w:ascii="Times New Roman" w:cs="Times New Roman" w:eastAsia="Times New Roman" w:hAnsi="Times New Roman"/>
                <w:sz w:val="21"/>
                <w:szCs w:val="21"/>
                <w:b w:val="1"/>
                <w:bCs w:val="1"/>
                <w:color w:val="auto"/>
                <w:vertAlign w:val="superscript"/>
              </w:rPr>
              <w:t>(*)</w:t>
            </w: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1,272,354</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2,065,362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cost of shares repurchased (dollars in thousands)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101,810</w:t>
            </w:r>
          </w:p>
        </w:tc>
        <w:tc>
          <w:tcPr>
            <w:tcW w:w="100" w:type="dxa"/>
            <w:vAlign w:val="bottom"/>
          </w:tcPr>
          <w:p>
            <w:pPr>
              <w:spacing w:after="0"/>
              <w:rPr>
                <w:sz w:val="18"/>
                <w:szCs w:val="18"/>
                <w:color w:val="auto"/>
              </w:rPr>
            </w:pP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176,306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per share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r>
    </w:tbl>
    <w:p>
      <w:pPr>
        <w:spacing w:after="0" w:line="126" w:lineRule="exact"/>
        <w:rPr>
          <w:sz w:val="20"/>
          <w:szCs w:val="20"/>
          <w:color w:val="auto"/>
        </w:rPr>
      </w:pPr>
    </w:p>
    <w:p>
      <w:pPr>
        <w:ind w:left="340" w:right="180" w:hanging="332"/>
        <w:spacing w:after="0" w:line="282"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actions taken in connection with the COVID-19 pandemic, the Company did not repurchase or retire any shares in open market transactions in the first two quarters of fiscal 2021.</w:t>
      </w:r>
    </w:p>
    <w:p>
      <w:pPr>
        <w:spacing w:after="0" w:line="15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On February 24, 2022, the Company’s Board of Directors authorized share repurchases up to $1.00 billion, inclusive of approximately $301.9 million remaining under previous authorizations. The total aggregate remaining capacity under outstanding repurchase authorizations as of July 2, 2022 was approximately $872.9 million. The share repurchase authorizations have no expiration date.</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the second quarter and first two quarters of fiscal 2022, the Board of Directors declared and the Company paid cash dividends per common share of $0.75 and $1.50, respectively. In the second quarter of fiscal 2021, the Board of Directors declared and the Company paid cash dividends per common share of $0.40. As a result of actions taken in connection with the COVID-19 pandemic, the Board of Directors did not declare and the Company did not pay cash dividends for the first quarter of fiscal 2021. The Board of Directors will evaluate future dividend declarations based on a number of factors, including restrictions under the Company’s secured revolving credit facility, business conditions, the Company’s financial performance, and other considerations.</w:t>
      </w:r>
    </w:p>
    <w:p>
      <w:pPr>
        <w:spacing w:after="0" w:line="14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Provisions in the Company’s secured revolving credit facility could have the effect of restricting the Company’s ability to pay cash dividends on, or make future repurchases of, its common stock</w:t>
      </w:r>
      <w:r>
        <w:rPr>
          <w:rFonts w:ascii="Times New Roman" w:cs="Times New Roman" w:eastAsia="Times New Roman" w:hAnsi="Times New Roman"/>
          <w:sz w:val="18"/>
          <w:szCs w:val="18"/>
          <w:i w:val="1"/>
          <w:i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0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300" w:type="dxa"/>
            <w:vAlign w:val="bottom"/>
          </w:tcPr>
          <w:p>
            <w:pPr>
              <w:spacing w:after="0"/>
              <w:rPr>
                <w:sz w:val="18"/>
                <w:szCs w:val="18"/>
                <w:color w:val="auto"/>
              </w:rPr>
            </w:pPr>
          </w:p>
        </w:tc>
        <w:tc>
          <w:tcPr>
            <w:tcW w:w="15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July 3, 2021</w:t>
            </w:r>
          </w:p>
        </w:tc>
      </w:tr>
      <w:tr>
        <w:trPr>
          <w:trHeight w:val="21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$500 million 5.500% senior notes due May 15, 2025</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$500 million 5.625% senior notes due March 15, 2027</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senior notes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issuance-related costs for senior notes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(9,563)</w:t>
            </w:r>
          </w:p>
        </w:tc>
      </w:tr>
      <w:tr>
        <w:trPr>
          <w:trHeight w:val="212"/>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Senior notes,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990,437</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55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long-term debt, net</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991,370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990,437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April 4, 2022, the Company, through its wholly-owned subsidiary, The William Carter Company (“TWCC”) redeemed the $500 million principal amount of senior notes, bearing interest at a rate of 5.500% per annum, and originally maturing on May 15, 2025. Pursuant to the optional redemption provisions described in the Indenture dated as of May 11, 2020, TWCC paid the outstanding principal plus accrued interest and an Applicable Premium as defined in the Indenture. This debt redemption resulted in a loss on extinguishment of debt of approximately $19.9 million, primarily consisting of $15.7 million of the Applicable Premium and $4.3 million related to the write-off of unamortized debt issuance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July 2, 2022, the Company had $120.0 million in outstanding borrowings under its secured revolving credit facility, exclusive of $3.6 million of outstanding letters of credit. As of July 2, 2022, approximately $726.4 million remained available for future borrowing. Any outstanding borrowings under the Company’s secured revolving credit facility are classified as non-current liabilities on the Company’s consolidated balance sheets because of the contractual repayment terms under the credit facility.</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11, 2022, the Company, through TWCC entered into Amendment No. 4 to its fourth amended and restated credit agreement (“Amendment No. 4”) that, among other things, increased the borrowing capacity of the secured revolving credit facility to $850.0 million (combined U.S. dollar and multicurrency facility borrowings), extended the maturity from September 2023 to April 2027, and reduced the number of financial maintenance covenants from two to 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Amendment No. 4 provides for the following:</w:t>
      </w:r>
    </w:p>
    <w:p>
      <w:pPr>
        <w:spacing w:after="0" w:line="90" w:lineRule="exact"/>
        <w:rPr>
          <w:sz w:val="20"/>
          <w:szCs w:val="20"/>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borrowing capacity of the secured revolving credit facility from $750 million to $850 million - the U.S. Dollar facility commitment increases to $750 million from $650 million and the multicurrency facility commitment remains at $100 million;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maturity of the secured revolving credit facility from September 2023 to April 2027;</w:t>
      </w:r>
    </w:p>
    <w:p>
      <w:pPr>
        <w:spacing w:after="0" w:line="103"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 Springing Maturity Date provision, which states that if the Company has not redeemed or refinanced at least $250 million of the senior notes due 2027 prior to the 91st day before the maturity of the senior notes due March 15, 2027, then the maturity date of the secured revolving credit facility will be the 91st day before the original maturity of the senior notes due 2027;</w:t>
      </w:r>
    </w:p>
    <w:p>
      <w:pPr>
        <w:spacing w:after="0" w:line="40"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number of financial maintenance covenants from two to one - the Lease Adjusted Leverage Ratio has been simplified to a Consolidated Total Leverage Ratio and the Consolidated Fixed Charge Coverage Ratio has been eliminated. The Consolidated Total Leverage Ratio maximum permitted shall be 3.50:1.00 and temporarily increases to 4.00:1:00 in the event of a Material Acquisition;</w:t>
      </w:r>
    </w:p>
    <w:p>
      <w:pPr>
        <w:spacing w:after="0" w:line="54"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Benchmark Loans bear interest at a rate determined by reference to the Adjusted Term SOFR (Secured Overnight Financing Rate), CDOR (Canadian Dollar Offered Rate), or the Adjusted EURIBOR (Euro Interbank Offered Rate). Each Term Benchmark Loan is subject to interest charges equal to the per annum respective benchmark rate plus an initial applicable rate of 1.375% which may be adjusted from 1.125% to 1.625% based upon a leverage-based pricing schedule; and</w:t>
      </w:r>
    </w:p>
    <w:p>
      <w:pPr>
        <w:spacing w:after="0" w:line="58"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Base, Prime, and Overnight Rate Loans are subject to interest charges equal to the per annum, respective, benchmark rate plus an initial applicable rate of 0.375% which may be adjusted from 0.125% to 0.625% based upon a leverage-based pricing schedule. An Applicable Commitment Fee initially equal to 0.20% per annum and ranging from 0.15% per annum to 0.25% per annum, based upon a leverage-based pricing grid, is payable quarterly in arrears with respect to the average daily unused portion of the revolving loan commitments. Capitalized items are Defined Terms pursuant to Amendment No. 4, dated as of April 11, 2022.</w:t>
      </w:r>
    </w:p>
    <w:p>
      <w:pPr>
        <w:spacing w:after="0" w:line="4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Approximately $2.4 million, including both bank fees and other third-party expenses, has been capitalized in connection with Amendment No. 4 and is being amortized over the remaining term of the secured revolving credit facility.</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July 2, 2022, the interest rate margins applicable to the secured revolving credit facility were 1.375% for adjusted term SOFR rate loans and 0.375% for base rate loans.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July 2, 2022, U.S. dollar borrowings outstanding under the secured revolving credit facility accrued interest at an adjusted term SOFR rate plus the applicable margin, which resulted in a weighted-average borrowing rate of 2.95%. There were no Canadian dollar or other foreign currency borrowings outstanding on July 2,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 2022, the Company was in compliance with its financial and other covenants under the secured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133"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20" w:type="dxa"/>
            <w:vAlign w:val="bottom"/>
          </w:tcPr>
          <w:p>
            <w:pPr>
              <w:spacing w:after="0"/>
              <w:rPr>
                <w:sz w:val="18"/>
                <w:szCs w:val="18"/>
                <w:color w:val="auto"/>
              </w:rPr>
            </w:pPr>
          </w:p>
        </w:tc>
        <w:tc>
          <w:tcPr>
            <w:tcW w:w="294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 2021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July 3, 2021</w:t>
            </w: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Time-based awards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7,404</w:t>
            </w: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Performance-based awards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r>
      <w:tr>
        <w:trPr>
          <w:trHeight w:val="216"/>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awards</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12,322</w:t>
            </w:r>
          </w:p>
        </w:tc>
      </w:tr>
      <w:tr>
        <w:trPr>
          <w:trHeight w:val="21"/>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cost ratably over the applicable performance periods based on the estimated probability of achievement of its performance targets at the end of each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July 2, 2022, the Company had gross unrecognized income tax benefits of approximately $11.3 million, of which $7.9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Included in the reserves for unrecognized tax benefits at July 2, 2022 is approximately $2.8 million of reserves for which the statute of limitations is expected to expire within the next 12 months. If these tax benefits are ultimately recognized, such recognition, net of federal income taxes, may affect the annual effective income tax rate for fiscal 2022 and/or fiscal 2023 along with the effective income tax rate in the quarter in which the benefits are recognized.</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as a component of interest expense and recognizes penalties related to unrecognized income tax benefits as a component of income tax expense. Interest expense recorded on uncertain tax positions was not material for the second fiscal quarter ended July 2, 2022 and July 3, 2021. Interest expense recorded on uncertain tax positions was $0.3 million and $0.2 million for the first two quarters of fiscal 2022 and fiscal 2021, respectively. The Company had approximately $2.1 million, $1.8 million, and $2.2 million of interest accrued on uncertain tax positions as of July 2, 2022, January 1, 2022, and July 3, 2021,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$15.7 million, $17.5 million, and $16.5 million at July 2, 2022, January 1, 2022, and July 3, 2021, respectively. These investments are classified as Level 1 within the fair value hierarchy. The change in the aggregate fair values of marketable securities is due to the net activity of gains and losses and any contributions and distributions during the period. Losses on investments in marketable securities were $0.9 million and $1.9 million for the second quarter and the first two quarters of fiscal 2022, respectively. Gains on investments in marketable securities were $1.1 million and $1.3 million for the second quarter and the first two quarters of fiscal 2021, respectively. These amounts are included in Other (income) expense, net on the Company’s consolidated statement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 2022, the Company had $120.0 million in outstanding borrowings under its secured revolving credit facility.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senior notes at July 2, 2022 was approximately $471.0 million. The fair value of the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and Long-Lived Tangible Assets</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25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211"/>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July 3, 2021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July 3, 2021</w:t>
            </w: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5720" w:type="dxa"/>
            <w:vAlign w:val="bottom"/>
            <w:tcBorders>
              <w:top w:val="single" w:sz="8" w:color="CCEEFF"/>
            </w:tcBorders>
            <w:gridSpan w:val="3"/>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Weighted-average number of common and common equivalent shares outstanding:</w:t>
            </w: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53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39,344,834</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43,445,780</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39,807,354</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43,408,262</w:t>
            </w: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151,468</w:t>
            </w:r>
          </w:p>
        </w:tc>
      </w:tr>
      <w:tr>
        <w:trPr>
          <w:trHeight w:val="212"/>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Diluted number of common and common equivalent shares outstanding</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39,373,987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43,615,411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39,855,628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43,559,730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57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Earnings per share: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157,799</w:t>
            </w: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157,799</w:t>
            </w: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w:t>
            </w:r>
          </w:p>
        </w:tc>
      </w:tr>
      <w:tr>
        <w:trPr>
          <w:trHeight w:val="212"/>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36,434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70,746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103,424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165"/>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81"/>
        </w:trPr>
        <w:tc>
          <w:tcPr>
            <w:tcW w:w="20" w:type="dxa"/>
            <w:vAlign w:val="bottom"/>
          </w:tcPr>
          <w:p>
            <w:pPr>
              <w:spacing w:after="0"/>
              <w:rPr>
                <w:sz w:val="24"/>
                <w:szCs w:val="24"/>
                <w:color w:val="auto"/>
              </w:rPr>
            </w:pPr>
          </w:p>
        </w:tc>
        <w:tc>
          <w:tcPr>
            <w:tcW w:w="5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Anti-dilutive awards excluded from diluted earnings per share computation</w:t>
            </w:r>
            <w:r>
              <w:rPr>
                <w:rFonts w:ascii="Times New Roman" w:cs="Times New Roman" w:eastAsia="Times New Roman" w:hAnsi="Times New Roman"/>
                <w:sz w:val="21"/>
                <w:szCs w:val="21"/>
                <w:color w:val="auto"/>
                <w:vertAlign w:val="superscript"/>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288,122</w:t>
            </w:r>
          </w:p>
        </w:tc>
      </w:tr>
    </w:tbl>
    <w:p>
      <w:pPr>
        <w:spacing w:after="0" w:line="61"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anti-dilutive awards is, in part, due to the related unamortized compensation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CURRENT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at the end of any comparable period,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300" w:type="dxa"/>
            <w:vAlign w:val="bottom"/>
          </w:tcPr>
          <w:p>
            <w:pPr>
              <w:spacing w:after="0"/>
              <w:rPr>
                <w:sz w:val="18"/>
                <w:szCs w:val="18"/>
                <w:color w:val="auto"/>
              </w:rPr>
            </w:pP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July 3, 2021</w:t>
            </w: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Unredeemed gift cards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18,049</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18,970</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10,974</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taxes</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9,954</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12,078</w:t>
            </w:r>
          </w:p>
        </w:tc>
      </w:tr>
      <w:tr>
        <w:trPr>
          <w:trHeight w:val="213"/>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17,168</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26,047</w:t>
            </w:r>
          </w:p>
        </w:tc>
      </w:tr>
      <w:tr>
        <w:trPr>
          <w:trHeight w:val="237"/>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113,240</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contractual obligations and commitments include obligations associated with leases, the secured revolving credit agreement, senior notes,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presents certain information for the Company’s reportable segments and unallocated corporate expenses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3"/>
                <w:szCs w:val="13"/>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July 3,</w:t>
            </w:r>
          </w:p>
        </w:tc>
        <w:tc>
          <w:tcPr>
            <w:tcW w:w="10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13"/>
                <w:szCs w:val="13"/>
                <w:color w:val="auto"/>
              </w:rPr>
            </w:pPr>
          </w:p>
        </w:tc>
        <w:tc>
          <w:tcPr>
            <w:tcW w:w="8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July 3,</w:t>
            </w:r>
          </w:p>
        </w:tc>
        <w:tc>
          <w:tcPr>
            <w:tcW w:w="100" w:type="dxa"/>
            <w:vAlign w:val="bottom"/>
          </w:tcPr>
          <w:p>
            <w:pPr>
              <w:spacing w:after="0"/>
              <w:rPr>
                <w:sz w:val="13"/>
                <w:szCs w:val="13"/>
                <w:color w:val="auto"/>
              </w:rPr>
            </w:pPr>
          </w:p>
        </w:tc>
        <w:tc>
          <w:tcPr>
            <w:tcW w:w="12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120" w:type="dxa"/>
            <w:vAlign w:val="bottom"/>
          </w:tcPr>
          <w:p>
            <w:pPr>
              <w:spacing w:after="0"/>
              <w:rPr>
                <w:sz w:val="14"/>
                <w:szCs w:val="14"/>
                <w:color w:val="auto"/>
              </w:rPr>
            </w:pPr>
          </w:p>
        </w:tc>
        <w:tc>
          <w:tcPr>
            <w:tcW w:w="13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8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379,097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423,627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745,455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830,694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231,630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515,007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97,582</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205,208</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188,060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6"/>
                <w:szCs w:val="16"/>
                <w:color w:val="auto"/>
              </w:rPr>
              <w:t>Consolidated net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700,695</w:t>
            </w:r>
          </w:p>
        </w:tc>
        <w:tc>
          <w:tcPr>
            <w:tcW w:w="12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746,400</w:t>
            </w:r>
          </w:p>
        </w:tc>
        <w:tc>
          <w:tcPr>
            <w:tcW w:w="10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1,481,980</w:t>
            </w:r>
          </w:p>
        </w:tc>
        <w:tc>
          <w:tcPr>
            <w:tcW w:w="12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1,533,761</w:t>
            </w:r>
          </w:p>
        </w:tc>
        <w:tc>
          <w:tcPr>
            <w:tcW w:w="100" w:type="dxa"/>
            <w:vAlign w:val="bottom"/>
            <w:vMerge w:val="restart"/>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78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sales</w:t>
            </w:r>
          </w:p>
        </w:tc>
        <w:tc>
          <w:tcPr>
            <w:tcW w:w="1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segment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105,534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40,592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94,099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110,650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gridSpan w:val="3"/>
          </w:tcPr>
          <w:p>
            <w:pPr>
              <w:ind w:left="120"/>
              <w:spacing w:after="0" w:line="216" w:lineRule="exact"/>
              <w:rPr>
                <w:sz w:val="20"/>
                <w:szCs w:val="20"/>
                <w:color w:val="auto"/>
              </w:rPr>
            </w:pPr>
            <w:r>
              <w:rPr>
                <w:rFonts w:ascii="Times New Roman" w:cs="Times New Roman" w:eastAsia="Times New Roman" w:hAnsi="Times New Roman"/>
                <w:sz w:val="16"/>
                <w:szCs w:val="16"/>
                <w:color w:val="auto"/>
              </w:rPr>
              <w:t>Corporate expenses</w:t>
            </w:r>
            <w:r>
              <w:rPr>
                <w:rFonts w:ascii="Times New Roman" w:cs="Times New Roman" w:eastAsia="Times New Roman" w:hAnsi="Times New Roman"/>
                <w:sz w:val="21"/>
                <w:szCs w:val="21"/>
                <w:color w:val="auto"/>
                <w:vertAlign w:val="superscript"/>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(25,878)</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10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(29,097)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ind w:left="104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(44,142)</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ind w:left="104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(57,913)</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ind w:left="340"/>
              <w:spacing w:after="0" w:line="142" w:lineRule="exact"/>
              <w:rPr>
                <w:sz w:val="20"/>
                <w:szCs w:val="20"/>
                <w:color w:val="auto"/>
              </w:rPr>
            </w:pPr>
            <w:r>
              <w:rPr>
                <w:rFonts w:ascii="Times New Roman" w:cs="Times New Roman" w:eastAsia="Times New Roman" w:hAnsi="Times New Roman"/>
                <w:sz w:val="16"/>
                <w:szCs w:val="16"/>
                <w:color w:val="auto"/>
              </w:rPr>
              <w:t>Consolidated</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75,418</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107,582</w:t>
            </w:r>
          </w:p>
        </w:tc>
        <w:tc>
          <w:tcPr>
            <w:tcW w:w="1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178,042</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235,078</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500" w:right="580" w:hanging="492"/>
        <w:spacing w:after="0" w:line="302" w:lineRule="auto"/>
        <w:tabs>
          <w:tab w:leader="none" w:pos="4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1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7"/>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Fiscal quarter ended July 3, 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7"/>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Two fiscal quarters ended July 3,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12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U.S. Retail</w:t>
            </w: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120" w:type="dxa"/>
            <w:vAlign w:val="bottom"/>
          </w:tcPr>
          <w:p>
            <w:pPr>
              <w:spacing w:after="0"/>
              <w:rPr>
                <w:sz w:val="13"/>
                <w:szCs w:val="13"/>
                <w:color w:val="auto"/>
              </w:rPr>
            </w:pPr>
          </w:p>
        </w:tc>
        <w:tc>
          <w:tcPr>
            <w:tcW w:w="11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Wholesale</w:t>
            </w: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Wholesale</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costs associated with COVID-19 pandemic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Organizational restructuring</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9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7"/>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7"/>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Gain on modification of retail store leases</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7"/>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7"/>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Total charges</w:t>
            </w:r>
            <w:r>
              <w:rPr>
                <w:rFonts w:ascii="Times New Roman" w:cs="Times New Roman" w:eastAsia="Times New Roman" w:hAnsi="Times New Roman"/>
                <w:sz w:val="21"/>
                <w:szCs w:val="21"/>
                <w:color w:val="auto"/>
                <w:vertAlign w:val="superscript"/>
              </w:rPr>
              <w:t>(3)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w w:val="97"/>
              </w:rPr>
              <w:t>(0.5)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w w:val="97"/>
              </w:rPr>
              <w:t>(0.9)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right="300" w:hanging="492"/>
        <w:spacing w:after="0" w:line="291" w:lineRule="auto"/>
        <w:tabs>
          <w:tab w:leader="none" w:pos="49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quarter and two fiscal quarters ended July 3, 2021 include $2.3 million of costs associated with the early exit of the Canada corporate office lease. Fiscal quarter and two fiscal quarters ended July 3, 2021 also includes corporate charges related to organizational restructuring of $0.5 million and $0.9 million, respectively.</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gains on the modification of previously impaired retail store leases.</w:t>
      </w:r>
    </w:p>
    <w:p>
      <w:pPr>
        <w:spacing w:after="0" w:line="68"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charges for two fiscal quarters ended July 3, 2021 exclude a customer bankruptcy recovery of $38,000.</w:t>
      </w:r>
    </w:p>
    <w:p>
      <w:pPr>
        <w:spacing w:after="0" w:line="190" w:lineRule="exact"/>
        <w:rPr>
          <w:sz w:val="20"/>
          <w:szCs w:val="20"/>
          <w:color w:val="auto"/>
        </w:rPr>
      </w:pPr>
    </w:p>
    <w:p>
      <w:pPr>
        <w:ind w:right="1220"/>
        <w:spacing w:after="0" w:line="362"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2022 or any other future period, assessment of our performance and financial position, drivers of our sales and earnings growth, the effects of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COVID-19 pandemic, inflationary pressures, and the impacts of supply chain delays, including increased transportation and freight costs.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in our most recently filed Annual Report on Form 10-K, in Part I. under the heading “Item 1A. Risk Factors”, and other reports filed with the Securities and Exchange Commission from time to time.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We also own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a leading young children’s lifestyle brand, exclusive Carter’s brands developed for specific wholesale customers, and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a brand focused on organic fabrics and sustainable materials.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Established in 1865, our </w:t>
      </w:r>
      <w:r>
        <w:rPr>
          <w:rFonts w:ascii="Times New Roman" w:cs="Times New Roman" w:eastAsia="Times New Roman" w:hAnsi="Times New Roman"/>
          <w:sz w:val="17"/>
          <w:szCs w:val="17"/>
          <w:i w:val="1"/>
          <w:iCs w:val="1"/>
          <w:color w:val="auto"/>
        </w:rPr>
        <w:t>Carter’s</w:t>
      </w:r>
      <w:r>
        <w:rPr>
          <w:rFonts w:ascii="Times New Roman" w:cs="Times New Roman" w:eastAsia="Times New Roman" w:hAnsi="Times New Roman"/>
          <w:sz w:val="17"/>
          <w:szCs w:val="17"/>
          <w:color w:val="auto"/>
        </w:rPr>
        <w:t xml:space="preserve"> brand is recognized and trusted by consumers for high-quality apparel and accessories for children in sizes newborn to 14.</w:t>
      </w:r>
    </w:p>
    <w:p>
      <w:pPr>
        <w:spacing w:after="0" w:line="19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in 2005.</w:t>
      </w:r>
    </w:p>
    <w:p>
      <w:pPr>
        <w:spacing w:after="0" w:line="118"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color w:val="auto"/>
        </w:rPr>
        <w:t xml:space="preserve">Established in 2003, the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brand re-thinks, re-energizes, and re-imagines durable necessities to create higher value, superior quality, and top-performing products for parents, babies, and toddlers. We acquired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in 2017.</w:t>
      </w:r>
    </w:p>
    <w:p>
      <w:pPr>
        <w:spacing w:after="0" w:line="13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Additionally,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Walmart;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sold at Target, and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an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available on Amazon.</w:t>
      </w:r>
    </w:p>
    <w:p>
      <w:pPr>
        <w:spacing w:after="0" w:line="118"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 xml:space="preserve">Launched in 2021, the </w:t>
      </w:r>
      <w:r>
        <w:rPr>
          <w:rFonts w:ascii="Times New Roman" w:cs="Times New Roman" w:eastAsia="Times New Roman" w:hAnsi="Times New Roman"/>
          <w:sz w:val="18"/>
          <w:szCs w:val="18"/>
          <w:i w:val="1"/>
          <w:iCs w:val="1"/>
          <w:color w:val="auto"/>
        </w:rPr>
        <w:t>Little Planet</w:t>
      </w:r>
      <w:r>
        <w:rPr>
          <w:rFonts w:ascii="Times New Roman" w:cs="Times New Roman" w:eastAsia="Times New Roman" w:hAnsi="Times New Roman"/>
          <w:sz w:val="18"/>
          <w:szCs w:val="18"/>
          <w:color w:val="auto"/>
        </w:rPr>
        <w:t xml:space="preserve"> brand focuses on sustainable clothing through the sourcing of mostly organic cotton as certified under the Global Organic Textile Standard. This brand includes a wide assortment of baby apparel and accessories, sleepwear, and gift bundles.</w:t>
      </w:r>
    </w:p>
    <w:p>
      <w:pPr>
        <w:spacing w:after="0" w:line="1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mission is to serve the needs of all families with young children, with a vision to be the world’s favorite brands in young children’s apparel and related products. We believe our brands provide a complementary product offering and aesthetic, are each uniquely positioned in the marketplace, and offer strong value to families with young children. Our multi-channel, global business model, which includes retail stores, eCommerce, and wholesale distribution capabilities, as well as omni-channel capabilities in the United States and Canada, enables us to reach a broad range of consumers around the world. We have extensive experience in the young children’s apparel and accessories market and focus on delivering products that satisfy our consumers’ needs. As of July 2, 2022, the Company operated 966 retail stores in North America.</w:t>
      </w:r>
    </w:p>
    <w:p>
      <w:pPr>
        <w:spacing w:after="0" w:line="16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2021 fiscal year ended January 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Gross profit is calculated as consolidated net sales less cost of goods sold less adverse purchase commitments (inventory and raw materials), net, and gross margin is calculated as gross profit divided by consolidated net sales. Cost of goods sold includes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first two quarters of fiscal 2022, the cost of transportation, particularly ocean freight rates, raw materials, packaging materials, labor, energy, fuel, and other inputs necessary for the production and distribution of our products have rapidly increased. We expect the pressures of input cost inflation to continue in fiscal 2022. We plan to offset these cost pressures through increases in the selling prices of some of our products, product cost optimization, increasing and diversifying our portfolio of suppliers, entering into shipping container contracts, and reductions in discretionary spending. However, these actions could have an adverse impact on demand and may not be sufficient to cover all increased costs that we may experience.</w:t>
      </w:r>
    </w:p>
    <w:p>
      <w:pPr>
        <w:spacing w:after="0" w:line="1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Geopolitical factors, including the COVID-19 pandemic, continues to impact supply chain operations, causing delays in the production and transportation of our product. To help mitigate production delays and meet consumer demand for our products, we have leveraged our strong relationships with our suppliers to shift production schedules when possible. We have also moved more shipments to East Coast ports to hedge against more unpredictable transportation delays through West Coast ports and to hedge against any potential labor disruptions in these West Coast ports. We expect these delays, and the increased costs to mitigate these delays, to continue and to adversely impact our financial results in fiscal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Fiscal Quarter 2022 Financial Highlights</w:t>
      </w:r>
    </w:p>
    <w:p>
      <w:pPr>
        <w:spacing w:after="0" w:line="108" w:lineRule="exact"/>
        <w:rPr>
          <w:sz w:val="20"/>
          <w:szCs w:val="20"/>
          <w:color w:val="auto"/>
        </w:rPr>
      </w:pPr>
    </w:p>
    <w:p>
      <w:pPr>
        <w:ind w:left="660" w:right="20" w:hanging="328"/>
        <w:spacing w:after="0" w:line="25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continued to navigate through the headwinds of the last two years to continue to serve the needs of all families with young children, invest in our business, reduce debt, and return capital to our shareholders. As a result of our strong financial position and recovery from the effects of the COVID-19 pandemic, on April 4, 2022, the Company, through its wholly-owned subsidiary, The William Carter Company (“TWCC”) redeemed its $500 million principal amount of senior notes, bearing interest at a rate of 5.500% per annum, and originally maturing on May 15, 2025, which will reduce annual cash interest expense by $27.5 million through May 2025. Additionally, on April 11, 2022, the Company, through TWCC, increased the borrowing capacity of its secured revolving credit facility to $850 million (combined U.S. dollar and multicurrency facility borrowings), extended the maturity from September 2023 to April 2027, and reduced the number of financial maintenance covenants from two to one.</w:t>
      </w:r>
    </w:p>
    <w:p>
      <w:pPr>
        <w:spacing w:after="0" w:line="29"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our focus on fewer, better, higher profit margin product choices, better inventory management, and pricing capabilities, our store unit economics have improved relative to prior years. We expect to close fewer stores and more profitable store opening opportunities are now available to us. We now see an opportunity to open approximately 30 stores and close approximately 20 stores in the United States during fiscal 2022. Over the next five years and inclusive of the openings in fiscal 2022, we see an opportunity to open 100 or more stores in the United States, net of closures.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6"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We were largely able to avoid increased promotions and increased our average selling prices per unit, offsetting increased product costs, during the period. Although our strategy may result in lower sales, we remain committed to maintaining our gross margins.</w:t>
      </w:r>
    </w:p>
    <w:p>
      <w:pPr>
        <w:spacing w:after="0" w:line="1" w:lineRule="exact"/>
        <w:rPr>
          <w:rFonts w:ascii="Times New Roman" w:cs="Times New Roman" w:eastAsia="Times New Roman" w:hAnsi="Times New Roman"/>
          <w:sz w:val="14"/>
          <w:szCs w:val="14"/>
          <w:b w:val="1"/>
          <w:bCs w:val="1"/>
          <w:color w:val="auto"/>
        </w:rPr>
      </w:pPr>
    </w:p>
    <w:p>
      <w:pPr>
        <w:ind w:left="660" w:right="4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the second quarter of fiscal 2021, International sales increased 7.1%, primarily driven by significant growth in sales from our international wholesale partners as these partners recovered from business disruptions as a result of COVID-19 and due to the expansion and growth of new international wholesale accounts in South America.</w:t>
      </w:r>
    </w:p>
    <w:p>
      <w:pPr>
        <w:spacing w:after="0" w:line="13"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Comping financial results in the last two years has been difficult as our business has been heavily affected by the COVID-19 pandemic, supply chain disruptions, inflationary pressures, and other factors. We believe that also providing a comparison of financial results to the pre-pandemic fiscal 2019 is helpful in understanding our business.</w:t>
      </w:r>
    </w:p>
    <w:p>
      <w:pPr>
        <w:spacing w:after="0" w:line="13"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our financial results were generally unfavorable compared to the second quarter of fiscal 2021, our business is stronger compared to the same period in fiscal 2019. Compared to the second quarter of fiscal 2019, we have improved profitability as a result of our strong product offerings, increased price realization, and productivity initiatives.</w:t>
      </w:r>
    </w:p>
    <w:p>
      <w:pPr>
        <w:spacing w:after="0" w:line="13" w:lineRule="exact"/>
        <w:rPr>
          <w:rFonts w:ascii="Times New Roman" w:cs="Times New Roman" w:eastAsia="Times New Roman" w:hAnsi="Times New Roman"/>
          <w:sz w:val="18"/>
          <w:szCs w:val="18"/>
          <w:color w:val="auto"/>
        </w:rPr>
      </w:pPr>
    </w:p>
    <w:p>
      <w:pPr>
        <w:jc w:val="both"/>
        <w:ind w:left="1300" w:right="340" w:hanging="320"/>
        <w:spacing w:after="0" w:line="266"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the second quarter of fiscal 2019, our gross profit increased $8.2 million, or 2.6%, and gross margin increased 330 bps, primarily due to increased average selling prices per unit. Operating income increased $10.9 million, or 17.0%, and operating margin increased 200 bps, primarily due to the increase in gross margin.</w:t>
      </w:r>
    </w:p>
    <w:p>
      <w:pPr>
        <w:spacing w:after="0" w:line="13"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the second quarter of fiscal 2021, our inventories increased $238.7 million, or 38.5%, to $858.3 million primarily due to planned earlier inventory ownership to offset transportation delays, longer holding periods for inventory to be sold in future periods, increased product costs, and lower than projected net sales. We anticipate that the increased supply of inventory will continue for the remainder of fiscal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Two Quarters of Fiscal 2022 Financial Highlights</w:t>
      </w:r>
    </w:p>
    <w:p>
      <w:pPr>
        <w:spacing w:after="0" w:line="108" w:lineRule="exact"/>
        <w:rPr>
          <w:sz w:val="20"/>
          <w:szCs w:val="20"/>
          <w:color w:val="auto"/>
        </w:rPr>
      </w:pPr>
    </w:p>
    <w:p>
      <w:pPr>
        <w:ind w:left="660" w:right="100" w:hanging="328"/>
        <w:spacing w:after="0" w:line="256" w:lineRule="auto"/>
        <w:tabs>
          <w:tab w:leader="none" w:pos="656"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International segment net sales increased $17.1 million, or 9.1%, to $205.2 million primarily driven by significant growth in sales from our international wholesale partners, increased sales in our Canadian wholesale channel, and increased average selling prices per unit. International segment operating income increased $3.8 million, or 20.3%, to $22.6 million, and operating margin increased 100 bps to 11.0%. The increase in the operating margin was primarily attributable to a 360 bps decrease in the SG&amp;A rate as a result of decreased performance-based compensation expense, better leverage of fixed distribution costs and other costs through our omni-channel programs in Canada, and other reductions in spending.</w:t>
      </w:r>
    </w:p>
    <w:p>
      <w:pPr>
        <w:spacing w:after="0" w:line="25" w:lineRule="exact"/>
        <w:rPr>
          <w:rFonts w:ascii="Times New Roman" w:cs="Times New Roman" w:eastAsia="Times New Roman" w:hAnsi="Times New Roman"/>
          <w:sz w:val="14"/>
          <w:szCs w:val="14"/>
          <w:b w:val="1"/>
          <w:bCs w:val="1"/>
          <w:color w:val="auto"/>
        </w:rPr>
      </w:pPr>
    </w:p>
    <w:p>
      <w:pPr>
        <w:ind w:left="660" w:right="22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Despite significant headwinds, including the benefits of pandemic relief legislation in fiscal 2021, the stimulus payments from which did not reoccur in the second quarter of fiscal 2022, and inflationary pressures driving lower demand for the end customer, U.S. Wholesale segment net sales increased $16.3 million, or 3.2%, to $531.3 million. This increase was primarily due to increased demand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increased average selling prices per unit.</w:t>
      </w:r>
    </w:p>
    <w:p>
      <w:pPr>
        <w:spacing w:after="0" w:line="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the first two quarters of fiscal 2019, our gross profit increased $47.4 million, or 7.4%, and gross margin increased 300 bps, primarily due to increased average selling prices per unit. Operating income increased $52.8 million, or 42.2%, and operating margin increased 350 bps, primarily due to the increase in gross margin.</w:t>
      </w:r>
    </w:p>
    <w:p>
      <w:pPr>
        <w:spacing w:after="0" w:line="1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our strong financial position and available liquidity, we were able to return $236.8 million to our shareholders, comprised of $176.3 million in share repurchases and $60.5 million in cash 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FISCAL QUARTER ENDED JULY 2, 2022 COMPARED TO SECOND FISCAL QUARTER ENDED JULY 3, 2021</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All percentages shown in the below table and the discussion that follows have been calculated using unrounded numbers.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0" w:type="dxa"/>
            <w:vAlign w:val="bottom"/>
            <w:gridSpan w:val="5"/>
          </w:tcPr>
          <w:p>
            <w:pPr>
              <w:ind w:left="920"/>
              <w:spacing w:after="0"/>
              <w:rPr>
                <w:sz w:val="20"/>
                <w:szCs w:val="20"/>
                <w:color w:val="auto"/>
              </w:rPr>
            </w:pPr>
            <w:r>
              <w:rPr>
                <w:rFonts w:ascii="Times New Roman" w:cs="Times New Roman" w:eastAsia="Times New Roman" w:hAnsi="Times New Roman"/>
                <w:sz w:val="15"/>
                <w:szCs w:val="15"/>
                <w:b w:val="1"/>
                <w:bCs w:val="1"/>
                <w:color w:val="auto"/>
              </w:rPr>
              <w:t>Fiscal quarter ended</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2"/>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 except per share data)</w:t>
            </w:r>
          </w:p>
        </w:tc>
        <w:tc>
          <w:tcPr>
            <w:tcW w:w="3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July 2, 2022</w:t>
            </w:r>
          </w:p>
        </w:tc>
        <w:tc>
          <w:tcPr>
            <w:tcW w:w="3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July 3, 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 / bps Change</w:t>
            </w:r>
          </w:p>
        </w:tc>
      </w:tr>
      <w:tr>
        <w:trPr>
          <w:trHeight w:val="19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net sales</w:t>
            </w: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700,695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746,400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(45,705)</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goods sold</w:t>
            </w: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364,657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379,793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(15,136)</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51"/>
        </w:trPr>
        <w:tc>
          <w:tcPr>
            <w:tcW w:w="40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Adverse purchase commitments (inventory and raw materials),</w:t>
            </w: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w:t>
            </w: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4,799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(2,100)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6,899</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94"/>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320" w:type="dxa"/>
            <w:vAlign w:val="bottom"/>
          </w:tcPr>
          <w:p>
            <w:pPr>
              <w:spacing w:after="0"/>
              <w:rPr>
                <w:sz w:val="16"/>
                <w:szCs w:val="16"/>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331,239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368,707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(37,468)</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i w:val="1"/>
                <w:iCs w:val="1"/>
                <w:color w:val="auto"/>
              </w:rPr>
              <w:t>Gross profit as % of consolidated net sales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47.3 %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49.4 %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(210) bps</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Royalty income, net</w:t>
            </w: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5,602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6,645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(1,043)</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i w:val="1"/>
                <w:iCs w:val="1"/>
                <w:color w:val="auto"/>
              </w:rPr>
              <w:t>Royalty income as % of consolidated net sales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0.8 %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0.9 %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(10) bps</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261,423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267,770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(6,347)</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i w:val="1"/>
                <w:iCs w:val="1"/>
                <w:color w:val="auto"/>
              </w:rPr>
              <w:t>SG&amp;A expenses as % of consolidated net sales</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37.3 %</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35.9 %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140 bps</w:t>
            </w:r>
          </w:p>
        </w:tc>
      </w:tr>
      <w:tr>
        <w:trPr>
          <w:trHeight w:val="194"/>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320" w:type="dxa"/>
            <w:vAlign w:val="bottom"/>
          </w:tcPr>
          <w:p>
            <w:pPr>
              <w:spacing w:after="0"/>
              <w:rPr>
                <w:sz w:val="16"/>
                <w:szCs w:val="16"/>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75,418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107,582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(32,164)</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w:t>
            </w:r>
          </w:p>
        </w:tc>
      </w:tr>
      <w:tr>
        <w:trPr>
          <w:trHeight w:val="205"/>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i w:val="1"/>
                <w:iCs w:val="1"/>
                <w:color w:val="auto"/>
              </w:rPr>
              <w:t>Operating income as % of consolidated net sales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10.8 %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14.4 %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(360) bps</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8,652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15,295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(6,643)</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w:t>
            </w: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35.3 %</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expense (income), net</w:t>
            </w:r>
          </w:p>
        </w:tc>
        <w:tc>
          <w:tcPr>
            <w:tcW w:w="320" w:type="dxa"/>
            <w:vAlign w:val="bottom"/>
          </w:tcPr>
          <w:p>
            <w:pPr>
              <w:spacing w:after="0"/>
              <w:rPr>
                <w:sz w:val="17"/>
                <w:szCs w:val="17"/>
                <w:color w:val="auto"/>
              </w:rPr>
            </w:pP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(723)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740</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19,940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19,940</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94"/>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3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47,081</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93,211</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(46,130)</w:t>
            </w:r>
          </w:p>
        </w:tc>
        <w:tc>
          <w:tcPr>
            <w:tcW w:w="100" w:type="dxa"/>
            <w:vAlign w:val="bottom"/>
          </w:tcPr>
          <w:p>
            <w:pPr>
              <w:spacing w:after="0"/>
              <w:rPr>
                <w:sz w:val="16"/>
                <w:szCs w:val="16"/>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(49.5)%</w:t>
            </w: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provision</w:t>
            </w: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10,111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21,608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(11,497)</w:t>
            </w: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w:t>
            </w:r>
          </w:p>
        </w:tc>
      </w:tr>
      <w:tr>
        <w:trPr>
          <w:trHeight w:val="196"/>
        </w:trPr>
        <w:tc>
          <w:tcPr>
            <w:tcW w:w="4040" w:type="dxa"/>
            <w:vAlign w:val="bottom"/>
            <w:tcBorders>
              <w:bottom w:val="single" w:sz="8" w:color="CCEEFF"/>
            </w:tcBorders>
          </w:tcPr>
          <w:p>
            <w:pPr>
              <w:ind w:left="220"/>
              <w:spacing w:after="0" w:line="196" w:lineRule="exact"/>
              <w:rPr>
                <w:sz w:val="20"/>
                <w:szCs w:val="20"/>
                <w:color w:val="auto"/>
              </w:rPr>
            </w:pPr>
            <w:r>
              <w:rPr>
                <w:rFonts w:ascii="Times New Roman" w:cs="Times New Roman" w:eastAsia="Times New Roman" w:hAnsi="Times New Roman"/>
                <w:sz w:val="15"/>
                <w:szCs w:val="15"/>
                <w:i w:val="1"/>
                <w:iCs w:val="1"/>
                <w:color w:val="auto"/>
              </w:rPr>
              <w:t>Effective tax rate</w:t>
            </w:r>
            <w:r>
              <w:rPr>
                <w:rFonts w:ascii="Times New Roman" w:cs="Times New Roman" w:eastAsia="Times New Roman" w:hAnsi="Times New Roman"/>
                <w:sz w:val="19"/>
                <w:szCs w:val="19"/>
                <w:i w:val="1"/>
                <w:iCs w:val="1"/>
                <w:color w:val="auto"/>
                <w:vertAlign w:val="superscript"/>
              </w:rPr>
              <w:t>(*)</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21.5 %</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23.2 %</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(170) bps</w:t>
            </w:r>
          </w:p>
        </w:tc>
      </w:tr>
      <w:tr>
        <w:trPr>
          <w:trHeight w:val="22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36,970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71,603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(34,633)</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0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net income per common share</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(0.70)</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w:t>
            </w:r>
          </w:p>
        </w:tc>
      </w:tr>
      <w:tr>
        <w:trPr>
          <w:trHeight w:val="200"/>
        </w:trPr>
        <w:tc>
          <w:tcPr>
            <w:tcW w:w="4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net income per common share</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0.93</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1.62</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(0.69)</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w:t>
            </w:r>
          </w:p>
        </w:tc>
      </w:tr>
      <w:tr>
        <w:trPr>
          <w:trHeight w:val="20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 declared and paid per common share</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0.40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0.35</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87.5 %</w:t>
            </w:r>
          </w:p>
        </w:tc>
      </w:tr>
    </w:tbl>
    <w:p>
      <w:pPr>
        <w:spacing w:after="0" w:line="126" w:lineRule="exact"/>
        <w:rPr>
          <w:sz w:val="20"/>
          <w:szCs w:val="20"/>
          <w:color w:val="auto"/>
        </w:rPr>
      </w:pPr>
    </w:p>
    <w:p>
      <w:pPr>
        <w:ind w:left="480" w:hanging="472"/>
        <w:spacing w:after="0"/>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Percentage changes that are not considered meaningful are denoted with “nm”.</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Consolidated net sales decreased $45.7 million, or 6.1%, to $700.7 million in the second quarter of fiscal 2022. This decrease was primarily driven by decreased net sales in our U.S. Retail segment and decreased demand for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in the wholesale channel. These decreases can be attributed to significant comparability issues between periods such as the benefits of pandemic relief legislation, the stimulus payments from which did not reoccur in the second quarter of fiscal 2022, inflationary pressures driving lower consumer demand, and decreased store count. These decreases were partially offset by significant growth in sales from our international wholesale partners, increased demand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increased average selling price per unit due to improved price realization and decreased promotions.</w:t>
      </w:r>
    </w:p>
    <w:p>
      <w:pPr>
        <w:spacing w:after="0" w:line="14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Changes in foreign currency exchange rates used for translation in the second quarter of fiscal 2022, as compared to the second quarter of fiscal 2021, had an unfavorable effect on our consolidated net sales of approximately $2.3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consolidated gross profit decreased $37.5 million, or 10.2%, to $331.2 million in the second quarter of fiscal 2022. Consolidated gross margin decreased 210 bps to 47.3%.</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decrease in consolidated gross profit and gross margin was primarily driven by increased inbound transportation costs, fabric purchase commitment charges as a result of reduced forward inventory commitments to better align with estimated lower customer demand, increased inventory provisions, and a benefit in fabric purchase commitment charges and inventory provisions in the second quarter of fiscal 2021 that did not reoccur in the second quarter of fiscal 2022. These drivers were partially offset by decreased use of air freight and decreased wholesale customer chargebacks. We were largely able to avoid major promotions and increased our average selling prices per unit, offsetting increased product costs, during the period. As a result of labor shortages, supply chain constraints, and inflation, we expect for these high transportation rates and increased product costs to continue for the remainder of fiscal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9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Consolidated SG&amp;A expenses decreased $6.3 million, or 2.4%, to $261.4 million in the second quarter of fiscal 2022 and increased as a percentage of consolidated net sales by approximately 140 bps to 37.3%. This increase in SG&amp;A rate was primarily driven by decreased consolidated net sales, a deleverage of U.S. retail store expenses, increased marketing costs and increased transportation costs. Increased consumer demand from the stimulus payments provided to consumers as part of the pandemic relief legislation resulted in a reduction in marketing expenses in the second quarter of fiscal 2021. These drivers were partially offset by decreased performance-based compensation expense and decreased costs related to productivity initiatives.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Consolidated operating income decreased $32.2 million, or 29.9%, to $75.4 million in the second quarter of fiscal 2022 and decreased as a percentage of net sales by approximately 360 bps to 10.8%, primarily due to the factors discussed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$6.6 million, or 43.4%, to $8.7 million in the second quarter of fiscal 2022. Weighted-average borrowings for the second quarter of fiscal 2022 were $567.3 million at an effective interest rate of 5.99%, compared to weighted-average borrowings for the second quarter of fiscal 2021 of $1.00 billion at an effective interest rate of 6.04%.</w:t>
      </w:r>
    </w:p>
    <w:p>
      <w:pPr>
        <w:spacing w:after="0" w:line="1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decrease in weighted-average borrowings during the second quarter of fiscal 2022 was attributable to the early extinguishment of our $500 million in aggregate principal amount of 5.500% senior notes due May 2025, partially offset by increased borrowings under our secured revolving credit facility. The decrease in the effective interest rate for the second quarter of fiscal 2022 was primarily due to increased borrowings under our secured revolving credit facility, which bore a lower interest rate than our senior notes, during the second quarter of fiscal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2022, loss on extinguishment of debt was $19.9 million due to the early extinguishment of our $500 million in aggregate principal amount of 5.500% senior notes due May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consolidated income tax provision decreased $11.5 million, or 53.2%, to $10.1 million in the second quarter of fiscal 2022 and the effective tax rate decreased 170 bps to 21.5%. The decreased effective tax rate for the second quarter of fiscal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primarily relates to a year-to-date adjustment in forecasted earnings in the United States and a decrease in non-deductible officer’s compensation in fiscal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consolidated net income decreased $34.6 million, or 48.4%, to $37.0 million in the second quarter of fiscal 2022, primarily due to the factors previously discussed.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Second Quarter of Fiscal 2022 compared to Second Quarter of Fiscal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and operating income, by segment, for the second quarter of fiscal 2022 and the second quarter of fiscal 2021:</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0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3"/>
                <w:szCs w:val="13"/>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14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200" w:type="dxa"/>
            <w:vAlign w:val="bottom"/>
          </w:tcPr>
          <w:p>
            <w:pPr>
              <w:spacing w:after="0"/>
              <w:rPr>
                <w:sz w:val="13"/>
                <w:szCs w:val="13"/>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July 3, 2021</w:t>
            </w: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379,097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423,627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97,582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91,143</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6,439</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net sales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700,695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746,400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sales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55,540</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87,080</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33,593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480" w:type="dxa"/>
            <w:vAlign w:val="bottom"/>
          </w:tcPr>
          <w:p>
            <w:pPr>
              <w:spacing w:after="0"/>
              <w:rPr>
                <w:sz w:val="18"/>
                <w:szCs w:val="18"/>
                <w:color w:val="auto"/>
              </w:rPr>
            </w:pPr>
          </w:p>
        </w:tc>
        <w:tc>
          <w:tcPr>
            <w:tcW w:w="9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12,163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8"/>
              </w:rPr>
              <w:t>(25,878)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2"/>
        </w:trPr>
        <w:tc>
          <w:tcPr>
            <w:tcW w:w="3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w w:val="99"/>
              </w:rPr>
              <w:t>75,418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107,582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(32,164)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 Metrics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comparable store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method of calculating sales metrics varies across the retail industry. As a result, our comparable sales metrics may not be comparable to those of other retailers.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U.S. Retail segment net sales decreased $44.5 million, or 10.5%, to $379.1 million in the second quarter of fiscal 2022. The decrease in net sales was primarily driven by lower traffic in our eCommerce channels and in our domestic retail stores, partially offset by increased average selling prices per unit as a result of improved price realization and decreased promotions. These decreases can be attributed to significant comparability issues between periods such as the benefits of pandemic relief legislation, the stimulus payments from which did not reoccur in the second quarter of fiscal 2022, inflationary pressures driving lower consumer demand, and decreased store count.</w:t>
      </w:r>
    </w:p>
    <w:p>
      <w:pPr>
        <w:spacing w:after="0" w:line="14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Comparable net sales, including retail store and eCommerce, decreased 8.2% primarily driven by the factors mentioned above. As of July 2, 2022, we operated 738 retail stores in the U.S. compared to 751 as of January 1, 2022, and 775 as of July 3, 2021.</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U.S. Retail segment operating income decreased $31.5 million, or 36.2%, to $55.5 million, and operating margin decreased 590 bps to 14.7%. The primary drivers of the decrease in operating margin were a 70 bps decrease in gross margin and a 500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bps increase in SG&amp;A rate. The decrease in gross margin was primarily due to fabric purchase commitment charges, and increased product costs, partially offset by increased average selling prices per unit and decreased expense for our shrink reserve as a result of decreased retail store net sales. The increase in the SG&amp;A rate was primarily due to decreased net sales, a deleverage of our retail store and eCommerce expenses, and increased marketing expense, partially offset by decreased performance-based compensation expense.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U.S. Wholesale segment net sales decreased $7.6 million, or 3.3%, to $224.0 million in the second quarter of fiscal 2022 primarily due to decreased demand for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partially offset by increased demand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increased average selling prices per unit. The decreased demand in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was primarily a result of late shipments to customers in the first quarter of fiscal 2022 resulting in delayed and/or canceled customer orders. The increased demand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was primarily a result of favorable timing of customer orders and product availability. U.S. Wholesale sales were also negatively impacted by significant comparability issues between periods such as the benefits of pandemic relief legislation, the stimulus payments from which did not reoccur in the second quarter of fiscal 2022, and inflationary pressures driving lower demand for the end customer.</w:t>
      </w:r>
    </w:p>
    <w:p>
      <w:pPr>
        <w:spacing w:after="0" w:line="14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U.S. Wholesale segment operating income decreased $7.0 million, or 17.2%, to $33.6 million, and operating margin decreased 250 bps to 15.0%. The primary drivers of the decrease in operating margin were a 260 bps decrease in gross margin. The decrease in gross margin was primarily due to increased inventory provisions, fabric purchase commitment charges as a result of reduced forward inventory commitments to better align with estimated lower customer demand, and a benefit in inventory provisions and fabric purchases commitment charges in the second quarter of fiscal 2021 that did not reoccur in the second quarter of fiscal 2022, increased inbound transportation costs, and an unfavorable customer mix due to increased mix of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sales. These drivers were partially offset by decreased use of air freight and decreased chargebacks. Increased product costs were largely offset by increased average selling prices per unit. SG&amp;A rate remained consistent primarily due to decreased performance-based compensation expense, which was offset by increased transportation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International segment net sales increased $6.4 million, or 7.1%, to $97.6 million in the second quarter of fiscal 2022. Changes in foreign currency exchange rates, primarily between the U.S. dollar and the Canadian dollar, had a $2.3 million unfavorable effect on International segment net sales in the second quarter of fiscal 2022. The increase in net sales was primarily driven by significant growth in sales from our international wholesale partners as these partners recovered from business disruptions as a result of COVID-19 and due to the expansion and growth of new international wholesale accounts in South America. Increased net sales in our Canadian retail stores were offset by decreased net sales in our Canadian eCommerce and Canadian wholesale channels. Canadian retail store net sales in the second quarter of fiscal 2021 were unfavorably impacted by temporary store closures related to COVID-19.</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Canadian comparable net sales, including retail stores and eCommerce, increased 6.8% primarily driven by growth in our retail stores sales, partially offset by decreased traffic in our eCommerce channel. As of July 2, 2022, we operated 185 stores and 43 stores in Canada and Mexico, respectively. As of January 1, 2022, we operated 186 and 43 stores in Canada and Mexico, respectively. As of July 3, 2021, we operated 188 and 40 stores in Canada and Mexico, respectively.</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International segment operating income increased $3.2 million, or 35.0%, to $12.2 million, and operating margin increased 260 bps to 12.5%. The increase in the operating margin was primarily attributable to a 300 bps decrease in gross margin and a 580 bps decrease in the SG&amp;A rate. The decrease in gross margin was primarily due to fabric purchase commitment charges as a result of reduced forward inventory commitments to better align with estimated lower customer demand, increased inventory provisions, and a benefit in fabric purchase commitment charges and inventory provisions in the second quarter of fiscal 2021 that did not reoccur in the second quarter of fiscal 2022. The decrease in the SG&amp;A rate was primarily due to decreased performance-based compensation expense, better leverage of retail store expenses due to increased traffic, better leverage of fixed distribution costs and other costs through our omni-channel programs in Canada, and other reductions in spending.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stock-based compensation.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$3.2 million, or 11.1%, to $25.9 million in the second quarter of fiscal 2022. Unallocated corporate expenses, as a percentage of consolidated net sales, decreased 20 bps to 3.7%. The decrease as a percentage of consolidated net sales was primarily due to decreased performance-based compensation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TWO FISCAL QUARTERS ENDED JULY 2, 2022 COMPARED TO TWO FISCAL QUARTERS ENDED JULY 3, 2021</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All percentages shown in the below table and the discussion that follows have been calculated using unrounded numbers.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data)</w:t>
            </w: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3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July 3, 2021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 bps Change</w:t>
            </w:r>
          </w:p>
        </w:tc>
        <w:tc>
          <w:tcPr>
            <w:tcW w:w="0" w:type="dxa"/>
            <w:vAlign w:val="bottom"/>
          </w:tcPr>
          <w:p>
            <w:pPr>
              <w:spacing w:after="0"/>
              <w:rPr>
                <w:sz w:val="1"/>
                <w:szCs w:val="1"/>
                <w:color w:val="auto"/>
              </w:rPr>
            </w:pPr>
          </w:p>
        </w:tc>
      </w:tr>
      <w:tr>
        <w:trPr>
          <w:trHeight w:val="211"/>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sales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1,481,980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1,533,761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(51,781)</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790,851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781,524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9,327</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165"/>
        </w:trPr>
        <w:tc>
          <w:tcPr>
            <w:tcW w:w="3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Adverse purchase commitments (inventory and raw</w:t>
            </w:r>
          </w:p>
        </w:tc>
        <w:tc>
          <w:tcPr>
            <w:tcW w:w="3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(8,430)</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13,278</w:t>
            </w:r>
          </w:p>
        </w:tc>
        <w:tc>
          <w:tcPr>
            <w:tcW w:w="12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materials), net</w:t>
            </w: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686,281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760,667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(74,386)</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Gross profit as % of consolidated net sales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46.3 %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49.6 %</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(330) bps</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income, net</w:t>
            </w:r>
          </w:p>
        </w:tc>
        <w:tc>
          <w:tcPr>
            <w:tcW w:w="3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Royalty income, net as % of consolidated net sales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0.9 %</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 bps</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521,315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539,697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(18,382)</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SG&amp;A expenses as % of consolidated net sales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35.2 %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35.2 %</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 bps</w:t>
            </w: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178,042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235,078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(57,036)</w:t>
            </w:r>
          </w:p>
        </w:tc>
        <w:tc>
          <w:tcPr>
            <w:tcW w:w="1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income as % of consolidated net sales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15.3 %</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(330) bps</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23,784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30,643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43.2 %</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tcPr>
          <w:p>
            <w:pPr>
              <w:spacing w:after="0"/>
              <w:rPr>
                <w:sz w:val="18"/>
                <w:szCs w:val="18"/>
                <w:color w:val="auto"/>
              </w:rPr>
            </w:pPr>
          </w:p>
        </w:tc>
        <w:tc>
          <w:tcPr>
            <w:tcW w:w="16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0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5"/>
                <w:szCs w:val="15"/>
                <w:color w:val="auto"/>
              </w:rPr>
              <w:t>19,940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19,940</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7"/>
        </w:trPr>
        <w:tc>
          <w:tcPr>
            <w:tcW w:w="3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135,422</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206,501</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(71,079)</w:t>
            </w:r>
          </w:p>
        </w:tc>
        <w:tc>
          <w:tcPr>
            <w:tcW w:w="120" w:type="dxa"/>
            <w:vAlign w:val="bottom"/>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30,519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48,702</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(18,183)</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ind w:left="220"/>
              <w:spacing w:after="0" w:line="210" w:lineRule="exact"/>
              <w:rPr>
                <w:sz w:val="20"/>
                <w:szCs w:val="20"/>
                <w:color w:val="auto"/>
              </w:rPr>
            </w:pPr>
            <w:r>
              <w:rPr>
                <w:rFonts w:ascii="Times New Roman" w:cs="Times New Roman" w:eastAsia="Times New Roman" w:hAnsi="Times New Roman"/>
                <w:sz w:val="16"/>
                <w:szCs w:val="16"/>
                <w:i w:val="1"/>
                <w:iCs w:val="1"/>
                <w:color w:val="auto"/>
              </w:rPr>
              <w:t>Effective tax rate</w:t>
            </w:r>
            <w:r>
              <w:rPr>
                <w:rFonts w:ascii="Times New Roman" w:cs="Times New Roman" w:eastAsia="Times New Roman" w:hAnsi="Times New Roman"/>
                <w:sz w:val="21"/>
                <w:szCs w:val="21"/>
                <w:i w:val="1"/>
                <w:iCs w:val="1"/>
                <w:color w:val="auto"/>
                <w:vertAlign w:val="superscript"/>
              </w:rPr>
              <w:t>(*)</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22.5 %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23.6 %</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(110) bps</w:t>
            </w:r>
          </w:p>
        </w:tc>
        <w:tc>
          <w:tcPr>
            <w:tcW w:w="0" w:type="dxa"/>
            <w:vAlign w:val="bottom"/>
          </w:tcPr>
          <w:p>
            <w:pPr>
              <w:spacing w:after="0"/>
              <w:rPr>
                <w:sz w:val="1"/>
                <w:szCs w:val="1"/>
                <w:color w:val="auto"/>
              </w:rPr>
            </w:pPr>
          </w:p>
        </w:tc>
      </w:tr>
      <w:tr>
        <w:trPr>
          <w:trHeight w:val="23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104,903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157,799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(52,896)</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2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 is calculated by dividing the provision for income taxes by income before income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Results may not be additive due to rounding. Percentage changes that are not considered meaningful are denoted with “nm”.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Consolidated net sales decreased $51.8 million, or 3.4%, to $1.48 billion in the first two quarters of fiscal 2022. This decrease was primarily driven by decreased net sales in our U.S. Retail segment, partially offset by increased net sales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increased net sales in Canada, increased demand with our international wholesale partners as these partners recovered from COVID-19 business disruptions, and increased average selling prices per unit due to improved price realization and decreased promotions. These decreases can be attributed to significant comparability issues between periods include the benefits of pandemic relief legislation, the stimulus payments from which did not reoccur in the first two quarters of fiscal 2022, inflationary pressures driving lower consumer demand, and decreased store count.</w:t>
      </w:r>
    </w:p>
    <w:p>
      <w:pPr>
        <w:spacing w:after="0" w:line="14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Changes in foreign currency exchange rates used for translation in the first two quarters of fiscal 2022, as compared to the first two quarters of fiscal 2021, had an unfavorable effect on our consolidated net sales of approximately $2.5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consolidated gross profit decreased $74.4 million, or 9.8%, to $686.3 million in the first two quarters of fiscal 2022. Consolidated gross margin decreased 330 bps to 46.3%.</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decrease in consolidated gross profit and gross margin was primarily driven by fabric purchase commitment charges as a result of reduced forward inventory commitments to better align with estimated lower customer demand, increased inventory provisions, a benefit in fabric purchase commitment charges and inventory provisions in the first two quarters of fiscal 2021 that did not reoccur in the first two quarters of fiscal 2022, increased inbound transportation costs, and unfavorable customer and channel mix. The increased transportation costs primarily related to the U.S. Wholesale segment. Unfavorable customer mix was primarily a result of supply chain delays and short selling windows for late arriving products, resulting in more off-price sales. Increased product costs were largely offset by increased average selling prices per unit.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Consolidated SG&amp;A expenses decreased $18.4 million, or 3.4%, to $521.3 million in the first two quarters of fiscal 2022 and SG&amp;A rate remained consistent at 35.2%. SG&amp;A rate was primarily driven by decreased performance-based compensation expense and decreased costs related to productivity initiatives, offset by increased marketing costs, increased outbound freight costs, and fixed costs deleverage as a result of decreased consolidated net sales. Increased consumer demand from the stimulus payments provided to consumers as part of the pandemic relief legislation resulted in a reduction in marketing expenses in the second quarter of fiscal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Consolidated operating income decreased $57.0 million, or 24.3%, to $178.0 million in the first two quarters of fiscal 2022 and consolidated operating margin decreased 330 bps to 12.0% primarily due to the factors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Interest expense decreased $6.9 million, or 22.4%, to $23.8 million in the first two quarters of fiscal 2022. Weighted-average borrowings for the first two quarters of fiscal 2022 were $783.6 million at an effective interest rate of 5.99%, compared to weighted-average borrowings for the first two quarters of fiscal 2021 of $1.00 billion at an effective interest rate of 6.04%.</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decrease in weighted-average borrowings during the first two quarters of fiscal 2022 was attributable to the early extinguishment of our $500 million in aggregate principal amount of 5.500% senior notes due May 2025, partially offset by increased borrowings under our secured revolving credit facility. The decrease in the effective interest rate for the first two quarters of fiscal 2022 compared to the first two quarters of fiscal 2021 was primarily due to increased borrowings under our secured revolving credit facility, which bore a lower interest rate than our senior notes, during the first two quarters of fiscal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consolidated income tax provision decreased $18.2 million, or 37.3%, to $30.5 million in the first two quarters of fiscal 2022, and the effective tax rate decreased 110 bps to 22.5%. The decreased effective tax rate for the first two quarters of fiscal 2022 primarily relates to a year-to-date adjustment in forecasted earnings in the United States and a decrease in non-deductible officer’s compensation in fiscal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consolidated net income decreased $52.9 million, or 33.5%, to $104.9 million in the first two quarters of fiscal 2022, primarily due to the factors previously discussed and a loss on extinguishment of debt of $19.9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by Segment - First Two Quarters of Fiscal 2022 compared to First Two Quarters of Fiscal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and operating income, by segment, for the first two quarters of fiscal 2022 and fiscal 2021:</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2022</w:t>
            </w:r>
          </w:p>
        </w:tc>
        <w:tc>
          <w:tcPr>
            <w:tcW w:w="14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20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July 3, 2021</w:t>
            </w: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745,455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830,694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8"/>
              </w:rPr>
              <w:t>(85,239)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531,317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16,310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205,208</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188,060</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color w:val="auto"/>
                <w:w w:val="99"/>
              </w:rPr>
              <w:t>17,148</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net sales</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1,481,980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1,533,761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8"/>
              </w:rPr>
              <w:t>(51,781)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 segment net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sales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Retail</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105,534</w:t>
            </w:r>
          </w:p>
        </w:tc>
        <w:tc>
          <w:tcPr>
            <w:tcW w:w="12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163,600</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Wholesale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94,099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2"/>
        </w:trPr>
        <w:tc>
          <w:tcPr>
            <w:tcW w:w="3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178,042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235,078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(57,036)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U.S. Retail segment net sales decreased $85.2 million, or 10.3%, to $745.5 million in the first two quarters of fiscal 2022. The decrease in net sales was primarily driven by lower traffic in our eCommerce channels and in our domestic retail stores, partially offset by increased average selling prices per unit due to improved price realization and decreased promotions. These decreases in net sales can be attributed to significant comparability issues between periods such as the benefits of pandemic relief legislation, the stimulus payments from which did not reoccur in the first two quarters of fiscal 2022, inflationary pressures driving lower consumer demand, and decreased store count.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net sales, including retail store and eCommerce, decreased 7.4% primarily driven by the factors mentioned above.</w:t>
      </w:r>
    </w:p>
    <w:p>
      <w:pPr>
        <w:spacing w:after="0" w:line="19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U.S. Retail segment operating income decreased $58.1 million, or 35.5%, to $105.5 million, and operating margin decreased 550 bps to 14.2%. The primary drivers of the decrease in operating margin were a 70 bps decrease in gross margin and a 470 bps increase in SG&amp;A rate. The decrease in gross margin was primarily due to increased fabric purchase commitment charges, increased product costs, and increased inbound transportation costs, partially offset by increased average selling prices per unit and decreased expense for our shrink reserve as a result of decreased retail store net sales. The increase in the SG&amp;A rate was primarily due to decreased net sales, a deleverage of our retail store and eCommerce expenses, increased marketing expense, and increased transportation costs, partially offset by decreased performance-based compensation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U.S. Wholesale segment net sales increased $16.3 million, or 3.2%, to $531.3 million in the first two quarters of fiscal 2022 primarily due to increased demand for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and increased average selling prices per unit, partially offset by decreased demand of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The increased demand in our exclusive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was primarily a result of favorable timing of customer orders and product availability. The decreased demand in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was primarily a result of late shipments to customers in the first quarter of fiscal 2022 resulting in delayed and/or canceled customer orders. U.S. Wholesale sales were also negatively impacted by significant comparability issues between periods such as the benefits of pandemic relief legislation, the stimulus payments from which did not reoccur in the first two quarters of fiscal 2022, and inflationary pressures driving lower demand for the end customer.</w:t>
      </w:r>
    </w:p>
    <w:p>
      <w:pPr>
        <w:spacing w:after="0" w:line="148"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U.S. Wholesale segment operating income decreased $16.6 million, or 15.0%, to $94.1 million, and operating margin decreased 380 bps to 17.7%. The primary drivers of the decrease in operating margin were a 450 bps decrease in gross margin and a 90 bps decrease in SG&amp;A rate. The decrease in gross margin was primarily due to fabric purchase commitment charges, increased inventory provisions, a benefit in fabric purchase commitment charges and inventory provisions in the first two quarters of fiscal 2021 that did not reoccur in the first two quarters of fiscal 2022, increased inbound transportation costs,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 unfavorable customer mix resulting in more off-price sales. These drivers were partially offset by decreased use of air freight. Increased product costs were largely offset by increased average selling prices per unit. The decrease in the SG&amp;A rate was primarily due to decreased performance-based compensation expense, partially offset by increased transportation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International segment net sales increased $17.1 million, or 9.1%, to $205.2 million in the first two quarters of fiscal 2022. Changes in foreign currency exchange rates, primarily between the U.S. dollar and the Canadian dollar, had a $2.5 million unfavorable effect on International segment net sales in the first two quarters of fiscal 2022. The increase in net sales was primarily driven by significant growth in sales from our international wholesale partners as these partners recovered from business disruptions as a result of COVID-19 and due to expansion and growth of new international wholesale accounts in South America, increased sales in our Canadian wholesale channel as a result of favorable timing of customer orders, and increased average selling prices per unit. Increased net sales in our Canadian retail stores were partially offset by decreased net sales in our Canadian eCommerce channels. Canadian retail store net sales in the first two quarters of fiscal 2021 were unfavorably impacted by temporary store closures related to COVID-19.</w:t>
      </w:r>
    </w:p>
    <w:p>
      <w:pPr>
        <w:spacing w:after="0" w:line="1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Canadian comparable net sales, including retail stores and eCommerce, increased 5.9% primarily driven by growth in our retail stores, partially offset by decreased traffic in our eCommerce channel.</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International segment operating income increased $3.8 million, or 20.3%, to $22.6 million, and operating margin increased 100 bps to 11.0%. The increase in the operating margin was primarily attributable to a 260 bps decrease in gross margin and a 360 bps decrease in the SG&amp;A rate. The decrease in gross margin was primarily due to increased inbound transportation costs, fabric purchase commitment charges, and a benefit in fabric purchase commitment charges in the first two quarters of fiscal 2021 that did not reoccur in the first two quarters of fiscal 2022, partially offset by an increase in average selling prices per unit. The decrease in the SG&amp;A rate was primarily due to decreased performance-based compensation expense, better leverage of fixed distribution costs and other costs through our omni-channel programs in Canada, and other reductions in spending.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$13.8 million, or 23.8%, to $44.1 million in the first two quarters of fiscal 2022. Unallocated corporate expenses, as a percentage of consolidated net sales, decreased 80 bps to 3.0%. The decrease as a percentage of consolidated net sales primarily due to decreased performance-based compensation and a decrease in other corporate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ongoing cash needs are primarily for working capital and capital expenditures, employee compensation, interest on debt, and the return of capital to our shareholders. We expect that our primary sources of liquidity will be cash and cash equivalents on hand, cash flow from operations, and available borrowing capacity under our secured revolving credit facility. We believe that our sources of liquidity will fund our project requirements for at least the next twelve months. However, these sources of liquidity may be affected by events described in our risk factors, as further discussed under the heading “Risk Factors” in our most recently filed Annual Report on Form 10-K and in other reports filed with the Securities and Exchange Commission from time to time.</w:t>
      </w:r>
    </w:p>
    <w:p>
      <w:pPr>
        <w:spacing w:after="0" w:line="14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As discussed under the heading “Recent Developments” in our most recently filed Annual Report on Form 10-K, we have experienced and expect to continue to experience delays in the production and transportation of our product, and the increased costs to mitigate these delays, to continue and to adversely impact our financial results in fiscal 2022. We cannot predict the timing and amount of such impact.</w:t>
      </w:r>
    </w:p>
    <w:p>
      <w:pPr>
        <w:spacing w:after="0" w:line="13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of July 2, 2022, we had approximately $231.3 million of cash and cash equivalents held at major financial institutions, including approximately $107.1 million held at financial institutions located outside of the United States. In April 2022, we redeemed our $500 million principal amount of senior notes, bearing interest at a rate of 5.500% per annum, and originally maturing on May 15, 2025, with cash on hand. Additionally in the second quarter of fiscal 2022, we borrowed $120.0 million on our secured revolving credit facility to support our working capital requirements. We anticipate additional borrowings on our secured revolving credit facility through the remainder of fiscal 2022 to support our working capital requirements.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0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Net accounts receivable at July 2, 2022 were $183.9 million compared to $164.0 million at July 3, 2021 and $231.4 million at January 1, 2022. The overall increase of $20.0 million, or 12.2%, at July 2, 2022 compared to July 3, 2021 primarily reflects the timing of wholesale customer shipments and the timing of customer receipts. Due to the seasonal nature of our operations, the net accounts receivable balance at July 2, 2022 is not comparable to the net accounts receivable balance at January 1, 2022.</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Inventories at July 2, 2022 were $858.3 million compared to $619.6 million at July 3, 2021 and $647.7 million at January 1, 2022. The increase of $238.7 million, or 38.5%, at July 2, 2022 compared to July 3, 2021 is primarily the result of planned earlier inventory ownership to offset transportation delays, longer holding periods for inventory to be sold in future periods, increased product costs, and lower than projected net sales. Due to the seasonal nature of our operations, the inventory balance at July 2, 2022 is not comparable to the inventories balance at January 1, 2022. We anticipate increased inventory levels at the end of fiscal 2022 compared to the end of fiscal 2021.</w:t>
      </w:r>
    </w:p>
    <w:p>
      <w:pPr>
        <w:spacing w:after="0" w:line="14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Accounts payable at July 2, 2022 were $408.0 million compared to $356.8 million at July 3, 2021 and $407.0 million at January 1, 2022. The increase of $51.2 million, or 14.3%, at July 2, 2022 compared to July 3, 2021 is primarily due to increased inventory levels and a decrease in vendor payment terms. Due to the seasonal nature of our operations, the accounts payable balance at July 2, 2022 is not comparable to the accounts payable balance at January 1,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$93.6 million for the first two quarters of fiscal 2022 compared to net cash provided by operating activities of $49.5 million in the first two quarters of fiscal 2021. Our cash flow provided by operating activities is driven by net income and changes in our working capital. The decrease in operating cash flow for the first two quarters of fiscal 2022 was primarily due to decreased consolidated net sales, planned early inventory receipts, and payment of our fiscal 2021 performance-based compensation, partially offset by a decrease in payment terms to certain of our vendors in the first two quarters of fiscal 2021 that did not reoccur in the first two quarters of fiscal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$16.3 million for the first two quarters of fiscal 2022 compared to $15.5 million in the first two quarters of fiscal 2021. Capital expenditures in the first two quarters of fiscal 2022 primarily included $7.6 million for information technology initiatives, $4.1 million for our U.S. and international retail store openings and remodels, and $3.0 million for our distribution facilities.</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plan to invest approximately $60 million in capital expenditures in fiscal 2022, which primarily relates to U.S. and international retail store openings and remodels, strategic information technology initiatives, and investments in our distribution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$641.6 million in the first two quarters of fiscal 2022 compared $16.4 million in the first two quarters of fiscal 2021. This change in cash flow from financing activities was primarily due to the early extinguishment of our $500 million in aggregate principal amount of 5.500% senior notes due May 2025, increased cash dividends paid to our shareholders, and common stock share repurchases. As a result of actions taken in connection with the COVID-19 pandemic, our common stock share repurchases program was temporarily suspended in the first two quarters of fiscal 2021, and we did not declare or pay cash dividends in the first quarter of fiscal 2021. These drivers were partially offset by increased borrowings under our secured revolving credit facility.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July 2, 2022, we had $120.0 million in outstanding borrowings under our secured revolving credit facility, exclusive of $3.6 million of outstanding letters of credit. As of July 2, 2022, there was approximately $726.4 million available for future borrowing. Any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April 11, 2022, the Company, through TWCC entered into Amendment No. 4 to its fourth amended and restated credit agreement (“Amendment No. 4”) that, among other things, increased the borrowing capacity of the secured revolving credit facility to $850.0 million (combined U.S. dollar and multicurrency facility borrowings), extended the maturity of the secured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from September 2023 to April 2027, and reduced the number of financial maintenance covenants from two to 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Amendment No. 4 provides for the following:</w:t>
      </w:r>
    </w:p>
    <w:p>
      <w:pPr>
        <w:spacing w:after="0" w:line="104" w:lineRule="exact"/>
        <w:rPr>
          <w:sz w:val="20"/>
          <w:szCs w:val="20"/>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borrowing capacity of the secured revolving credit facility from $750 million to $850 million - the U.S. Dollar facility commitment increases to $750 million from $650 million and the multicurrency facility commitment remains at $100 million;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maturity of the secured revolving credit facility from September 2023 to April 2027;</w:t>
      </w:r>
    </w:p>
    <w:p>
      <w:pPr>
        <w:spacing w:after="0" w:line="9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 Springing Maturity Date provision, which states that if the Company has not redeemed or refinanced at least $250 million of the senior notes due 2027 prior to the 91st day before the maturity of the senior notes due March 15, 2027, then the maturity date of the secured revolving credit facility will be the 91st day before the original maturity of the senior notes due 2027;</w:t>
      </w:r>
    </w:p>
    <w:p>
      <w:pPr>
        <w:spacing w:after="0" w:line="54"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number of financial maintenance covenants from two to one - the Lease Adjusted Leverage Ratio has been simplified to a Consolidated Total Leverage Ratio and the Consolidated Fixed Charge Coverage Ratio has been eliminated. The Consolidated Total Leverage Ratio maximum permitted shall be 3.50:1.00 and temporarily increases to 4.00:1:00 in the event of a Material Acquisition;</w:t>
      </w:r>
    </w:p>
    <w:p>
      <w:pPr>
        <w:spacing w:after="0" w:line="54"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Benchmark Loans bear interest at a rate determined by reference to the Adjusted Term SOFR (Secured Overnight Financing Rate), CDOR (Canadian Dollar Offered Rate), or the Adjusted EURIBOR (Euro Interbank Offered Rate). Each Term Benchmark Loan is subject to interest charges equal to the per annum respective benchmark rate plus an initial applicable rate of 1.375% which may be adjusted from 1.125% to 1.625% based upon a leverage-based pricing schedule; and</w:t>
      </w:r>
    </w:p>
    <w:p>
      <w:pPr>
        <w:spacing w:after="0" w:line="44"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Base, Prime, and Overnight Rate Loans are subject to interest charges equal to the per annum, respective, benchmark rate plus an initial applicable rate of 0.375% which may be adjusted from 0.125% to 0.625% based upon a leverage-based pricing schedule. An Applicable Commitment Fee initially equal to 0.20% per annum and ranging from 0.15% per annum to 0.25% per annum, based upon a leverage-based pricing grid, is payable quarterly in arrears with respect to the average daily unused portion of the revolving loan commitments. Capitalized items are Defined Terms pursuant to Amendment No. 4, dated as of April 11, 2022.</w:t>
      </w:r>
    </w:p>
    <w:p>
      <w:pPr>
        <w:spacing w:after="0" w:line="1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Approximately $2.4 million, including both bank fees and other third-party expenses, has been capitalized in connection with Amendment No. 4 and is being amortized over the remaining term of the secured revolving credit facility.</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July 2, 2022, the interest rate margins applicable to the secured revolving credit facility were 1.375% for adjusted term SOFR rate loans and 0.375% for base rate loans.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July 2, 2022, U.S. dollar borrowings outstanding under the secured revolving credit facility accrued interest at an adjusted term SOFR rate plus the applicable margin, which resulted in a weighted-average borrowing rate of 2.95%. There were no Canadian dollar or other foreign currency borrowings outstanding on July 2, 2022.</w:t>
      </w:r>
    </w:p>
    <w:p>
      <w:pPr>
        <w:spacing w:after="0" w:line="149" w:lineRule="exact"/>
        <w:rPr>
          <w:sz w:val="20"/>
          <w:szCs w:val="20"/>
          <w:color w:val="auto"/>
        </w:rPr>
      </w:pPr>
    </w:p>
    <w:p>
      <w:pPr>
        <w:ind w:right="1580"/>
        <w:spacing w:after="0" w:line="406" w:lineRule="auto"/>
        <w:rPr>
          <w:sz w:val="20"/>
          <w:szCs w:val="20"/>
          <w:color w:val="auto"/>
        </w:rPr>
      </w:pPr>
      <w:r>
        <w:rPr>
          <w:rFonts w:ascii="Times New Roman" w:cs="Times New Roman" w:eastAsia="Times New Roman" w:hAnsi="Times New Roman"/>
          <w:sz w:val="18"/>
          <w:szCs w:val="18"/>
          <w:color w:val="auto"/>
        </w:rPr>
        <w:t xml:space="preserve">As of July 2, 2022, the Company was in compliance with the financial and other covenants under the secured revolving credit facility. </w:t>
      </w:r>
      <w:r>
        <w:rPr>
          <w:rFonts w:ascii="Times New Roman" w:cs="Times New Roman" w:eastAsia="Times New Roman" w:hAnsi="Times New Roman"/>
          <w:sz w:val="18"/>
          <w:szCs w:val="18"/>
          <w:b w:val="1"/>
          <w:bCs w:val="1"/>
          <w:color w:val="auto"/>
        </w:rPr>
        <w:t>Senior Notes</w:t>
      </w:r>
    </w:p>
    <w:p>
      <w:pPr>
        <w:spacing w:after="0" w:line="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July 2, 2022, we had outstanding $500 million principal amount of senior notes, bearing interest at a rate of 5.625% per annum, and maturing on March 15, 2027.</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4, 2022, the Company, through its wholly-owned subsidiary, TWCC redeemed our $500 million principal amount of senior notes, bearing interest at a rate of 5.500% per annum, and originally maturing on May 15, 2025. Pursuant to the optional redemption provisions described in the Indenture dated as of May 11, 2020, TWCC paid the outstanding principal plus accrued interest and an Applicable Premium as defined in the Indenture. This debt redemption resulted in a loss on extinguishment of debt of approximately $19.9 million, primarily consisting of $15.7 million of the Applicable Premium and $4.3 million related to the write-off of unamortized debt issuance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Share Repurchases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first two quarters of fiscal 2022, we repurchased and retired 2,065,362 shares in open market transactions for approximately $176.3 million, at an average price of $85.36 per share. As a result of actions taken in connection with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pandemic, we did not repurchase or retire any shares in open market transactions in the first two quarters of fiscal 2021.</w:t>
      </w:r>
    </w:p>
    <w:p>
      <w:pPr>
        <w:spacing w:after="0" w:line="18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total remaining capacity under all remaining repurchase authorizations as of July 2, 2022 was approximately $872.9 million, based on settled repurchase transactions. The share repurchase authorizations have no expiration dates.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at our discretion subject to restrictions under our secured revolving credit facility and considerations given to market conditions, stock price, other investment priorities,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second quarter and the first two quarters of fiscal 2022, our Board of Directors declared and we paid quarterly cash dividends per common share of $0.75 and $1.50, respectively. In the second quarter of fiscal 2021, the Board of Directors declared and the Company paid cash dividends per common share of $0.40. As a result of actions taken in connection with the COVID-19 pandemic, the Board of Directors did not declare and we did not pay cash dividends for the first quarter of fiscal 2021. Our Board of Directors will evaluate future dividend declarations based on a number of factors, including restrictions under the Company’s revolving credit facility, business conditions, the Company’s financial performance, and other considerations.</w:t>
      </w:r>
    </w:p>
    <w:p>
      <w:pPr>
        <w:spacing w:after="0" w:line="14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Provisions in our secured revolving credit facility could have the effect of restricting our ability to pay cash dividends, or make future repurchases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under the heading “Critical Accounting Policies and Estimates” in Item 7 of our most recent Annual Report on Form 10-K for the 2021 fiscal year ended January 1, 2022.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158" w:lineRule="exact"/>
        <w:rPr>
          <w:sz w:val="20"/>
          <w:szCs w:val="20"/>
          <w:color w:val="auto"/>
        </w:rPr>
      </w:pPr>
    </w:p>
    <w:p>
      <w:pPr>
        <w:ind w:right="4060"/>
        <w:spacing w:after="0" w:line="354"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0" w:name="page31"/>
    <w:bookmarkEnd w:id="30"/>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foreign subsidiaries typically record sales denominated in currencies other than the U.S. dollar, which are then translated into U.S. dollars using weighted-average exchange rates. Changes in foreign currency exchange rates used for translation in the second quarter of fiscal 2022, as compared to the second quarter of fiscal 2021, had an unfavorable effect on our consolidated net sales of approximately $2.3 million. Changes in foreign currency exchange rates used for translation in the first two quarters of fiscal 2022, as compared to the first two quarters of fiscal 2021, had an unfavorable effect on our consolidated net sales of approximately $2.5 million.</w:t>
      </w:r>
    </w:p>
    <w:p>
      <w:pPr>
        <w:spacing w:after="0" w:line="14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Our operating results are subject to risk from interest rate fluctuations on our amended secured revolving credit facility, which carries variable interest rates. As of July 2, 2022, there were $120.0 million in variable rate borrowings outstanding under the amended secured revolving credit facility. As a result, the impact of a hypothetical 100 bps increase in the effective interest rate would result in additional interest expense of $1.2 million over a 12-month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July 2,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July 2, 2022 that have materially affected, or which are reasonably likely to materially affect, Internal Control.</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that materially affected, or were likely to materially affect, such control over financial reporting during the fiscal quarter ended July 2,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Form 10-K for the 2021 fiscal year ended January 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second quarter of fiscal 2022:</w:t>
      </w:r>
    </w:p>
    <w:p>
      <w:pPr>
        <w:spacing w:after="0" w:line="147"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Approximate dollar</w:t>
      </w:r>
    </w:p>
    <w:p>
      <w:pPr>
        <w:spacing w:after="0" w:line="25" w:lineRule="exact"/>
        <w:rPr>
          <w:sz w:val="20"/>
          <w:szCs w:val="20"/>
          <w:color w:val="auto"/>
        </w:rPr>
      </w:pPr>
    </w:p>
    <w:p>
      <w:pPr>
        <w:jc w:val="right"/>
        <w:ind w:right="160"/>
        <w:spacing w:after="0"/>
        <w:tabs>
          <w:tab w:leader="none" w:pos="1440" w:val="left"/>
        </w:tabs>
        <w:rPr>
          <w:sz w:val="20"/>
          <w:szCs w:val="20"/>
          <w:color w:val="auto"/>
        </w:rPr>
      </w:pPr>
      <w:r>
        <w:rPr>
          <w:rFonts w:ascii="Times New Roman" w:cs="Times New Roman" w:eastAsia="Times New Roman" w:hAnsi="Times New Roman"/>
          <w:sz w:val="16"/>
          <w:szCs w:val="16"/>
          <w:b w:val="1"/>
          <w:bCs w:val="1"/>
          <w:color w:val="auto"/>
        </w:rPr>
        <w:t>Total number of shares</w:t>
      </w:r>
      <w:r>
        <w:rPr>
          <w:sz w:val="20"/>
          <w:szCs w:val="20"/>
          <w:color w:val="auto"/>
        </w:rPr>
        <w:tab/>
      </w:r>
      <w:r>
        <w:rPr>
          <w:rFonts w:ascii="Times New Roman" w:cs="Times New Roman" w:eastAsia="Times New Roman" w:hAnsi="Times New Roman"/>
          <w:sz w:val="16"/>
          <w:szCs w:val="16"/>
          <w:b w:val="1"/>
          <w:bCs w:val="1"/>
          <w:color w:val="auto"/>
        </w:rPr>
        <w:t>value of shares that</w:t>
      </w:r>
    </w:p>
    <w:p>
      <w:pPr>
        <w:sectPr>
          <w:pgSz w:w="11900" w:h="16838" w:orient="portrait"/>
          <w:cols w:equalWidth="0" w:num="1">
            <w:col w:w="11240"/>
          </w:cols>
          <w:pgMar w:left="320" w:top="1265" w:right="339" w:bottom="1440" w:gutter="0" w:footer="0" w:header="0"/>
        </w:sect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April 3, 2022 through April 30, 2022</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May 1, 2022 through May 28, 2022</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May 29, 2022 through July 2, 2022</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3"/>
                <w:szCs w:val="13"/>
                <w:color w:val="auto"/>
              </w:rPr>
            </w:pPr>
          </w:p>
        </w:tc>
        <w:tc>
          <w:tcPr>
            <w:tcW w:w="164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78"/>
        </w:trPr>
        <w:tc>
          <w:tcPr>
            <w:tcW w:w="1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ind w:right="99"/>
              <w:spacing w:after="0" w:line="178"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57"/>
        </w:trPr>
        <w:tc>
          <w:tcPr>
            <w:tcW w:w="16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r>
              <w:rPr>
                <w:rFonts w:ascii="Times New Roman" w:cs="Times New Roman" w:eastAsia="Times New Roman" w:hAnsi="Times New Roman"/>
                <w:sz w:val="21"/>
                <w:szCs w:val="21"/>
                <w:b w:val="1"/>
                <w:bCs w:val="1"/>
                <w:color w:val="auto"/>
                <w:w w:val="98"/>
                <w:vertAlign w:val="superscript"/>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programs</w:t>
            </w:r>
            <w:r>
              <w:rPr>
                <w:rFonts w:ascii="Times New Roman" w:cs="Times New Roman" w:eastAsia="Times New Roman" w:hAnsi="Times New Roman"/>
                <w:sz w:val="21"/>
                <w:szCs w:val="21"/>
                <w:b w:val="1"/>
                <w:bCs w:val="1"/>
                <w:color w:val="auto"/>
                <w:vertAlign w:val="superscript"/>
              </w:rPr>
              <w:t>(3)(4)</w:t>
            </w:r>
          </w:p>
        </w:tc>
        <w:tc>
          <w:tcPr>
            <w:tcW w:w="0" w:type="dxa"/>
            <w:vAlign w:val="bottom"/>
          </w:tcPr>
          <w:p>
            <w:pPr>
              <w:spacing w:after="0"/>
              <w:rPr>
                <w:sz w:val="1"/>
                <w:szCs w:val="1"/>
                <w:color w:val="auto"/>
              </w:rPr>
            </w:pPr>
          </w:p>
        </w:tc>
      </w:tr>
      <w:tr>
        <w:trPr>
          <w:trHeight w:val="204"/>
        </w:trPr>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355,037</w:t>
            </w:r>
          </w:p>
        </w:tc>
        <w:tc>
          <w:tcPr>
            <w:tcW w:w="10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89.42</w:t>
            </w:r>
          </w:p>
        </w:tc>
        <w:tc>
          <w:tcPr>
            <w:tcW w:w="120" w:type="dxa"/>
            <w:vAlign w:val="bottom"/>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355,037</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942,948,422</w:t>
            </w:r>
          </w:p>
        </w:tc>
        <w:tc>
          <w:tcPr>
            <w:tcW w:w="0" w:type="dxa"/>
            <w:vAlign w:val="bottom"/>
          </w:tcPr>
          <w:p>
            <w:pPr>
              <w:spacing w:after="0"/>
              <w:rPr>
                <w:sz w:val="1"/>
                <w:szCs w:val="1"/>
                <w:color w:val="auto"/>
              </w:rPr>
            </w:pPr>
          </w:p>
        </w:tc>
      </w:tr>
      <w:tr>
        <w:trPr>
          <w:trHeight w:val="378"/>
        </w:trPr>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362,122</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80.41</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913,885,677</w:t>
            </w:r>
          </w:p>
        </w:tc>
        <w:tc>
          <w:tcPr>
            <w:tcW w:w="0" w:type="dxa"/>
            <w:vAlign w:val="bottom"/>
          </w:tcPr>
          <w:p>
            <w:pPr>
              <w:spacing w:after="0"/>
              <w:rPr>
                <w:sz w:val="1"/>
                <w:szCs w:val="1"/>
                <w:color w:val="auto"/>
              </w:rPr>
            </w:pPr>
          </w:p>
        </w:tc>
      </w:tr>
      <w:tr>
        <w:trPr>
          <w:trHeight w:val="378"/>
        </w:trPr>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555,900</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872,887,554</w:t>
            </w: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1,273,059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1,272,354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-659130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-419735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-179070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-908050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640" w:space="720"/>
            <w:col w:w="6880"/>
          </w:cols>
          <w:pgMar w:left="320" w:top="1265" w:right="339" w:bottom="1440" w:gutter="0" w:footer="0" w:header="0"/>
          <w:type w:val="continuous"/>
        </w:sectPr>
      </w:pPr>
    </w:p>
    <w:p>
      <w:pPr>
        <w:ind w:left="340" w:right="400" w:hanging="332"/>
        <w:spacing w:after="0" w:line="282"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our common stock surrendered by our employees to satisfy required tax withholding upon the vesting of restricted stock awards. There were 705 shares surrendered between May 1, 2022 and May 28, 2022.</w:t>
      </w:r>
    </w:p>
    <w:p>
      <w:pPr>
        <w:spacing w:after="0" w:line="13" w:lineRule="exact"/>
        <w:rPr>
          <w:rFonts w:ascii="Times New Roman" w:cs="Times New Roman" w:eastAsia="Times New Roman" w:hAnsi="Times New Roman"/>
          <w:sz w:val="14"/>
          <w:szCs w:val="14"/>
          <w:color w:val="auto"/>
        </w:rPr>
      </w:pPr>
    </w:p>
    <w:p>
      <w:pPr>
        <w:ind w:left="340" w:right="380" w:hanging="332"/>
        <w:spacing w:after="0" w:line="30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purchases during the second quarter of fiscal 2022 were made in compliance with all applicable rules and regulations and in accordance with the share repurchase authorizations described in Note 7, Common Stock, to our accompanying unaudited condensed consolidated financial statements included in Part I. Item 1 of this Quarterly Report on Form 10-Q.</w:t>
      </w:r>
    </w:p>
    <w:p>
      <w:pPr>
        <w:spacing w:after="0" w:line="1" w:lineRule="exact"/>
        <w:rPr>
          <w:rFonts w:ascii="Times New Roman" w:cs="Times New Roman" w:eastAsia="Times New Roman" w:hAnsi="Times New Roman"/>
          <w:sz w:val="14"/>
          <w:szCs w:val="14"/>
          <w:color w:val="auto"/>
        </w:rPr>
      </w:pPr>
    </w:p>
    <w:p>
      <w:pPr>
        <w:ind w:left="340" w:right="780" w:hanging="332"/>
        <w:spacing w:after="0" w:line="29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24, 2022, the Company’s Board of Directors authorized share repurchases up to $1.00 billion, inclusive of approximately $301.9 million remaining under previous authorizations.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share repurchase authorizations approved by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560" w:type="dxa"/>
            <w:vAlign w:val="bottom"/>
          </w:tcPr>
          <w:p>
            <w:pPr>
              <w:spacing w:after="0"/>
              <w:rPr>
                <w:sz w:val="16"/>
                <w:szCs w:val="16"/>
                <w:color w:val="auto"/>
              </w:rPr>
            </w:pPr>
          </w:p>
        </w:tc>
        <w:tc>
          <w:tcPr>
            <w:tcW w:w="950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r>
      <w:tr>
        <w:trPr>
          <w:trHeight w:val="20"/>
        </w:trPr>
        <w:tc>
          <w:tcPr>
            <w:tcW w:w="1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3.1</w:t>
            </w:r>
          </w:p>
        </w:tc>
        <w:tc>
          <w:tcPr>
            <w:tcW w:w="560" w:type="dxa"/>
            <w:vAlign w:val="bottom"/>
          </w:tcPr>
          <w:p>
            <w:pPr>
              <w:spacing w:after="0"/>
              <w:rPr>
                <w:sz w:val="24"/>
                <w:szCs w:val="24"/>
                <w:color w:val="auto"/>
              </w:rPr>
            </w:pPr>
          </w:p>
        </w:tc>
        <w:tc>
          <w:tcPr>
            <w:tcW w:w="9500" w:type="dxa"/>
            <w:vAlign w:val="bottom"/>
            <w:gridSpan w:val="19"/>
          </w:tcPr>
          <w:p>
            <w:pPr>
              <w:spacing w:after="0"/>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Certificate of Incorporation of Carter’s, Inc., as amended on May 22, 2017 (incorporated by reference to Exhibit 3.1 of Carter’s, Inc.’s Current</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2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Report on Form 8-K filed on May 23, 2017).</w:t>
              </w:r>
            </w:hyperlink>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3.2</w:t>
            </w:r>
          </w:p>
        </w:tc>
        <w:tc>
          <w:tcPr>
            <w:tcW w:w="560" w:type="dxa"/>
            <w:vAlign w:val="bottom"/>
          </w:tcPr>
          <w:p>
            <w:pPr>
              <w:spacing w:after="0"/>
              <w:rPr>
                <w:sz w:val="17"/>
                <w:szCs w:val="17"/>
                <w:color w:val="auto"/>
              </w:rPr>
            </w:pPr>
          </w:p>
        </w:tc>
        <w:tc>
          <w:tcPr>
            <w:tcW w:w="9500" w:type="dxa"/>
            <w:vAlign w:val="bottom"/>
            <w:gridSpan w:val="19"/>
          </w:tcPr>
          <w:p>
            <w:pPr>
              <w:spacing w:after="0"/>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Amended and Restated By-Laws of Carter’s, Inc. (incorporated by reference to Exhibit 3.2 of Carter's, Inc.’s Current Report on Form 8-K filed on</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47">
              <w:r>
                <w:rPr>
                  <w:rFonts w:ascii="Times New Roman" w:cs="Times New Roman" w:eastAsia="Times New Roman" w:hAnsi="Times New Roman"/>
                  <w:sz w:val="16"/>
                  <w:szCs w:val="16"/>
                  <w:color w:val="0000FF"/>
                  <w:w w:val="99"/>
                </w:rPr>
                <w:t>May 23, 2017).</w:t>
              </w:r>
            </w:hyperlink>
          </w:p>
        </w:tc>
        <w:tc>
          <w:tcPr>
            <w:tcW w:w="848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4.1</w:t>
            </w:r>
          </w:p>
        </w:tc>
        <w:tc>
          <w:tcPr>
            <w:tcW w:w="560" w:type="dxa"/>
            <w:vAlign w:val="bottom"/>
          </w:tcPr>
          <w:p>
            <w:pPr>
              <w:spacing w:after="0"/>
              <w:rPr>
                <w:sz w:val="17"/>
                <w:szCs w:val="17"/>
                <w:color w:val="auto"/>
              </w:rPr>
            </w:pPr>
          </w:p>
        </w:tc>
        <w:tc>
          <w:tcPr>
            <w:tcW w:w="9500" w:type="dxa"/>
            <w:vAlign w:val="bottom"/>
            <w:gridSpan w:val="19"/>
          </w:tcPr>
          <w:p>
            <w:pPr>
              <w:spacing w:after="0"/>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AMENDMENT NO. 4 TO FOURTH AMENDED AND RESTATED CREDIT AGREEMENT AND SECOND AMENDMENT TO AMENDED</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4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AND RESTATED SECURITY AGREEMENT, dated as of April 11, 2022 (this “Amendment No. 4”), relating to (i) the Fourth Amended and</w:t>
              </w:r>
            </w:hyperlink>
          </w:p>
        </w:tc>
        <w:tc>
          <w:tcPr>
            <w:tcW w:w="60" w:type="dxa"/>
            <w:vAlign w:val="bottom"/>
            <w:gridSpan w:val="2"/>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500" w:type="dxa"/>
            <w:vAlign w:val="bottom"/>
            <w:gridSpan w:val="19"/>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Restated Credit Agreement dated as of August 25, 2017, among THE WILLIAM CARTER COMPANY, a Massachusetts corporation (the “U.S.</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Borrower”), The Genuine Canadian Corp., an Ontario corporation (the “Canadian Borrower”), CARTER’S HOLDINGS B.V., having its official</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380" w:type="dxa"/>
            <w:vAlign w:val="bottom"/>
            <w:gridSpan w:val="15"/>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seat (statutaire zetel) in Amsterdam, the Netherlands, registered with the Dutch trade register under number 63530201 (“Dutch Borrower” and,</w:t>
              </w:r>
            </w:hyperlink>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6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together with the U.S. Borrower and the Canadian Borrower, the “Borrowers”), each lender from time to time party thereto (collectively, the</w:t>
              </w:r>
            </w:hyperlink>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3"/>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8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w w:val="99"/>
              </w:rPr>
            </w:pPr>
            <w:hyperlink r:id="rId48">
              <w:r>
                <w:rPr>
                  <w:rFonts w:ascii="Times New Roman" w:cs="Times New Roman" w:eastAsia="Times New Roman" w:hAnsi="Times New Roman"/>
                  <w:sz w:val="16"/>
                  <w:szCs w:val="16"/>
                  <w:color w:val="0000FF"/>
                  <w:w w:val="99"/>
                </w:rPr>
                <w:t>“Lenders” and individually, a “Lender”), JPMORGAN CHASE BANK, N.A., as Administrative Agent (in such capacity, the “Administrative</w:t>
              </w:r>
            </w:hyperlink>
          </w:p>
        </w:tc>
        <w:tc>
          <w:tcPr>
            <w:tcW w:w="100" w:type="dxa"/>
            <w:vAlign w:val="bottom"/>
            <w:tcBorders>
              <w:bottom w:val="single" w:sz="8" w:color="0000FF"/>
            </w:tcBorders>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3"/>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500" w:type="dxa"/>
            <w:vAlign w:val="bottom"/>
            <w:gridSpan w:val="19"/>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Agent”), Collateral Agent (in such capacity, the “Collateral Agent”), U.S. Dollar Facility Swing Line Lender and U.S. Dollar Facility L/C Issuer,</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JPMORGAN CHASE BANK, N.A., TORONTO BRANCH, as Canadian Agent, a Multicurrency Facility Swing Line Lender and a</w:t>
              </w:r>
            </w:hyperlink>
          </w:p>
        </w:tc>
        <w:tc>
          <w:tcPr>
            <w:tcW w:w="100" w:type="dxa"/>
            <w:vAlign w:val="bottom"/>
            <w:gridSpan w:val="3"/>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54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w w:val="98"/>
              </w:rPr>
            </w:pPr>
            <w:hyperlink r:id="rId48">
              <w:r>
                <w:rPr>
                  <w:rFonts w:ascii="Times New Roman" w:cs="Times New Roman" w:eastAsia="Times New Roman" w:hAnsi="Times New Roman"/>
                  <w:sz w:val="16"/>
                  <w:szCs w:val="16"/>
                  <w:color w:val="0000FF"/>
                  <w:w w:val="98"/>
                </w:rPr>
                <w:t>Multicurrency Facility L/C Issuer, J.P. MORGAN SE, as European Agent, JPMORGAN CHASE BANK, N.A., LONDON BRANCH,</w:t>
              </w:r>
            </w:hyperlink>
          </w:p>
        </w:tc>
        <w:tc>
          <w:tcPr>
            <w:tcW w:w="460" w:type="dxa"/>
            <w:vAlign w:val="bottom"/>
            <w:tcBorders>
              <w:bottom w:val="single" w:sz="8" w:color="0000FF"/>
            </w:tcBorders>
          </w:tcPr>
          <w:p>
            <w:pPr>
              <w:ind w:left="220"/>
              <w:spacing w:after="0" w:line="142" w:lineRule="exact"/>
              <w:rPr>
                <w:rFonts w:ascii="Times New Roman" w:cs="Times New Roman" w:eastAsia="Times New Roman" w:hAnsi="Times New Roman"/>
                <w:sz w:val="16"/>
                <w:szCs w:val="16"/>
                <w:color w:val="0000FF"/>
                <w:w w:val="89"/>
              </w:rPr>
            </w:pPr>
            <w:hyperlink r:id="rId48">
              <w:r>
                <w:rPr>
                  <w:rFonts w:ascii="Times New Roman" w:cs="Times New Roman" w:eastAsia="Times New Roman" w:hAnsi="Times New Roman"/>
                  <w:sz w:val="16"/>
                  <w:szCs w:val="16"/>
                  <w:color w:val="0000FF"/>
                  <w:w w:val="89"/>
                </w:rPr>
                <w:t>as a</w:t>
              </w:r>
            </w:hyperlink>
          </w:p>
        </w:tc>
        <w:tc>
          <w:tcPr>
            <w:tcW w:w="500" w:type="dxa"/>
            <w:vAlign w:val="bottom"/>
            <w:gridSpan w:val="12"/>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500" w:type="dxa"/>
            <w:vAlign w:val="bottom"/>
            <w:gridSpan w:val="19"/>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Multicurrency Facility Swing Line Lender and a Multicurrency Facility L/C Issuer and the other parties party thereto (incorporated by reference</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6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to Exhibit 10.1 of Carter’s, Inc.’s Current Report on Form 8-K filed on April 14, 2022).</w:t>
              </w:r>
            </w:hyperlink>
          </w:p>
        </w:tc>
        <w:tc>
          <w:tcPr>
            <w:tcW w:w="3680" w:type="dxa"/>
            <w:vAlign w:val="bottom"/>
            <w:tcBorders>
              <w:top w:val="single" w:sz="8" w:color="0000FF"/>
            </w:tcBorders>
            <w:gridSpan w:val="8"/>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196"/>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31.1</w:t>
            </w:r>
          </w:p>
        </w:tc>
        <w:tc>
          <w:tcPr>
            <w:tcW w:w="560" w:type="dxa"/>
            <w:vAlign w:val="bottom"/>
          </w:tcPr>
          <w:p>
            <w:pPr>
              <w:spacing w:after="0"/>
              <w:rPr>
                <w:sz w:val="17"/>
                <w:szCs w:val="17"/>
                <w:color w:val="auto"/>
              </w:rPr>
            </w:pPr>
          </w:p>
        </w:tc>
        <w:tc>
          <w:tcPr>
            <w:tcW w:w="95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Rule 13a-15(e)/15d-15(e) and 13a-15(f)/15d-15(f) Certification.</w:t>
            </w: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5360" w:type="dxa"/>
            <w:vAlign w:val="bottom"/>
            <w:gridSpan w:val="15"/>
          </w:tcPr>
          <w:p>
            <w:pPr>
              <w:spacing w:after="0" w:line="20" w:lineRule="exact"/>
              <w:rPr>
                <w:sz w:val="1"/>
                <w:szCs w:val="1"/>
                <w:color w:val="auto"/>
              </w:rPr>
            </w:pPr>
          </w:p>
        </w:tc>
      </w:tr>
      <w:tr>
        <w:trPr>
          <w:trHeight w:val="196"/>
        </w:trPr>
        <w:tc>
          <w:tcPr>
            <w:tcW w:w="11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31.2</w:t>
            </w:r>
          </w:p>
        </w:tc>
        <w:tc>
          <w:tcPr>
            <w:tcW w:w="560" w:type="dxa"/>
            <w:vAlign w:val="bottom"/>
          </w:tcPr>
          <w:p>
            <w:pPr>
              <w:spacing w:after="0"/>
              <w:rPr>
                <w:sz w:val="17"/>
                <w:szCs w:val="17"/>
                <w:color w:val="auto"/>
              </w:rPr>
            </w:pPr>
          </w:p>
        </w:tc>
        <w:tc>
          <w:tcPr>
            <w:tcW w:w="95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Rule 13a-15(e)/15d-15(e) and 13a-15(f)/15d-15(f) Certification.</w:t>
            </w: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 w:lineRule="exact"/>
        <w:rPr>
          <w:sz w:val="20"/>
          <w:szCs w:val="20"/>
          <w:color w:val="auto"/>
        </w:rPr>
      </w:pPr>
    </w:p>
    <w:p>
      <w:pPr>
        <w:ind w:left="1720" w:hanging="949"/>
        <w:spacing w:after="0"/>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Section 1350 Certification.</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(101).INS</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Instance Document - the instant document does not appear in the Interactive Data File because its XBRL tags are embedded within the</w:t>
            </w:r>
          </w:p>
        </w:tc>
      </w:tr>
      <w:tr>
        <w:trPr>
          <w:trHeight w:val="210"/>
        </w:trPr>
        <w:tc>
          <w:tcPr>
            <w:tcW w:w="164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(101).SCH</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(101).CAL</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(101).DEF</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(101).LAB</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6"/>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Exhibit No. (101).PRE</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Exhibit No. 104</w:t>
            </w:r>
          </w:p>
        </w:tc>
        <w:tc>
          <w:tcPr>
            <w:tcW w:w="9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cover page from this Current Report on Form 10-Q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33" w:name="page34"/>
    <w:bookmarkEnd w:id="33"/>
    <w:p>
      <w:pPr>
        <w:spacing w:after="0" w:line="2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0"/>
        <w:spacing w:after="0"/>
        <w:tabs>
          <w:tab w:leader="none" w:pos="6160" w:val="left"/>
        </w:tabs>
        <w:rPr>
          <w:sz w:val="20"/>
          <w:szCs w:val="20"/>
          <w:color w:val="auto"/>
        </w:rPr>
      </w:pPr>
      <w:r>
        <w:rPr>
          <w:rFonts w:ascii="Times New Roman" w:cs="Times New Roman" w:eastAsia="Times New Roman" w:hAnsi="Times New Roman"/>
          <w:sz w:val="16"/>
          <w:szCs w:val="16"/>
          <w:color w:val="auto"/>
        </w:rPr>
        <w:t>July 29, 2022</w:t>
      </w:r>
      <w:r>
        <w:rPr>
          <w:sz w:val="20"/>
          <w:szCs w:val="20"/>
          <w:color w:val="auto"/>
        </w:rPr>
        <w:tab/>
      </w:r>
      <w:r>
        <w:rPr>
          <w:rFonts w:ascii="Times New Roman" w:cs="Times New Roman" w:eastAsia="Times New Roman" w:hAnsi="Times New Roman"/>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37465</wp:posOffset>
            </wp:positionV>
            <wp:extent cx="25971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color w:val="auto"/>
        </w:rPr>
        <w:t>Michael D. Casey</w:t>
      </w:r>
    </w:p>
    <w:p>
      <w:pPr>
        <w:spacing w:after="0" w:line="30"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7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tabs>
          <w:tab w:leader="none" w:pos="5800" w:val="left"/>
        </w:tabs>
        <w:rPr>
          <w:sz w:val="20"/>
          <w:szCs w:val="20"/>
          <w:color w:val="auto"/>
        </w:rPr>
      </w:pPr>
      <w:r>
        <w:rPr>
          <w:rFonts w:ascii="Times New Roman" w:cs="Times New Roman" w:eastAsia="Times New Roman" w:hAnsi="Times New Roman"/>
          <w:sz w:val="16"/>
          <w:szCs w:val="16"/>
          <w:color w:val="auto"/>
        </w:rPr>
        <w:t>July 29, 2022</w:t>
      </w:r>
      <w:r>
        <w:rPr>
          <w:sz w:val="20"/>
          <w:szCs w:val="20"/>
          <w:color w:val="auto"/>
        </w:rPr>
        <w:tab/>
      </w:r>
      <w:r>
        <w:rPr>
          <w:rFonts w:ascii="Times New Roman" w:cs="Times New Roman" w:eastAsia="Times New Roman" w:hAnsi="Times New Roman"/>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37465</wp:posOffset>
            </wp:positionV>
            <wp:extent cx="25971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color w:val="auto"/>
        </w:rPr>
        <w:t>Richard F. Westenberger</w:t>
      </w:r>
    </w:p>
    <w:p>
      <w:pPr>
        <w:spacing w:after="0" w:line="30"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Executive Vice President and</w:t>
      </w:r>
    </w:p>
    <w:p>
      <w:pPr>
        <w:spacing w:after="0" w:line="7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Chief Financial Officer</w:t>
      </w:r>
    </w:p>
    <w:p>
      <w:pPr>
        <w:spacing w:after="0" w:line="7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80"/>
          </w:cols>
          <w:pgMar w:left="320" w:top="1440" w:right="12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1980"/>
        <w:spacing w:after="0"/>
        <w:tabs>
          <w:tab w:leader="none" w:pos="6880" w:val="left"/>
        </w:tabs>
        <w:rPr>
          <w:sz w:val="20"/>
          <w:szCs w:val="20"/>
          <w:color w:val="auto"/>
        </w:rPr>
      </w:pPr>
      <w:r>
        <w:rPr>
          <w:rFonts w:ascii="Times New Roman" w:cs="Times New Roman" w:eastAsia="Times New Roman" w:hAnsi="Times New Roman"/>
          <w:sz w:val="18"/>
          <w:szCs w:val="18"/>
          <w:color w:val="auto"/>
        </w:rPr>
        <w:t>July 29, 2022</w:t>
      </w:r>
      <w:r>
        <w:rPr>
          <w:sz w:val="20"/>
          <w:szCs w:val="20"/>
          <w:color w:val="auto"/>
        </w:rPr>
        <w:tab/>
      </w:r>
      <w:r>
        <w:rPr>
          <w:rFonts w:ascii="Times New Roman" w:cs="Times New Roman" w:eastAsia="Times New Roman" w:hAnsi="Times New Roman"/>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26035</wp:posOffset>
            </wp:positionV>
            <wp:extent cx="18434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Michael D. Casey</w:t>
      </w:r>
    </w:p>
    <w:p>
      <w:pPr>
        <w:spacing w:after="0" w:line="2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3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14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300" w:right="500" w:firstLine="4"/>
        <w:spacing w:after="0" w:line="282" w:lineRule="auto"/>
        <w:tabs>
          <w:tab w:leader="none" w:pos="15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860"/>
        <w:spacing w:after="0"/>
        <w:tabs>
          <w:tab w:leader="none" w:pos="6320" w:val="left"/>
        </w:tabs>
        <w:rPr>
          <w:sz w:val="20"/>
          <w:szCs w:val="20"/>
          <w:color w:val="auto"/>
        </w:rPr>
      </w:pPr>
      <w:r>
        <w:rPr>
          <w:rFonts w:ascii="Times New Roman" w:cs="Times New Roman" w:eastAsia="Times New Roman" w:hAnsi="Times New Roman"/>
          <w:sz w:val="18"/>
          <w:szCs w:val="18"/>
          <w:color w:val="auto"/>
        </w:rPr>
        <w:t>July 29, 2022</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1774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012"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ind w:right="200" w:firstLine="180"/>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July 2, 2022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86" w:lineRule="exact"/>
        <w:rPr>
          <w:sz w:val="20"/>
          <w:szCs w:val="20"/>
          <w:color w:val="auto"/>
        </w:rPr>
      </w:pPr>
    </w:p>
    <w:p>
      <w:pPr>
        <w:ind w:left="1640"/>
        <w:spacing w:after="0"/>
        <w:tabs>
          <w:tab w:leader="none" w:pos="6460" w:val="left"/>
        </w:tabs>
        <w:rPr>
          <w:sz w:val="20"/>
          <w:szCs w:val="20"/>
          <w:color w:val="auto"/>
        </w:rPr>
      </w:pPr>
      <w:r>
        <w:rPr>
          <w:rFonts w:ascii="Times New Roman" w:cs="Times New Roman" w:eastAsia="Times New Roman" w:hAnsi="Times New Roman"/>
          <w:sz w:val="18"/>
          <w:szCs w:val="18"/>
          <w:color w:val="auto"/>
        </w:rPr>
        <w:t>July 29, 2022</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154305</wp:posOffset>
            </wp:positionV>
            <wp:extent cx="27946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color w:val="auto"/>
        </w:rPr>
        <w:t>Michael D. Casey</w:t>
      </w:r>
    </w:p>
    <w:p>
      <w:pPr>
        <w:spacing w:after="0" w:line="27" w:lineRule="exact"/>
        <w:rPr>
          <w:sz w:val="20"/>
          <w:szCs w:val="20"/>
          <w:color w:val="auto"/>
        </w:rPr>
      </w:pPr>
    </w:p>
    <w:p>
      <w:pPr>
        <w:jc w:val="center"/>
        <w:ind w:left="3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40"/>
        <w:spacing w:after="0"/>
        <w:tabs>
          <w:tab w:leader="none" w:pos="6060" w:val="left"/>
        </w:tabs>
        <w:rPr>
          <w:sz w:val="20"/>
          <w:szCs w:val="20"/>
          <w:color w:val="auto"/>
        </w:rPr>
      </w:pPr>
      <w:r>
        <w:rPr>
          <w:rFonts w:ascii="Times New Roman" w:cs="Times New Roman" w:eastAsia="Times New Roman" w:hAnsi="Times New Roman"/>
          <w:sz w:val="18"/>
          <w:szCs w:val="18"/>
          <w:color w:val="auto"/>
        </w:rPr>
        <w:t>July 29, 2022</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154305</wp:posOffset>
            </wp:positionV>
            <wp:extent cx="27946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firstLine="177"/>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lvl w:ilvl="1">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32"/>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46" Type="http://schemas.openxmlformats.org/officeDocument/2006/relationships/hyperlink" Target="http://www.sec.gov/Archives/edgar/data/1060822/000119312517179483/d400342dex31.htm" TargetMode="External"/><Relationship Id="rId47" Type="http://schemas.openxmlformats.org/officeDocument/2006/relationships/hyperlink" Target="http://www.sec.gov/Archives/edgar/data/1060822/000119312517179483/d400342dex32.htm" TargetMode="External"/><Relationship Id="rId48" Type="http://schemas.openxmlformats.org/officeDocument/2006/relationships/hyperlink" Target="http://www.sec.gov/Archives/edgar/data/1060822/000119312522105723/d3443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2022-07-29T12:34:03Z</dcterms:created>
  <dcterms:modified xsi:type="dcterms:W3CDTF">2022-07-29T12:34:03Z</dcterms:modified>
</cp:coreProperties>
</file>