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9"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6"/>
          <w:szCs w:val="16"/>
          <w:b w:val="1"/>
          <w:bCs w:val="1"/>
          <w:color w:val="auto"/>
        </w:rPr>
        <w:t>QUARTERLY REPORT PURSUANT TO SECTION 13 OR 15(d) OF THE SECURITIES EXCHANGE ACT OF 1934</w:t>
      </w:r>
    </w:p>
    <w:p>
      <w:pPr>
        <w:spacing w:after="0" w:line="254"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For the quarterly period ended September 26, 2020</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22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8" w:lineRule="exact"/>
        <w:rPr>
          <w:sz w:val="24"/>
          <w:szCs w:val="24"/>
          <w:color w:val="auto"/>
        </w:rPr>
      </w:pPr>
    </w:p>
    <w:p>
      <w:pPr>
        <w:ind w:left="660"/>
        <w:spacing w:after="0"/>
        <w:tabs>
          <w:tab w:leader="none" w:pos="3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-4445</wp:posOffset>
            </wp:positionV>
            <wp:extent cx="522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17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w:t>
      </w:r>
    </w:p>
    <w:p>
      <w:pPr>
        <w:spacing w:after="0" w:line="30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001-31829</w:t>
      </w:r>
    </w:p>
    <w:p>
      <w:pPr>
        <w:spacing w:after="0" w:line="12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CARTER’S, INC.</w:t>
      </w:r>
    </w:p>
    <w:p>
      <w:pPr>
        <w:spacing w:after="0" w:line="238"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60"/>
          </w:cols>
          <w:pgMar w:left="320" w:top="234" w:right="319" w:bottom="1440" w:gutter="0" w:footer="0" w:header="0"/>
        </w:sectPr>
      </w:pPr>
    </w:p>
    <w:p>
      <w:pPr>
        <w:spacing w:after="0" w:line="307" w:lineRule="exact"/>
        <w:rPr>
          <w:sz w:val="24"/>
          <w:szCs w:val="24"/>
          <w:color w:val="auto"/>
        </w:rPr>
      </w:pPr>
    </w:p>
    <w:p>
      <w:pPr>
        <w:jc w:val="center"/>
        <w:ind w:left="9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jc w:val="center"/>
        <w:ind w:right="3320"/>
        <w:spacing w:after="0"/>
        <w:rPr>
          <w:sz w:val="20"/>
          <w:szCs w:val="20"/>
          <w:color w:val="auto"/>
        </w:rPr>
      </w:pPr>
      <w:r>
        <w:rPr>
          <w:rFonts w:ascii="Arial" w:cs="Arial" w:eastAsia="Arial" w:hAnsi="Arial"/>
          <w:sz w:val="14"/>
          <w:szCs w:val="14"/>
          <w:b w:val="1"/>
          <w:bCs w:val="1"/>
          <w:color w:val="auto"/>
        </w:rPr>
        <w:t>13-3912933</w:t>
      </w:r>
    </w:p>
    <w:p>
      <w:pPr>
        <w:spacing w:after="0" w:line="113" w:lineRule="exact"/>
        <w:rPr>
          <w:sz w:val="24"/>
          <w:szCs w:val="24"/>
          <w:color w:val="auto"/>
        </w:rPr>
      </w:pPr>
    </w:p>
    <w:p>
      <w:pPr>
        <w:sectPr>
          <w:pgSz w:w="11900" w:h="16838" w:orient="portrait"/>
          <w:cols w:equalWidth="0" w:num="2">
            <w:col w:w="6440" w:space="720"/>
            <w:col w:w="4100"/>
          </w:cols>
          <w:pgMar w:left="320" w:top="234" w:right="319" w:bottom="1440" w:gutter="0" w:footer="0" w:header="0"/>
          <w:type w:val="continuous"/>
        </w:sectPr>
      </w:pPr>
    </w:p>
    <w:p>
      <w:pPr>
        <w:ind w:left="274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98" w:lineRule="exact"/>
        <w:rPr>
          <w:sz w:val="24"/>
          <w:szCs w:val="24"/>
          <w:color w:val="auto"/>
        </w:rPr>
      </w:pPr>
    </w:p>
    <w:p>
      <w:pPr>
        <w:sectPr>
          <w:pgSz w:w="11900" w:h="16838" w:orient="portrait"/>
          <w:cols w:equalWidth="0" w:num="2">
            <w:col w:w="5660" w:space="720"/>
            <w:col w:w="4880"/>
          </w:cols>
          <w:pgMar w:left="320" w:top="234" w:right="319" w:bottom="1440" w:gutter="0" w:footer="0" w:header="0"/>
          <w:type w:val="continuous"/>
        </w:sectPr>
      </w:pPr>
    </w:p>
    <w:p>
      <w:pPr>
        <w:ind w:left="2700"/>
        <w:spacing w:after="0"/>
        <w:rPr>
          <w:sz w:val="20"/>
          <w:szCs w:val="20"/>
          <w:color w:val="auto"/>
        </w:rPr>
      </w:pPr>
      <w:r>
        <w:rPr>
          <w:rFonts w:ascii="Arial" w:cs="Arial" w:eastAsia="Arial" w:hAnsi="Arial"/>
          <w:sz w:val="14"/>
          <w:szCs w:val="14"/>
          <w:color w:val="auto"/>
        </w:rPr>
        <w:t>incorporation or organization)</w:t>
      </w:r>
    </w:p>
    <w:p>
      <w:pPr>
        <w:sectPr>
          <w:pgSz w:w="11900" w:h="16838" w:orient="portrait"/>
          <w:cols w:equalWidth="0" w:num="1">
            <w:col w:w="11260"/>
          </w:cols>
          <w:pgMar w:left="320" w:top="234" w:right="319" w:bottom="1440" w:gutter="0" w:footer="0" w:header="0"/>
          <w:type w:val="continuous"/>
        </w:sectPr>
      </w:pPr>
    </w:p>
    <w:p>
      <w:pPr>
        <w:spacing w:after="0" w:line="200" w:lineRule="exact"/>
        <w:rPr>
          <w:sz w:val="24"/>
          <w:szCs w:val="24"/>
          <w:color w:val="auto"/>
        </w:rPr>
      </w:pPr>
    </w:p>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Phipps Tower,</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3438 Peachtree Road NE, Suite 1800</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Atlanta, Georgia 30326</w:t>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(678) 791-1000</w:t>
      </w:r>
    </w:p>
    <w:p>
      <w:pPr>
        <w:spacing w:after="0" w:line="29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22"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217"/>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$0.01 per share</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CRI</w:t>
            </w:r>
          </w:p>
        </w:tc>
        <w:tc>
          <w:tcPr>
            <w:tcW w:w="4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33"/>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bl>
    <w:p>
      <w:pPr>
        <w:spacing w:after="0" w:line="269"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51"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ectPr>
          <w:pgSz w:w="11900" w:h="16838" w:orient="portrait"/>
          <w:cols w:equalWidth="0" w:num="1">
            <w:col w:w="11260"/>
          </w:cols>
          <w:pgMar w:left="320" w:top="234" w:right="319" w:bottom="1440" w:gutter="0" w:footer="0" w:header="0"/>
          <w:type w:val="continuous"/>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64"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x Accelerated filer </w:t>
      </w:r>
      <w:r>
        <w:rPr>
          <w:rFonts w:ascii="MS PGothic" w:cs="MS PGothic" w:eastAsia="MS PGothic" w:hAnsi="MS PGothic"/>
          <w:sz w:val="18"/>
          <w:szCs w:val="18"/>
          <w:color w:val="auto"/>
        </w:rPr>
        <w:t>☐</w:t>
      </w:r>
    </w:p>
    <w:p>
      <w:pPr>
        <w:spacing w:after="0" w:line="23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3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8"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0"/>
          <w:szCs w:val="20"/>
          <w:color w:val="auto"/>
        </w:rPr>
      </w:pPr>
    </w:p>
    <w:p>
      <w:pPr>
        <w:ind w:right="2180"/>
        <w:spacing w:after="0" w:line="33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Arial" w:cs="Arial" w:eastAsia="Arial" w:hAnsi="Arial"/>
          <w:sz w:val="17"/>
          <w:szCs w:val="17"/>
          <w:color w:val="auto"/>
        </w:rPr>
        <w:t xml:space="preserve"> No x As of October 16, 2020, there were 43,647,576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 w:name="page3"/>
    <w:bookmarkEnd w:id="2"/>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7320" w:type="dxa"/>
            <w:vAlign w:val="bottom"/>
            <w:gridSpan w:val="2"/>
          </w:tcPr>
          <w:p>
            <w:pPr>
              <w:jc w:val="center"/>
              <w:ind w:right="3821"/>
              <w:spacing w:after="0"/>
              <w:rPr>
                <w:sz w:val="20"/>
                <w:szCs w:val="20"/>
                <w:color w:val="auto"/>
              </w:rPr>
            </w:pPr>
            <w:r>
              <w:rPr>
                <w:rFonts w:ascii="Arial" w:cs="Arial" w:eastAsia="Arial" w:hAnsi="Arial"/>
                <w:sz w:val="20"/>
                <w:szCs w:val="20"/>
                <w:b w:val="1"/>
                <w:bCs w:val="1"/>
                <w:color w:val="auto"/>
                <w:w w:val="99"/>
              </w:rPr>
              <w:t>CARTER’S, INC.</w:t>
            </w:r>
          </w:p>
        </w:tc>
      </w:tr>
      <w:tr>
        <w:trPr>
          <w:trHeight w:val="405"/>
        </w:trPr>
        <w:tc>
          <w:tcPr>
            <w:tcW w:w="1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320" w:type="dxa"/>
            <w:vAlign w:val="bottom"/>
            <w:gridSpan w:val="2"/>
          </w:tcPr>
          <w:p>
            <w:pPr>
              <w:jc w:val="center"/>
              <w:ind w:right="3821"/>
              <w:spacing w:after="0"/>
              <w:rPr>
                <w:sz w:val="20"/>
                <w:szCs w:val="20"/>
                <w:color w:val="auto"/>
              </w:rPr>
            </w:pPr>
            <w:r>
              <w:rPr>
                <w:rFonts w:ascii="Arial" w:cs="Arial" w:eastAsia="Arial" w:hAnsi="Arial"/>
                <w:sz w:val="20"/>
                <w:szCs w:val="20"/>
                <w:b w:val="1"/>
                <w:bCs w:val="1"/>
                <w:color w:val="auto"/>
              </w:rPr>
              <w:t>INDEX</w:t>
            </w:r>
          </w:p>
        </w:tc>
      </w:tr>
      <w:tr>
        <w:trPr>
          <w:trHeight w:val="891"/>
        </w:trPr>
        <w:tc>
          <w:tcPr>
            <w:tcW w:w="3920" w:type="dxa"/>
            <w:vAlign w:val="bottom"/>
            <w:gridSpan w:val="2"/>
          </w:tcPr>
          <w:p>
            <w:pPr>
              <w:ind w:left="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5760" w:type="dxa"/>
            <w:vAlign w:val="bottom"/>
          </w:tcPr>
          <w:p>
            <w:pPr>
              <w:spacing w:after="0"/>
              <w:rPr>
                <w:sz w:val="24"/>
                <w:szCs w:val="24"/>
                <w:color w:val="auto"/>
              </w:rPr>
            </w:pPr>
          </w:p>
        </w:tc>
        <w:tc>
          <w:tcPr>
            <w:tcW w:w="1560" w:type="dxa"/>
            <w:vAlign w:val="bottom"/>
          </w:tcPr>
          <w:p>
            <w:pPr>
              <w:ind w:left="540"/>
              <w:spacing w:after="0"/>
              <w:rPr>
                <w:sz w:val="20"/>
                <w:szCs w:val="20"/>
                <w:color w:val="auto"/>
              </w:rPr>
            </w:pPr>
            <w:r>
              <w:rPr>
                <w:rFonts w:ascii="Arial" w:cs="Arial" w:eastAsia="Arial" w:hAnsi="Arial"/>
                <w:sz w:val="20"/>
                <w:szCs w:val="20"/>
                <w:b w:val="1"/>
                <w:bCs w:val="1"/>
                <w:color w:val="auto"/>
              </w:rPr>
              <w:t>Page</w:t>
            </w:r>
          </w:p>
        </w:tc>
      </w:tr>
      <w:tr>
        <w:trPr>
          <w:trHeight w:val="23"/>
        </w:trPr>
        <w:tc>
          <w:tcPr>
            <w:tcW w:w="1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69"/>
        </w:trPr>
        <w:tc>
          <w:tcPr>
            <w:tcW w:w="13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4"/>
        </w:trPr>
        <w:tc>
          <w:tcPr>
            <w:tcW w:w="1320" w:type="dxa"/>
            <w:vAlign w:val="bottom"/>
            <w:shd w:val="clear" w:color="auto" w:fill="CCEEFF"/>
          </w:tcPr>
          <w:p>
            <w:pPr>
              <w:ind w:left="60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w:t>
              </w:r>
            </w:hyperlink>
          </w:p>
        </w:tc>
        <w:tc>
          <w:tcPr>
            <w:tcW w:w="2600" w:type="dxa"/>
            <w:vAlign w:val="bottom"/>
            <w:shd w:val="clear" w:color="auto" w:fill="CCEEFF"/>
          </w:tcPr>
          <w:p>
            <w:pPr>
              <w:ind w:left="30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Financial Statements</w:t>
              </w:r>
            </w:hyperlink>
          </w:p>
        </w:tc>
        <w:tc>
          <w:tcPr>
            <w:tcW w:w="57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46"/>
        </w:trPr>
        <w:tc>
          <w:tcPr>
            <w:tcW w:w="1320" w:type="dxa"/>
            <w:vAlign w:val="bottom"/>
            <w:shd w:val="clear" w:color="auto" w:fill="CCEEFF"/>
          </w:tcPr>
          <w:p>
            <w:pPr>
              <w:spacing w:after="0"/>
              <w:rPr>
                <w:sz w:val="4"/>
                <w:szCs w:val="4"/>
                <w:color w:val="auto"/>
              </w:rPr>
            </w:pPr>
          </w:p>
        </w:tc>
        <w:tc>
          <w:tcPr>
            <w:tcW w:w="2600" w:type="dxa"/>
            <w:vAlign w:val="bottom"/>
            <w:shd w:val="clear" w:color="auto" w:fill="CCEEFF"/>
          </w:tcPr>
          <w:p>
            <w:pPr>
              <w:spacing w:after="0"/>
              <w:rPr>
                <w:sz w:val="4"/>
                <w:szCs w:val="4"/>
                <w:color w:val="auto"/>
              </w:rPr>
            </w:pPr>
          </w:p>
        </w:tc>
        <w:tc>
          <w:tcPr>
            <w:tcW w:w="5760" w:type="dxa"/>
            <w:vAlign w:val="bottom"/>
            <w:shd w:val="clear" w:color="auto" w:fill="CCEEFF"/>
          </w:tcPr>
          <w:p>
            <w:pPr>
              <w:spacing w:after="0"/>
              <w:rPr>
                <w:sz w:val="4"/>
                <w:szCs w:val="4"/>
                <w:color w:val="auto"/>
              </w:rPr>
            </w:pPr>
          </w:p>
        </w:tc>
        <w:tc>
          <w:tcPr>
            <w:tcW w:w="1560" w:type="dxa"/>
            <w:vAlign w:val="bottom"/>
            <w:shd w:val="clear" w:color="auto" w:fill="CCEEFF"/>
          </w:tcPr>
          <w:p>
            <w:pPr>
              <w:spacing w:after="0"/>
              <w:rPr>
                <w:sz w:val="4"/>
                <w:szCs w:val="4"/>
                <w:color w:val="auto"/>
              </w:rPr>
            </w:pPr>
          </w:p>
        </w:tc>
      </w:tr>
    </w:tbl>
    <w:p>
      <w:pPr>
        <w:spacing w:after="0" w:line="19"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0"/>
        <w:spacing w:after="0"/>
        <w:rPr>
          <w:rFonts w:ascii="Arial" w:cs="Arial" w:eastAsia="Arial" w:hAnsi="Arial"/>
          <w:sz w:val="15"/>
          <w:szCs w:val="15"/>
          <w:u w:val="single" w:color="auto"/>
          <w:color w:val="0000EE"/>
        </w:rPr>
      </w:pPr>
      <w:hyperlink w:anchor="page26">
        <w:r>
          <w:rPr>
            <w:rFonts w:ascii="Arial" w:cs="Arial" w:eastAsia="Arial" w:hAnsi="Arial"/>
            <w:sz w:val="15"/>
            <w:szCs w:val="15"/>
            <w:u w:val="single" w:color="auto"/>
            <w:color w:val="0000EE"/>
          </w:rPr>
          <w:t>Item 2</w:t>
        </w:r>
      </w:hyperlink>
    </w:p>
    <w:p>
      <w:pPr>
        <w:spacing w:after="0" w:line="84" w:lineRule="exact"/>
        <w:rPr>
          <w:sz w:val="20"/>
          <w:szCs w:val="20"/>
          <w:color w:val="auto"/>
        </w:rPr>
      </w:pPr>
    </w:p>
    <w:p>
      <w:pPr>
        <w:ind w:left="600"/>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Item 3</w:t>
        </w:r>
      </w:hyperlink>
    </w:p>
    <w:p>
      <w:pPr>
        <w:spacing w:after="0" w:line="98" w:lineRule="exact"/>
        <w:rPr>
          <w:sz w:val="20"/>
          <w:szCs w:val="20"/>
          <w:color w:val="auto"/>
        </w:rPr>
      </w:pPr>
    </w:p>
    <w:p>
      <w:pPr>
        <w:ind w:left="600"/>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Item 4</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89"/>
              </w:rPr>
              <w:t>Unaudited Condensed Consolidated Balance Sheets as of September 26, 2020, December 28, 2019 and September 28, 2019</w:t>
            </w:r>
          </w:p>
        </w:tc>
        <w:tc>
          <w:tcPr>
            <w:tcW w:w="360" w:type="dxa"/>
            <w:vAlign w:val="bottom"/>
          </w:tcPr>
          <w:p>
            <w:pPr>
              <w:spacing w:after="0"/>
              <w:rPr>
                <w:sz w:val="16"/>
                <w:szCs w:val="16"/>
                <w:color w:val="auto"/>
              </w:rPr>
            </w:pPr>
          </w:p>
        </w:tc>
        <w:tc>
          <w:tcPr>
            <w:tcW w:w="540" w:type="dxa"/>
            <w:vAlign w:val="bottom"/>
          </w:tcPr>
          <w:p>
            <w:pPr>
              <w:jc w:val="center"/>
              <w:ind w:left="299"/>
              <w:spacing w:after="0"/>
              <w:rPr>
                <w:rFonts w:ascii="Arial" w:cs="Arial" w:eastAsia="Arial" w:hAnsi="Arial"/>
                <w:sz w:val="16"/>
                <w:szCs w:val="16"/>
                <w:u w:val="single" w:color="auto"/>
                <w:color w:val="0000EE"/>
                <w:w w:val="89"/>
              </w:rPr>
            </w:pPr>
            <w:hyperlink w:anchor="page4">
              <w:r>
                <w:rPr>
                  <w:rFonts w:ascii="Arial" w:cs="Arial" w:eastAsia="Arial" w:hAnsi="Arial"/>
                  <w:sz w:val="16"/>
                  <w:szCs w:val="16"/>
                  <w:u w:val="single" w:color="auto"/>
                  <w:color w:val="0000EE"/>
                  <w:w w:val="89"/>
                </w:rPr>
                <w:t>1</w:t>
              </w:r>
            </w:hyperlink>
          </w:p>
        </w:tc>
      </w:tr>
      <w:tr>
        <w:trPr>
          <w:trHeight w:val="237"/>
        </w:trPr>
        <w:tc>
          <w:tcPr>
            <w:tcW w:w="8380" w:type="dxa"/>
            <w:vAlign w:val="bottom"/>
            <w:gridSpan w:val="10"/>
          </w:tcPr>
          <w:p>
            <w:pPr>
              <w:spacing w:after="0"/>
              <w:rPr>
                <w:sz w:val="20"/>
                <w:szCs w:val="20"/>
                <w:color w:val="auto"/>
              </w:rPr>
            </w:pPr>
            <w:r>
              <w:rPr>
                <w:rFonts w:ascii="Arial" w:cs="Arial" w:eastAsia="Arial" w:hAnsi="Arial"/>
                <w:sz w:val="16"/>
                <w:szCs w:val="16"/>
                <w:color w:val="0000FF"/>
              </w:rPr>
              <w:t>Unaudited Condensed Consolidated Statements of Operations for the fiscal quarter and three fiscal quarters ended</w:t>
            </w:r>
          </w:p>
        </w:tc>
        <w:tc>
          <w:tcPr>
            <w:tcW w:w="540" w:type="dxa"/>
            <w:vAlign w:val="bottom"/>
          </w:tcPr>
          <w:p>
            <w:pPr>
              <w:spacing w:after="0"/>
              <w:rPr>
                <w:sz w:val="20"/>
                <w:szCs w:val="20"/>
                <w:color w:val="auto"/>
              </w:rPr>
            </w:pPr>
          </w:p>
        </w:tc>
      </w:tr>
      <w:tr>
        <w:trPr>
          <w:trHeight w:val="183"/>
        </w:trPr>
        <w:tc>
          <w:tcPr>
            <w:tcW w:w="2920" w:type="dxa"/>
            <w:vAlign w:val="bottom"/>
            <w:tcBorders>
              <w:top w:val="single" w:sz="8" w:color="0000FF"/>
              <w:bottom w:val="single" w:sz="8" w:color="0000FF"/>
            </w:tcBorders>
            <w:gridSpan w:val="2"/>
          </w:tcPr>
          <w:p>
            <w:pPr>
              <w:spacing w:after="0" w:line="183" w:lineRule="exact"/>
              <w:rPr>
                <w:sz w:val="20"/>
                <w:szCs w:val="20"/>
                <w:color w:val="auto"/>
              </w:rPr>
            </w:pPr>
            <w:r>
              <w:rPr>
                <w:rFonts w:ascii="Arial" w:cs="Arial" w:eastAsia="Arial" w:hAnsi="Arial"/>
                <w:sz w:val="16"/>
                <w:szCs w:val="16"/>
                <w:color w:val="0000FF"/>
                <w:w w:val="89"/>
              </w:rPr>
              <w:t>September 26, 2020 and September 28, 2019</w:t>
            </w:r>
          </w:p>
        </w:tc>
        <w:tc>
          <w:tcPr>
            <w:tcW w:w="4460" w:type="dxa"/>
            <w:vAlign w:val="bottom"/>
            <w:tcBorders>
              <w:top w:val="single" w:sz="8" w:color="0000FF"/>
            </w:tcBorders>
            <w:gridSpan w:val="3"/>
          </w:tcPr>
          <w:p>
            <w:pPr>
              <w:spacing w:after="0"/>
              <w:rPr>
                <w:sz w:val="15"/>
                <w:szCs w:val="15"/>
                <w:color w:val="auto"/>
              </w:rPr>
            </w:pPr>
          </w:p>
        </w:tc>
        <w:tc>
          <w:tcPr>
            <w:tcW w:w="1000" w:type="dxa"/>
            <w:vAlign w:val="bottom"/>
            <w:gridSpan w:val="5"/>
          </w:tcPr>
          <w:p>
            <w:pPr>
              <w:spacing w:after="0"/>
              <w:rPr>
                <w:sz w:val="15"/>
                <w:szCs w:val="15"/>
                <w:color w:val="auto"/>
              </w:rPr>
            </w:pPr>
          </w:p>
        </w:tc>
        <w:tc>
          <w:tcPr>
            <w:tcW w:w="540" w:type="dxa"/>
            <w:vAlign w:val="bottom"/>
          </w:tcPr>
          <w:p>
            <w:pPr>
              <w:jc w:val="center"/>
              <w:ind w:left="299"/>
              <w:spacing w:after="0" w:line="183" w:lineRule="exact"/>
              <w:rPr>
                <w:rFonts w:ascii="Arial" w:cs="Arial" w:eastAsia="Arial" w:hAnsi="Arial"/>
                <w:sz w:val="16"/>
                <w:szCs w:val="16"/>
                <w:u w:val="single" w:color="auto"/>
                <w:color w:val="0000EE"/>
                <w:w w:val="89"/>
              </w:rPr>
            </w:pPr>
            <w:hyperlink w:anchor="page5">
              <w:r>
                <w:rPr>
                  <w:rFonts w:ascii="Arial" w:cs="Arial" w:eastAsia="Arial" w:hAnsi="Arial"/>
                  <w:sz w:val="16"/>
                  <w:szCs w:val="16"/>
                  <w:u w:val="single" w:color="auto"/>
                  <w:color w:val="0000EE"/>
                  <w:w w:val="89"/>
                </w:rPr>
                <w:t>2</w:t>
              </w:r>
            </w:hyperlink>
          </w:p>
        </w:tc>
      </w:tr>
      <w:tr>
        <w:trPr>
          <w:trHeight w:val="237"/>
        </w:trPr>
        <w:tc>
          <w:tcPr>
            <w:tcW w:w="8380" w:type="dxa"/>
            <w:vAlign w:val="bottom"/>
            <w:gridSpan w:val="10"/>
          </w:tcPr>
          <w:p>
            <w:pPr>
              <w:spacing w:after="0"/>
              <w:rPr>
                <w:sz w:val="20"/>
                <w:szCs w:val="20"/>
                <w:color w:val="auto"/>
              </w:rPr>
            </w:pPr>
            <w:r>
              <w:rPr>
                <w:rFonts w:ascii="Arial" w:cs="Arial" w:eastAsia="Arial" w:hAnsi="Arial"/>
                <w:sz w:val="16"/>
                <w:szCs w:val="16"/>
                <w:color w:val="0000FF"/>
                <w:w w:val="97"/>
              </w:rPr>
              <w:t>Unaudited Condensed Consolidated Statements of Comprehensive Income for the fiscal quarter and three fiscal quarters</w:t>
            </w:r>
          </w:p>
        </w:tc>
        <w:tc>
          <w:tcPr>
            <w:tcW w:w="540" w:type="dxa"/>
            <w:vAlign w:val="bottom"/>
          </w:tcPr>
          <w:p>
            <w:pPr>
              <w:spacing w:after="0"/>
              <w:rPr>
                <w:sz w:val="20"/>
                <w:szCs w:val="20"/>
                <w:color w:val="auto"/>
              </w:rPr>
            </w:pPr>
          </w:p>
        </w:tc>
      </w:tr>
      <w:tr>
        <w:trPr>
          <w:trHeight w:val="183"/>
        </w:trPr>
        <w:tc>
          <w:tcPr>
            <w:tcW w:w="3340" w:type="dxa"/>
            <w:vAlign w:val="bottom"/>
            <w:tcBorders>
              <w:top w:val="single" w:sz="8" w:color="0000FF"/>
              <w:bottom w:val="single" w:sz="8" w:color="0000FF"/>
            </w:tcBorders>
            <w:gridSpan w:val="3"/>
          </w:tcPr>
          <w:p>
            <w:pPr>
              <w:spacing w:after="0" w:line="183" w:lineRule="exact"/>
              <w:rPr>
                <w:sz w:val="20"/>
                <w:szCs w:val="20"/>
                <w:color w:val="auto"/>
              </w:rPr>
            </w:pPr>
            <w:r>
              <w:rPr>
                <w:rFonts w:ascii="Arial" w:cs="Arial" w:eastAsia="Arial" w:hAnsi="Arial"/>
                <w:sz w:val="16"/>
                <w:szCs w:val="16"/>
                <w:color w:val="0000FF"/>
                <w:w w:val="88"/>
              </w:rPr>
              <w:t>ended September 26, 2020 and September 28, 2019</w:t>
            </w:r>
          </w:p>
        </w:tc>
        <w:tc>
          <w:tcPr>
            <w:tcW w:w="4440" w:type="dxa"/>
            <w:vAlign w:val="bottom"/>
            <w:tcBorders>
              <w:top w:val="single" w:sz="8" w:color="0000FF"/>
            </w:tcBorders>
            <w:gridSpan w:val="3"/>
          </w:tcPr>
          <w:p>
            <w:pPr>
              <w:spacing w:after="0"/>
              <w:rPr>
                <w:sz w:val="15"/>
                <w:szCs w:val="15"/>
                <w:color w:val="auto"/>
              </w:rPr>
            </w:pPr>
          </w:p>
        </w:tc>
        <w:tc>
          <w:tcPr>
            <w:tcW w:w="600" w:type="dxa"/>
            <w:vAlign w:val="bottom"/>
            <w:gridSpan w:val="4"/>
          </w:tcPr>
          <w:p>
            <w:pPr>
              <w:spacing w:after="0"/>
              <w:rPr>
                <w:sz w:val="15"/>
                <w:szCs w:val="15"/>
                <w:color w:val="auto"/>
              </w:rPr>
            </w:pPr>
          </w:p>
        </w:tc>
        <w:tc>
          <w:tcPr>
            <w:tcW w:w="540" w:type="dxa"/>
            <w:vAlign w:val="bottom"/>
          </w:tcPr>
          <w:p>
            <w:pPr>
              <w:jc w:val="center"/>
              <w:ind w:left="299"/>
              <w:spacing w:after="0" w:line="183" w:lineRule="exact"/>
              <w:rPr>
                <w:rFonts w:ascii="Arial" w:cs="Arial" w:eastAsia="Arial" w:hAnsi="Arial"/>
                <w:sz w:val="16"/>
                <w:szCs w:val="16"/>
                <w:u w:val="single" w:color="auto"/>
                <w:color w:val="0000EE"/>
                <w:w w:val="89"/>
              </w:rPr>
            </w:pPr>
            <w:hyperlink w:anchor="page6">
              <w:r>
                <w:rPr>
                  <w:rFonts w:ascii="Arial" w:cs="Arial" w:eastAsia="Arial" w:hAnsi="Arial"/>
                  <w:sz w:val="16"/>
                  <w:szCs w:val="16"/>
                  <w:u w:val="single" w:color="auto"/>
                  <w:color w:val="0000EE"/>
                  <w:w w:val="89"/>
                </w:rPr>
                <w:t>3</w:t>
              </w:r>
            </w:hyperlink>
          </w:p>
        </w:tc>
      </w:tr>
      <w:tr>
        <w:trPr>
          <w:trHeight w:val="236"/>
        </w:trPr>
        <w:tc>
          <w:tcPr>
            <w:tcW w:w="8380" w:type="dxa"/>
            <w:vAlign w:val="bottom"/>
            <w:gridSpan w:val="10"/>
          </w:tcPr>
          <w:p>
            <w:pPr>
              <w:spacing w:after="0"/>
              <w:rPr>
                <w:sz w:val="20"/>
                <w:szCs w:val="20"/>
                <w:color w:val="auto"/>
              </w:rPr>
            </w:pPr>
            <w:r>
              <w:rPr>
                <w:rFonts w:ascii="Arial" w:cs="Arial" w:eastAsia="Arial" w:hAnsi="Arial"/>
                <w:sz w:val="16"/>
                <w:szCs w:val="16"/>
                <w:color w:val="0000FF"/>
                <w:w w:val="95"/>
              </w:rPr>
              <w:t>Unaudited Condensed Consolidated Statements of Changes in Stockholders' Equity for the fiscal quarters ended September</w:t>
            </w:r>
          </w:p>
        </w:tc>
        <w:tc>
          <w:tcPr>
            <w:tcW w:w="540" w:type="dxa"/>
            <w:vAlign w:val="bottom"/>
          </w:tcPr>
          <w:p>
            <w:pPr>
              <w:spacing w:after="0"/>
              <w:rPr>
                <w:sz w:val="20"/>
                <w:szCs w:val="20"/>
                <w:color w:val="auto"/>
              </w:rPr>
            </w:pPr>
          </w:p>
        </w:tc>
      </w:tr>
      <w:tr>
        <w:trPr>
          <w:trHeight w:val="183"/>
        </w:trPr>
        <w:tc>
          <w:tcPr>
            <w:tcW w:w="6380" w:type="dxa"/>
            <w:vAlign w:val="bottom"/>
            <w:tcBorders>
              <w:top w:val="single" w:sz="8" w:color="0000FF"/>
              <w:bottom w:val="single" w:sz="8" w:color="0000FF"/>
            </w:tcBorders>
            <w:gridSpan w:val="4"/>
          </w:tcPr>
          <w:p>
            <w:pPr>
              <w:spacing w:after="0" w:line="183" w:lineRule="exact"/>
              <w:rPr>
                <w:sz w:val="20"/>
                <w:szCs w:val="20"/>
                <w:color w:val="auto"/>
              </w:rPr>
            </w:pPr>
            <w:r>
              <w:rPr>
                <w:rFonts w:ascii="Arial" w:cs="Arial" w:eastAsia="Arial" w:hAnsi="Arial"/>
                <w:sz w:val="16"/>
                <w:szCs w:val="16"/>
                <w:color w:val="0000FF"/>
                <w:w w:val="90"/>
              </w:rPr>
              <w:t>26, 2020, June 27, 2020, March 28, 2020, September 28, 2019, June 29, 2019 and March 30, 2019</w:t>
            </w:r>
          </w:p>
        </w:tc>
        <w:tc>
          <w:tcPr>
            <w:tcW w:w="1600" w:type="dxa"/>
            <w:vAlign w:val="bottom"/>
            <w:tcBorders>
              <w:top w:val="single" w:sz="8" w:color="0000FF"/>
            </w:tcBorders>
            <w:gridSpan w:val="4"/>
          </w:tcPr>
          <w:p>
            <w:pPr>
              <w:spacing w:after="0"/>
              <w:rPr>
                <w:sz w:val="15"/>
                <w:szCs w:val="15"/>
                <w:color w:val="auto"/>
              </w:rPr>
            </w:pPr>
          </w:p>
        </w:tc>
        <w:tc>
          <w:tcPr>
            <w:tcW w:w="400" w:type="dxa"/>
            <w:vAlign w:val="bottom"/>
            <w:gridSpan w:val="2"/>
          </w:tcPr>
          <w:p>
            <w:pPr>
              <w:spacing w:after="0"/>
              <w:rPr>
                <w:sz w:val="15"/>
                <w:szCs w:val="15"/>
                <w:color w:val="auto"/>
              </w:rPr>
            </w:pPr>
          </w:p>
        </w:tc>
        <w:tc>
          <w:tcPr>
            <w:tcW w:w="540" w:type="dxa"/>
            <w:vAlign w:val="bottom"/>
          </w:tcPr>
          <w:p>
            <w:pPr>
              <w:jc w:val="center"/>
              <w:ind w:left="299"/>
              <w:spacing w:after="0" w:line="183" w:lineRule="exact"/>
              <w:rPr>
                <w:rFonts w:ascii="Arial" w:cs="Arial" w:eastAsia="Arial" w:hAnsi="Arial"/>
                <w:sz w:val="16"/>
                <w:szCs w:val="16"/>
                <w:u w:val="single" w:color="auto"/>
                <w:color w:val="0000EE"/>
                <w:w w:val="89"/>
              </w:rPr>
            </w:pPr>
            <w:hyperlink w:anchor="page7">
              <w:r>
                <w:rPr>
                  <w:rFonts w:ascii="Arial" w:cs="Arial" w:eastAsia="Arial" w:hAnsi="Arial"/>
                  <w:sz w:val="16"/>
                  <w:szCs w:val="16"/>
                  <w:u w:val="single" w:color="auto"/>
                  <w:color w:val="0000EE"/>
                  <w:w w:val="89"/>
                </w:rPr>
                <w:t>4</w:t>
              </w:r>
            </w:hyperlink>
          </w:p>
        </w:tc>
      </w:tr>
      <w:tr>
        <w:trPr>
          <w:trHeight w:val="237"/>
        </w:trPr>
        <w:tc>
          <w:tcPr>
            <w:tcW w:w="8380" w:type="dxa"/>
            <w:vAlign w:val="bottom"/>
            <w:gridSpan w:val="10"/>
          </w:tcPr>
          <w:p>
            <w:pPr>
              <w:spacing w:after="0"/>
              <w:rPr>
                <w:sz w:val="20"/>
                <w:szCs w:val="20"/>
                <w:color w:val="auto"/>
              </w:rPr>
            </w:pPr>
            <w:r>
              <w:rPr>
                <w:rFonts w:ascii="Arial" w:cs="Arial" w:eastAsia="Arial" w:hAnsi="Arial"/>
                <w:sz w:val="16"/>
                <w:szCs w:val="16"/>
                <w:color w:val="0000FF"/>
                <w:w w:val="95"/>
              </w:rPr>
              <w:t>Unaudited Condensed Consolidated Statements of Cash Flows for the three fiscal quarters ended September 26, 2020 and</w:t>
            </w:r>
          </w:p>
        </w:tc>
        <w:tc>
          <w:tcPr>
            <w:tcW w:w="540" w:type="dxa"/>
            <w:vAlign w:val="bottom"/>
          </w:tcPr>
          <w:p>
            <w:pPr>
              <w:spacing w:after="0"/>
              <w:rPr>
                <w:sz w:val="20"/>
                <w:szCs w:val="20"/>
                <w:color w:val="auto"/>
              </w:rPr>
            </w:pPr>
          </w:p>
        </w:tc>
      </w:tr>
      <w:tr>
        <w:trPr>
          <w:trHeight w:val="183"/>
        </w:trPr>
        <w:tc>
          <w:tcPr>
            <w:tcW w:w="1300" w:type="dxa"/>
            <w:vAlign w:val="bottom"/>
            <w:tcBorders>
              <w:top w:val="single" w:sz="8" w:color="0000FF"/>
              <w:bottom w:val="single" w:sz="8" w:color="0000FF"/>
            </w:tcBorders>
          </w:tcPr>
          <w:p>
            <w:pPr>
              <w:spacing w:after="0" w:line="183" w:lineRule="exact"/>
              <w:rPr>
                <w:sz w:val="20"/>
                <w:szCs w:val="20"/>
                <w:color w:val="auto"/>
              </w:rPr>
            </w:pPr>
            <w:r>
              <w:rPr>
                <w:rFonts w:ascii="Arial" w:cs="Arial" w:eastAsia="Arial" w:hAnsi="Arial"/>
                <w:sz w:val="16"/>
                <w:szCs w:val="16"/>
                <w:color w:val="0000FF"/>
                <w:w w:val="88"/>
              </w:rPr>
              <w:t>September 28, 2019</w:t>
            </w:r>
          </w:p>
        </w:tc>
        <w:tc>
          <w:tcPr>
            <w:tcW w:w="6580" w:type="dxa"/>
            <w:vAlign w:val="bottom"/>
            <w:tcBorders>
              <w:top w:val="single" w:sz="8" w:color="0000FF"/>
            </w:tcBorders>
            <w:gridSpan w:val="6"/>
          </w:tcPr>
          <w:p>
            <w:pPr>
              <w:spacing w:after="0"/>
              <w:rPr>
                <w:sz w:val="15"/>
                <w:szCs w:val="15"/>
                <w:color w:val="auto"/>
              </w:rPr>
            </w:pPr>
          </w:p>
        </w:tc>
        <w:tc>
          <w:tcPr>
            <w:tcW w:w="500" w:type="dxa"/>
            <w:vAlign w:val="bottom"/>
            <w:gridSpan w:val="3"/>
          </w:tcPr>
          <w:p>
            <w:pPr>
              <w:spacing w:after="0"/>
              <w:rPr>
                <w:sz w:val="15"/>
                <w:szCs w:val="15"/>
                <w:color w:val="auto"/>
              </w:rPr>
            </w:pPr>
          </w:p>
        </w:tc>
        <w:tc>
          <w:tcPr>
            <w:tcW w:w="540" w:type="dxa"/>
            <w:vAlign w:val="bottom"/>
          </w:tcPr>
          <w:p>
            <w:pPr>
              <w:jc w:val="center"/>
              <w:ind w:left="299"/>
              <w:spacing w:after="0" w:line="183" w:lineRule="exact"/>
              <w:rPr>
                <w:rFonts w:ascii="Arial" w:cs="Arial" w:eastAsia="Arial" w:hAnsi="Arial"/>
                <w:sz w:val="16"/>
                <w:szCs w:val="16"/>
                <w:u w:val="single" w:color="auto"/>
                <w:color w:val="0000EE"/>
                <w:w w:val="89"/>
              </w:rPr>
            </w:pPr>
            <w:hyperlink w:anchor="page9">
              <w:r>
                <w:rPr>
                  <w:rFonts w:ascii="Arial" w:cs="Arial" w:eastAsia="Arial" w:hAnsi="Arial"/>
                  <w:sz w:val="16"/>
                  <w:szCs w:val="16"/>
                  <w:u w:val="single" w:color="auto"/>
                  <w:color w:val="0000EE"/>
                  <w:w w:val="89"/>
                </w:rPr>
                <w:t>6</w:t>
              </w:r>
            </w:hyperlink>
          </w:p>
        </w:tc>
      </w:tr>
      <w:tr>
        <w:trPr>
          <w:trHeight w:val="285"/>
        </w:trPr>
        <w:tc>
          <w:tcPr>
            <w:tcW w:w="8380" w:type="dxa"/>
            <w:vAlign w:val="bottom"/>
            <w:gridSpan w:val="10"/>
          </w:tcPr>
          <w:p>
            <w:pPr>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Notes to the Unaudited Condensed Consolidated Financial Statements</w:t>
              </w:r>
            </w:hyperlink>
          </w:p>
        </w:tc>
        <w:tc>
          <w:tcPr>
            <w:tcW w:w="540" w:type="dxa"/>
            <w:vAlign w:val="bottom"/>
          </w:tcPr>
          <w:p>
            <w:pPr>
              <w:jc w:val="center"/>
              <w:ind w:left="299"/>
              <w:spacing w:after="0"/>
              <w:rPr>
                <w:rFonts w:ascii="Arial" w:cs="Arial" w:eastAsia="Arial" w:hAnsi="Arial"/>
                <w:sz w:val="16"/>
                <w:szCs w:val="16"/>
                <w:u w:val="single" w:color="auto"/>
                <w:color w:val="0000EE"/>
                <w:w w:val="89"/>
              </w:rPr>
            </w:pPr>
            <w:hyperlink w:anchor="page10">
              <w:r>
                <w:rPr>
                  <w:rFonts w:ascii="Arial" w:cs="Arial" w:eastAsia="Arial" w:hAnsi="Arial"/>
                  <w:sz w:val="16"/>
                  <w:szCs w:val="16"/>
                  <w:u w:val="single" w:color="auto"/>
                  <w:color w:val="0000EE"/>
                  <w:w w:val="89"/>
                </w:rPr>
                <w:t>7</w:t>
              </w:r>
            </w:hyperlink>
          </w:p>
        </w:tc>
      </w:tr>
      <w:tr>
        <w:trPr>
          <w:trHeight w:val="270"/>
        </w:trPr>
        <w:tc>
          <w:tcPr>
            <w:tcW w:w="8380" w:type="dxa"/>
            <w:vAlign w:val="bottom"/>
            <w:gridSpan w:val="10"/>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Management's Discussion and Analysis of Financial Condition and Results of Operations</w:t>
              </w:r>
            </w:hyperlink>
          </w:p>
        </w:tc>
        <w:tc>
          <w:tcPr>
            <w:tcW w:w="540" w:type="dxa"/>
            <w:vAlign w:val="bottom"/>
          </w:tcPr>
          <w:p>
            <w:pPr>
              <w:jc w:val="center"/>
              <w:ind w:left="299"/>
              <w:spacing w:after="0"/>
              <w:rPr>
                <w:rFonts w:ascii="Arial" w:cs="Arial" w:eastAsia="Arial" w:hAnsi="Arial"/>
                <w:sz w:val="16"/>
                <w:szCs w:val="16"/>
                <w:u w:val="single" w:color="auto"/>
                <w:color w:val="0000EE"/>
                <w:w w:val="89"/>
              </w:rPr>
            </w:pPr>
            <w:hyperlink w:anchor="page26">
              <w:r>
                <w:rPr>
                  <w:rFonts w:ascii="Arial" w:cs="Arial" w:eastAsia="Arial" w:hAnsi="Arial"/>
                  <w:sz w:val="16"/>
                  <w:szCs w:val="16"/>
                  <w:u w:val="single" w:color="auto"/>
                  <w:color w:val="0000EE"/>
                  <w:w w:val="89"/>
                </w:rPr>
                <w:t>23</w:t>
              </w:r>
            </w:hyperlink>
          </w:p>
        </w:tc>
      </w:tr>
      <w:tr>
        <w:trPr>
          <w:trHeight w:val="270"/>
        </w:trPr>
        <w:tc>
          <w:tcPr>
            <w:tcW w:w="8380" w:type="dxa"/>
            <w:vAlign w:val="bottom"/>
            <w:gridSpan w:val="10"/>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Quantitative and Qualitative Disclosures about Market Risk</w:t>
              </w:r>
            </w:hyperlink>
          </w:p>
        </w:tc>
        <w:tc>
          <w:tcPr>
            <w:tcW w:w="540" w:type="dxa"/>
            <w:vAlign w:val="bottom"/>
          </w:tcPr>
          <w:p>
            <w:pPr>
              <w:jc w:val="center"/>
              <w:ind w:left="299"/>
              <w:spacing w:after="0"/>
              <w:rPr>
                <w:rFonts w:ascii="Arial" w:cs="Arial" w:eastAsia="Arial" w:hAnsi="Arial"/>
                <w:sz w:val="16"/>
                <w:szCs w:val="16"/>
                <w:u w:val="single" w:color="auto"/>
                <w:color w:val="0000EE"/>
                <w:w w:val="89"/>
              </w:rPr>
            </w:pPr>
            <w:hyperlink w:anchor="page40">
              <w:r>
                <w:rPr>
                  <w:rFonts w:ascii="Arial" w:cs="Arial" w:eastAsia="Arial" w:hAnsi="Arial"/>
                  <w:sz w:val="16"/>
                  <w:szCs w:val="16"/>
                  <w:u w:val="single" w:color="auto"/>
                  <w:color w:val="0000EE"/>
                  <w:w w:val="89"/>
                </w:rPr>
                <w:t>37</w:t>
              </w:r>
            </w:hyperlink>
          </w:p>
        </w:tc>
      </w:tr>
      <w:tr>
        <w:trPr>
          <w:trHeight w:val="270"/>
        </w:trPr>
        <w:tc>
          <w:tcPr>
            <w:tcW w:w="8380" w:type="dxa"/>
            <w:vAlign w:val="bottom"/>
            <w:gridSpan w:val="10"/>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Controls and Procedures</w:t>
              </w:r>
            </w:hyperlink>
          </w:p>
        </w:tc>
        <w:tc>
          <w:tcPr>
            <w:tcW w:w="540" w:type="dxa"/>
            <w:vAlign w:val="bottom"/>
          </w:tcPr>
          <w:p>
            <w:pPr>
              <w:jc w:val="center"/>
              <w:ind w:left="299"/>
              <w:spacing w:after="0"/>
              <w:rPr>
                <w:rFonts w:ascii="Arial" w:cs="Arial" w:eastAsia="Arial" w:hAnsi="Arial"/>
                <w:sz w:val="16"/>
                <w:szCs w:val="16"/>
                <w:u w:val="single" w:color="auto"/>
                <w:color w:val="0000EE"/>
                <w:w w:val="89"/>
              </w:rPr>
            </w:pPr>
            <w:hyperlink w:anchor="page40">
              <w:r>
                <w:rPr>
                  <w:rFonts w:ascii="Arial" w:cs="Arial" w:eastAsia="Arial" w:hAnsi="Arial"/>
                  <w:sz w:val="16"/>
                  <w:szCs w:val="16"/>
                  <w:u w:val="single" w:color="auto"/>
                  <w:color w:val="0000EE"/>
                  <w:w w:val="89"/>
                </w:rPr>
                <w:t>37</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-1830070</wp:posOffset>
            </wp:positionV>
            <wp:extent cx="71323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-1247140</wp:posOffset>
            </wp:positionV>
            <wp:extent cx="71323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-664210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-321310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20955</wp:posOffset>
            </wp:positionV>
            <wp:extent cx="7132320" cy="77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1020" w:space="600"/>
            <w:col w:w="9620"/>
          </w:cols>
          <w:pgMar w:left="320" w:top="1440" w:right="3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u w:val="single" w:color="auto"/>
          <w:color w:val="0000EE"/>
        </w:rPr>
        <w:t>Part II. Other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56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Item 1</w:t>
              </w:r>
            </w:hyperlink>
          </w:p>
        </w:tc>
        <w:tc>
          <w:tcPr>
            <w:tcW w:w="6580" w:type="dxa"/>
            <w:vAlign w:val="bottom"/>
            <w:tcBorders>
              <w:bottom w:val="single" w:sz="8" w:color="CCEEFF"/>
            </w:tcBorders>
            <w:shd w:val="clear" w:color="auto" w:fill="CCEEFF"/>
          </w:tcPr>
          <w:p>
            <w:pPr>
              <w:ind w:left="24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Legal Proceedings</w:t>
              </w:r>
            </w:hyperlink>
          </w:p>
        </w:tc>
        <w:tc>
          <w:tcPr>
            <w:tcW w:w="3280" w:type="dxa"/>
            <w:vAlign w:val="bottom"/>
            <w:tcBorders>
              <w:bottom w:val="single" w:sz="8" w:color="CCEEFF"/>
            </w:tcBorders>
            <w:shd w:val="clear" w:color="auto" w:fill="CCEEFF"/>
          </w:tcPr>
          <w:p>
            <w:pPr>
              <w:jc w:val="right"/>
              <w:ind w:right="619"/>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39</w:t>
              </w:r>
            </w:hyperlink>
          </w:p>
        </w:tc>
      </w:tr>
      <w:tr>
        <w:trPr>
          <w:trHeight w:val="237"/>
        </w:trPr>
        <w:tc>
          <w:tcPr>
            <w:tcW w:w="40" w:type="dxa"/>
            <w:vAlign w:val="bottom"/>
          </w:tcPr>
          <w:p>
            <w:pPr>
              <w:spacing w:after="0"/>
              <w:rPr>
                <w:sz w:val="20"/>
                <w:szCs w:val="20"/>
                <w:color w:val="auto"/>
              </w:rPr>
            </w:pPr>
          </w:p>
        </w:tc>
        <w:tc>
          <w:tcPr>
            <w:tcW w:w="1340" w:type="dxa"/>
            <w:vAlign w:val="bottom"/>
            <w:gridSpan w:val="2"/>
          </w:tcPr>
          <w:p>
            <w:pPr>
              <w:ind w:left="56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Item 1A</w:t>
              </w:r>
            </w:hyperlink>
          </w:p>
        </w:tc>
        <w:tc>
          <w:tcPr>
            <w:tcW w:w="6580" w:type="dxa"/>
            <w:vAlign w:val="bottom"/>
          </w:tcPr>
          <w:p>
            <w:pPr>
              <w:ind w:left="24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Risk Factors</w:t>
              </w:r>
            </w:hyperlink>
          </w:p>
        </w:tc>
        <w:tc>
          <w:tcPr>
            <w:tcW w:w="3280" w:type="dxa"/>
            <w:vAlign w:val="bottom"/>
          </w:tcPr>
          <w:p>
            <w:pPr>
              <w:jc w:val="right"/>
              <w:ind w:right="619"/>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39</w:t>
              </w:r>
            </w:hyperlink>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56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Item 2</w:t>
              </w:r>
            </w:hyperlink>
          </w:p>
        </w:tc>
        <w:tc>
          <w:tcPr>
            <w:tcW w:w="6580" w:type="dxa"/>
            <w:vAlign w:val="bottom"/>
            <w:tcBorders>
              <w:bottom w:val="single" w:sz="8" w:color="CCEEFF"/>
            </w:tcBorders>
            <w:shd w:val="clear" w:color="auto" w:fill="CCEEFF"/>
          </w:tcPr>
          <w:p>
            <w:pPr>
              <w:ind w:left="24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Unregistered Sales of Equity Securities and Use of Proceeds</w:t>
              </w:r>
            </w:hyperlink>
          </w:p>
        </w:tc>
        <w:tc>
          <w:tcPr>
            <w:tcW w:w="3280" w:type="dxa"/>
            <w:vAlign w:val="bottom"/>
            <w:tcBorders>
              <w:bottom w:val="single" w:sz="8" w:color="CCEEFF"/>
            </w:tcBorders>
            <w:shd w:val="clear" w:color="auto" w:fill="CCEEFF"/>
          </w:tcPr>
          <w:p>
            <w:pPr>
              <w:jc w:val="right"/>
              <w:ind w:right="619"/>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39</w:t>
              </w:r>
            </w:hyperlink>
          </w:p>
        </w:tc>
      </w:tr>
      <w:tr>
        <w:trPr>
          <w:trHeight w:val="237"/>
        </w:trPr>
        <w:tc>
          <w:tcPr>
            <w:tcW w:w="40" w:type="dxa"/>
            <w:vAlign w:val="bottom"/>
          </w:tcPr>
          <w:p>
            <w:pPr>
              <w:spacing w:after="0"/>
              <w:rPr>
                <w:sz w:val="20"/>
                <w:szCs w:val="20"/>
                <w:color w:val="auto"/>
              </w:rPr>
            </w:pPr>
          </w:p>
        </w:tc>
        <w:tc>
          <w:tcPr>
            <w:tcW w:w="1340" w:type="dxa"/>
            <w:vAlign w:val="bottom"/>
            <w:gridSpan w:val="2"/>
          </w:tcPr>
          <w:p>
            <w:pPr>
              <w:ind w:left="56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Item 3</w:t>
              </w:r>
            </w:hyperlink>
          </w:p>
        </w:tc>
        <w:tc>
          <w:tcPr>
            <w:tcW w:w="6580" w:type="dxa"/>
            <w:vAlign w:val="bottom"/>
          </w:tcPr>
          <w:p>
            <w:pPr>
              <w:ind w:left="24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Defaults upon Senior Securities</w:t>
              </w:r>
            </w:hyperlink>
          </w:p>
        </w:tc>
        <w:tc>
          <w:tcPr>
            <w:tcW w:w="3280" w:type="dxa"/>
            <w:vAlign w:val="bottom"/>
          </w:tcPr>
          <w:p>
            <w:pPr>
              <w:jc w:val="right"/>
              <w:ind w:right="619"/>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39</w:t>
              </w:r>
            </w:hyperlink>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56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Item 4</w:t>
              </w:r>
            </w:hyperlink>
          </w:p>
        </w:tc>
        <w:tc>
          <w:tcPr>
            <w:tcW w:w="6580" w:type="dxa"/>
            <w:vAlign w:val="bottom"/>
            <w:tcBorders>
              <w:bottom w:val="single" w:sz="8" w:color="CCEEFF"/>
            </w:tcBorders>
            <w:shd w:val="clear" w:color="auto" w:fill="CCEEFF"/>
          </w:tcPr>
          <w:p>
            <w:pPr>
              <w:ind w:left="24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Mine Safety Disclosures</w:t>
              </w:r>
            </w:hyperlink>
          </w:p>
        </w:tc>
        <w:tc>
          <w:tcPr>
            <w:tcW w:w="3280" w:type="dxa"/>
            <w:vAlign w:val="bottom"/>
            <w:tcBorders>
              <w:bottom w:val="single" w:sz="8" w:color="CCEEFF"/>
            </w:tcBorders>
            <w:shd w:val="clear" w:color="auto" w:fill="CCEEFF"/>
          </w:tcPr>
          <w:p>
            <w:pPr>
              <w:jc w:val="right"/>
              <w:ind w:right="619"/>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39</w:t>
              </w:r>
            </w:hyperlink>
          </w:p>
        </w:tc>
      </w:tr>
      <w:tr>
        <w:trPr>
          <w:trHeight w:val="237"/>
        </w:trPr>
        <w:tc>
          <w:tcPr>
            <w:tcW w:w="40" w:type="dxa"/>
            <w:vAlign w:val="bottom"/>
          </w:tcPr>
          <w:p>
            <w:pPr>
              <w:spacing w:after="0"/>
              <w:rPr>
                <w:sz w:val="20"/>
                <w:szCs w:val="20"/>
                <w:color w:val="auto"/>
              </w:rPr>
            </w:pPr>
          </w:p>
        </w:tc>
        <w:tc>
          <w:tcPr>
            <w:tcW w:w="1340" w:type="dxa"/>
            <w:vAlign w:val="bottom"/>
            <w:gridSpan w:val="2"/>
          </w:tcPr>
          <w:p>
            <w:pPr>
              <w:ind w:left="56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Item 5</w:t>
              </w:r>
            </w:hyperlink>
          </w:p>
        </w:tc>
        <w:tc>
          <w:tcPr>
            <w:tcW w:w="6580" w:type="dxa"/>
            <w:vAlign w:val="bottom"/>
          </w:tcPr>
          <w:p>
            <w:pPr>
              <w:ind w:left="24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Other Information</w:t>
              </w:r>
            </w:hyperlink>
          </w:p>
        </w:tc>
        <w:tc>
          <w:tcPr>
            <w:tcW w:w="3280" w:type="dxa"/>
            <w:vAlign w:val="bottom"/>
          </w:tcPr>
          <w:p>
            <w:pPr>
              <w:jc w:val="right"/>
              <w:ind w:right="619"/>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39</w:t>
              </w:r>
            </w:hyperlink>
          </w:p>
        </w:tc>
      </w:tr>
      <w:tr>
        <w:trPr>
          <w:trHeight w:val="33"/>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56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Item 6</w:t>
              </w:r>
            </w:hyperlink>
          </w:p>
        </w:tc>
        <w:tc>
          <w:tcPr>
            <w:tcW w:w="6580" w:type="dxa"/>
            <w:vAlign w:val="bottom"/>
            <w:tcBorders>
              <w:bottom w:val="single" w:sz="8" w:color="CCEEFF"/>
            </w:tcBorders>
            <w:shd w:val="clear" w:color="auto" w:fill="CCEEFF"/>
          </w:tcPr>
          <w:p>
            <w:pPr>
              <w:ind w:left="24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Exhibits</w:t>
              </w:r>
            </w:hyperlink>
          </w:p>
        </w:tc>
        <w:tc>
          <w:tcPr>
            <w:tcW w:w="3280" w:type="dxa"/>
            <w:vAlign w:val="bottom"/>
            <w:tcBorders>
              <w:bottom w:val="single" w:sz="8" w:color="CCEEFF"/>
            </w:tcBorders>
            <w:shd w:val="clear" w:color="auto" w:fill="CCEEFF"/>
          </w:tcPr>
          <w:p>
            <w:pPr>
              <w:jc w:val="right"/>
              <w:ind w:right="619"/>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40</w:t>
              </w:r>
            </w:hyperlink>
          </w:p>
        </w:tc>
      </w:tr>
      <w:tr>
        <w:trPr>
          <w:trHeight w:val="121"/>
        </w:trPr>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3280" w:type="dxa"/>
            <w:vAlign w:val="bottom"/>
          </w:tcPr>
          <w:p>
            <w:pPr>
              <w:spacing w:after="0"/>
              <w:rPr>
                <w:sz w:val="10"/>
                <w:szCs w:val="10"/>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Signatures</w:t>
              </w:r>
            </w:hyperlink>
          </w:p>
        </w:tc>
        <w:tc>
          <w:tcPr>
            <w:tcW w:w="658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jc w:val="right"/>
              <w:ind w:right="619"/>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41</w:t>
              </w:r>
            </w:hyperlink>
          </w:p>
        </w:tc>
      </w:tr>
      <w:tr>
        <w:trPr>
          <w:trHeight w:val="122"/>
        </w:trPr>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3280" w:type="dxa"/>
            <w:vAlign w:val="bottom"/>
          </w:tcPr>
          <w:p>
            <w:pPr>
              <w:spacing w:after="0"/>
              <w:rPr>
                <w:sz w:val="10"/>
                <w:szCs w:val="10"/>
                <w:color w:val="auto"/>
              </w:rPr>
            </w:pPr>
          </w:p>
        </w:tc>
      </w:tr>
      <w:tr>
        <w:trPr>
          <w:trHeight w:val="203"/>
        </w:trPr>
        <w:tc>
          <w:tcPr>
            <w:tcW w:w="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0000EE"/>
              </w:rPr>
              <w:t>Certifications</w:t>
            </w:r>
          </w:p>
        </w:tc>
        <w:tc>
          <w:tcPr>
            <w:tcW w:w="65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580" w:type="dxa"/>
            <w:vAlign w:val="bottom"/>
            <w:tcBorders>
              <w:top w:val="single" w:sz="8" w:color="CCEEFF"/>
            </w:tcBorders>
            <w:shd w:val="clear" w:color="auto" w:fill="CCEEFF"/>
          </w:tcPr>
          <w:p>
            <w:pPr>
              <w:spacing w:after="0"/>
              <w:rPr>
                <w:sz w:val="4"/>
                <w:szCs w:val="4"/>
                <w:color w:val="auto"/>
              </w:rPr>
            </w:pPr>
          </w:p>
        </w:tc>
        <w:tc>
          <w:tcPr>
            <w:tcW w:w="328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26, 2020</w:t>
            </w:r>
          </w:p>
        </w:tc>
        <w:tc>
          <w:tcPr>
            <w:tcW w:w="200" w:type="dxa"/>
            <w:vAlign w:val="bottom"/>
          </w:tcPr>
          <w:p>
            <w:pPr>
              <w:spacing w:after="0"/>
              <w:rPr>
                <w:sz w:val="17"/>
                <w:szCs w:val="17"/>
                <w:color w:val="auto"/>
              </w:rPr>
            </w:pPr>
          </w:p>
        </w:tc>
        <w:tc>
          <w:tcPr>
            <w:tcW w:w="178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28, 2019</w:t>
            </w:r>
          </w:p>
        </w:tc>
        <w:tc>
          <w:tcPr>
            <w:tcW w:w="220" w:type="dxa"/>
            <w:vAlign w:val="bottom"/>
          </w:tcPr>
          <w:p>
            <w:pPr>
              <w:spacing w:after="0"/>
              <w:rPr>
                <w:sz w:val="17"/>
                <w:szCs w:val="17"/>
                <w:color w:val="auto"/>
              </w:rPr>
            </w:pPr>
          </w:p>
        </w:tc>
        <w:tc>
          <w:tcPr>
            <w:tcW w:w="1680" w:type="dxa"/>
            <w:vAlign w:val="bottom"/>
          </w:tcPr>
          <w:p>
            <w:pPr>
              <w:jc w:val="right"/>
              <w:ind w:right="224"/>
              <w:spacing w:after="0"/>
              <w:rPr>
                <w:sz w:val="20"/>
                <w:szCs w:val="20"/>
                <w:color w:val="auto"/>
              </w:rPr>
            </w:pPr>
            <w:r>
              <w:rPr>
                <w:rFonts w:ascii="Arial" w:cs="Arial" w:eastAsia="Arial" w:hAnsi="Arial"/>
                <w:sz w:val="15"/>
                <w:szCs w:val="15"/>
                <w:b w:val="1"/>
                <w:bCs w:val="1"/>
                <w:color w:val="auto"/>
                <w:w w:val="97"/>
              </w:rPr>
              <w:t>September 28, 2019</w:t>
            </w:r>
          </w:p>
        </w:tc>
      </w:tr>
      <w:tr>
        <w:trPr>
          <w:trHeight w:val="268"/>
        </w:trPr>
        <w:tc>
          <w:tcPr>
            <w:tcW w:w="5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680" w:type="dxa"/>
            <w:vAlign w:val="bottom"/>
            <w:tcBorders>
              <w:top w:val="single" w:sz="8" w:color="auto"/>
            </w:tcBorders>
            <w:shd w:val="clear" w:color="auto" w:fill="CCEEFF"/>
          </w:tcPr>
          <w:p>
            <w:pPr>
              <w:spacing w:after="0"/>
              <w:rPr>
                <w:sz w:val="23"/>
                <w:szCs w:val="23"/>
                <w:color w:val="auto"/>
              </w:rPr>
            </w:pP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4"/>
        </w:trPr>
        <w:tc>
          <w:tcPr>
            <w:tcW w:w="5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831,175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214,311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153,936</w:t>
            </w:r>
          </w:p>
        </w:tc>
      </w:tr>
      <w:tr>
        <w:trPr>
          <w:trHeight w:val="176"/>
        </w:trPr>
        <w:tc>
          <w:tcPr>
            <w:tcW w:w="5300" w:type="dxa"/>
            <w:vAlign w:val="bottom"/>
          </w:tcPr>
          <w:p>
            <w:pPr>
              <w:ind w:left="180"/>
              <w:spacing w:after="0"/>
              <w:rPr>
                <w:sz w:val="20"/>
                <w:szCs w:val="20"/>
                <w:color w:val="auto"/>
              </w:rPr>
            </w:pPr>
            <w:r>
              <w:rPr>
                <w:rFonts w:ascii="Arial" w:cs="Arial" w:eastAsia="Arial" w:hAnsi="Arial"/>
                <w:sz w:val="15"/>
                <w:szCs w:val="15"/>
                <w:color w:val="auto"/>
                <w:w w:val="94"/>
              </w:rPr>
              <w:t>Accounts receivable, net of allowance for credit losses of $7,675, $6,354, $4,591,</w:t>
            </w: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8"/>
        </w:trPr>
        <w:tc>
          <w:tcPr>
            <w:tcW w:w="5300" w:type="dxa"/>
            <w:vAlign w:val="bottom"/>
          </w:tcPr>
          <w:p>
            <w:pPr>
              <w:ind w:left="180"/>
              <w:spacing w:after="0"/>
              <w:rPr>
                <w:sz w:val="20"/>
                <w:szCs w:val="20"/>
                <w:color w:val="auto"/>
              </w:rPr>
            </w:pPr>
            <w:r>
              <w:rPr>
                <w:rFonts w:ascii="Arial" w:cs="Arial" w:eastAsia="Arial" w:hAnsi="Arial"/>
                <w:sz w:val="15"/>
                <w:szCs w:val="15"/>
                <w:color w:val="auto"/>
              </w:rPr>
              <w:t>respectively</w:t>
            </w:r>
          </w:p>
        </w:tc>
        <w:tc>
          <w:tcPr>
            <w:tcW w:w="220" w:type="dxa"/>
            <w:vAlign w:val="bottom"/>
          </w:tcPr>
          <w:p>
            <w:pPr>
              <w:spacing w:after="0"/>
              <w:rPr>
                <w:sz w:val="17"/>
                <w:szCs w:val="17"/>
                <w:color w:val="auto"/>
              </w:rPr>
            </w:pPr>
          </w:p>
        </w:tc>
        <w:tc>
          <w:tcPr>
            <w:tcW w:w="1720" w:type="dxa"/>
            <w:vAlign w:val="bottom"/>
          </w:tcPr>
          <w:p>
            <w:pPr>
              <w:jc w:val="right"/>
              <w:ind w:right="64"/>
              <w:spacing w:after="0"/>
              <w:rPr>
                <w:sz w:val="20"/>
                <w:szCs w:val="20"/>
                <w:color w:val="auto"/>
              </w:rPr>
            </w:pPr>
            <w:r>
              <w:rPr>
                <w:rFonts w:ascii="Arial" w:cs="Arial" w:eastAsia="Arial" w:hAnsi="Arial"/>
                <w:sz w:val="15"/>
                <w:szCs w:val="15"/>
                <w:color w:val="auto"/>
              </w:rPr>
              <w:t>263,231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251,005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293,203</w:t>
            </w:r>
          </w:p>
        </w:tc>
      </w:tr>
      <w:tr>
        <w:trPr>
          <w:trHeight w:val="180"/>
        </w:trPr>
        <w:tc>
          <w:tcPr>
            <w:tcW w:w="530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9"/>
              </w:rPr>
              <w:t>Finished goods inventories, net of inventory reserves of $30,053, $9,283, and</w:t>
            </w: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02"/>
        </w:trPr>
        <w:tc>
          <w:tcPr>
            <w:tcW w:w="5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$19,583, respectively</w:t>
            </w: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646,608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593,987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723,242</w:t>
            </w:r>
          </w:p>
        </w:tc>
      </w:tr>
      <w:tr>
        <w:trPr>
          <w:trHeight w:val="266"/>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Prepaid expenses and other current assets</w:t>
            </w: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56,493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48,454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53,264</w:t>
            </w:r>
          </w:p>
        </w:tc>
      </w:tr>
      <w:tr>
        <w:trPr>
          <w:trHeight w:val="254"/>
        </w:trPr>
        <w:tc>
          <w:tcPr>
            <w:tcW w:w="53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current assets</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1,797,507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1,107,757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1,223,645</w:t>
            </w:r>
          </w:p>
        </w:tc>
      </w:tr>
      <w:tr>
        <w:trPr>
          <w:trHeight w:val="176"/>
        </w:trPr>
        <w:tc>
          <w:tcPr>
            <w:tcW w:w="5300" w:type="dxa"/>
            <w:vAlign w:val="bottom"/>
          </w:tcPr>
          <w:p>
            <w:pPr>
              <w:ind w:left="40"/>
              <w:spacing w:after="0"/>
              <w:rPr>
                <w:sz w:val="20"/>
                <w:szCs w:val="20"/>
                <w:color w:val="auto"/>
              </w:rPr>
            </w:pPr>
            <w:r>
              <w:rPr>
                <w:rFonts w:ascii="Arial" w:cs="Arial" w:eastAsia="Arial" w:hAnsi="Arial"/>
                <w:sz w:val="15"/>
                <w:szCs w:val="15"/>
                <w:color w:val="auto"/>
              </w:rPr>
              <w:t>Property, plant, and equipment, net of accumulated depreciation of $576,123,</w:t>
            </w: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8"/>
        </w:trPr>
        <w:tc>
          <w:tcPr>
            <w:tcW w:w="5300" w:type="dxa"/>
            <w:vAlign w:val="bottom"/>
          </w:tcPr>
          <w:p>
            <w:pPr>
              <w:ind w:left="40"/>
              <w:spacing w:after="0"/>
              <w:rPr>
                <w:sz w:val="20"/>
                <w:szCs w:val="20"/>
                <w:color w:val="auto"/>
              </w:rPr>
            </w:pPr>
            <w:r>
              <w:rPr>
                <w:rFonts w:ascii="Arial" w:cs="Arial" w:eastAsia="Arial" w:hAnsi="Arial"/>
                <w:sz w:val="15"/>
                <w:szCs w:val="15"/>
                <w:color w:val="auto"/>
              </w:rPr>
              <w:t>$523,848, and $504,833, respectively</w:t>
            </w:r>
          </w:p>
        </w:tc>
        <w:tc>
          <w:tcPr>
            <w:tcW w:w="220" w:type="dxa"/>
            <w:vAlign w:val="bottom"/>
          </w:tcPr>
          <w:p>
            <w:pPr>
              <w:spacing w:after="0"/>
              <w:rPr>
                <w:sz w:val="17"/>
                <w:szCs w:val="17"/>
                <w:color w:val="auto"/>
              </w:rPr>
            </w:pPr>
          </w:p>
        </w:tc>
        <w:tc>
          <w:tcPr>
            <w:tcW w:w="1720" w:type="dxa"/>
            <w:vAlign w:val="bottom"/>
          </w:tcPr>
          <w:p>
            <w:pPr>
              <w:jc w:val="right"/>
              <w:ind w:right="64"/>
              <w:spacing w:after="0"/>
              <w:rPr>
                <w:sz w:val="20"/>
                <w:szCs w:val="20"/>
                <w:color w:val="auto"/>
              </w:rPr>
            </w:pPr>
            <w:r>
              <w:rPr>
                <w:rFonts w:ascii="Arial" w:cs="Arial" w:eastAsia="Arial" w:hAnsi="Arial"/>
                <w:sz w:val="15"/>
                <w:szCs w:val="15"/>
                <w:color w:val="auto"/>
              </w:rPr>
              <w:t>274,574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320,168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330,371</w:t>
            </w:r>
          </w:p>
        </w:tc>
      </w:tr>
      <w:tr>
        <w:trPr>
          <w:trHeight w:val="274"/>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lease assets</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619,057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687,024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709,523</w:t>
            </w: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color w:val="auto"/>
              </w:rPr>
              <w:t>Tradenames, net</w:t>
            </w:r>
          </w:p>
        </w:tc>
        <w:tc>
          <w:tcPr>
            <w:tcW w:w="220" w:type="dxa"/>
            <w:vAlign w:val="bottom"/>
          </w:tcPr>
          <w:p>
            <w:pPr>
              <w:spacing w:after="0"/>
              <w:rPr>
                <w:sz w:val="23"/>
                <w:szCs w:val="23"/>
                <w:color w:val="auto"/>
              </w:rPr>
            </w:pPr>
          </w:p>
        </w:tc>
        <w:tc>
          <w:tcPr>
            <w:tcW w:w="1720" w:type="dxa"/>
            <w:vAlign w:val="bottom"/>
          </w:tcPr>
          <w:p>
            <w:pPr>
              <w:jc w:val="right"/>
              <w:ind w:right="64"/>
              <w:spacing w:after="0"/>
              <w:rPr>
                <w:sz w:val="20"/>
                <w:szCs w:val="20"/>
                <w:color w:val="auto"/>
              </w:rPr>
            </w:pPr>
            <w:r>
              <w:rPr>
                <w:rFonts w:ascii="Arial" w:cs="Arial" w:eastAsia="Arial" w:hAnsi="Arial"/>
                <w:sz w:val="15"/>
                <w:szCs w:val="15"/>
                <w:color w:val="auto"/>
              </w:rPr>
              <w:t>307,955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334,642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334,705</w:t>
            </w:r>
          </w:p>
        </w:tc>
      </w:tr>
      <w:tr>
        <w:trPr>
          <w:trHeight w:val="274"/>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Goodwill</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209,507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229,026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228,235</w:t>
            </w: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color w:val="auto"/>
              </w:rPr>
              <w:t>Customer relationships, net</w:t>
            </w:r>
          </w:p>
        </w:tc>
        <w:tc>
          <w:tcPr>
            <w:tcW w:w="220" w:type="dxa"/>
            <w:vAlign w:val="bottom"/>
          </w:tcPr>
          <w:p>
            <w:pPr>
              <w:spacing w:after="0"/>
              <w:rPr>
                <w:sz w:val="23"/>
                <w:szCs w:val="23"/>
                <w:color w:val="auto"/>
              </w:rPr>
            </w:pPr>
          </w:p>
        </w:tc>
        <w:tc>
          <w:tcPr>
            <w:tcW w:w="1720" w:type="dxa"/>
            <w:vAlign w:val="bottom"/>
          </w:tcPr>
          <w:p>
            <w:pPr>
              <w:jc w:val="right"/>
              <w:ind w:right="64"/>
              <w:spacing w:after="0"/>
              <w:rPr>
                <w:sz w:val="20"/>
                <w:szCs w:val="20"/>
                <w:color w:val="auto"/>
              </w:rPr>
            </w:pPr>
            <w:r>
              <w:rPr>
                <w:rFonts w:ascii="Arial" w:cs="Arial" w:eastAsia="Arial" w:hAnsi="Arial"/>
                <w:sz w:val="15"/>
                <w:szCs w:val="15"/>
                <w:color w:val="auto"/>
              </w:rPr>
              <w:t>38,147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41,126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41,890</w:t>
            </w: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assets</w:t>
            </w: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34,874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33,374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31,211</w:t>
            </w:r>
          </w:p>
        </w:tc>
      </w:tr>
      <w:tr>
        <w:trPr>
          <w:trHeight w:val="280"/>
        </w:trPr>
        <w:tc>
          <w:tcPr>
            <w:tcW w:w="5300" w:type="dxa"/>
            <w:vAlign w:val="bottom"/>
            <w:tcBorders>
              <w:bottom w:val="single" w:sz="8" w:color="CCEEFF"/>
            </w:tcBorders>
          </w:tcPr>
          <w:p>
            <w:pPr>
              <w:ind w:left="600"/>
              <w:spacing w:after="0"/>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3,281,621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2,753,117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2,899,580</w:t>
            </w:r>
          </w:p>
        </w:tc>
      </w:tr>
      <w:tr>
        <w:trPr>
          <w:trHeight w:val="197"/>
        </w:trPr>
        <w:tc>
          <w:tcPr>
            <w:tcW w:w="5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4"/>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Current liabilities:</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66"/>
        </w:trPr>
        <w:tc>
          <w:tcPr>
            <w:tcW w:w="5300" w:type="dxa"/>
            <w:vAlign w:val="bottom"/>
          </w:tcPr>
          <w:p>
            <w:pPr>
              <w:ind w:left="180"/>
              <w:spacing w:after="0"/>
              <w:rPr>
                <w:sz w:val="20"/>
                <w:szCs w:val="20"/>
                <w:color w:val="auto"/>
              </w:rPr>
            </w:pPr>
            <w:r>
              <w:rPr>
                <w:rFonts w:ascii="Arial" w:cs="Arial" w:eastAsia="Arial" w:hAnsi="Arial"/>
                <w:sz w:val="15"/>
                <w:szCs w:val="15"/>
                <w:color w:val="auto"/>
              </w:rPr>
              <w:t>Accounts payable</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64"/>
              <w:spacing w:after="0"/>
              <w:rPr>
                <w:sz w:val="20"/>
                <w:szCs w:val="20"/>
                <w:color w:val="auto"/>
              </w:rPr>
            </w:pPr>
            <w:r>
              <w:rPr>
                <w:rFonts w:ascii="Arial" w:cs="Arial" w:eastAsia="Arial" w:hAnsi="Arial"/>
                <w:sz w:val="15"/>
                <w:szCs w:val="15"/>
                <w:color w:val="auto"/>
              </w:rPr>
              <w:t>473,473</w:t>
            </w:r>
          </w:p>
        </w:tc>
        <w:tc>
          <w:tcPr>
            <w:tcW w:w="120" w:type="dxa"/>
            <w:vAlign w:val="bottom"/>
          </w:tcPr>
          <w:p>
            <w:pPr>
              <w:spacing w:after="0"/>
              <w:rPr>
                <w:sz w:val="23"/>
                <w:szCs w:val="23"/>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183,641</w:t>
            </w:r>
          </w:p>
        </w:tc>
        <w:tc>
          <w:tcPr>
            <w:tcW w:w="100" w:type="dxa"/>
            <w:vAlign w:val="bottom"/>
          </w:tcPr>
          <w:p>
            <w:pPr>
              <w:spacing w:after="0"/>
              <w:rPr>
                <w:sz w:val="23"/>
                <w:szCs w:val="23"/>
                <w:color w:val="auto"/>
              </w:rPr>
            </w:pPr>
          </w:p>
        </w:tc>
        <w:tc>
          <w:tcPr>
            <w:tcW w:w="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205,782</w:t>
            </w:r>
          </w:p>
        </w:tc>
      </w:tr>
      <w:tr>
        <w:trPr>
          <w:trHeight w:val="274"/>
        </w:trPr>
        <w:tc>
          <w:tcPr>
            <w:tcW w:w="5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Current operating lease liabilities</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172,364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160,228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158,524</w:t>
            </w:r>
          </w:p>
        </w:tc>
      </w:tr>
      <w:tr>
        <w:trPr>
          <w:trHeight w:val="266"/>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current liabilities</w:t>
            </w: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115,069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131,631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119,862</w:t>
            </w:r>
          </w:p>
        </w:tc>
      </w:tr>
      <w:tr>
        <w:trPr>
          <w:trHeight w:val="254"/>
        </w:trPr>
        <w:tc>
          <w:tcPr>
            <w:tcW w:w="53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current liabilities</w:t>
            </w: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760,906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475,500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484,168</w:t>
            </w:r>
          </w:p>
        </w:tc>
      </w:t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Long-term debt, net</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989,086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594,672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769,525</w:t>
            </w: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color w:val="auto"/>
              </w:rPr>
              <w:t>Deferred income taxes</w:t>
            </w:r>
          </w:p>
        </w:tc>
        <w:tc>
          <w:tcPr>
            <w:tcW w:w="220" w:type="dxa"/>
            <w:vAlign w:val="bottom"/>
          </w:tcPr>
          <w:p>
            <w:pPr>
              <w:spacing w:after="0"/>
              <w:rPr>
                <w:sz w:val="23"/>
                <w:szCs w:val="23"/>
                <w:color w:val="auto"/>
              </w:rPr>
            </w:pPr>
          </w:p>
        </w:tc>
        <w:tc>
          <w:tcPr>
            <w:tcW w:w="1720" w:type="dxa"/>
            <w:vAlign w:val="bottom"/>
          </w:tcPr>
          <w:p>
            <w:pPr>
              <w:jc w:val="right"/>
              <w:ind w:right="64"/>
              <w:spacing w:after="0"/>
              <w:rPr>
                <w:sz w:val="20"/>
                <w:szCs w:val="20"/>
                <w:color w:val="auto"/>
              </w:rPr>
            </w:pPr>
            <w:r>
              <w:rPr>
                <w:rFonts w:ascii="Arial" w:cs="Arial" w:eastAsia="Arial" w:hAnsi="Arial"/>
                <w:sz w:val="15"/>
                <w:szCs w:val="15"/>
                <w:color w:val="auto"/>
              </w:rPr>
              <w:t>60,160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74,370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78,916</w:t>
            </w:r>
          </w:p>
        </w:tc>
      </w:tr>
      <w:tr>
        <w:trPr>
          <w:trHeight w:val="274"/>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Long-term operating lease liabilities</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587,099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664,372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691,717</w:t>
            </w:r>
          </w:p>
        </w:tc>
      </w:tr>
      <w:tr>
        <w:trPr>
          <w:trHeight w:val="266"/>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Other long-term liabilities</w:t>
            </w: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62,489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64,073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62,520</w:t>
            </w:r>
          </w:p>
        </w:tc>
      </w:tr>
      <w:tr>
        <w:trPr>
          <w:trHeight w:val="254"/>
        </w:trPr>
        <w:tc>
          <w:tcPr>
            <w:tcW w:w="53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liabilities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2,459,740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1,872,987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2,086,846</w:t>
            </w:r>
          </w:p>
        </w:tc>
      </w:t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Commitments and contingencies - Note 14</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16"/>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Stockholders' equity:</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176"/>
        </w:trPr>
        <w:tc>
          <w:tcPr>
            <w:tcW w:w="5300" w:type="dxa"/>
            <w:vAlign w:val="bottom"/>
          </w:tcPr>
          <w:p>
            <w:pPr>
              <w:ind w:left="40"/>
              <w:spacing w:after="0"/>
              <w:rPr>
                <w:sz w:val="20"/>
                <w:szCs w:val="20"/>
                <w:color w:val="auto"/>
              </w:rPr>
            </w:pPr>
            <w:r>
              <w:rPr>
                <w:rFonts w:ascii="Arial" w:cs="Arial" w:eastAsia="Arial" w:hAnsi="Arial"/>
                <w:sz w:val="15"/>
                <w:szCs w:val="15"/>
                <w:color w:val="auto"/>
                <w:w w:val="92"/>
              </w:rPr>
              <w:t>Preferred stock; par value $.01 per share; 100,000 shares authorized; none issued or</w:t>
            </w: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8"/>
        </w:trPr>
        <w:tc>
          <w:tcPr>
            <w:tcW w:w="5300" w:type="dxa"/>
            <w:vAlign w:val="bottom"/>
          </w:tcPr>
          <w:p>
            <w:pPr>
              <w:ind w:left="40"/>
              <w:spacing w:after="0"/>
              <w:rPr>
                <w:sz w:val="20"/>
                <w:szCs w:val="20"/>
                <w:color w:val="auto"/>
              </w:rPr>
            </w:pPr>
            <w:r>
              <w:rPr>
                <w:rFonts w:ascii="Arial" w:cs="Arial" w:eastAsia="Arial" w:hAnsi="Arial"/>
                <w:sz w:val="15"/>
                <w:szCs w:val="15"/>
                <w:color w:val="auto"/>
                <w:w w:val="95"/>
              </w:rPr>
              <w:t>outstanding at September 26, 2020, December 28, 2019, and September 28, 2019</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80"/>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w w:val="97"/>
              </w:rPr>
              <w:t>Common stock, voting; par value $.01 per share; 150,000,000 shares authorized;</w:t>
            </w: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162"/>
        </w:trPr>
        <w:tc>
          <w:tcPr>
            <w:tcW w:w="530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w w:val="92"/>
              </w:rPr>
              <w:t>43,648,671, 43,963,103 and 44,287,636 shares issued and outstanding at September</w:t>
            </w: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202"/>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26, 2020, December 28, 2019, and September 28, 2019, respectively</w:t>
            </w: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443</w:t>
            </w:r>
          </w:p>
        </w:tc>
      </w:tr>
      <w:tr>
        <w:trPr>
          <w:trHeight w:val="266"/>
        </w:trPr>
        <w:tc>
          <w:tcPr>
            <w:tcW w:w="5300" w:type="dxa"/>
            <w:vAlign w:val="bottom"/>
          </w:tcPr>
          <w:p>
            <w:pPr>
              <w:ind w:left="40"/>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23"/>
                <w:szCs w:val="23"/>
                <w:color w:val="auto"/>
              </w:rPr>
            </w:pPr>
          </w:p>
        </w:tc>
        <w:tc>
          <w:tcPr>
            <w:tcW w:w="1720" w:type="dxa"/>
            <w:vAlign w:val="bottom"/>
          </w:tcPr>
          <w:p>
            <w:pPr>
              <w:jc w:val="right"/>
              <w:ind w:right="64"/>
              <w:spacing w:after="0"/>
              <w:rPr>
                <w:sz w:val="20"/>
                <w:szCs w:val="20"/>
                <w:color w:val="auto"/>
              </w:rPr>
            </w:pPr>
            <w:r>
              <w:rPr>
                <w:rFonts w:ascii="Arial" w:cs="Arial" w:eastAsia="Arial" w:hAnsi="Arial"/>
                <w:sz w:val="15"/>
                <w:szCs w:val="15"/>
                <w:color w:val="auto"/>
              </w:rPr>
              <w:t>9,258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5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(41,402)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(38,908)</w:t>
            </w:r>
          </w:p>
        </w:tc>
      </w:tr>
      <w:tr>
        <w:trPr>
          <w:trHeight w:val="266"/>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Retained earnings</w:t>
            </w: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853,589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915,324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851,199</w:t>
            </w:r>
          </w:p>
        </w:tc>
      </w:tr>
      <w:tr>
        <w:trPr>
          <w:trHeight w:val="250"/>
        </w:trPr>
        <w:tc>
          <w:tcPr>
            <w:tcW w:w="530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821,881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880,130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812,734</w:t>
            </w:r>
          </w:p>
        </w:tc>
      </w:tr>
      <w:tr>
        <w:trPr>
          <w:trHeight w:val="240"/>
        </w:trPr>
        <w:tc>
          <w:tcPr>
            <w:tcW w:w="5300" w:type="dxa"/>
            <w:vAlign w:val="bottom"/>
          </w:tcPr>
          <w:p>
            <w:pPr>
              <w:ind w:left="720"/>
              <w:spacing w:after="0"/>
              <w:rPr>
                <w:sz w:val="20"/>
                <w:szCs w:val="20"/>
                <w:color w:val="auto"/>
              </w:rPr>
            </w:pPr>
            <w:r>
              <w:rPr>
                <w:rFonts w:ascii="Arial" w:cs="Arial" w:eastAsia="Arial" w:hAnsi="Arial"/>
                <w:sz w:val="15"/>
                <w:szCs w:val="15"/>
                <w:color w:val="auto"/>
              </w:rPr>
              <w:t>Total liabilities and stockholders' equity</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3,281,621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2,753,117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2,899,580</w:t>
            </w: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337"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CARTER’S,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gridSpan w:val="5"/>
          </w:tcPr>
          <w:p>
            <w:pPr>
              <w:ind w:left="900"/>
              <w:spacing w:after="0"/>
              <w:rPr>
                <w:sz w:val="20"/>
                <w:szCs w:val="20"/>
                <w:color w:val="auto"/>
              </w:rPr>
            </w:pPr>
            <w:r>
              <w:rPr>
                <w:rFonts w:ascii="Arial" w:cs="Arial" w:eastAsia="Arial" w:hAnsi="Arial"/>
                <w:sz w:val="16"/>
                <w:szCs w:val="16"/>
                <w:b w:val="1"/>
                <w:bCs w:val="1"/>
                <w:color w:val="auto"/>
              </w:rPr>
              <w:t>Fiscal quarter ended</w:t>
            </w:r>
          </w:p>
        </w:tc>
        <w:tc>
          <w:tcPr>
            <w:tcW w:w="140" w:type="dxa"/>
            <w:vAlign w:val="bottom"/>
          </w:tcPr>
          <w:p>
            <w:pPr>
              <w:spacing w:after="0"/>
              <w:rPr>
                <w:sz w:val="18"/>
                <w:szCs w:val="18"/>
                <w:color w:val="auto"/>
              </w:rPr>
            </w:pPr>
          </w:p>
        </w:tc>
        <w:tc>
          <w:tcPr>
            <w:tcW w:w="33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fiscal quarters ended</w:t>
            </w:r>
          </w:p>
        </w:tc>
      </w:tr>
      <w:tr>
        <w:trPr>
          <w:trHeight w:val="33"/>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26, 2020</w:t>
            </w:r>
          </w:p>
        </w:tc>
        <w:tc>
          <w:tcPr>
            <w:tcW w:w="14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28, 2019</w:t>
            </w:r>
          </w:p>
        </w:tc>
        <w:tc>
          <w:tcPr>
            <w:tcW w:w="14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26, 2020</w:t>
            </w:r>
          </w:p>
        </w:tc>
        <w:tc>
          <w:tcPr>
            <w:tcW w:w="14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September 28, 2019</w:t>
            </w:r>
          </w:p>
        </w:tc>
      </w:tr>
      <w:tr>
        <w:trPr>
          <w:trHeight w:val="33"/>
        </w:trPr>
        <w:tc>
          <w:tcPr>
            <w:tcW w:w="4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865,080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943,322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2,034,437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2,418,764</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483,333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540,808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1,170,778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1,376,336</w:t>
            </w:r>
          </w:p>
        </w:tc>
      </w:tr>
      <w:tr>
        <w:trPr>
          <w:trHeight w:val="3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Adverse purchase commitments (inventory and raw materials),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9"/>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1,354</w:t>
            </w:r>
          </w:p>
        </w:tc>
      </w:tr>
      <w:tr>
        <w:trPr>
          <w:trHeight w:val="217"/>
        </w:trPr>
        <w:tc>
          <w:tcPr>
            <w:tcW w:w="41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383,715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402,211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847,493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1,041,074</w:t>
            </w:r>
          </w:p>
        </w:tc>
      </w:tr>
      <w:tr>
        <w:trPr>
          <w:trHeight w:val="3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Royalty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27,371</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279,251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296,733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767,237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828,540</w:t>
            </w:r>
          </w:p>
        </w:tc>
      </w:tr>
      <w:tr>
        <w:trPr>
          <w:trHeight w:val="3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Intangible asset impairment</w:t>
            </w: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30,800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26,500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30,800</w:t>
            </w:r>
          </w:p>
        </w:tc>
      </w:tr>
      <w:tr>
        <w:trPr>
          <w:trHeight w:val="33"/>
        </w:trPr>
        <w:tc>
          <w:tcPr>
            <w:tcW w:w="4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113,527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83,870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209,105</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16,347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9,966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40,523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28,667</w:t>
            </w:r>
          </w:p>
        </w:tc>
      </w:tr>
      <w:tr>
        <w:trPr>
          <w:trHeight w:val="3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2,647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474</w:t>
            </w:r>
          </w:p>
        </w:tc>
      </w:tr>
      <w:tr>
        <w:trPr>
          <w:trHeight w:val="3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7,823</w:t>
            </w:r>
          </w:p>
        </w:tc>
      </w:tr>
      <w:tr>
        <w:trPr>
          <w:trHeight w:val="217"/>
        </w:trPr>
        <w:tc>
          <w:tcPr>
            <w:tcW w:w="41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100,268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73,621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14,050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173,078</w:t>
            </w:r>
          </w:p>
        </w:tc>
      </w:tr>
      <w:tr>
        <w:trPr>
          <w:trHeight w:val="3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34,423</w:t>
            </w:r>
          </w:p>
        </w:tc>
      </w:tr>
      <w:tr>
        <w:trPr>
          <w:trHeight w:val="284"/>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81,241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60,252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10,703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138,655</w:t>
            </w:r>
          </w:p>
        </w:tc>
      </w:tr>
      <w:tr>
        <w:trPr>
          <w:trHeight w:val="203"/>
        </w:trPr>
        <w:tc>
          <w:tcPr>
            <w:tcW w:w="4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3.08</w:t>
            </w:r>
          </w:p>
        </w:tc>
      </w:tr>
      <w:tr>
        <w:trPr>
          <w:trHeight w:val="3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Dividend declared and paid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1.50</w:t>
            </w: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CARTER’S,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gridSpan w:val="5"/>
          </w:tcPr>
          <w:p>
            <w:pPr>
              <w:ind w:left="900"/>
              <w:spacing w:after="0"/>
              <w:rPr>
                <w:sz w:val="20"/>
                <w:szCs w:val="20"/>
                <w:color w:val="auto"/>
              </w:rPr>
            </w:pPr>
            <w:r>
              <w:rPr>
                <w:rFonts w:ascii="Arial" w:cs="Arial" w:eastAsia="Arial" w:hAnsi="Arial"/>
                <w:sz w:val="16"/>
                <w:szCs w:val="16"/>
                <w:b w:val="1"/>
                <w:bCs w:val="1"/>
                <w:color w:val="auto"/>
              </w:rPr>
              <w:t>Fiscal quarter ended</w:t>
            </w:r>
          </w:p>
        </w:tc>
        <w:tc>
          <w:tcPr>
            <w:tcW w:w="140" w:type="dxa"/>
            <w:vAlign w:val="bottom"/>
          </w:tcPr>
          <w:p>
            <w:pPr>
              <w:spacing w:after="0"/>
              <w:rPr>
                <w:sz w:val="18"/>
                <w:szCs w:val="18"/>
                <w:color w:val="auto"/>
              </w:rPr>
            </w:pPr>
          </w:p>
        </w:tc>
        <w:tc>
          <w:tcPr>
            <w:tcW w:w="33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fiscal quarters ended</w:t>
            </w:r>
          </w:p>
        </w:tc>
      </w:tr>
      <w:tr>
        <w:trPr>
          <w:trHeight w:val="33"/>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26, 2020</w:t>
            </w:r>
          </w:p>
        </w:tc>
        <w:tc>
          <w:tcPr>
            <w:tcW w:w="14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28, 2019</w:t>
            </w:r>
          </w:p>
        </w:tc>
        <w:tc>
          <w:tcPr>
            <w:tcW w:w="14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26, 2020</w:t>
            </w:r>
          </w:p>
        </w:tc>
        <w:tc>
          <w:tcPr>
            <w:tcW w:w="14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September 28, 2019</w:t>
            </w:r>
          </w:p>
        </w:tc>
      </w:tr>
      <w:tr>
        <w:trPr>
          <w:trHeight w:val="33"/>
        </w:trPr>
        <w:tc>
          <w:tcPr>
            <w:tcW w:w="4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138,655</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3,431</w:t>
            </w:r>
          </w:p>
        </w:tc>
      </w:tr>
      <w:tr>
        <w:trPr>
          <w:trHeight w:val="243"/>
        </w:trPr>
        <w:tc>
          <w:tcPr>
            <w:tcW w:w="416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84,884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57,905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4,935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142,086</w:t>
            </w: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CARTER’S,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amounts in thousands, except share amounts</w:t>
      </w:r>
      <w:r>
        <w:rPr>
          <w:rFonts w:ascii="Arial" w:cs="Arial" w:eastAsia="Arial" w:hAnsi="Arial"/>
          <w:sz w:val="18"/>
          <w:szCs w:val="18"/>
          <w:color w:val="auto"/>
        </w:rPr>
        <w: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Total</w:t>
            </w:r>
          </w:p>
        </w:tc>
      </w:tr>
      <w:tr>
        <w:trPr>
          <w:trHeight w:val="203"/>
        </w:trPr>
        <w:tc>
          <w:tcPr>
            <w:tcW w:w="33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Common stock</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paid-in</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stockholders’</w:t>
            </w:r>
          </w:p>
        </w:tc>
      </w:tr>
      <w:tr>
        <w:trPr>
          <w:trHeight w:val="210"/>
        </w:trPr>
        <w:tc>
          <w:tcPr>
            <w:tcW w:w="33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 shares</w:t>
            </w: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stock - $</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capital</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4"/>
              </w:rPr>
              <w:t>loss</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equity</w:t>
            </w:r>
          </w:p>
        </w:tc>
      </w:tr>
      <w:tr>
        <w:trPr>
          <w:trHeight w:val="33"/>
        </w:trPr>
        <w:tc>
          <w:tcPr>
            <w:tcW w:w="33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29, 2018</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45,629,014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909,816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869,433</w:t>
            </w:r>
          </w:p>
        </w:tc>
      </w:tr>
      <w:tr>
        <w:trPr>
          <w:trHeight w:val="237"/>
        </w:trPr>
        <w:tc>
          <w:tcPr>
            <w:tcW w:w="338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72,192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4,780</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Withholdings from vesting</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restricted 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(4,077)</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182,722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4,613</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(460,257)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(34,648)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(39,966)</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and paid</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(22,756)</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2,911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34,466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37,377</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tax effects</w:t>
            </w:r>
            <w:r>
              <w:rPr>
                <w:rFonts w:ascii="Arial" w:cs="Arial" w:eastAsia="Arial" w:hAnsi="Arial"/>
                <w:sz w:val="21"/>
                <w:szCs w:val="21"/>
                <w:color w:val="auto"/>
                <w:vertAlign w:val="superscript"/>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b w:val="1"/>
                <w:bCs w:val="1"/>
                <w:color w:val="auto"/>
              </w:rPr>
              <w:t>Balance at March 30, 2019</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45,379,827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(39,428)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888,378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849,404</w:t>
            </w:r>
          </w:p>
        </w:tc>
      </w:tr>
      <w:tr>
        <w:trPr>
          <w:trHeight w:val="33"/>
        </w:trPr>
        <w:tc>
          <w:tcPr>
            <w:tcW w:w="33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1,566</w:t>
            </w:r>
          </w:p>
        </w:tc>
      </w:tr>
      <w:tr>
        <w:trPr>
          <w:trHeight w:val="220"/>
        </w:trPr>
        <w:tc>
          <w:tcPr>
            <w:tcW w:w="3380" w:type="dxa"/>
            <w:vAlign w:val="bottom"/>
          </w:tcPr>
          <w:p>
            <w:pPr>
              <w:ind w:left="40"/>
              <w:spacing w:after="0"/>
              <w:rPr>
                <w:sz w:val="20"/>
                <w:szCs w:val="20"/>
                <w:color w:val="auto"/>
              </w:rPr>
            </w:pPr>
            <w:r>
              <w:rPr>
                <w:rFonts w:ascii="Arial" w:cs="Arial" w:eastAsia="Arial" w:hAnsi="Arial"/>
                <w:sz w:val="16"/>
                <w:szCs w:val="16"/>
                <w:color w:val="auto"/>
              </w:rPr>
              <w:t>Withholdings from vesting</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380" w:type="dxa"/>
            <w:vAlign w:val="bottom"/>
          </w:tcPr>
          <w:p>
            <w:pPr>
              <w:ind w:left="40"/>
              <w:spacing w:after="0"/>
              <w:rPr>
                <w:sz w:val="20"/>
                <w:szCs w:val="20"/>
                <w:color w:val="auto"/>
              </w:rPr>
            </w:pPr>
            <w:r>
              <w:rPr>
                <w:rFonts w:ascii="Arial" w:cs="Arial" w:eastAsia="Arial" w:hAnsi="Arial"/>
                <w:sz w:val="16"/>
                <w:szCs w:val="16"/>
                <w:color w:val="auto"/>
              </w:rPr>
              <w:t>of restricted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activity</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5,194</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(52,477)</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Cash dividends declared and paid</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(22,545)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(22,545)</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46,804</w:t>
            </w: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b w:val="1"/>
                <w:bCs w:val="1"/>
                <w:color w:val="auto"/>
              </w:rPr>
              <w:t>Balance at June 29, 2019</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44,868,563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(36,561)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864,009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827,897</w:t>
            </w:r>
          </w:p>
        </w:tc>
      </w:tr>
      <w:tr>
        <w:trPr>
          <w:trHeight w:val="33"/>
        </w:trPr>
        <w:tc>
          <w:tcPr>
            <w:tcW w:w="33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r>
      <w:tr>
        <w:trPr>
          <w:trHeight w:val="220"/>
        </w:trPr>
        <w:tc>
          <w:tcPr>
            <w:tcW w:w="3380" w:type="dxa"/>
            <w:vAlign w:val="bottom"/>
          </w:tcPr>
          <w:p>
            <w:pPr>
              <w:ind w:left="40"/>
              <w:spacing w:after="0"/>
              <w:rPr>
                <w:sz w:val="20"/>
                <w:szCs w:val="20"/>
                <w:color w:val="auto"/>
              </w:rPr>
            </w:pPr>
            <w:r>
              <w:rPr>
                <w:rFonts w:ascii="Arial" w:cs="Arial" w:eastAsia="Arial" w:hAnsi="Arial"/>
                <w:sz w:val="16"/>
                <w:szCs w:val="16"/>
                <w:color w:val="auto"/>
              </w:rPr>
              <w:t>Withholdings from vesting</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380" w:type="dxa"/>
            <w:vAlign w:val="bottom"/>
          </w:tcPr>
          <w:p>
            <w:pPr>
              <w:ind w:left="40"/>
              <w:spacing w:after="0"/>
              <w:rPr>
                <w:sz w:val="20"/>
                <w:szCs w:val="20"/>
                <w:color w:val="auto"/>
              </w:rPr>
            </w:pPr>
            <w:r>
              <w:rPr>
                <w:rFonts w:ascii="Arial" w:cs="Arial" w:eastAsia="Arial" w:hAnsi="Arial"/>
                <w:sz w:val="16"/>
                <w:szCs w:val="16"/>
                <w:color w:val="auto"/>
              </w:rPr>
              <w:t>of restricted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activity</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3,733</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(602,043)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(55,021)</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Cash dividends declared and paid</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(22,227)</w:t>
            </w:r>
          </w:p>
        </w:tc>
      </w:tr>
      <w:tr>
        <w:trPr>
          <w:trHeight w:val="33"/>
        </w:trPr>
        <w:tc>
          <w:tcPr>
            <w:tcW w:w="3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57,905</w:t>
            </w:r>
          </w:p>
        </w:tc>
      </w:tr>
      <w:tr>
        <w:trPr>
          <w:trHeight w:val="243"/>
        </w:trPr>
        <w:tc>
          <w:tcPr>
            <w:tcW w:w="3380" w:type="dxa"/>
            <w:vAlign w:val="bottom"/>
          </w:tcPr>
          <w:p>
            <w:pPr>
              <w:ind w:left="40"/>
              <w:spacing w:after="0"/>
              <w:rPr>
                <w:sz w:val="20"/>
                <w:szCs w:val="20"/>
                <w:color w:val="auto"/>
              </w:rPr>
            </w:pPr>
            <w:r>
              <w:rPr>
                <w:rFonts w:ascii="Arial" w:cs="Arial" w:eastAsia="Arial" w:hAnsi="Arial"/>
                <w:sz w:val="16"/>
                <w:szCs w:val="16"/>
                <w:b w:val="1"/>
                <w:bCs w:val="1"/>
                <w:color w:val="auto"/>
              </w:rPr>
              <w:t>Balance at September 28, 2019</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44,287,636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(38,908)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851,199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812,734</w:t>
            </w:r>
          </w:p>
        </w:tc>
      </w:tr>
      <w:tr>
        <w:trPr>
          <w:trHeight w:val="20"/>
        </w:trPr>
        <w:tc>
          <w:tcPr>
            <w:tcW w:w="3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right="260" w:hanging="332"/>
        <w:spacing w:after="0" w:line="257"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The Company reclassified $1.5 million of tax benefits from "Accumulated other comprehensive loss" to "Retained earnings" for the tax effects resulting from the December 22, 2017 enactment of the Tax Cuts and Jobs Act in accordance with the adoption of ASU 2018-02, </w:t>
      </w:r>
      <w:r>
        <w:rPr>
          <w:rFonts w:ascii="Arial" w:cs="Arial" w:eastAsia="Arial" w:hAnsi="Arial"/>
          <w:sz w:val="14"/>
          <w:szCs w:val="14"/>
          <w:i w:val="1"/>
          <w:iCs w:val="1"/>
          <w:color w:val="auto"/>
        </w:rPr>
        <w:t>Reclassification of Certain Tax Effects from Accumulated Other Comprehensive Income</w:t>
      </w:r>
      <w:r>
        <w:rPr>
          <w:rFonts w:ascii="Arial" w:cs="Arial" w:eastAsia="Arial" w:hAnsi="Arial"/>
          <w:sz w:val="14"/>
          <w:szCs w:val="14"/>
          <w:color w:val="auto"/>
        </w:rPr>
        <w:t xml:space="preserve"> in the first quarter of fiscal 2019.</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r>
      <w:tr>
        <w:trPr>
          <w:trHeight w:val="203"/>
        </w:trPr>
        <w:tc>
          <w:tcPr>
            <w:tcW w:w="35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Common stock</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paid-in</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stockholders’</w:t>
            </w:r>
          </w:p>
        </w:tc>
      </w:tr>
      <w:tr>
        <w:trPr>
          <w:trHeight w:val="210"/>
        </w:trPr>
        <w:tc>
          <w:tcPr>
            <w:tcW w:w="35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 shares</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stock - $</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capital</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4"/>
              </w:rPr>
              <w:t>loss</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equity</w:t>
            </w:r>
          </w:p>
        </w:tc>
      </w:tr>
      <w:tr>
        <w:trPr>
          <w:trHeight w:val="33"/>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28, 2019</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43,963,103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915,324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880,130</w:t>
            </w:r>
          </w:p>
        </w:tc>
      </w:tr>
      <w:tr>
        <w:trPr>
          <w:trHeight w:val="237"/>
        </w:trPr>
        <w:tc>
          <w:tcPr>
            <w:tcW w:w="350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33,158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1,840</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Withholdings from vesting</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restricted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(43,611)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(4,712)</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132,759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1,945</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(474,684)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(46,178)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(45,255)</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and paid</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(26,260)</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(78,694)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(91,686)</w:t>
            </w:r>
          </w:p>
        </w:tc>
      </w:tr>
      <w:tr>
        <w:trPr>
          <w:trHeight w:val="33"/>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28, 2020</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43,610,725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764,192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716,002</w:t>
            </w:r>
          </w:p>
        </w:tc>
      </w:tr>
      <w:tr>
        <w:trPr>
          <w:trHeight w:val="217"/>
        </w:trPr>
        <w:tc>
          <w:tcPr>
            <w:tcW w:w="350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1,076</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Withholdings from vesting</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of restricted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37"/>
        </w:trPr>
        <w:tc>
          <w:tcPr>
            <w:tcW w:w="3500" w:type="dxa"/>
            <w:vAlign w:val="bottom"/>
          </w:tcPr>
          <w:p>
            <w:pPr>
              <w:spacing w:after="0"/>
              <w:rPr>
                <w:sz w:val="20"/>
                <w:szCs w:val="20"/>
                <w:color w:val="auto"/>
              </w:rPr>
            </w:pPr>
            <w:r>
              <w:rPr>
                <w:rFonts w:ascii="Arial" w:cs="Arial" w:eastAsia="Arial" w:hAnsi="Arial"/>
                <w:sz w:val="16"/>
                <w:szCs w:val="16"/>
                <w:color w:val="auto"/>
              </w:rPr>
              <w:t>Restricted stock activity</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12,287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4,540</w:t>
            </w:r>
          </w:p>
        </w:tc>
      </w:tr>
      <w:tr>
        <w:trPr>
          <w:trHeight w:val="237"/>
        </w:trPr>
        <w:tc>
          <w:tcPr>
            <w:tcW w:w="3500" w:type="dxa"/>
            <w:vAlign w:val="bottom"/>
          </w:tcPr>
          <w:p>
            <w:pPr>
              <w:spacing w:after="0"/>
              <w:rPr>
                <w:sz w:val="20"/>
                <w:szCs w:val="20"/>
                <w:color w:val="auto"/>
              </w:rPr>
            </w:pPr>
            <w:r>
              <w:rPr>
                <w:rFonts w:ascii="Arial" w:cs="Arial" w:eastAsia="Arial" w:hAnsi="Arial"/>
                <w:sz w:val="16"/>
                <w:szCs w:val="16"/>
                <w:color w:val="auto"/>
              </w:rPr>
              <w:t>Comprehensive income</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3,581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8,156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11,737</w:t>
            </w:r>
          </w:p>
        </w:tc>
      </w:tr>
      <w:tr>
        <w:trPr>
          <w:trHeight w:val="33"/>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27, 2020</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43,636,176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772,348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733,278</w:t>
            </w:r>
          </w:p>
        </w:tc>
      </w:tr>
      <w:tr>
        <w:trPr>
          <w:trHeight w:val="217"/>
        </w:trPr>
        <w:tc>
          <w:tcPr>
            <w:tcW w:w="350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812</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Withholdings from vesting</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restricted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3,046</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81,241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84,884</w:t>
            </w:r>
          </w:p>
        </w:tc>
      </w:tr>
      <w:tr>
        <w:trPr>
          <w:trHeight w:val="33"/>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26, 2020</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43,648,671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853,589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821,881</w:t>
            </w:r>
          </w:p>
        </w:tc>
      </w:tr>
      <w:tr>
        <w:trPr>
          <w:trHeight w:val="20"/>
        </w:trPr>
        <w:tc>
          <w:tcPr>
            <w:tcW w:w="3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CARTER’S,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984"/>
              <w:spacing w:after="0"/>
              <w:rPr>
                <w:sz w:val="20"/>
                <w:szCs w:val="20"/>
                <w:color w:val="auto"/>
              </w:rPr>
            </w:pPr>
            <w:r>
              <w:rPr>
                <w:rFonts w:ascii="Arial" w:cs="Arial" w:eastAsia="Arial" w:hAnsi="Arial"/>
                <w:sz w:val="15"/>
                <w:szCs w:val="15"/>
                <w:b w:val="1"/>
                <w:bCs w:val="1"/>
                <w:color w:val="auto"/>
              </w:rPr>
              <w:t>Three fiscal quarters ended</w:t>
            </w:r>
          </w:p>
        </w:tc>
      </w:tr>
      <w:tr>
        <w:trPr>
          <w:trHeight w:val="263"/>
        </w:trPr>
        <w:tc>
          <w:tcPr>
            <w:tcW w:w="7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26, 2020</w:t>
            </w:r>
          </w:p>
        </w:tc>
        <w:tc>
          <w:tcPr>
            <w:tcW w:w="220" w:type="dxa"/>
            <w:vAlign w:val="bottom"/>
          </w:tcPr>
          <w:p>
            <w:pPr>
              <w:spacing w:after="0"/>
              <w:rPr>
                <w:sz w:val="22"/>
                <w:szCs w:val="22"/>
                <w:color w:val="auto"/>
              </w:rPr>
            </w:pPr>
          </w:p>
        </w:tc>
        <w:tc>
          <w:tcPr>
            <w:tcW w:w="1680" w:type="dxa"/>
            <w:vAlign w:val="bottom"/>
          </w:tcPr>
          <w:p>
            <w:pPr>
              <w:jc w:val="right"/>
              <w:ind w:right="224"/>
              <w:spacing w:after="0"/>
              <w:rPr>
                <w:sz w:val="20"/>
                <w:szCs w:val="20"/>
                <w:color w:val="auto"/>
              </w:rPr>
            </w:pPr>
            <w:r>
              <w:rPr>
                <w:rFonts w:ascii="Arial" w:cs="Arial" w:eastAsia="Arial" w:hAnsi="Arial"/>
                <w:sz w:val="15"/>
                <w:szCs w:val="15"/>
                <w:b w:val="1"/>
                <w:bCs w:val="1"/>
                <w:color w:val="auto"/>
                <w:w w:val="97"/>
              </w:rPr>
              <w:t>September 28, 2019</w:t>
            </w:r>
          </w:p>
        </w:tc>
      </w:tr>
      <w:tr>
        <w:trPr>
          <w:trHeight w:val="268"/>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operating activities:</w:t>
            </w:r>
          </w:p>
        </w:tc>
        <w:tc>
          <w:tcPr>
            <w:tcW w:w="20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680" w:type="dxa"/>
            <w:vAlign w:val="bottom"/>
            <w:tcBorders>
              <w:top w:val="single" w:sz="8" w:color="auto"/>
            </w:tcBorders>
            <w:shd w:val="clear" w:color="auto" w:fill="CCEEFF"/>
          </w:tcPr>
          <w:p>
            <w:pPr>
              <w:spacing w:after="0"/>
              <w:rPr>
                <w:sz w:val="23"/>
                <w:szCs w:val="23"/>
                <w:color w:val="auto"/>
              </w:rPr>
            </w:pPr>
          </w:p>
        </w:tc>
      </w:tr>
      <w:tr>
        <w:trPr>
          <w:trHeight w:val="266"/>
        </w:trPr>
        <w:tc>
          <w:tcPr>
            <w:tcW w:w="7320" w:type="dxa"/>
            <w:vAlign w:val="bottom"/>
          </w:tcPr>
          <w:p>
            <w:pPr>
              <w:ind w:left="280"/>
              <w:spacing w:after="0"/>
              <w:rPr>
                <w:sz w:val="20"/>
                <w:szCs w:val="20"/>
                <w:color w:val="auto"/>
              </w:rPr>
            </w:pPr>
            <w:r>
              <w:rPr>
                <w:rFonts w:ascii="Arial" w:cs="Arial" w:eastAsia="Arial" w:hAnsi="Arial"/>
                <w:sz w:val="15"/>
                <w:szCs w:val="15"/>
                <w:color w:val="auto"/>
              </w:rPr>
              <w:t>Net income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10,703</w:t>
            </w:r>
          </w:p>
        </w:tc>
        <w:tc>
          <w:tcPr>
            <w:tcW w:w="100" w:type="dxa"/>
            <w:vAlign w:val="bottom"/>
          </w:tcPr>
          <w:p>
            <w:pPr>
              <w:spacing w:after="0"/>
              <w:rPr>
                <w:sz w:val="23"/>
                <w:szCs w:val="23"/>
                <w:color w:val="auto"/>
              </w:rPr>
            </w:pPr>
          </w:p>
        </w:tc>
        <w:tc>
          <w:tcPr>
            <w:tcW w:w="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138,655</w:t>
            </w:r>
          </w:p>
        </w:tc>
      </w:tr>
      <w:tr>
        <w:trPr>
          <w:trHeight w:val="274"/>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66"/>
        </w:trPr>
        <w:tc>
          <w:tcPr>
            <w:tcW w:w="7320" w:type="dxa"/>
            <w:vAlign w:val="bottom"/>
          </w:tcPr>
          <w:p>
            <w:pPr>
              <w:ind w:left="380"/>
              <w:spacing w:after="0"/>
              <w:rPr>
                <w:sz w:val="20"/>
                <w:szCs w:val="20"/>
                <w:color w:val="auto"/>
              </w:rPr>
            </w:pPr>
            <w:r>
              <w:rPr>
                <w:rFonts w:ascii="Arial" w:cs="Arial" w:eastAsia="Arial" w:hAnsi="Arial"/>
                <w:sz w:val="15"/>
                <w:szCs w:val="15"/>
                <w:color w:val="auto"/>
              </w:rPr>
              <w:t>Depreciation of property, plant, and equipment</w:t>
            </w:r>
          </w:p>
        </w:tc>
        <w:tc>
          <w:tcPr>
            <w:tcW w:w="200" w:type="dxa"/>
            <w:vAlign w:val="bottom"/>
          </w:tcPr>
          <w:p>
            <w:pPr>
              <w:spacing w:after="0"/>
              <w:rPr>
                <w:sz w:val="23"/>
                <w:szCs w:val="23"/>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66,985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68,005</w:t>
            </w:r>
          </w:p>
        </w:tc>
      </w:tr>
      <w:tr>
        <w:trPr>
          <w:trHeight w:val="274"/>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Amortization of intangible assets</w:t>
            </w: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2,784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2,810</w:t>
            </w:r>
          </w:p>
        </w:tc>
      </w:tr>
      <w:tr>
        <w:trPr>
          <w:trHeight w:val="266"/>
        </w:trPr>
        <w:tc>
          <w:tcPr>
            <w:tcW w:w="7320" w:type="dxa"/>
            <w:vAlign w:val="bottom"/>
          </w:tcPr>
          <w:p>
            <w:pPr>
              <w:ind w:left="380"/>
              <w:spacing w:after="0"/>
              <w:rPr>
                <w:sz w:val="20"/>
                <w:szCs w:val="20"/>
                <w:color w:val="auto"/>
              </w:rPr>
            </w:pPr>
            <w:r>
              <w:rPr>
                <w:rFonts w:ascii="Arial" w:cs="Arial" w:eastAsia="Arial" w:hAnsi="Arial"/>
                <w:sz w:val="15"/>
                <w:szCs w:val="15"/>
                <w:color w:val="auto"/>
              </w:rPr>
              <w:t>Provisions for (recoveries of) excess and obsolete inventory</w:t>
            </w:r>
          </w:p>
        </w:tc>
        <w:tc>
          <w:tcPr>
            <w:tcW w:w="200" w:type="dxa"/>
            <w:vAlign w:val="bottom"/>
          </w:tcPr>
          <w:p>
            <w:pPr>
              <w:spacing w:after="0"/>
              <w:rPr>
                <w:sz w:val="23"/>
                <w:szCs w:val="23"/>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20,912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4,567</w:t>
            </w:r>
          </w:p>
        </w:tc>
      </w:tr>
      <w:tr>
        <w:trPr>
          <w:trHeight w:val="274"/>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Goodwill impairment</w:t>
            </w: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17,742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7320" w:type="dxa"/>
            <w:vAlign w:val="bottom"/>
          </w:tcPr>
          <w:p>
            <w:pPr>
              <w:ind w:left="380"/>
              <w:spacing w:after="0"/>
              <w:rPr>
                <w:sz w:val="20"/>
                <w:szCs w:val="20"/>
                <w:color w:val="auto"/>
              </w:rPr>
            </w:pPr>
            <w:r>
              <w:rPr>
                <w:rFonts w:ascii="Arial" w:cs="Arial" w:eastAsia="Arial" w:hAnsi="Arial"/>
                <w:sz w:val="15"/>
                <w:szCs w:val="15"/>
                <w:color w:val="auto"/>
              </w:rPr>
              <w:t>Intangible asset impairments</w:t>
            </w:r>
          </w:p>
        </w:tc>
        <w:tc>
          <w:tcPr>
            <w:tcW w:w="200" w:type="dxa"/>
            <w:vAlign w:val="bottom"/>
          </w:tcPr>
          <w:p>
            <w:pPr>
              <w:spacing w:after="0"/>
              <w:rPr>
                <w:sz w:val="23"/>
                <w:szCs w:val="23"/>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26,500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30,800</w:t>
            </w:r>
          </w:p>
        </w:tc>
      </w:tr>
      <w:tr>
        <w:trPr>
          <w:trHeight w:val="274"/>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asset impairments and loss on disposal of property, plant and equipment, net of recoveries</w:t>
            </w: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9,395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407</w:t>
            </w:r>
          </w:p>
        </w:tc>
      </w:tr>
      <w:tr>
        <w:trPr>
          <w:trHeight w:val="266"/>
        </w:trPr>
        <w:tc>
          <w:tcPr>
            <w:tcW w:w="7320" w:type="dxa"/>
            <w:vAlign w:val="bottom"/>
          </w:tcPr>
          <w:p>
            <w:pPr>
              <w:ind w:left="380"/>
              <w:spacing w:after="0"/>
              <w:rPr>
                <w:sz w:val="20"/>
                <w:szCs w:val="20"/>
                <w:color w:val="auto"/>
              </w:rPr>
            </w:pPr>
            <w:r>
              <w:rPr>
                <w:rFonts w:ascii="Arial" w:cs="Arial" w:eastAsia="Arial" w:hAnsi="Arial"/>
                <w:sz w:val="15"/>
                <w:szCs w:val="15"/>
                <w:color w:val="auto"/>
              </w:rPr>
              <w:t>Amortization of debt issuance costs</w:t>
            </w:r>
          </w:p>
        </w:tc>
        <w:tc>
          <w:tcPr>
            <w:tcW w:w="200" w:type="dxa"/>
            <w:vAlign w:val="bottom"/>
          </w:tcPr>
          <w:p>
            <w:pPr>
              <w:spacing w:after="0"/>
              <w:rPr>
                <w:sz w:val="23"/>
                <w:szCs w:val="23"/>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1,641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1,087</w:t>
            </w:r>
          </w:p>
        </w:tc>
      </w:tr>
      <w:tr>
        <w:trPr>
          <w:trHeight w:val="274"/>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Stock-based compensation expense</w:t>
            </w: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9,531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13,540</w:t>
            </w:r>
          </w:p>
        </w:tc>
      </w:tr>
      <w:tr>
        <w:trPr>
          <w:trHeight w:val="266"/>
        </w:trPr>
        <w:tc>
          <w:tcPr>
            <w:tcW w:w="7320" w:type="dxa"/>
            <w:vAlign w:val="bottom"/>
          </w:tcPr>
          <w:p>
            <w:pPr>
              <w:ind w:left="380"/>
              <w:spacing w:after="0"/>
              <w:rPr>
                <w:sz w:val="20"/>
                <w:szCs w:val="20"/>
                <w:color w:val="auto"/>
              </w:rPr>
            </w:pPr>
            <w:r>
              <w:rPr>
                <w:rFonts w:ascii="Arial" w:cs="Arial" w:eastAsia="Arial" w:hAnsi="Arial"/>
                <w:sz w:val="15"/>
                <w:szCs w:val="15"/>
                <w:color w:val="auto"/>
              </w:rPr>
              <w:t>Unrealized foreign currency exchange loss, net</w:t>
            </w:r>
          </w:p>
        </w:tc>
        <w:tc>
          <w:tcPr>
            <w:tcW w:w="200" w:type="dxa"/>
            <w:vAlign w:val="bottom"/>
          </w:tcPr>
          <w:p>
            <w:pPr>
              <w:spacing w:after="0"/>
              <w:rPr>
                <w:sz w:val="23"/>
                <w:szCs w:val="23"/>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1,354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176</w:t>
            </w:r>
          </w:p>
        </w:tc>
      </w:tr>
      <w:tr>
        <w:trPr>
          <w:trHeight w:val="274"/>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Provisions for (recoveries of) doubtful accounts receivable from customers</w:t>
            </w: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7,702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(2,063)</w:t>
            </w:r>
          </w:p>
        </w:tc>
      </w:tr>
      <w:tr>
        <w:trPr>
          <w:trHeight w:val="266"/>
        </w:trPr>
        <w:tc>
          <w:tcPr>
            <w:tcW w:w="7320" w:type="dxa"/>
            <w:vAlign w:val="bottom"/>
          </w:tcPr>
          <w:p>
            <w:pPr>
              <w:ind w:left="380"/>
              <w:spacing w:after="0"/>
              <w:rPr>
                <w:sz w:val="20"/>
                <w:szCs w:val="20"/>
                <w:color w:val="auto"/>
              </w:rPr>
            </w:pPr>
            <w:r>
              <w:rPr>
                <w:rFonts w:ascii="Arial" w:cs="Arial" w:eastAsia="Arial" w:hAnsi="Arial"/>
                <w:sz w:val="15"/>
                <w:szCs w:val="15"/>
                <w:color w:val="auto"/>
              </w:rPr>
              <w:t>Loss on extinguishment of debt</w:t>
            </w:r>
          </w:p>
        </w:tc>
        <w:tc>
          <w:tcPr>
            <w:tcW w:w="200" w:type="dxa"/>
            <w:vAlign w:val="bottom"/>
          </w:tcPr>
          <w:p>
            <w:pPr>
              <w:spacing w:after="0"/>
              <w:rPr>
                <w:sz w:val="23"/>
                <w:szCs w:val="23"/>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7,823</w:t>
            </w:r>
          </w:p>
        </w:tc>
      </w:tr>
      <w:tr>
        <w:trPr>
          <w:trHeight w:val="274"/>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Deferred income tax (benefit) expense</w:t>
            </w: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(16,697)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8,300</w:t>
            </w:r>
          </w:p>
        </w:tc>
      </w:tr>
      <w:tr>
        <w:trPr>
          <w:trHeight w:val="266"/>
        </w:trPr>
        <w:tc>
          <w:tcPr>
            <w:tcW w:w="7320" w:type="dxa"/>
            <w:vAlign w:val="bottom"/>
          </w:tcPr>
          <w:p>
            <w:pPr>
              <w:ind w:left="380"/>
              <w:spacing w:after="0"/>
              <w:rPr>
                <w:sz w:val="20"/>
                <w:szCs w:val="20"/>
                <w:color w:val="auto"/>
              </w:rPr>
            </w:pPr>
            <w:r>
              <w:rPr>
                <w:rFonts w:ascii="Arial" w:cs="Arial" w:eastAsia="Arial" w:hAnsi="Arial"/>
                <w:sz w:val="15"/>
                <w:szCs w:val="15"/>
                <w:color w:val="auto"/>
              </w:rPr>
              <w:t>Effect of changes in operating assets and liabilities:</w:t>
            </w:r>
          </w:p>
        </w:tc>
        <w:tc>
          <w:tcPr>
            <w:tcW w:w="2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4"/>
        </w:trPr>
        <w:tc>
          <w:tcPr>
            <w:tcW w:w="73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Accounts receivable</w:t>
            </w: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(21,576)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(32,792)</w:t>
            </w:r>
          </w:p>
        </w:tc>
      </w:tr>
      <w:tr>
        <w:trPr>
          <w:trHeight w:val="266"/>
        </w:trPr>
        <w:tc>
          <w:tcPr>
            <w:tcW w:w="7320" w:type="dxa"/>
            <w:vAlign w:val="bottom"/>
          </w:tcPr>
          <w:p>
            <w:pPr>
              <w:ind w:left="500"/>
              <w:spacing w:after="0"/>
              <w:rPr>
                <w:sz w:val="20"/>
                <w:szCs w:val="20"/>
                <w:color w:val="auto"/>
              </w:rPr>
            </w:pPr>
            <w:r>
              <w:rPr>
                <w:rFonts w:ascii="Arial" w:cs="Arial" w:eastAsia="Arial" w:hAnsi="Arial"/>
                <w:sz w:val="15"/>
                <w:szCs w:val="15"/>
                <w:color w:val="auto"/>
              </w:rPr>
              <w:t>Finished goods inventories</w:t>
            </w:r>
          </w:p>
        </w:tc>
        <w:tc>
          <w:tcPr>
            <w:tcW w:w="2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(76,739)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(152,023)</w:t>
            </w:r>
          </w:p>
        </w:tc>
      </w:tr>
      <w:tr>
        <w:trPr>
          <w:trHeight w:val="274"/>
        </w:trPr>
        <w:tc>
          <w:tcPr>
            <w:tcW w:w="73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Prepaid expenses and other assets</w:t>
            </w: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(7,660)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(16,688)</w:t>
            </w:r>
          </w:p>
        </w:tc>
      </w:tr>
      <w:tr>
        <w:trPr>
          <w:trHeight w:val="266"/>
        </w:trPr>
        <w:tc>
          <w:tcPr>
            <w:tcW w:w="7320" w:type="dxa"/>
            <w:vAlign w:val="bottom"/>
            <w:tcBorders>
              <w:bottom w:val="single" w:sz="8" w:color="CCEEFF"/>
            </w:tcBorders>
          </w:tcPr>
          <w:p>
            <w:pPr>
              <w:ind w:left="500"/>
              <w:spacing w:after="0"/>
              <w:rPr>
                <w:sz w:val="20"/>
                <w:szCs w:val="20"/>
                <w:color w:val="auto"/>
              </w:rPr>
            </w:pPr>
            <w:r>
              <w:rPr>
                <w:rFonts w:ascii="Arial" w:cs="Arial" w:eastAsia="Arial" w:hAnsi="Arial"/>
                <w:sz w:val="15"/>
                <w:szCs w:val="15"/>
                <w:color w:val="auto"/>
              </w:rPr>
              <w:t>Accounts payable and other liabilities</w:t>
            </w: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267,551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751</w:t>
            </w:r>
          </w:p>
        </w:tc>
      </w:tr>
      <w:tr>
        <w:trPr>
          <w:trHeight w:val="250"/>
        </w:trPr>
        <w:tc>
          <w:tcPr>
            <w:tcW w:w="73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Net cash provided by operating activities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320,128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73,355</w:t>
            </w:r>
          </w:p>
        </w:tc>
      </w:tr>
      <w:tr>
        <w:trPr>
          <w:trHeight w:val="213"/>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flows from investing activities:</w:t>
            </w: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66"/>
        </w:trPr>
        <w:tc>
          <w:tcPr>
            <w:tcW w:w="7320" w:type="dxa"/>
            <w:vAlign w:val="bottom"/>
          </w:tcPr>
          <w:p>
            <w:pPr>
              <w:ind w:left="280"/>
              <w:spacing w:after="0"/>
              <w:rPr>
                <w:sz w:val="20"/>
                <w:szCs w:val="20"/>
                <w:color w:val="auto"/>
              </w:rPr>
            </w:pPr>
            <w:r>
              <w:rPr>
                <w:rFonts w:ascii="Arial" w:cs="Arial" w:eastAsia="Arial" w:hAnsi="Arial"/>
                <w:sz w:val="15"/>
                <w:szCs w:val="15"/>
                <w:color w:val="auto"/>
              </w:rPr>
              <w:t>Capital expenditures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(25,212)</w:t>
            </w:r>
          </w:p>
        </w:tc>
        <w:tc>
          <w:tcPr>
            <w:tcW w:w="100" w:type="dxa"/>
            <w:vAlign w:val="bottom"/>
          </w:tcPr>
          <w:p>
            <w:pPr>
              <w:spacing w:after="0"/>
              <w:rPr>
                <w:sz w:val="23"/>
                <w:szCs w:val="23"/>
                <w:color w:val="auto"/>
              </w:rPr>
            </w:pPr>
          </w:p>
        </w:tc>
        <w:tc>
          <w:tcPr>
            <w:tcW w:w="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(46,138)</w:t>
            </w:r>
          </w:p>
        </w:tc>
      </w:tr>
      <w:tr>
        <w:trPr>
          <w:trHeight w:val="270"/>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Disposals and recoveries from property, plant, and equipment</w:t>
            </w:r>
          </w:p>
        </w:tc>
        <w:tc>
          <w:tcPr>
            <w:tcW w:w="20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749</w:t>
            </w:r>
          </w:p>
        </w:tc>
      </w:tr>
      <w:tr>
        <w:trPr>
          <w:trHeight w:val="250"/>
        </w:trPr>
        <w:tc>
          <w:tcPr>
            <w:tcW w:w="7320" w:type="dxa"/>
            <w:vAlign w:val="bottom"/>
            <w:tcBorders>
              <w:bottom w:val="single" w:sz="8" w:color="CCEEFF"/>
            </w:tcBorders>
          </w:tcPr>
          <w:p>
            <w:pPr>
              <w:ind w:left="720"/>
              <w:spacing w:after="0"/>
              <w:rPr>
                <w:sz w:val="20"/>
                <w:szCs w:val="20"/>
                <w:color w:val="auto"/>
              </w:rPr>
            </w:pPr>
            <w:r>
              <w:rPr>
                <w:rFonts w:ascii="Arial" w:cs="Arial" w:eastAsia="Arial" w:hAnsi="Arial"/>
                <w:sz w:val="15"/>
                <w:szCs w:val="15"/>
                <w:color w:val="auto"/>
              </w:rPr>
              <w:t>Net cash used in investing activities</w:t>
            </w: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(25,212)</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(45,389)</w:t>
            </w:r>
          </w:p>
        </w:tc>
      </w:tr>
      <w:tr>
        <w:trPr>
          <w:trHeight w:val="214"/>
        </w:trPr>
        <w:tc>
          <w:tcPr>
            <w:tcW w:w="7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66"/>
        </w:trPr>
        <w:tc>
          <w:tcPr>
            <w:tcW w:w="7320" w:type="dxa"/>
            <w:vAlign w:val="bottom"/>
          </w:tcPr>
          <w:p>
            <w:pPr>
              <w:ind w:left="40"/>
              <w:spacing w:after="0"/>
              <w:rPr>
                <w:sz w:val="20"/>
                <w:szCs w:val="20"/>
                <w:color w:val="auto"/>
              </w:rPr>
            </w:pPr>
            <w:r>
              <w:rPr>
                <w:rFonts w:ascii="Arial" w:cs="Arial" w:eastAsia="Arial" w:hAnsi="Arial"/>
                <w:sz w:val="15"/>
                <w:szCs w:val="15"/>
                <w:color w:val="auto"/>
              </w:rPr>
              <w:t>Cash flows from financing activities:</w:t>
            </w:r>
          </w:p>
        </w:tc>
        <w:tc>
          <w:tcPr>
            <w:tcW w:w="2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4"/>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Proceeds from senior notes due 2025</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500,000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7320" w:type="dxa"/>
            <w:vAlign w:val="bottom"/>
          </w:tcPr>
          <w:p>
            <w:pPr>
              <w:ind w:left="280"/>
              <w:spacing w:after="0"/>
              <w:rPr>
                <w:sz w:val="20"/>
                <w:szCs w:val="20"/>
                <w:color w:val="auto"/>
              </w:rPr>
            </w:pPr>
            <w:r>
              <w:rPr>
                <w:rFonts w:ascii="Arial" w:cs="Arial" w:eastAsia="Arial" w:hAnsi="Arial"/>
                <w:sz w:val="15"/>
                <w:szCs w:val="15"/>
                <w:color w:val="auto"/>
              </w:rPr>
              <w:t>Proceeds from senior notes due 2027</w:t>
            </w:r>
          </w:p>
        </w:tc>
        <w:tc>
          <w:tcPr>
            <w:tcW w:w="200" w:type="dxa"/>
            <w:vAlign w:val="bottom"/>
          </w:tcPr>
          <w:p>
            <w:pPr>
              <w:spacing w:after="0"/>
              <w:rPr>
                <w:sz w:val="23"/>
                <w:szCs w:val="23"/>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500,000</w:t>
            </w:r>
          </w:p>
        </w:tc>
      </w:tr>
      <w:tr>
        <w:trPr>
          <w:trHeight w:val="274"/>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Payment of senior notes due 2021</w:t>
            </w:r>
          </w:p>
        </w:tc>
        <w:tc>
          <w:tcPr>
            <w:tcW w:w="20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(400,000)</w:t>
            </w:r>
          </w:p>
        </w:tc>
      </w:tr>
      <w:tr>
        <w:trPr>
          <w:trHeight w:val="266"/>
        </w:trPr>
        <w:tc>
          <w:tcPr>
            <w:tcW w:w="7320" w:type="dxa"/>
            <w:vAlign w:val="bottom"/>
          </w:tcPr>
          <w:p>
            <w:pPr>
              <w:ind w:left="280"/>
              <w:spacing w:after="0"/>
              <w:rPr>
                <w:sz w:val="20"/>
                <w:szCs w:val="20"/>
                <w:color w:val="auto"/>
              </w:rPr>
            </w:pPr>
            <w:r>
              <w:rPr>
                <w:rFonts w:ascii="Arial" w:cs="Arial" w:eastAsia="Arial" w:hAnsi="Arial"/>
                <w:sz w:val="15"/>
                <w:szCs w:val="15"/>
                <w:color w:val="auto"/>
              </w:rPr>
              <w:t>Premiums paid to extinguish debt</w:t>
            </w:r>
          </w:p>
        </w:tc>
        <w:tc>
          <w:tcPr>
            <w:tcW w:w="200" w:type="dxa"/>
            <w:vAlign w:val="bottom"/>
          </w:tcPr>
          <w:p>
            <w:pPr>
              <w:spacing w:after="0"/>
              <w:rPr>
                <w:sz w:val="23"/>
                <w:szCs w:val="23"/>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(5,252)</w:t>
            </w:r>
          </w:p>
        </w:tc>
      </w:tr>
      <w:tr>
        <w:trPr>
          <w:trHeight w:val="274"/>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Payment of debt issuance costs</w:t>
            </w: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(5,793)</w:t>
            </w:r>
          </w:p>
        </w:tc>
      </w:tr>
      <w:tr>
        <w:trPr>
          <w:trHeight w:val="266"/>
        </w:trPr>
        <w:tc>
          <w:tcPr>
            <w:tcW w:w="7320" w:type="dxa"/>
            <w:vAlign w:val="bottom"/>
          </w:tcPr>
          <w:p>
            <w:pPr>
              <w:ind w:left="280"/>
              <w:spacing w:after="0"/>
              <w:rPr>
                <w:sz w:val="20"/>
                <w:szCs w:val="20"/>
                <w:color w:val="auto"/>
              </w:rPr>
            </w:pPr>
            <w:r>
              <w:rPr>
                <w:rFonts w:ascii="Arial" w:cs="Arial" w:eastAsia="Arial" w:hAnsi="Arial"/>
                <w:sz w:val="15"/>
                <w:szCs w:val="15"/>
                <w:color w:val="auto"/>
              </w:rPr>
              <w:t>Borrowings under secured revolving credit facility</w:t>
            </w:r>
          </w:p>
        </w:tc>
        <w:tc>
          <w:tcPr>
            <w:tcW w:w="200" w:type="dxa"/>
            <w:vAlign w:val="bottom"/>
          </w:tcPr>
          <w:p>
            <w:pPr>
              <w:spacing w:after="0"/>
              <w:rPr>
                <w:sz w:val="23"/>
                <w:szCs w:val="23"/>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644,000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ind w:right="24"/>
              <w:spacing w:after="0"/>
              <w:rPr>
                <w:sz w:val="20"/>
                <w:szCs w:val="20"/>
                <w:color w:val="auto"/>
              </w:rPr>
            </w:pPr>
            <w:r>
              <w:rPr>
                <w:rFonts w:ascii="Arial" w:cs="Arial" w:eastAsia="Arial" w:hAnsi="Arial"/>
                <w:sz w:val="15"/>
                <w:szCs w:val="15"/>
                <w:color w:val="auto"/>
              </w:rPr>
              <w:t>265,000</w:t>
            </w:r>
          </w:p>
        </w:tc>
      </w:tr>
      <w:tr>
        <w:trPr>
          <w:trHeight w:val="274"/>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Payments on secured revolving credit facility</w:t>
            </w: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(186,000)</w:t>
            </w:r>
          </w:p>
        </w:tc>
      </w:tr>
      <w:tr>
        <w:trPr>
          <w:trHeight w:val="266"/>
        </w:trPr>
        <w:tc>
          <w:tcPr>
            <w:tcW w:w="7320" w:type="dxa"/>
            <w:vAlign w:val="bottom"/>
          </w:tcPr>
          <w:p>
            <w:pPr>
              <w:ind w:left="280"/>
              <w:spacing w:after="0"/>
              <w:rPr>
                <w:sz w:val="20"/>
                <w:szCs w:val="20"/>
                <w:color w:val="auto"/>
              </w:rPr>
            </w:pPr>
            <w:r>
              <w:rPr>
                <w:rFonts w:ascii="Arial" w:cs="Arial" w:eastAsia="Arial" w:hAnsi="Arial"/>
                <w:sz w:val="15"/>
                <w:szCs w:val="15"/>
                <w:color w:val="auto"/>
              </w:rPr>
              <w:t>Repurchases of common stock</w:t>
            </w:r>
          </w:p>
        </w:tc>
        <w:tc>
          <w:tcPr>
            <w:tcW w:w="2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(45,255)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(147,464)</w:t>
            </w:r>
          </w:p>
        </w:tc>
      </w:tr>
      <w:tr>
        <w:trPr>
          <w:trHeight w:val="274"/>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Dividends paid</w:t>
            </w: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(26,260)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(67,528)</w:t>
            </w:r>
          </w:p>
        </w:tc>
      </w:tr>
      <w:tr>
        <w:trPr>
          <w:trHeight w:val="266"/>
        </w:trPr>
        <w:tc>
          <w:tcPr>
            <w:tcW w:w="7320" w:type="dxa"/>
            <w:vAlign w:val="bottom"/>
          </w:tcPr>
          <w:p>
            <w:pPr>
              <w:ind w:left="280"/>
              <w:spacing w:after="0"/>
              <w:rPr>
                <w:sz w:val="20"/>
                <w:szCs w:val="20"/>
                <w:color w:val="auto"/>
              </w:rPr>
            </w:pPr>
            <w:r>
              <w:rPr>
                <w:rFonts w:ascii="Arial" w:cs="Arial" w:eastAsia="Arial" w:hAnsi="Arial"/>
                <w:sz w:val="15"/>
                <w:szCs w:val="15"/>
                <w:color w:val="auto"/>
              </w:rPr>
              <w:t>Withholdings from vestings of restricted stock</w:t>
            </w:r>
          </w:p>
        </w:tc>
        <w:tc>
          <w:tcPr>
            <w:tcW w:w="2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(4,928)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(4,214)</w:t>
            </w:r>
          </w:p>
        </w:tc>
      </w:tr>
      <w:tr>
        <w:trPr>
          <w:trHeight w:val="270"/>
        </w:trPr>
        <w:tc>
          <w:tcPr>
            <w:tcW w:w="7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Proceeds from exercises of stock options</w:t>
            </w:r>
          </w:p>
        </w:tc>
        <w:tc>
          <w:tcPr>
            <w:tcW w:w="20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3,728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6,881</w:t>
            </w:r>
          </w:p>
        </w:tc>
      </w:tr>
      <w:tr>
        <w:trPr>
          <w:trHeight w:val="250"/>
        </w:trPr>
        <w:tc>
          <w:tcPr>
            <w:tcW w:w="7320" w:type="dxa"/>
            <w:vAlign w:val="bottom"/>
            <w:tcBorders>
              <w:bottom w:val="single" w:sz="8" w:color="CCEEFF"/>
            </w:tcBorders>
          </w:tcPr>
          <w:p>
            <w:pPr>
              <w:ind w:left="600"/>
              <w:spacing w:after="0"/>
              <w:rPr>
                <w:sz w:val="20"/>
                <w:szCs w:val="20"/>
                <w:color w:val="auto"/>
              </w:rPr>
            </w:pPr>
            <w:r>
              <w:rPr>
                <w:rFonts w:ascii="Arial" w:cs="Arial" w:eastAsia="Arial" w:hAnsi="Arial"/>
                <w:sz w:val="15"/>
                <w:szCs w:val="15"/>
                <w:color w:val="auto"/>
              </w:rPr>
              <w:t>Net cash provided by (used in) financing activities</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319,646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(44,370)</w:t>
            </w:r>
          </w:p>
        </w:tc>
      </w:tr>
      <w:tr>
        <w:trPr>
          <w:trHeight w:val="213"/>
        </w:trPr>
        <w:tc>
          <w:tcPr>
            <w:tcW w:w="7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66"/>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effect of exchange rate changes on cash and cash equivalents</w:t>
            </w: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2,302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263</w:t>
            </w:r>
          </w:p>
        </w:tc>
      </w:tr>
      <w:tr>
        <w:trPr>
          <w:trHeight w:val="254"/>
        </w:trPr>
        <w:tc>
          <w:tcPr>
            <w:tcW w:w="7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increase (decrease) in cash and cash equivalents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616,864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(16,141)</w:t>
            </w:r>
          </w:p>
        </w:tc>
      </w:tr>
      <w:tr>
        <w:trPr>
          <w:trHeight w:val="266"/>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beginning of period</w:t>
            </w: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214,311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170,077</w:t>
            </w:r>
          </w:p>
        </w:tc>
      </w:tr>
      <w:tr>
        <w:trPr>
          <w:trHeight w:val="24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and cash equivalents, end of period</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831,175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153,936</w:t>
            </w: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337" w:right="3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9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Carter's, Inc. and its wholly owned subsidiaries (collectively, the "Company," "its," "us" and "our") design, source, and market branded childrenswear and accessories under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OshKosh B'gosh</w:t>
      </w:r>
      <w:r>
        <w:rPr>
          <w:rFonts w:ascii="Arial" w:cs="Arial" w:eastAsia="Arial" w:hAnsi="Arial"/>
          <w:sz w:val="16"/>
          <w:szCs w:val="16"/>
          <w:color w:val="auto"/>
        </w:rPr>
        <w:t xml:space="preserv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w:t>
      </w:r>
      <w:r>
        <w:rPr>
          <w:rFonts w:ascii="Arial" w:cs="Arial" w:eastAsia="Arial" w:hAnsi="Arial"/>
          <w:sz w:val="16"/>
          <w:szCs w:val="16"/>
          <w:i w:val="1"/>
          <w:iCs w:val="1"/>
          <w:color w:val="auto"/>
        </w:rPr>
        <w:t>Just One You</w:t>
      </w:r>
      <w:r>
        <w:rPr>
          <w:rFonts w:ascii="Arial" w:cs="Arial" w:eastAsia="Arial" w:hAnsi="Arial"/>
          <w:sz w:val="16"/>
          <w:szCs w:val="16"/>
          <w:color w:val="auto"/>
        </w:rPr>
        <w:t xml:space="preserve">, </w:t>
      </w:r>
      <w:r>
        <w:rPr>
          <w:rFonts w:ascii="Arial" w:cs="Arial" w:eastAsia="Arial" w:hAnsi="Arial"/>
          <w:sz w:val="16"/>
          <w:szCs w:val="16"/>
          <w:i w:val="1"/>
          <w:iCs w:val="1"/>
          <w:color w:val="auto"/>
        </w:rPr>
        <w:t>Simple Joys</w:t>
      </w:r>
      <w:r>
        <w:rPr>
          <w:rFonts w:ascii="Arial" w:cs="Arial" w:eastAsia="Arial" w:hAnsi="Arial"/>
          <w:sz w:val="16"/>
          <w:szCs w:val="16"/>
          <w:color w:val="auto"/>
        </w:rPr>
        <w:t xml:space="preserve">, </w:t>
      </w:r>
      <w:r>
        <w:rPr>
          <w:rFonts w:ascii="Arial" w:cs="Arial" w:eastAsia="Arial" w:hAnsi="Arial"/>
          <w:sz w:val="16"/>
          <w:szCs w:val="16"/>
          <w:i w:val="1"/>
          <w:iCs w:val="1"/>
          <w:color w:val="auto"/>
        </w:rPr>
        <w:t>Precious Baby</w:t>
      </w:r>
      <w:r>
        <w:rPr>
          <w:rFonts w:ascii="Arial" w:cs="Arial" w:eastAsia="Arial" w:hAnsi="Arial"/>
          <w:sz w:val="16"/>
          <w:szCs w:val="16"/>
          <w:color w:val="auto"/>
        </w:rPr>
        <w:t xml:space="preserve">, </w:t>
      </w:r>
      <w:r>
        <w:rPr>
          <w:rFonts w:ascii="Arial" w:cs="Arial" w:eastAsia="Arial" w:hAnsi="Arial"/>
          <w:sz w:val="16"/>
          <w:szCs w:val="16"/>
          <w:i w:val="1"/>
          <w:iCs w:val="1"/>
          <w:color w:val="auto"/>
        </w:rPr>
        <w:t>Little Planet</w:t>
      </w:r>
      <w:r>
        <w:rPr>
          <w:rFonts w:ascii="Arial" w:cs="Arial" w:eastAsia="Arial" w:hAnsi="Arial"/>
          <w:sz w:val="16"/>
          <w:szCs w:val="16"/>
          <w:color w:val="auto"/>
        </w:rPr>
        <w:t>, and other brands. The Company's products are sourced through 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9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(loss), statement of stockholders' equity, and cash flows of the Company for the interim periods presented. Except as otherwise disclosed, all such adjustments consist only of those of a normal recurring nature. Operating results for the fiscal quarter ended September 26, 2020 are not necessarily indicative of the results that may be expected for the current fiscal year ending January 2, 2021.</w:t>
      </w:r>
    </w:p>
    <w:p>
      <w:pPr>
        <w:spacing w:after="0" w:line="14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accompanying condensed consolidated balance sheet as of December 28, 2019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Previously Issued Financial Statements</w:t>
      </w:r>
    </w:p>
    <w:p>
      <w:pPr>
        <w:spacing w:after="0" w:line="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During the second quarter of fiscal year 2020, it was determined that there were amounts presented incorrectly in the statement of cash flows for the annual and interim year to date periods subsequent to the December 30, 2018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due to the presentation of the non-cash impact of the initial and subsequent recognition of the Right of Use ("ROU") assets and lease liabilities within the "Prepaid expenses and other assets" and "Accounts payable and other liabilities" line items, respectively, within operating cash flows. This incorrect presentation had no impact on net cash (used in) provided by operating activities for any of the periods. We assessed the materiality of the incorrect presentation and concluded that the previously issued financial statements were not materially misstated. The presentation errors resulted in an offsetting overstatement of cash used for prepaid expenses and other assets and cash provided by accounts payable and other liabilities of $739 million, $773 million and $815 million for the three, six and nine-months ended March 30, 2019, June 29, 2019 and September 28, 2019, respectively, $828 million for the year ended December 28, 2019 and $29 million for the three months ended March 28, 2020. The accompanying unaudited condensed consolidated statement of cash flows appropriately reflect the corrected presentation of these non-cash activities. In addition, the Company has reclassified and will reclassify prior comparable period amounts to present ROU asset amortization and lease liability payment activity on a net basis within the "Accounts payable and other liabilities" line item. The revisions to the year ended December 31, 2019 and three months ended March 31, 2020 will be presented in future Forms 10-Q and 10-K filings. We will continue to provide supplemental noncash cash flow disclosure information in the notes to the financial statements, as well as correct for the omission of such disclosure during the 2019 interim periods in connection with our 2020 quarterly filings.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337" w:right="35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2019, an outbreak of a new strain of coronavirus ("COVID-19") began in Wuhan, China. In March 2020, the World Health Organization declared COVID-19 a pandemic and the President of the United States declared a national emergency. As a result of COVID-19, the Company temporarily closed its retail stores in North America and implemented several actions during fiscal 2020 to enhance liquidity and financial flexibility including the deferral of lease payments, reductions in discretionary spending, amending its revolving credit facility, issuing $500 million principal amount of senior notes, and suspending dividends and share repurchases.</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Beginning in April 2020, the Company suspended rent payments under the leases for our temporarily closed stores in North America and has been in discussions with landlords to obtain rent concessions. The Company considered the Financial Accounting Standards Board's ("FASB") recent guidance regarding lease concessions as a result of the effects of the COVID-19 pandemic and has elected to treat these rent concessions as lease modifications. As of September 26, 2020, lease modifications resulting from COVID-19 related rent concessions were not material to the financial statements. The Company continues to negotiate lease concessions with landlords. As of the end of the fiscal quarter, the Company resumed making the required rent payments under these leases.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Leases</w:t>
      </w:r>
      <w:r>
        <w:rPr>
          <w:rFonts w:ascii="Arial" w:cs="Arial" w:eastAsia="Arial" w:hAnsi="Arial"/>
          <w:sz w:val="18"/>
          <w:szCs w:val="18"/>
          <w:color w:val="auto"/>
        </w:rPr>
        <w:t>, for further details on deferral of rent payments under these leases.</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On May 4, 2020, the Company, through its wholly owned subsidiary, The William Carter Company ("TWCC"), successfully amended its revolving credit facility. This amendment provided for, among other things, a waiver of financial covenants through the balance of fiscal year 2020, revised covenant requirements through the third quarter of fiscal year 2021, and the ability to raise additional unsecured financing at the Company’s discretion. Additionally, on May 11, 2020, TWCC issued $500 million principal amount of senior notes at par, bearing interest at a rate of 5.500% per annum, and maturing on May 15, 2025. See Note 8, </w:t>
      </w:r>
      <w:r>
        <w:rPr>
          <w:rFonts w:ascii="Arial" w:cs="Arial" w:eastAsia="Arial" w:hAnsi="Arial"/>
          <w:sz w:val="18"/>
          <w:szCs w:val="18"/>
          <w:i w:val="1"/>
          <w:iCs w:val="1"/>
          <w:color w:val="auto"/>
        </w:rPr>
        <w:t>Long-Term Debt</w:t>
      </w:r>
      <w:r>
        <w:rPr>
          <w:rFonts w:ascii="Arial" w:cs="Arial" w:eastAsia="Arial" w:hAnsi="Arial"/>
          <w:sz w:val="18"/>
          <w:szCs w:val="18"/>
          <w:color w:val="auto"/>
        </w:rPr>
        <w:t>, for further details on the amendment to the revolving credit facility and the issuance of $500 million principal amount of senior notes.</w:t>
      </w:r>
    </w:p>
    <w:p>
      <w:pPr>
        <w:spacing w:after="0" w:line="1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announced in the first half of fiscal 2020, that in connection with the COVID-19 pandemic, it suspended its common stock share repurchase program and its quarterly cash dividend. The Company's Board of Directors will evaluate future capital distributions, including dividend declarations, based on a number of factors, including restrictions under our revolving credit facility, business conditions, our financial performance, and other considerations.</w:t>
      </w:r>
    </w:p>
    <w:p>
      <w:pPr>
        <w:spacing w:after="0" w:line="1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also assessed certain accounting matters that generally require consideration of forecasted financial information in context with the information reasonably available to us and the unknown future impacts of COVID-19 as of September 26, 2020 and through the date of this report filing. The accounting matters assessed included, but were not limited to, our allowance for credit losses, inventory reserves, adverse inventory and fabric purchase commitments, stock based compensation, and the carrying value of our goodwill and other long-lived assets. Based on these assessments, in the third quarter of fiscal 2020, the Company recorded impairments on operating lease assets and other long-lived assets for our underperforming retail stores of $1.7 million, and a benefit in excess inventory and fabric purchase commitment charges of $8.5 million related to better than expected sales of inventory that were reserved for in the first fiscal quarter of 2020 due to COVID-19 related disruptions. For the three fiscal quarters ending September 26, 2020, the Company recorded impairments on operating lease assets and other long-lived assets for our underperforming retail stores of $6.7 million, incremental inventory reserve related charges of $20.9 million, adverse inventory and fabric purchase commitments of $16.2 million, intangible asset impairments of $26.5 million, and goodwill impairment of $17.7 million. There could be a further material impact to our consolidated financial statements in future reporting periods if, at a future date, the Company determines that these assessments of the magnitude and duration of COVID-19, as well as other factors, were incorrect.</w:t>
      </w:r>
    </w:p>
    <w:p>
      <w:pPr>
        <w:spacing w:after="0" w:line="14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Additional COVID-19 related charges in the third quarter of fiscal 2020 were $3.3 million, which primarily included costs associated with additional protective equipment and cleaning supplies of $2.5 million. COVID-19 related charges for the three fiscal quarters ending September 26, 2020 were $18.8 million, which primarily included incremental payroll continuation and employee related costs of $12.1 million, costs associated with additional protective equipment and cleaning supplies of $6.8 million, and restructuring costs of $2.3 million, partially offset by a payroll tax benefit of $3.5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accounting policies the Company follows are set forth in its most recently filed Annual Report on Form 10-K. There have been no material changes to these accounting policies. New accounting pronouncements adopted at the beginning of fiscal 2020 are noted below.</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337" w:right="3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2016-13)</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At the beginning of fiscal 2020, the Company adopted Accounting Standards Update ("ASU") No. 2016-13, </w:t>
      </w:r>
      <w:r>
        <w:rPr>
          <w:rFonts w:ascii="Arial" w:cs="Arial" w:eastAsia="Arial" w:hAnsi="Arial"/>
          <w:sz w:val="17"/>
          <w:szCs w:val="17"/>
          <w:i w:val="1"/>
          <w:iCs w:val="1"/>
          <w:color w:val="auto"/>
        </w:rPr>
        <w:t>Financial Instruments-Credit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326): Measurement of Credit Losses on Financial Instruments </w:t>
      </w:r>
      <w:r>
        <w:rPr>
          <w:rFonts w:ascii="Arial" w:cs="Arial" w:eastAsia="Arial" w:hAnsi="Arial"/>
          <w:sz w:val="17"/>
          <w:szCs w:val="17"/>
          <w:color w:val="auto"/>
        </w:rPr>
        <w:t>("ASU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This new guidance changed how entities account for credit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for trade and other receivables, as well as for certain financial assets and other instruments. ASU 2016-13 replaced the previous "incurred loss" model with an "expected loss" model, that requires an entity to recognize a loss (or allowance) upon initial recognition of the asset that reflects all future events that will lead to a loss being realized, regardless of whether it is probable that the future event will occur. The Company estimates current expected credit losses based on collection history and management’s assessment of the current economic trends, business environment, customers’ financial condition, accounts receivable aging, and customer disputes that may impact the level of future credit losses. The effect of the adoption of ASU 2016-13 was not material to the Company's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 (ASU 2017-04)</w:t>
      </w:r>
    </w:p>
    <w:p>
      <w:pPr>
        <w:spacing w:after="0" w:line="9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At the beginning of fiscal 2020, the Company adopted ASU No. 2017-04, </w:t>
      </w:r>
      <w:r>
        <w:rPr>
          <w:rFonts w:ascii="Arial" w:cs="Arial" w:eastAsia="Arial" w:hAnsi="Arial"/>
          <w:sz w:val="16"/>
          <w:szCs w:val="16"/>
          <w:i w:val="1"/>
          <w:iCs w:val="1"/>
          <w:color w:val="auto"/>
        </w:rPr>
        <w:t>Intangibles-Goodwill and Other (Topic 350): Simplifying the Test for 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 </w:t>
      </w:r>
      <w:r>
        <w:rPr>
          <w:rFonts w:ascii="Arial" w:cs="Arial" w:eastAsia="Arial" w:hAnsi="Arial"/>
          <w:sz w:val="16"/>
          <w:szCs w:val="16"/>
          <w:color w:val="auto"/>
        </w:rPr>
        <w:t>("ASU 2017-04")</w:t>
      </w:r>
      <w:r>
        <w:rPr>
          <w:rFonts w:ascii="Arial" w:cs="Arial" w:eastAsia="Arial" w:hAnsi="Arial"/>
          <w:sz w:val="16"/>
          <w:szCs w:val="16"/>
          <w:i w:val="1"/>
          <w:iCs w:val="1"/>
          <w:color w:val="auto"/>
        </w:rPr>
        <w:t xml:space="preserve">. </w:t>
      </w:r>
      <w:r>
        <w:rPr>
          <w:rFonts w:ascii="Arial" w:cs="Arial" w:eastAsia="Arial" w:hAnsi="Arial"/>
          <w:sz w:val="16"/>
          <w:szCs w:val="16"/>
          <w:color w:val="auto"/>
        </w:rPr>
        <w:t>ASU 2017-04 eliminates the requirement to calculate the implied fair value of goodwill (step 2 of the current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does not change the current guidance for completing step 1 of the goodwill impairment test, and an entity can still perform the current optional qualitative goodwill impairment assessment before determining whether to proceed to step 1. The effect of the adoption of ASU 2017-04 had no impact to the Company's consolidated financial statements. During the first quarter of fiscal 2020, the Company conducted an interim quantitative impairment assessment on the goodwill ascribed to the Other International reporting unit. As a result of this assessment and based on the application of ASU 2017-04, a goodwill impairment charge of $17.7 million was recorded to our Other International reporting unit. See Note 6,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for further details on the impairment charge and valuation methodology.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Income Taxes (Topic 740)</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w:t>
      </w:r>
      <w:r>
        <w:rPr>
          <w:rFonts w:ascii="Arial" w:cs="Arial" w:eastAsia="Arial" w:hAnsi="Arial"/>
          <w:sz w:val="18"/>
          <w:szCs w:val="18"/>
          <w:i w:val="1"/>
          <w:iCs w:val="1"/>
          <w:color w:val="auto"/>
        </w:rPr>
        <w:t>,</w:t>
      </w:r>
      <w:r>
        <w:rPr>
          <w:rFonts w:ascii="Arial" w:cs="Arial" w:eastAsia="Arial" w:hAnsi="Arial"/>
          <w:sz w:val="18"/>
          <w:szCs w:val="18"/>
          <w:color w:val="auto"/>
        </w:rPr>
        <w:t xml:space="preserve"> as part of its overall simplification initiative to reduce costs and complexity of applying accounting standards while maintaining or improving the usefulness of the information provided to users of financial statements. Amendments include removal of certain exceptions to the general principles of Topic 740, "Income Taxes," and simplification in several other areas. ASU 2019-12 is effective for annual reporting periods beginning after December 15, 2020, and interim periods therein, with early adoption permitted. The Company elected to early adopt this guidance in the first quarter of fiscal 2020. The Company retrospectively adopted the provision related to the classification of taxes partially based on income and has determined that the adoption of this standard did not have a material impact on its prior period financial statements. The provisions related to intra period tax allocation and interim recognition of enactment of tax laws are being adopted on a prospective basis. The effect of the adoption of ASU 2019-12 was not material to the Company's consolidated financial statements.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337" w:right="359" w:bottom="1440" w:gutter="0" w:footer="0" w:header="0"/>
        </w:sectPr>
      </w:pPr>
    </w:p>
    <w:bookmarkStart w:id="12" w:name="page13"/>
    <w:bookmarkEnd w:id="12"/>
    <w:p>
      <w:pPr>
        <w:ind w:left="22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9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9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sells its products directly to consumers ("direct-to-consumer") and to other retail companies and partners that subsequently sell the products directly to their own retail customers. The Company also earns royalties from certain of its licensees. Disaggregated revenues from these sources for the third quarter and three quarters ended fiscal 2020 and 2019 were as follows: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(dollars in thousands)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Wholesale channel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Direct-to-consumer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Royalty income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(dollars in thousands)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6"/>
          <w:szCs w:val="16"/>
          <w:color w:val="auto"/>
        </w:rPr>
        <w:t>Wholesale channel</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Direct-to-consumer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Royalty income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(dollars in thousands)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Wholesale channel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Direct-to-consumer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Royalty income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(dollars in thousands)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6"/>
          <w:szCs w:val="16"/>
          <w:color w:val="auto"/>
        </w:rPr>
        <w:t>Wholesale channel</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Direct-to-consumer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Fiscal quarter ended September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4483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8310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6"/>
                <w:szCs w:val="16"/>
                <w:b w:val="1"/>
                <w:bCs w:val="1"/>
                <w:color w:val="auto"/>
              </w:rPr>
              <w:t>U.S. Retail</w:t>
            </w:r>
          </w:p>
        </w:tc>
        <w:tc>
          <w:tcPr>
            <w:tcW w:w="220" w:type="dxa"/>
            <w:vAlign w:val="bottom"/>
          </w:tcPr>
          <w:p>
            <w:pPr>
              <w:spacing w:after="0"/>
              <w:rPr>
                <w:sz w:val="16"/>
                <w:szCs w:val="16"/>
                <w:color w:val="auto"/>
              </w:rPr>
            </w:pPr>
          </w:p>
        </w:tc>
        <w:tc>
          <w:tcPr>
            <w:tcW w:w="1560" w:type="dxa"/>
            <w:vAlign w:val="bottom"/>
            <w:gridSpan w:val="4"/>
          </w:tcPr>
          <w:p>
            <w:pPr>
              <w:ind w:left="100"/>
              <w:spacing w:after="0"/>
              <w:rPr>
                <w:sz w:val="20"/>
                <w:szCs w:val="20"/>
                <w:color w:val="auto"/>
              </w:rPr>
            </w:pPr>
            <w:r>
              <w:rPr>
                <w:rFonts w:ascii="Arial" w:cs="Arial" w:eastAsia="Arial" w:hAnsi="Arial"/>
                <w:sz w:val="16"/>
                <w:szCs w:val="16"/>
                <w:b w:val="1"/>
                <w:bCs w:val="1"/>
                <w:color w:val="auto"/>
              </w:rPr>
              <w:t>U.S. Wholesale</w:t>
            </w:r>
          </w:p>
        </w:tc>
        <w:tc>
          <w:tcPr>
            <w:tcW w:w="38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International</w:t>
            </w:r>
          </w:p>
        </w:tc>
        <w:tc>
          <w:tcPr>
            <w:tcW w:w="400" w:type="dxa"/>
            <w:vAlign w:val="bottom"/>
          </w:tcPr>
          <w:p>
            <w:pPr>
              <w:spacing w:after="0"/>
              <w:rPr>
                <w:sz w:val="16"/>
                <w:szCs w:val="16"/>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Total</w:t>
            </w: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84"/>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360" w:type="dxa"/>
            <w:vAlign w:val="bottom"/>
            <w:gridSpan w:val="2"/>
          </w:tcPr>
          <w:p>
            <w:pPr>
              <w:jc w:val="right"/>
              <w:ind w:right="39"/>
              <w:spacing w:after="0"/>
              <w:rPr>
                <w:sz w:val="20"/>
                <w:szCs w:val="20"/>
                <w:color w:val="auto"/>
              </w:rPr>
            </w:pPr>
            <w:r>
              <w:rPr>
                <w:rFonts w:ascii="Arial" w:cs="Arial" w:eastAsia="Arial" w:hAnsi="Arial"/>
                <w:sz w:val="16"/>
                <w:szCs w:val="16"/>
                <w:color w:val="auto"/>
              </w:rPr>
              <w:t>302,135</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37,838</w:t>
            </w:r>
          </w:p>
        </w:tc>
        <w:tc>
          <w:tcPr>
            <w:tcW w:w="100" w:type="dxa"/>
            <w:vAlign w:val="bottom"/>
          </w:tcPr>
          <w:p>
            <w:pPr>
              <w:spacing w:after="0"/>
              <w:rPr>
                <w:sz w:val="24"/>
                <w:szCs w:val="24"/>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339,973</w:t>
            </w:r>
          </w:p>
        </w:tc>
      </w:tr>
      <w:tr>
        <w:trPr>
          <w:trHeight w:val="270"/>
        </w:trPr>
        <w:tc>
          <w:tcPr>
            <w:tcW w:w="300" w:type="dxa"/>
            <w:vAlign w:val="bottom"/>
          </w:tcPr>
          <w:p>
            <w:pPr>
              <w:spacing w:after="0"/>
              <w:rPr>
                <w:sz w:val="23"/>
                <w:szCs w:val="23"/>
                <w:color w:val="auto"/>
              </w:rPr>
            </w:pPr>
          </w:p>
        </w:tc>
        <w:tc>
          <w:tcPr>
            <w:tcW w:w="1420" w:type="dxa"/>
            <w:vAlign w:val="bottom"/>
            <w:gridSpan w:val="3"/>
          </w:tcPr>
          <w:p>
            <w:pPr>
              <w:jc w:val="right"/>
              <w:ind w:right="39"/>
              <w:spacing w:after="0"/>
              <w:rPr>
                <w:sz w:val="20"/>
                <w:szCs w:val="20"/>
                <w:color w:val="auto"/>
              </w:rPr>
            </w:pPr>
            <w:r>
              <w:rPr>
                <w:rFonts w:ascii="Arial" w:cs="Arial" w:eastAsia="Arial" w:hAnsi="Arial"/>
                <w:sz w:val="16"/>
                <w:szCs w:val="16"/>
                <w:color w:val="auto"/>
              </w:rPr>
              <w:t>449,150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75,957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525,107</w:t>
            </w:r>
          </w:p>
        </w:tc>
      </w:tr>
      <w:tr>
        <w:trPr>
          <w:trHeight w:val="33"/>
        </w:trPr>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39"/>
              <w:spacing w:after="0"/>
              <w:rPr>
                <w:sz w:val="20"/>
                <w:szCs w:val="20"/>
                <w:color w:val="auto"/>
              </w:rPr>
            </w:pPr>
            <w:r>
              <w:rPr>
                <w:rFonts w:ascii="Arial" w:cs="Arial" w:eastAsia="Arial" w:hAnsi="Arial"/>
                <w:sz w:val="16"/>
                <w:szCs w:val="16"/>
                <w:color w:val="auto"/>
              </w:rPr>
              <w:t>449,150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39"/>
              <w:spacing w:after="0"/>
              <w:rPr>
                <w:sz w:val="20"/>
                <w:szCs w:val="20"/>
                <w:color w:val="auto"/>
              </w:rPr>
            </w:pPr>
            <w:r>
              <w:rPr>
                <w:rFonts w:ascii="Arial" w:cs="Arial" w:eastAsia="Arial" w:hAnsi="Arial"/>
                <w:sz w:val="16"/>
                <w:szCs w:val="16"/>
                <w:color w:val="auto"/>
              </w:rPr>
              <w:t>302,135</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113,795</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865,080</w:t>
            </w:r>
          </w:p>
        </w:tc>
      </w:tr>
      <w:tr>
        <w:trPr>
          <w:trHeight w:val="33"/>
        </w:trPr>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434"/>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39"/>
              <w:spacing w:after="0"/>
              <w:rPr>
                <w:sz w:val="20"/>
                <w:szCs w:val="20"/>
                <w:color w:val="auto"/>
              </w:rPr>
            </w:pPr>
            <w:r>
              <w:rPr>
                <w:rFonts w:ascii="Arial" w:cs="Arial" w:eastAsia="Arial" w:hAnsi="Arial"/>
                <w:sz w:val="16"/>
                <w:szCs w:val="16"/>
                <w:color w:val="auto"/>
              </w:rPr>
              <w:t>3,902</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39"/>
              <w:spacing w:after="0"/>
              <w:rPr>
                <w:sz w:val="20"/>
                <w:szCs w:val="20"/>
                <w:color w:val="auto"/>
              </w:rPr>
            </w:pPr>
            <w:r>
              <w:rPr>
                <w:rFonts w:ascii="Arial" w:cs="Arial" w:eastAsia="Arial" w:hAnsi="Arial"/>
                <w:sz w:val="16"/>
                <w:szCs w:val="16"/>
                <w:color w:val="auto"/>
              </w:rPr>
              <w:t>3,986</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24"/>
                <w:szCs w:val="24"/>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9,063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-826770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-484505</wp:posOffset>
            </wp:positionV>
            <wp:extent cx="71323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-149860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0"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Three fiscal quarters ended September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37465</wp:posOffset>
            </wp:positionV>
            <wp:extent cx="4457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Arial" w:cs="Arial" w:eastAsia="Arial" w:hAnsi="Arial"/>
                <w:sz w:val="16"/>
                <w:szCs w:val="16"/>
                <w:b w:val="1"/>
                <w:bCs w:val="1"/>
                <w:color w:val="auto"/>
              </w:rPr>
              <w:t>U.S. Retail</w:t>
            </w:r>
          </w:p>
        </w:tc>
        <w:tc>
          <w:tcPr>
            <w:tcW w:w="200" w:type="dxa"/>
            <w:vAlign w:val="bottom"/>
          </w:tcPr>
          <w:p>
            <w:pPr>
              <w:spacing w:after="0"/>
              <w:rPr>
                <w:sz w:val="16"/>
                <w:szCs w:val="16"/>
                <w:color w:val="auto"/>
              </w:rPr>
            </w:pPr>
          </w:p>
        </w:tc>
        <w:tc>
          <w:tcPr>
            <w:tcW w:w="1560" w:type="dxa"/>
            <w:vAlign w:val="bottom"/>
            <w:gridSpan w:val="4"/>
          </w:tcPr>
          <w:p>
            <w:pPr>
              <w:ind w:left="100"/>
              <w:spacing w:after="0"/>
              <w:rPr>
                <w:sz w:val="20"/>
                <w:szCs w:val="20"/>
                <w:color w:val="auto"/>
              </w:rPr>
            </w:pPr>
            <w:r>
              <w:rPr>
                <w:rFonts w:ascii="Arial" w:cs="Arial" w:eastAsia="Arial" w:hAnsi="Arial"/>
                <w:sz w:val="16"/>
                <w:szCs w:val="16"/>
                <w:b w:val="1"/>
                <w:bCs w:val="1"/>
                <w:color w:val="auto"/>
              </w:rPr>
              <w:t>U.S. Wholesale</w:t>
            </w:r>
          </w:p>
        </w:tc>
        <w:tc>
          <w:tcPr>
            <w:tcW w:w="240" w:type="dxa"/>
            <w:vAlign w:val="bottom"/>
          </w:tcPr>
          <w:p>
            <w:pPr>
              <w:spacing w:after="0"/>
              <w:rPr>
                <w:sz w:val="16"/>
                <w:szCs w:val="16"/>
                <w:color w:val="auto"/>
              </w:rPr>
            </w:pPr>
          </w:p>
        </w:tc>
        <w:tc>
          <w:tcPr>
            <w:tcW w:w="1540" w:type="dxa"/>
            <w:vAlign w:val="bottom"/>
            <w:gridSpan w:val="4"/>
          </w:tcPr>
          <w:p>
            <w:pPr>
              <w:ind w:left="120"/>
              <w:spacing w:after="0"/>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16"/>
                <w:szCs w:val="16"/>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Total</w:t>
            </w: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85"/>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24"/>
                <w:szCs w:val="24"/>
                <w:color w:val="auto"/>
              </w:rPr>
            </w:pPr>
          </w:p>
        </w:tc>
        <w:tc>
          <w:tcPr>
            <w:tcW w:w="1360" w:type="dxa"/>
            <w:vAlign w:val="bottom"/>
            <w:gridSpan w:val="2"/>
          </w:tcPr>
          <w:p>
            <w:pPr>
              <w:jc w:val="right"/>
              <w:ind w:right="39"/>
              <w:spacing w:after="0"/>
              <w:rPr>
                <w:sz w:val="20"/>
                <w:szCs w:val="20"/>
                <w:color w:val="auto"/>
              </w:rPr>
            </w:pPr>
            <w:r>
              <w:rPr>
                <w:rFonts w:ascii="Arial" w:cs="Arial" w:eastAsia="Arial" w:hAnsi="Arial"/>
                <w:sz w:val="16"/>
                <w:szCs w:val="16"/>
                <w:color w:val="auto"/>
              </w:rPr>
              <w:t>706,009</w:t>
            </w:r>
          </w:p>
        </w:tc>
        <w:tc>
          <w:tcPr>
            <w:tcW w:w="1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92,110</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798,119</w:t>
            </w:r>
          </w:p>
        </w:tc>
      </w:tr>
      <w:tr>
        <w:trPr>
          <w:trHeight w:val="270"/>
        </w:trPr>
        <w:tc>
          <w:tcPr>
            <w:tcW w:w="280" w:type="dxa"/>
            <w:vAlign w:val="bottom"/>
          </w:tcPr>
          <w:p>
            <w:pPr>
              <w:spacing w:after="0"/>
              <w:rPr>
                <w:sz w:val="23"/>
                <w:szCs w:val="23"/>
                <w:color w:val="auto"/>
              </w:rPr>
            </w:pPr>
          </w:p>
        </w:tc>
        <w:tc>
          <w:tcPr>
            <w:tcW w:w="1420" w:type="dxa"/>
            <w:vAlign w:val="bottom"/>
            <w:gridSpan w:val="3"/>
          </w:tcPr>
          <w:p>
            <w:pPr>
              <w:jc w:val="right"/>
              <w:ind w:right="59"/>
              <w:spacing w:after="0"/>
              <w:rPr>
                <w:sz w:val="20"/>
                <w:szCs w:val="20"/>
                <w:color w:val="auto"/>
              </w:rPr>
            </w:pPr>
            <w:r>
              <w:rPr>
                <w:rFonts w:ascii="Arial" w:cs="Arial" w:eastAsia="Arial" w:hAnsi="Arial"/>
                <w:sz w:val="16"/>
                <w:szCs w:val="16"/>
                <w:color w:val="auto"/>
              </w:rPr>
              <w:t>1,085,883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150,435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1,236,318</w:t>
            </w:r>
          </w:p>
        </w:tc>
      </w:tr>
      <w:tr>
        <w:trPr>
          <w:trHeight w:val="33"/>
        </w:trPr>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59"/>
              <w:spacing w:after="0"/>
              <w:rPr>
                <w:sz w:val="20"/>
                <w:szCs w:val="20"/>
                <w:color w:val="auto"/>
              </w:rPr>
            </w:pPr>
            <w:r>
              <w:rPr>
                <w:rFonts w:ascii="Arial" w:cs="Arial" w:eastAsia="Arial" w:hAnsi="Arial"/>
                <w:sz w:val="16"/>
                <w:szCs w:val="16"/>
                <w:color w:val="auto"/>
              </w:rPr>
              <w:t>1,085,883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gridSpan w:val="3"/>
          </w:tcPr>
          <w:p>
            <w:pPr>
              <w:jc w:val="right"/>
              <w:ind w:right="39"/>
              <w:spacing w:after="0"/>
              <w:rPr>
                <w:sz w:val="20"/>
                <w:szCs w:val="20"/>
                <w:color w:val="auto"/>
              </w:rPr>
            </w:pPr>
            <w:r>
              <w:rPr>
                <w:rFonts w:ascii="Arial" w:cs="Arial" w:eastAsia="Arial" w:hAnsi="Arial"/>
                <w:sz w:val="16"/>
                <w:szCs w:val="16"/>
                <w:color w:val="auto"/>
              </w:rPr>
              <w:t>706,009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242,545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2,034,437</w:t>
            </w:r>
          </w:p>
        </w:tc>
      </w:tr>
      <w:tr>
        <w:trPr>
          <w:trHeight w:val="33"/>
        </w:trPr>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433"/>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59"/>
              <w:spacing w:after="0"/>
              <w:rPr>
                <w:sz w:val="20"/>
                <w:szCs w:val="20"/>
                <w:color w:val="auto"/>
              </w:rPr>
            </w:pPr>
            <w:r>
              <w:rPr>
                <w:rFonts w:ascii="Arial" w:cs="Arial" w:eastAsia="Arial" w:hAnsi="Arial"/>
                <w:sz w:val="16"/>
                <w:szCs w:val="16"/>
                <w:color w:val="auto"/>
              </w:rPr>
              <w:t>7,648</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gridSpan w:val="3"/>
          </w:tcPr>
          <w:p>
            <w:pPr>
              <w:jc w:val="right"/>
              <w:ind w:right="39"/>
              <w:spacing w:after="0"/>
              <w:rPr>
                <w:sz w:val="20"/>
                <w:szCs w:val="20"/>
                <w:color w:val="auto"/>
              </w:rPr>
            </w:pPr>
            <w:r>
              <w:rPr>
                <w:rFonts w:ascii="Arial" w:cs="Arial" w:eastAsia="Arial" w:hAnsi="Arial"/>
                <w:sz w:val="16"/>
                <w:szCs w:val="16"/>
                <w:color w:val="auto"/>
              </w:rPr>
              <w:t>9,576</w:t>
            </w:r>
          </w:p>
        </w:tc>
        <w:tc>
          <w:tcPr>
            <w:tcW w:w="1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2,765</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19,989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-826770</wp:posOffset>
            </wp:positionV>
            <wp:extent cx="70891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-483870</wp:posOffset>
            </wp:positionV>
            <wp:extent cx="708914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179705"/>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-149860</wp:posOffset>
            </wp:positionV>
            <wp:extent cx="70891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350" w:lineRule="exact"/>
        <w:rPr>
          <w:sz w:val="20"/>
          <w:szCs w:val="20"/>
          <w:color w:val="auto"/>
        </w:rPr>
      </w:pPr>
    </w:p>
    <w:p>
      <w:pPr>
        <w:ind w:left="2120"/>
        <w:spacing w:after="0"/>
        <w:rPr>
          <w:sz w:val="20"/>
          <w:szCs w:val="20"/>
          <w:color w:val="auto"/>
        </w:rPr>
      </w:pPr>
      <w:r>
        <w:rPr>
          <w:rFonts w:ascii="Arial" w:cs="Arial" w:eastAsia="Arial" w:hAnsi="Arial"/>
          <w:sz w:val="16"/>
          <w:szCs w:val="16"/>
          <w:b w:val="1"/>
          <w:bCs w:val="1"/>
          <w:color w:val="auto"/>
        </w:rPr>
        <w:t>Fiscal quarter ended September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44748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74845"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6"/>
                <w:szCs w:val="16"/>
                <w:b w:val="1"/>
                <w:bCs w:val="1"/>
                <w:color w:val="auto"/>
              </w:rPr>
              <w:t>U.S. Retail</w:t>
            </w:r>
          </w:p>
        </w:tc>
        <w:tc>
          <w:tcPr>
            <w:tcW w:w="32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U.S. Wholesale</w:t>
            </w:r>
          </w:p>
        </w:tc>
        <w:tc>
          <w:tcPr>
            <w:tcW w:w="36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Pr>
          <w:p>
            <w:pPr>
              <w:spacing w:after="0"/>
              <w:rPr>
                <w:sz w:val="16"/>
                <w:szCs w:val="16"/>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Total</w:t>
            </w:r>
          </w:p>
        </w:tc>
      </w:tr>
      <w:tr>
        <w:trPr>
          <w:trHeight w:val="20"/>
        </w:trPr>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84"/>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4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color w:val="auto"/>
              </w:rPr>
              <w:t>352,256</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56,101</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408,357</w:t>
            </w:r>
          </w:p>
        </w:tc>
      </w:tr>
      <w:tr>
        <w:trPr>
          <w:trHeight w:val="270"/>
        </w:trPr>
        <w:tc>
          <w:tcPr>
            <w:tcW w:w="480" w:type="dxa"/>
            <w:vAlign w:val="bottom"/>
          </w:tcPr>
          <w:p>
            <w:pPr>
              <w:spacing w:after="0"/>
              <w:rPr>
                <w:sz w:val="23"/>
                <w:szCs w:val="23"/>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464,100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70,865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534,965</w:t>
            </w:r>
          </w:p>
        </w:tc>
      </w:tr>
      <w:tr>
        <w:trPr>
          <w:trHeight w:val="33"/>
        </w:trPr>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464,100</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color w:val="auto"/>
              </w:rPr>
              <w:t>352,256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126,966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943,322</w:t>
            </w:r>
          </w:p>
        </w:tc>
      </w:tr>
      <w:tr>
        <w:trPr>
          <w:trHeight w:val="33"/>
        </w:trPr>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34"/>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4,244</w:t>
            </w:r>
          </w:p>
        </w:tc>
        <w:tc>
          <w:tcPr>
            <w:tcW w:w="12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color w:val="auto"/>
              </w:rPr>
              <w:t>4,038</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9,192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-826770</wp:posOffset>
            </wp:positionV>
            <wp:extent cx="7115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-2640330</wp:posOffset>
            </wp:positionH>
            <wp:positionV relativeFrom="paragraph">
              <wp:posOffset>-483870</wp:posOffset>
            </wp:positionV>
            <wp:extent cx="7115175"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-2640330</wp:posOffset>
            </wp:positionH>
            <wp:positionV relativeFrom="paragraph">
              <wp:posOffset>-149860</wp:posOffset>
            </wp:positionV>
            <wp:extent cx="71151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50"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Three fiscal quarters ended September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37465</wp:posOffset>
            </wp:positionV>
            <wp:extent cx="4457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Arial" w:cs="Arial" w:eastAsia="Arial" w:hAnsi="Arial"/>
                <w:sz w:val="16"/>
                <w:szCs w:val="16"/>
                <w:b w:val="1"/>
                <w:bCs w:val="1"/>
                <w:color w:val="auto"/>
              </w:rPr>
              <w:t>U.S. Retail</w:t>
            </w:r>
          </w:p>
        </w:tc>
        <w:tc>
          <w:tcPr>
            <w:tcW w:w="200" w:type="dxa"/>
            <w:vAlign w:val="bottom"/>
          </w:tcPr>
          <w:p>
            <w:pPr>
              <w:spacing w:after="0"/>
              <w:rPr>
                <w:sz w:val="16"/>
                <w:szCs w:val="16"/>
                <w:color w:val="auto"/>
              </w:rPr>
            </w:pPr>
          </w:p>
        </w:tc>
        <w:tc>
          <w:tcPr>
            <w:tcW w:w="1560" w:type="dxa"/>
            <w:vAlign w:val="bottom"/>
            <w:gridSpan w:val="4"/>
          </w:tcPr>
          <w:p>
            <w:pPr>
              <w:ind w:left="100"/>
              <w:spacing w:after="0"/>
              <w:rPr>
                <w:sz w:val="20"/>
                <w:szCs w:val="20"/>
                <w:color w:val="auto"/>
              </w:rPr>
            </w:pPr>
            <w:r>
              <w:rPr>
                <w:rFonts w:ascii="Arial" w:cs="Arial" w:eastAsia="Arial" w:hAnsi="Arial"/>
                <w:sz w:val="16"/>
                <w:szCs w:val="16"/>
                <w:b w:val="1"/>
                <w:bCs w:val="1"/>
                <w:color w:val="auto"/>
              </w:rPr>
              <w:t>U.S. Wholesale</w:t>
            </w:r>
          </w:p>
        </w:tc>
        <w:tc>
          <w:tcPr>
            <w:tcW w:w="240" w:type="dxa"/>
            <w:vAlign w:val="bottom"/>
          </w:tcPr>
          <w:p>
            <w:pPr>
              <w:spacing w:after="0"/>
              <w:rPr>
                <w:sz w:val="16"/>
                <w:szCs w:val="16"/>
                <w:color w:val="auto"/>
              </w:rPr>
            </w:pPr>
          </w:p>
        </w:tc>
        <w:tc>
          <w:tcPr>
            <w:tcW w:w="1540" w:type="dxa"/>
            <w:vAlign w:val="bottom"/>
            <w:gridSpan w:val="4"/>
          </w:tcPr>
          <w:p>
            <w:pPr>
              <w:ind w:left="120"/>
              <w:spacing w:after="0"/>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16"/>
                <w:szCs w:val="16"/>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Total</w:t>
            </w: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85"/>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24"/>
                <w:szCs w:val="24"/>
                <w:color w:val="auto"/>
              </w:rPr>
            </w:pPr>
          </w:p>
        </w:tc>
        <w:tc>
          <w:tcPr>
            <w:tcW w:w="1360" w:type="dxa"/>
            <w:vAlign w:val="bottom"/>
            <w:gridSpan w:val="2"/>
          </w:tcPr>
          <w:p>
            <w:pPr>
              <w:jc w:val="right"/>
              <w:ind w:right="39"/>
              <w:spacing w:after="0"/>
              <w:rPr>
                <w:sz w:val="20"/>
                <w:szCs w:val="20"/>
                <w:color w:val="auto"/>
              </w:rPr>
            </w:pPr>
            <w:r>
              <w:rPr>
                <w:rFonts w:ascii="Arial" w:cs="Arial" w:eastAsia="Arial" w:hAnsi="Arial"/>
                <w:sz w:val="16"/>
                <w:szCs w:val="16"/>
                <w:color w:val="auto"/>
              </w:rPr>
              <w:t>856,713</w:t>
            </w:r>
          </w:p>
        </w:tc>
        <w:tc>
          <w:tcPr>
            <w:tcW w:w="1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121,631</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978,344</w:t>
            </w:r>
          </w:p>
        </w:tc>
      </w:tr>
      <w:tr>
        <w:trPr>
          <w:trHeight w:val="270"/>
        </w:trPr>
        <w:tc>
          <w:tcPr>
            <w:tcW w:w="280" w:type="dxa"/>
            <w:vAlign w:val="bottom"/>
          </w:tcPr>
          <w:p>
            <w:pPr>
              <w:spacing w:after="0"/>
              <w:rPr>
                <w:sz w:val="23"/>
                <w:szCs w:val="23"/>
                <w:color w:val="auto"/>
              </w:rPr>
            </w:pPr>
          </w:p>
        </w:tc>
        <w:tc>
          <w:tcPr>
            <w:tcW w:w="1420" w:type="dxa"/>
            <w:vAlign w:val="bottom"/>
            <w:gridSpan w:val="3"/>
          </w:tcPr>
          <w:p>
            <w:pPr>
              <w:jc w:val="right"/>
              <w:ind w:right="59"/>
              <w:spacing w:after="0"/>
              <w:rPr>
                <w:sz w:val="20"/>
                <w:szCs w:val="20"/>
                <w:color w:val="auto"/>
              </w:rPr>
            </w:pPr>
            <w:r>
              <w:rPr>
                <w:rFonts w:ascii="Arial" w:cs="Arial" w:eastAsia="Arial" w:hAnsi="Arial"/>
                <w:sz w:val="16"/>
                <w:szCs w:val="16"/>
                <w:color w:val="auto"/>
              </w:rPr>
              <w:t>1,264,283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176,137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1,440,420</w:t>
            </w:r>
          </w:p>
        </w:tc>
      </w:tr>
      <w:tr>
        <w:trPr>
          <w:trHeight w:val="33"/>
        </w:trPr>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59"/>
              <w:spacing w:after="0"/>
              <w:rPr>
                <w:sz w:val="20"/>
                <w:szCs w:val="20"/>
                <w:color w:val="auto"/>
              </w:rPr>
            </w:pPr>
            <w:r>
              <w:rPr>
                <w:rFonts w:ascii="Arial" w:cs="Arial" w:eastAsia="Arial" w:hAnsi="Arial"/>
                <w:sz w:val="16"/>
                <w:szCs w:val="16"/>
                <w:color w:val="auto"/>
              </w:rPr>
              <w:t>1,264,283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gridSpan w:val="3"/>
          </w:tcPr>
          <w:p>
            <w:pPr>
              <w:jc w:val="right"/>
              <w:ind w:right="39"/>
              <w:spacing w:after="0"/>
              <w:rPr>
                <w:sz w:val="20"/>
                <w:szCs w:val="20"/>
                <w:color w:val="auto"/>
              </w:rPr>
            </w:pPr>
            <w:r>
              <w:rPr>
                <w:rFonts w:ascii="Arial" w:cs="Arial" w:eastAsia="Arial" w:hAnsi="Arial"/>
                <w:sz w:val="16"/>
                <w:szCs w:val="16"/>
                <w:color w:val="auto"/>
              </w:rPr>
              <w:t>856,713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120"/>
              <w:spacing w:after="0"/>
              <w:rPr>
                <w:sz w:val="20"/>
                <w:szCs w:val="20"/>
                <w:color w:val="auto"/>
              </w:rPr>
            </w:pPr>
            <w:r>
              <w:rPr>
                <w:rFonts w:ascii="Arial" w:cs="Arial" w:eastAsia="Arial" w:hAnsi="Arial"/>
                <w:sz w:val="16"/>
                <w:szCs w:val="16"/>
                <w:color w:val="auto"/>
              </w:rPr>
              <w:t>297,768</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3"/>
          </w:tcPr>
          <w:p>
            <w:pPr>
              <w:jc w:val="right"/>
              <w:ind w:right="120"/>
              <w:spacing w:after="0"/>
              <w:rPr>
                <w:sz w:val="20"/>
                <w:szCs w:val="20"/>
                <w:color w:val="auto"/>
              </w:rPr>
            </w:pPr>
            <w:r>
              <w:rPr>
                <w:rFonts w:ascii="Arial" w:cs="Arial" w:eastAsia="Arial" w:hAnsi="Arial"/>
                <w:sz w:val="16"/>
                <w:szCs w:val="16"/>
                <w:color w:val="auto"/>
              </w:rPr>
              <w:t>2,418,764</w:t>
            </w:r>
          </w:p>
        </w:tc>
      </w:tr>
      <w:tr>
        <w:trPr>
          <w:trHeight w:val="33"/>
        </w:trPr>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-539115</wp:posOffset>
            </wp:positionV>
            <wp:extent cx="708914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-196215</wp:posOffset>
            </wp:positionV>
            <wp:extent cx="708914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180340"/>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137160</wp:posOffset>
            </wp:positionV>
            <wp:extent cx="708914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720"/>
            <w:col w:w="7060"/>
          </w:cols>
          <w:pgMar w:left="320" w:top="337" w:right="339" w:bottom="1440" w:gutter="0" w:footer="0" w:header="0"/>
          <w:type w:val="continuous"/>
        </w:sectPr>
      </w:pPr>
    </w:p>
    <w:p>
      <w:pPr>
        <w:spacing w:after="0" w:line="47" w:lineRule="exact"/>
        <w:rPr>
          <w:sz w:val="20"/>
          <w:szCs w:val="20"/>
          <w:color w:val="auto"/>
        </w:rPr>
      </w:pPr>
    </w:p>
    <w:p>
      <w:pPr>
        <w:ind w:left="60"/>
        <w:spacing w:after="0"/>
        <w:tabs>
          <w:tab w:leader="none" w:pos="4200" w:val="left"/>
          <w:tab w:leader="none" w:pos="5300" w:val="left"/>
          <w:tab w:leader="none" w:pos="6020" w:val="left"/>
          <w:tab w:leader="none" w:pos="7100" w:val="left"/>
          <w:tab w:leader="none" w:pos="7780" w:val="left"/>
          <w:tab w:leader="none" w:pos="8940" w:val="left"/>
          <w:tab w:leader="none" w:pos="9560" w:val="left"/>
          <w:tab w:leader="none" w:pos="10640" w:val="left"/>
        </w:tabs>
        <w:rPr>
          <w:sz w:val="20"/>
          <w:szCs w:val="20"/>
          <w:color w:val="auto"/>
        </w:rPr>
      </w:pPr>
      <w:r>
        <w:rPr>
          <w:rFonts w:ascii="Arial" w:cs="Arial" w:eastAsia="Arial" w:hAnsi="Arial"/>
          <w:sz w:val="16"/>
          <w:szCs w:val="16"/>
          <w:color w:val="auto"/>
        </w:rPr>
        <w:t>Royalty income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10,688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14,051</w:t>
        <w:tab/>
        <w:t>$</w:t>
      </w:r>
      <w:r>
        <w:rPr>
          <w:sz w:val="20"/>
          <w:szCs w:val="20"/>
          <w:color w:val="auto"/>
        </w:rPr>
        <w:tab/>
      </w:r>
      <w:r>
        <w:rPr>
          <w:rFonts w:ascii="Arial" w:cs="Arial" w:eastAsia="Arial" w:hAnsi="Arial"/>
          <w:sz w:val="16"/>
          <w:szCs w:val="16"/>
          <w:color w:val="auto"/>
        </w:rPr>
        <w:t>2,632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27,371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37" w:right="339" w:bottom="1440" w:gutter="0" w:footer="0" w:header="0"/>
          <w:type w:val="continuous"/>
        </w:sectPr>
      </w:pPr>
    </w:p>
    <w:bookmarkStart w:id="13" w:name="page14"/>
    <w:bookmarkEnd w:id="13"/>
    <w:p>
      <w:pPr>
        <w:ind w:left="22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from Customers and Licensees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net,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26, 2020</w:t>
            </w: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220" w:type="dxa"/>
            <w:vAlign w:val="bottom"/>
          </w:tcPr>
          <w:p>
            <w:pPr>
              <w:spacing w:after="0"/>
              <w:rPr>
                <w:sz w:val="18"/>
                <w:szCs w:val="18"/>
                <w:color w:val="auto"/>
              </w:rPr>
            </w:pPr>
          </w:p>
        </w:tc>
        <w:tc>
          <w:tcPr>
            <w:tcW w:w="180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September 28, 2019</w:t>
            </w:r>
          </w:p>
        </w:tc>
      </w:tr>
      <w:tr>
        <w:trPr>
          <w:trHeight w:val="33"/>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Trade receivables from wholesale customers, net</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255,214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239,059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277,234</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Royalties receivable</w:t>
            </w: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8,596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6,982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9,128</w:t>
            </w:r>
          </w:p>
        </w:tc>
      </w:tr>
      <w:tr>
        <w:trPr>
          <w:trHeight w:val="33"/>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Tenant allowances and other receivables</w:t>
            </w: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16,281</w:t>
            </w:r>
          </w:p>
        </w:tc>
      </w:tr>
      <w:tr>
        <w:trPr>
          <w:trHeight w:val="217"/>
        </w:trPr>
        <w:tc>
          <w:tcPr>
            <w:tcW w:w="5080" w:type="dxa"/>
            <w:vAlign w:val="bottom"/>
          </w:tcPr>
          <w:p>
            <w:pPr>
              <w:ind w:left="40"/>
              <w:spacing w:after="0"/>
              <w:rPr>
                <w:sz w:val="20"/>
                <w:szCs w:val="20"/>
                <w:color w:val="auto"/>
              </w:rPr>
            </w:pPr>
            <w:r>
              <w:rPr>
                <w:rFonts w:ascii="Arial" w:cs="Arial" w:eastAsia="Arial" w:hAnsi="Arial"/>
                <w:sz w:val="16"/>
                <w:szCs w:val="16"/>
                <w:color w:val="auto"/>
              </w:rPr>
              <w:t>Total gross receivables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275,874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262,288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302,643</w:t>
            </w:r>
          </w:p>
        </w:tc>
      </w:tr>
      <w:tr>
        <w:trPr>
          <w:trHeight w:val="33"/>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70"/>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Wholesale accounts receivable reserves</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(9,440)</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263,231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293,203</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40" w:right="200" w:hanging="332"/>
        <w:spacing w:after="0" w:line="273"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reclassified $1.7 million and $1.3 million of customer support related items from Wholesale accounts receivable reserves into Trade receivables from wholesale customers, net for the periods ended December 28, 2019 and September 28, 2019, respectively.</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Includes allowance for credit losses of $7.7 million, $6.4 million, and $4.6 million for the periods ended September 26, 2020, December 28, 2019, and September 28, 2019,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6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26, 2020</w:t>
            </w: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220" w:type="dxa"/>
            <w:vAlign w:val="bottom"/>
          </w:tcPr>
          <w:p>
            <w:pPr>
              <w:spacing w:after="0"/>
              <w:rPr>
                <w:sz w:val="18"/>
                <w:szCs w:val="18"/>
                <w:color w:val="auto"/>
              </w:rPr>
            </w:pPr>
          </w:p>
        </w:tc>
        <w:tc>
          <w:tcPr>
            <w:tcW w:w="180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September 28, 2019</w:t>
            </w:r>
          </w:p>
        </w:tc>
      </w:tr>
      <w:tr>
        <w:trPr>
          <w:trHeight w:val="33"/>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liabilities - current:</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5080" w:type="dxa"/>
            <w:vAlign w:val="bottom"/>
          </w:tcPr>
          <w:p>
            <w:pPr>
              <w:ind w:left="180"/>
              <w:spacing w:after="0"/>
              <w:rPr>
                <w:sz w:val="20"/>
                <w:szCs w:val="20"/>
                <w:color w:val="auto"/>
              </w:rPr>
            </w:pPr>
            <w:r>
              <w:rPr>
                <w:rFonts w:ascii="Arial" w:cs="Arial" w:eastAsia="Arial" w:hAnsi="Arial"/>
                <w:sz w:val="16"/>
                <w:szCs w:val="16"/>
                <w:color w:val="auto"/>
              </w:rPr>
              <w:t>Unredeemed gift cards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15,977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17,563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14,264</w:t>
            </w:r>
          </w:p>
        </w:tc>
      </w:tr>
      <w:tr>
        <w:trPr>
          <w:trHeight w:val="33"/>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Unredeemed customer loyalty rewards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5,109</w:t>
            </w:r>
          </w:p>
        </w:tc>
      </w:tr>
      <w:tr>
        <w:trPr>
          <w:trHeight w:val="270"/>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Carter's credit card - upfront bonus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714</w:t>
            </w:r>
          </w:p>
        </w:tc>
      </w:tr>
      <w:tr>
        <w:trPr>
          <w:trHeight w:val="250"/>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contract liabilities - current</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22,201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23,892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20,087</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right="28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Carter's credit card - upfront bonus - 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spacing w:after="0" w:line="38"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with Other current liabilities on the Company's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has operating leases for retail stores, distribution centers, corporate offices, data centers, and certain equipment. The Company's leases generally have initial terms ranging from 1 year to 10 years, some of which may include options to extend the leases for up to 5 years, and some of which may include options to early terminate the lease.</w:t>
      </w:r>
    </w:p>
    <w:p>
      <w:pPr>
        <w:spacing w:after="0" w:line="1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September 26, 2020, the Company's finance leases were not material to the consolidated balance sheets, consolidated statements of operations, or statements of cash flows.</w:t>
      </w:r>
    </w:p>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a result of the COVID-19 pandemic, during the second quarter of fiscal 2020 the Company suspended rent payments under the leases for our temporarily closed stores in North America. The Company has continued to recognize expense and has established an accrual for the fixed rent payments that were not made. As of September 26, 2020, the Company accrued $31.8 million in fixed rent payments. The accrued rent is included within Accounts payable on the Company's consolidated balance sheets. As of the end of the fiscal quarter, the Company resumed making the required rent payments under these leases.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the third quarter and for the three quarters of fiscal 2020, the Company recorded operating lease asset impairment charges totaling $1.4 million and $6.1 million, respectively, related to underperforming stores primarily as a result of decreased net revenues and cash flow projections resulting from the COVID-19 disruption and other facility and office closures. See Note 11,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further details on the fair value calculations for operating lease assets for the retail stores.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33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components of lease expense are included in Selling, general and administrative expenses on the Company's consolidated statements of operations for the third quarter and first three quarters of fiscal 2020 and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gridSpan w:val="5"/>
          </w:tcPr>
          <w:p>
            <w:pPr>
              <w:ind w:left="1000"/>
              <w:spacing w:after="0"/>
              <w:rPr>
                <w:sz w:val="20"/>
                <w:szCs w:val="20"/>
                <w:color w:val="auto"/>
              </w:rPr>
            </w:pPr>
            <w:r>
              <w:rPr>
                <w:rFonts w:ascii="Arial" w:cs="Arial" w:eastAsia="Arial" w:hAnsi="Arial"/>
                <w:sz w:val="16"/>
                <w:szCs w:val="16"/>
                <w:b w:val="1"/>
                <w:bCs w:val="1"/>
                <w:color w:val="auto"/>
              </w:rPr>
              <w:t>Fiscal quarter ended</w:t>
            </w:r>
          </w:p>
        </w:tc>
        <w:tc>
          <w:tcPr>
            <w:tcW w:w="160" w:type="dxa"/>
            <w:vAlign w:val="bottom"/>
          </w:tcPr>
          <w:p>
            <w:pPr>
              <w:spacing w:after="0"/>
              <w:rPr>
                <w:sz w:val="18"/>
                <w:szCs w:val="18"/>
                <w:color w:val="auto"/>
              </w:rPr>
            </w:pPr>
          </w:p>
        </w:tc>
        <w:tc>
          <w:tcPr>
            <w:tcW w:w="352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Three fiscal quarters ended</w:t>
            </w:r>
          </w:p>
        </w:tc>
      </w:tr>
      <w:tr>
        <w:trPr>
          <w:trHeight w:val="33"/>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37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26, 2020</w:t>
            </w:r>
          </w:p>
        </w:tc>
        <w:tc>
          <w:tcPr>
            <w:tcW w:w="16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28, 2019</w:t>
            </w:r>
          </w:p>
        </w:tc>
        <w:tc>
          <w:tcPr>
            <w:tcW w:w="16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26, 2020</w:t>
            </w:r>
          </w:p>
        </w:tc>
        <w:tc>
          <w:tcPr>
            <w:tcW w:w="160" w:type="dxa"/>
            <w:vAlign w:val="bottom"/>
          </w:tcPr>
          <w:p>
            <w:pPr>
              <w:spacing w:after="0"/>
              <w:rPr>
                <w:sz w:val="20"/>
                <w:szCs w:val="20"/>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September 28, 2019</w:t>
            </w:r>
          </w:p>
        </w:tc>
      </w:tr>
      <w:tr>
        <w:trPr>
          <w:trHeight w:val="33"/>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136,180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133,491</w:t>
            </w:r>
          </w:p>
        </w:tc>
      </w:tr>
      <w:tr>
        <w:trPr>
          <w:trHeight w:val="270"/>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w:t>
            </w:r>
          </w:p>
        </w:tc>
        <w:tc>
          <w:tcPr>
            <w:tcW w:w="1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19,635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15,492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55,139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46,692</w:t>
            </w:r>
          </w:p>
        </w:tc>
      </w:tr>
      <w:tr>
        <w:trPr>
          <w:trHeight w:val="243"/>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63,865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191,319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180,183</w:t>
            </w:r>
          </w:p>
        </w:tc>
      </w:tr>
      <w:tr>
        <w:trPr>
          <w:trHeight w:val="20"/>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operating lease asset impairment charges, and short-term leases which are immaterial.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3700" w:type="dxa"/>
            <w:vAlign w:val="bottom"/>
            <w:gridSpan w:val="3"/>
          </w:tcPr>
          <w:p>
            <w:pPr>
              <w:ind w:left="1140"/>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7540" w:type="dxa"/>
            <w:vAlign w:val="bottom"/>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190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26, 2020</w:t>
            </w:r>
          </w:p>
        </w:tc>
        <w:tc>
          <w:tcPr>
            <w:tcW w:w="1800" w:type="dxa"/>
            <w:vAlign w:val="bottom"/>
          </w:tcPr>
          <w:p>
            <w:pPr>
              <w:ind w:left="220"/>
              <w:spacing w:after="0"/>
              <w:rPr>
                <w:sz w:val="20"/>
                <w:szCs w:val="20"/>
                <w:color w:val="auto"/>
              </w:rPr>
            </w:pPr>
            <w:r>
              <w:rPr>
                <w:rFonts w:ascii="Arial" w:cs="Arial" w:eastAsia="Arial" w:hAnsi="Arial"/>
                <w:sz w:val="16"/>
                <w:szCs w:val="16"/>
                <w:b w:val="1"/>
                <w:bCs w:val="1"/>
                <w:color w:val="auto"/>
              </w:rPr>
              <w:t>September 28, 2019</w:t>
            </w:r>
          </w:p>
        </w:tc>
      </w:tr>
      <w:tr>
        <w:trPr>
          <w:trHeight w:val="33"/>
        </w:trPr>
        <w:tc>
          <w:tcPr>
            <w:tcW w:w="75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remaining operating lease term (years)</w:t>
            </w:r>
          </w:p>
        </w:tc>
        <w:tc>
          <w:tcPr>
            <w:tcW w:w="18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6.1</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Weighted average discount rate for operating leases</w:t>
            </w:r>
          </w:p>
        </w:tc>
        <w:tc>
          <w:tcPr>
            <w:tcW w:w="1800" w:type="dxa"/>
            <w:vAlign w:val="bottom"/>
          </w:tcPr>
          <w:p>
            <w:pPr>
              <w:jc w:val="right"/>
              <w:ind w:right="619"/>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1800" w:type="dxa"/>
            <w:vAlign w:val="bottom"/>
          </w:tcPr>
          <w:p>
            <w:pPr>
              <w:jc w:val="right"/>
              <w:ind w:right="599"/>
              <w:spacing w:after="0"/>
              <w:rPr>
                <w:sz w:val="20"/>
                <w:szCs w:val="20"/>
                <w:color w:val="auto"/>
              </w:rPr>
            </w:pPr>
            <w:r>
              <w:rPr>
                <w:rFonts w:ascii="Arial" w:cs="Arial" w:eastAsia="Arial" w:hAnsi="Arial"/>
                <w:sz w:val="16"/>
                <w:szCs w:val="16"/>
                <w:color w:val="auto"/>
              </w:rPr>
              <w:t>4.39%</w:t>
            </w:r>
          </w:p>
        </w:tc>
      </w:tr>
    </w:tbl>
    <w:p>
      <w:pPr>
        <w:spacing w:after="0" w:line="200" w:lineRule="exact"/>
        <w:rPr>
          <w:sz w:val="20"/>
          <w:szCs w:val="20"/>
          <w:color w:val="auto"/>
        </w:rPr>
      </w:pPr>
    </w:p>
    <w:p>
      <w:pPr>
        <w:spacing w:after="0" w:line="2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Cash paid for amounts included in the measurement of operating lease liabilities in the third quarter and first three quarters of fiscal 2020 was $41.6 million and $139.4 million, respectively. The total cash paid reflects the contractual amounts due to be paid in cash, which includes the suspended rent payments under the leases for our temporarily closed stores. For the three fiscal quarters ended September 26, 2020, the Company deferred cash payments of $31.8 million, which are included in the statement of cash flows as part of the change in Accounts payable and other liabilities.</w:t>
      </w:r>
    </w:p>
    <w:p>
      <w:pPr>
        <w:spacing w:after="0" w:line="13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in the third quarter and three quarters of fiscal 2019 was $48.5 million and $143.7 million, respectively.</w:t>
      </w:r>
    </w:p>
    <w:p>
      <w:pPr>
        <w:spacing w:after="0" w:line="13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Non-cash transactions to recognize operating assets and liabilities for the third quarter and first three quarters of fiscal 2020 were $7.3 million and $52.5 million, respectively. Non-cash transactions to recognize operating assets and liabilities for the third quarter and first three quarters of fiscal 2019 were $41.6 million and $96.0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26, 2020, the maturities of lease liabilities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5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Operating leases</w:t>
            </w:r>
          </w:p>
        </w:tc>
      </w:tr>
      <w:tr>
        <w:trPr>
          <w:trHeight w:val="33"/>
        </w:trPr>
        <w:tc>
          <w:tcPr>
            <w:tcW w:w="9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Remainder of 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48,575</w:t>
            </w:r>
          </w:p>
        </w:tc>
      </w:tr>
      <w:tr>
        <w:trPr>
          <w:trHeight w:val="224"/>
        </w:trPr>
        <w:tc>
          <w:tcPr>
            <w:tcW w:w="9560" w:type="dxa"/>
            <w:vAlign w:val="bottom"/>
          </w:tcPr>
          <w:p>
            <w:pPr>
              <w:ind w:left="40"/>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194,335</w:t>
            </w:r>
          </w:p>
        </w:tc>
      </w:tr>
      <w:tr>
        <w:trPr>
          <w:trHeight w:val="33"/>
        </w:trPr>
        <w:tc>
          <w:tcPr>
            <w:tcW w:w="9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158,594</w:t>
            </w:r>
          </w:p>
        </w:tc>
      </w:tr>
      <w:tr>
        <w:trPr>
          <w:trHeight w:val="223"/>
        </w:trPr>
        <w:tc>
          <w:tcPr>
            <w:tcW w:w="9560" w:type="dxa"/>
            <w:vAlign w:val="bottom"/>
          </w:tcPr>
          <w:p>
            <w:pPr>
              <w:ind w:left="4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130,414</w:t>
            </w:r>
          </w:p>
        </w:tc>
      </w:tr>
      <w:tr>
        <w:trPr>
          <w:trHeight w:val="33"/>
        </w:trPr>
        <w:tc>
          <w:tcPr>
            <w:tcW w:w="9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105,059</w:t>
            </w:r>
          </w:p>
        </w:tc>
      </w:tr>
      <w:tr>
        <w:trPr>
          <w:trHeight w:val="223"/>
        </w:trPr>
        <w:tc>
          <w:tcPr>
            <w:tcW w:w="9560" w:type="dxa"/>
            <w:vAlign w:val="bottom"/>
          </w:tcPr>
          <w:p>
            <w:pPr>
              <w:ind w:left="40"/>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76,501</w:t>
            </w:r>
          </w:p>
        </w:tc>
      </w:tr>
      <w:tr>
        <w:trPr>
          <w:trHeight w:val="33"/>
        </w:trPr>
        <w:tc>
          <w:tcPr>
            <w:tcW w:w="9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After 2025</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128,220</w:t>
            </w:r>
          </w:p>
        </w:tc>
      </w:tr>
      <w:tr>
        <w:trPr>
          <w:trHeight w:val="217"/>
        </w:trPr>
        <w:tc>
          <w:tcPr>
            <w:tcW w:w="9560" w:type="dxa"/>
            <w:vAlign w:val="bottom"/>
          </w:tcPr>
          <w:p>
            <w:pPr>
              <w:ind w:left="40"/>
              <w:spacing w:after="0"/>
              <w:rPr>
                <w:sz w:val="20"/>
                <w:szCs w:val="20"/>
                <w:color w:val="auto"/>
              </w:rPr>
            </w:pPr>
            <w:r>
              <w:rPr>
                <w:rFonts w:ascii="Arial" w:cs="Arial" w:eastAsia="Arial" w:hAnsi="Arial"/>
                <w:sz w:val="16"/>
                <w:szCs w:val="16"/>
                <w:color w:val="auto"/>
              </w:rPr>
              <w:t>Total lease payments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841,698</w:t>
            </w:r>
          </w:p>
        </w:tc>
      </w:tr>
      <w:tr>
        <w:trPr>
          <w:trHeight w:val="33"/>
        </w:trPr>
        <w:tc>
          <w:tcPr>
            <w:tcW w:w="9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Interest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(82,235)</w:t>
            </w:r>
          </w:p>
        </w:tc>
      </w:tr>
      <w:tr>
        <w:trPr>
          <w:trHeight w:val="250"/>
        </w:trPr>
        <w:tc>
          <w:tcPr>
            <w:tcW w:w="9560" w:type="dxa"/>
            <w:vAlign w:val="bottom"/>
          </w:tcPr>
          <w:p>
            <w:pPr>
              <w:ind w:left="40"/>
              <w:spacing w:after="0"/>
              <w:rPr>
                <w:sz w:val="20"/>
                <w:szCs w:val="20"/>
                <w:color w:val="auto"/>
              </w:rPr>
            </w:pPr>
            <w:r>
              <w:rPr>
                <w:rFonts w:ascii="Arial" w:cs="Arial" w:eastAsia="Arial" w:hAnsi="Arial"/>
                <w:sz w:val="16"/>
                <w:szCs w:val="16"/>
                <w:color w:val="auto"/>
              </w:rPr>
              <w:t>Present value of lease liabilities</w:t>
            </w:r>
            <w:r>
              <w:rPr>
                <w:rFonts w:ascii="Arial" w:cs="Arial" w:eastAsia="Arial" w:hAnsi="Arial"/>
                <w:sz w:val="21"/>
                <w:szCs w:val="21"/>
                <w:color w:val="auto"/>
                <w:vertAlign w:val="superscript"/>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759,463</w:t>
            </w:r>
          </w:p>
        </w:tc>
      </w:tr>
      <w:tr>
        <w:trPr>
          <w:trHeight w:val="20"/>
        </w:trPr>
        <w:tc>
          <w:tcPr>
            <w:tcW w:w="9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right="280" w:hanging="332"/>
        <w:spacing w:after="0" w:line="27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to determine the present value of lease payments. We used the incremental borrowing rate on December 30, 2018, for operating leases that commenced prior to that date.</w:t>
      </w:r>
    </w:p>
    <w:p>
      <w:pPr>
        <w:spacing w:after="0" w:line="138"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As of September 26, 2020, the minimum rental commitments for additional operating lease contracts that have not yet commenced, primarily for retail stores, are $11.0 million. These operating leases will commence between fiscal year 2021 and fiscal year 2023 with lease terms of 6 years to 11 years.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337" w:right="339" w:bottom="1440" w:gutter="0" w:footer="0" w:header="0"/>
        </w:sectPr>
      </w:pPr>
    </w:p>
    <w:bookmarkStart w:id="15" w:name="page16"/>
    <w:bookmarkEnd w:id="15"/>
    <w:p>
      <w:pPr>
        <w:ind w:left="22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ACCUMULATED OTHER COMPREHENSIVE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26, 2020</w:t>
            </w: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28, 2019</w:t>
            </w:r>
          </w:p>
        </w:tc>
        <w:tc>
          <w:tcPr>
            <w:tcW w:w="20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September 28, 2019</w:t>
            </w:r>
          </w:p>
        </w:tc>
      </w:tr>
      <w:tr>
        <w:trPr>
          <w:trHeight w:val="33"/>
        </w:trPr>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foreign currency translation adjustments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(29,533)</w:t>
            </w:r>
          </w:p>
        </w:tc>
      </w:tr>
      <w:tr>
        <w:trPr>
          <w:trHeight w:val="270"/>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Pension and post-retirement obligations</w:t>
            </w:r>
            <w:r>
              <w:rPr>
                <w:rFonts w:ascii="Arial" w:cs="Arial" w:eastAsia="Arial" w:hAnsi="Arial"/>
                <w:sz w:val="21"/>
                <w:szCs w:val="21"/>
                <w:color w:val="auto"/>
                <w:vertAlign w:val="superscript"/>
              </w:rPr>
              <w:t>(*)</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(9,375)</w:t>
            </w:r>
          </w:p>
        </w:tc>
      </w:tr>
      <w:tr>
        <w:trPr>
          <w:trHeight w:val="243"/>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accumulated other comprehensive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(38,908)</w:t>
            </w: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income taxes of $2.8 million, $2.8 million, and $2.9 million for the period ended September 26, 2020, December 28, 2019, and September 28, 2019, respectively.</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During the first three quarters of both fiscal 2020 and fiscal 2019, no amounts were reclassified from Accumulated other comprehensive loss to the statement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balances and changes in the carrying amount of goodwill attributable to each segment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U.S. Retail</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U.S. Wholesale</w:t>
            </w: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33"/>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29, 2018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227,101</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Foreign currency impact</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1,134</w:t>
            </w:r>
          </w:p>
        </w:tc>
      </w:tr>
      <w:tr>
        <w:trPr>
          <w:trHeight w:val="33"/>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28, 2019</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83,934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69,847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228,235</w:t>
            </w: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28, 2019</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229,026</w:t>
            </w:r>
          </w:p>
        </w:tc>
      </w:tr>
      <w:tr>
        <w:trPr>
          <w:trHeight w:val="270"/>
        </w:trPr>
        <w:tc>
          <w:tcPr>
            <w:tcW w:w="5400" w:type="dxa"/>
            <w:vAlign w:val="bottom"/>
          </w:tcPr>
          <w:p>
            <w:pPr>
              <w:ind w:left="40"/>
              <w:spacing w:after="0"/>
              <w:rPr>
                <w:sz w:val="20"/>
                <w:szCs w:val="20"/>
                <w:color w:val="auto"/>
              </w:rPr>
            </w:pPr>
            <w:r>
              <w:rPr>
                <w:rFonts w:ascii="Arial" w:cs="Arial" w:eastAsia="Arial" w:hAnsi="Arial"/>
                <w:sz w:val="16"/>
                <w:szCs w:val="16"/>
                <w:color w:val="auto"/>
              </w:rPr>
              <w:t>Goodwill impairment</w:t>
            </w:r>
            <w:r>
              <w:rPr>
                <w:rFonts w:ascii="Arial" w:cs="Arial" w:eastAsia="Arial" w:hAnsi="Arial"/>
                <w:sz w:val="21"/>
                <w:szCs w:val="21"/>
                <w:color w:val="auto"/>
                <w:vertAlign w:val="superscript"/>
              </w:rPr>
              <w:t>(*)</w:t>
            </w:r>
          </w:p>
        </w:tc>
        <w:tc>
          <w:tcPr>
            <w:tcW w:w="2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(17,742)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(17,742)</w:t>
            </w: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impact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(1,777)</w:t>
            </w:r>
          </w:p>
        </w:tc>
      </w:tr>
      <w:tr>
        <w:trPr>
          <w:trHeight w:val="243"/>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Balance at September 26, 2020</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83,934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74,454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51,119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209,507</w:t>
            </w: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right="440" w:hanging="332"/>
        <w:spacing w:after="0" w:line="27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the first quarter of fiscal 2020, a charge of $17.7 million was recorded to reflect the impairment of the value ascribed to the goodwill in the Other International reporting unit in the International segment.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37" w:right="339" w:bottom="1440" w:gutter="0" w:footer="0" w:header="0"/>
        </w:sectPr>
      </w:pPr>
    </w:p>
    <w:bookmarkStart w:id="16" w:name="page17"/>
    <w:bookmarkEnd w:id="16"/>
    <w:p>
      <w:pPr>
        <w:ind w:left="22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value of the Company's intangible assets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9"/>
              </w:rPr>
              <w:t>September 26, 2020</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28, 2019</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average useful</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w:t>
            </w: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Gross 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amortization</w:t>
            </w: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Net amount</w:t>
            </w:r>
          </w:p>
        </w:tc>
        <w:tc>
          <w:tcPr>
            <w:tcW w:w="16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9"/>
              </w:rPr>
              <w:t>Net amount</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Carter's tradename</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220,233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220,233</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color w:val="auto"/>
              </w:rPr>
              <w:t>OshKosh tradename</w:t>
            </w:r>
            <w:r>
              <w:rPr>
                <w:rFonts w:ascii="Arial" w:cs="Arial" w:eastAsia="Arial" w:hAnsi="Arial"/>
                <w:sz w:val="21"/>
                <w:szCs w:val="21"/>
                <w:color w:val="auto"/>
                <w:vertAlign w:val="superscript"/>
              </w:rPr>
              <w:t>(1)</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Indefinite</w:t>
            </w:r>
          </w:p>
        </w:tc>
        <w:tc>
          <w:tcPr>
            <w:tcW w:w="240" w:type="dxa"/>
            <w:vAlign w:val="bottom"/>
          </w:tcPr>
          <w:p>
            <w:pPr>
              <w:spacing w:after="0"/>
              <w:rPr>
                <w:sz w:val="23"/>
                <w:szCs w:val="23"/>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70,000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0" w:type="dxa"/>
            <w:vAlign w:val="bottom"/>
          </w:tcPr>
          <w:p>
            <w:pPr>
              <w:spacing w:after="0"/>
              <w:rPr>
                <w:sz w:val="1"/>
                <w:szCs w:val="1"/>
                <w:color w:val="auto"/>
              </w:rPr>
            </w:pPr>
          </w:p>
        </w:tc>
      </w:tr>
      <w:tr>
        <w:trPr>
          <w:trHeight w:val="27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Skip Hop tradename</w:t>
            </w:r>
            <w:r>
              <w:rPr>
                <w:rFonts w:ascii="Arial" w:cs="Arial" w:eastAsia="Arial" w:hAnsi="Arial"/>
                <w:sz w:val="21"/>
                <w:szCs w:val="21"/>
                <w:color w:val="auto"/>
                <w:vertAlign w:val="superscript"/>
              </w:rPr>
              <w:t>(2)</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15,000</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c>
          <w:tcPr>
            <w:tcW w:w="0" w:type="dxa"/>
            <w:vAlign w:val="bottom"/>
          </w:tcPr>
          <w:p>
            <w:pPr>
              <w:spacing w:after="0"/>
              <w:rPr>
                <w:sz w:val="1"/>
                <w:szCs w:val="1"/>
                <w:color w:val="auto"/>
              </w:rPr>
            </w:pPr>
          </w:p>
        </w:tc>
      </w:tr>
      <w:tr>
        <w:trPr>
          <w:trHeight w:val="237"/>
        </w:trPr>
        <w:tc>
          <w:tcPr>
            <w:tcW w:w="2700" w:type="dxa"/>
            <w:vAlign w:val="bottom"/>
          </w:tcPr>
          <w:p>
            <w:pPr>
              <w:ind w:left="40"/>
              <w:spacing w:after="0"/>
              <w:rPr>
                <w:sz w:val="20"/>
                <w:szCs w:val="20"/>
                <w:color w:val="auto"/>
              </w:rPr>
            </w:pPr>
            <w:r>
              <w:rPr>
                <w:rFonts w:ascii="Arial" w:cs="Arial" w:eastAsia="Arial" w:hAnsi="Arial"/>
                <w:sz w:val="16"/>
                <w:szCs w:val="16"/>
                <w:color w:val="auto"/>
              </w:rPr>
              <w:t>Finite-life tradenames</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5-20 years</w:t>
            </w:r>
          </w:p>
        </w:tc>
        <w:tc>
          <w:tcPr>
            <w:tcW w:w="2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2,722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2,909</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tradenames, net</w:t>
            </w: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309,144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307,955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335,644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334,642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Skip Hop customer relationships</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15 years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47,300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38,643</w:t>
            </w:r>
          </w:p>
        </w:tc>
        <w:tc>
          <w:tcPr>
            <w:tcW w:w="0" w:type="dxa"/>
            <w:vAlign w:val="bottom"/>
          </w:tcPr>
          <w:p>
            <w:pPr>
              <w:spacing w:after="0"/>
              <w:rPr>
                <w:sz w:val="1"/>
                <w:szCs w:val="1"/>
                <w:color w:val="auto"/>
              </w:rPr>
            </w:pPr>
          </w:p>
        </w:tc>
      </w:tr>
      <w:tr>
        <w:trPr>
          <w:trHeight w:val="237"/>
        </w:trPr>
        <w:tc>
          <w:tcPr>
            <w:tcW w:w="2700" w:type="dxa"/>
            <w:vAlign w:val="bottom"/>
          </w:tcPr>
          <w:p>
            <w:pPr>
              <w:ind w:left="40"/>
              <w:spacing w:after="0"/>
              <w:rPr>
                <w:sz w:val="20"/>
                <w:szCs w:val="20"/>
                <w:color w:val="auto"/>
              </w:rPr>
            </w:pPr>
            <w:r>
              <w:rPr>
                <w:rFonts w:ascii="Arial" w:cs="Arial" w:eastAsia="Arial" w:hAnsi="Arial"/>
                <w:sz w:val="16"/>
                <w:szCs w:val="16"/>
                <w:color w:val="auto"/>
                <w:w w:val="95"/>
              </w:rPr>
              <w:t>Carter's Mexico customer relationships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10 years</w:t>
            </w:r>
          </w:p>
        </w:tc>
        <w:tc>
          <w:tcPr>
            <w:tcW w:w="2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2,875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1,886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2,483</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customer relationships, net</w:t>
            </w: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50,175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12,028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38,147</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50,558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41,126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September 28, 2019</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586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9"/>
        </w:trPr>
        <w:tc>
          <w:tcPr>
            <w:tcW w:w="586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Weighted-average</w:t>
            </w:r>
          </w:p>
        </w:tc>
        <w:tc>
          <w:tcPr>
            <w:tcW w:w="180" w:type="dxa"/>
            <w:vAlign w:val="bottom"/>
          </w:tcPr>
          <w:p>
            <w:pPr>
              <w:spacing w:after="0"/>
              <w:rPr>
                <w:sz w:val="18"/>
                <w:szCs w:val="18"/>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0"/>
        </w:trPr>
        <w:tc>
          <w:tcPr>
            <w:tcW w:w="58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useful life</w:t>
            </w:r>
          </w:p>
        </w:tc>
        <w:tc>
          <w:tcPr>
            <w:tcW w:w="18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9"/>
              </w:rPr>
              <w:t>Net amount</w:t>
            </w:r>
          </w:p>
        </w:tc>
      </w:tr>
      <w:tr>
        <w:trPr>
          <w:trHeight w:val="33"/>
        </w:trPr>
        <w:tc>
          <w:tcPr>
            <w:tcW w:w="58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5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Carter's tradename</w:t>
            </w:r>
          </w:p>
        </w:tc>
        <w:tc>
          <w:tcPr>
            <w:tcW w:w="1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r>
      <w:tr>
        <w:trPr>
          <w:trHeight w:val="237"/>
        </w:trPr>
        <w:tc>
          <w:tcPr>
            <w:tcW w:w="5860" w:type="dxa"/>
            <w:vAlign w:val="bottom"/>
          </w:tcPr>
          <w:p>
            <w:pPr>
              <w:ind w:left="60"/>
              <w:spacing w:after="0"/>
              <w:rPr>
                <w:sz w:val="20"/>
                <w:szCs w:val="20"/>
                <w:color w:val="auto"/>
              </w:rPr>
            </w:pPr>
            <w:r>
              <w:rPr>
                <w:rFonts w:ascii="Arial" w:cs="Arial" w:eastAsia="Arial" w:hAnsi="Arial"/>
                <w:sz w:val="16"/>
                <w:szCs w:val="16"/>
                <w:color w:val="auto"/>
              </w:rPr>
              <w:t>OshKosh tradename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Indefinite</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85,500</w:t>
            </w:r>
          </w:p>
        </w:tc>
      </w:tr>
      <w:tr>
        <w:trPr>
          <w:trHeight w:val="33"/>
        </w:trPr>
        <w:tc>
          <w:tcPr>
            <w:tcW w:w="5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860" w:type="dxa"/>
            <w:vAlign w:val="bottom"/>
            <w:shd w:val="clear" w:color="auto" w:fill="CCEEFF"/>
          </w:tcPr>
          <w:p>
            <w:pPr>
              <w:ind w:left="60"/>
              <w:spacing w:after="0"/>
              <w:rPr>
                <w:sz w:val="20"/>
                <w:szCs w:val="20"/>
                <w:color w:val="auto"/>
              </w:rPr>
            </w:pPr>
            <w:r>
              <w:rPr>
                <w:rFonts w:ascii="Arial" w:cs="Arial" w:eastAsia="Arial" w:hAnsi="Arial"/>
                <w:sz w:val="16"/>
                <w:szCs w:val="16"/>
                <w:color w:val="auto"/>
              </w:rPr>
              <w:t>Skip Hop tradename</w:t>
            </w:r>
            <w:r>
              <w:rPr>
                <w:rFonts w:ascii="Arial" w:cs="Arial" w:eastAsia="Arial" w:hAnsi="Arial"/>
                <w:sz w:val="21"/>
                <w:szCs w:val="21"/>
                <w:color w:val="auto"/>
                <w:vertAlign w:val="superscript"/>
              </w:rPr>
              <w:t>(3)</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r>
      <w:tr>
        <w:trPr>
          <w:trHeight w:val="237"/>
        </w:trPr>
        <w:tc>
          <w:tcPr>
            <w:tcW w:w="5860" w:type="dxa"/>
            <w:vAlign w:val="bottom"/>
          </w:tcPr>
          <w:p>
            <w:pPr>
              <w:ind w:left="60"/>
              <w:spacing w:after="0"/>
              <w:rPr>
                <w:sz w:val="20"/>
                <w:szCs w:val="20"/>
                <w:color w:val="auto"/>
              </w:rPr>
            </w:pPr>
            <w:r>
              <w:rPr>
                <w:rFonts w:ascii="Arial" w:cs="Arial" w:eastAsia="Arial" w:hAnsi="Arial"/>
                <w:sz w:val="16"/>
                <w:szCs w:val="16"/>
                <w:color w:val="auto"/>
              </w:rPr>
              <w:t>Finite-life tradenames</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5-20 years</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2,972</w:t>
            </w:r>
          </w:p>
        </w:tc>
      </w:tr>
      <w:tr>
        <w:trPr>
          <w:trHeight w:val="33"/>
        </w:trPr>
        <w:tc>
          <w:tcPr>
            <w:tcW w:w="58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5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tradenames, net</w:t>
            </w: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335,644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334,705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Skip Hop customer relationships</w:t>
            </w:r>
          </w:p>
        </w:tc>
        <w:tc>
          <w:tcPr>
            <w:tcW w:w="18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7"/>
              </w:rPr>
              <w:t>15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39,437</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Carter's Mexico customer relationships</w:t>
            </w: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color w:val="auto"/>
                <w:w w:val="87"/>
              </w:rPr>
              <w:t>10 years</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2,453</w:t>
            </w:r>
          </w:p>
        </w:tc>
      </w:tr>
      <w:tr>
        <w:trPr>
          <w:trHeight w:val="33"/>
        </w:trPr>
        <w:tc>
          <w:tcPr>
            <w:tcW w:w="58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customer relationships, net</w:t>
            </w: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50,448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41,890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40" w:right="40" w:hanging="332"/>
        <w:spacing w:after="0" w:line="27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2020, a charge of $13.6 million, $1.6 million, and $0.3 million was recorded on our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 in the U.S. Retail, U.S. Wholesale, and International segments, respectively, to reflect the impairment of the value ascribed to the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w:t>
      </w:r>
    </w:p>
    <w:p>
      <w:pPr>
        <w:spacing w:after="0" w:line="11"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2020, a charge of $6.8 million, $3.7 million, and $0.5 million was recorded on our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 in the U.S. Wholesale, International, and U.S. Retail segments, respectively, to reflect the impairment of the value ascribed to the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w:t>
      </w:r>
    </w:p>
    <w:p>
      <w:pPr>
        <w:spacing w:after="0" w:line="11" w:lineRule="exact"/>
        <w:rPr>
          <w:rFonts w:ascii="Arial" w:cs="Arial" w:eastAsia="Arial" w:hAnsi="Arial"/>
          <w:sz w:val="14"/>
          <w:szCs w:val="14"/>
          <w:color w:val="auto"/>
        </w:rPr>
      </w:pPr>
    </w:p>
    <w:p>
      <w:pPr>
        <w:ind w:left="340" w:right="640" w:hanging="332"/>
        <w:spacing w:after="0" w:line="27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In the third quarter of fiscal 2019, a charge of $19.1 million, $10.5 million, and $1.2 million was recorded on our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 in the U.S. Wholesale, International, and U.S. Retail segments, respectively, to reflect the impairment of the value ascribed to the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w:t>
      </w:r>
    </w:p>
    <w:p>
      <w:pPr>
        <w:spacing w:after="0" w:line="13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The carrying values of goodwill and indefinite-lived tradename assets are subject to annual impairment reviews as of the last day of each fiscal year. Between annual assessments, impairment reviews may also be triggered by any significant events or changes in circumstances affecting our business. Due to the decrease in the Company's market capitalization, lower than expected actual sales, and lower projected sales and profitability, primarily due to the impacts from the outbreak of COVID-19, the Company concluded that impairment indicators existed for the first quarter of fiscal 2020. As a result, during the first quarter of fiscal 2020, the Company conducted interim quantitative impairment assessments of 1) the goodwill ascribed to the Other International reporting unit recorded in connection with the allocation of goodwill to the newly created International segment as a result of the acquisition of Bonnie Togs in 2011 and 2) on the value of the Company's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assets that was recorded in connection with the acquisition of OshKosh B'Gosh Inc. in July 2005 and Skip Hop Holdings, Inc. in February 2017, respectively.</w:t>
      </w:r>
    </w:p>
    <w:p>
      <w:pPr>
        <w:spacing w:after="0" w:line="1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goodwill impairment assessment for the Other International reporting unit was performed in accordance with ASC 350, "Intangibles--Goodwill and Other" ("ASC 350") and compares the carrying value of the Other International reporting unit to its fair value. Consistent with prior practice, the fair value of the Other International reporting unit was determined using discounted cash flows ("income approach") and relevant data from guideline public companies ("market approach"). As a result of this assessment, a goodwill impairment charge of $17.7 million was recorded to our Other International reporting unit in the International segment during the first quarter of fiscal 2020. The goodwill impairment charge recorded on our Other International reporting unit included charges of $9.4 million, $5.2 million, and $3.1 million to Skip Hop, Carter's, and Carter's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33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Mexico goodwill, respectively. The carrying value of the Company's goodwill for the Other International reporting unit after the impairment charge and as of September 26, 2020 was approximately $11.5 million.</w:t>
      </w:r>
    </w:p>
    <w:p>
      <w:pPr>
        <w:spacing w:after="0" w:line="13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indefinite-lived tradename asset assessments were performed in accordance with ASC 350 and were determined using a discounted cash flow analysis which examined the hypothetical cost savings that accrue as a result of not having to license the tradename from another owner. Based on these assessments, charges of $15.5 million and $11.0 million were recorded during the first quarter of fiscal 2020 on our indefinite-lived </w:t>
      </w:r>
      <w:r>
        <w:rPr>
          <w:rFonts w:ascii="Arial" w:cs="Arial" w:eastAsia="Arial" w:hAnsi="Arial"/>
          <w:sz w:val="16"/>
          <w:szCs w:val="16"/>
          <w:i w:val="1"/>
          <w:iCs w:val="1"/>
          <w:color w:val="auto"/>
        </w:rPr>
        <w:t xml:space="preserve">OshKosh </w:t>
      </w:r>
      <w:r>
        <w:rPr>
          <w:rFonts w:ascii="Arial" w:cs="Arial" w:eastAsia="Arial" w:hAnsi="Arial"/>
          <w:sz w:val="16"/>
          <w:szCs w:val="16"/>
          <w:color w:val="auto"/>
        </w:rPr>
        <w:t>and</w:t>
      </w:r>
      <w:r>
        <w:rPr>
          <w:rFonts w:ascii="Arial" w:cs="Arial" w:eastAsia="Arial" w:hAnsi="Arial"/>
          <w:sz w:val="16"/>
          <w:szCs w:val="16"/>
          <w:i w:val="1"/>
          <w:iCs w:val="1"/>
          <w:color w:val="auto"/>
        </w:rPr>
        <w:t xml:space="preserve"> Skip Hop </w:t>
      </w:r>
      <w:r>
        <w:rPr>
          <w:rFonts w:ascii="Arial" w:cs="Arial" w:eastAsia="Arial" w:hAnsi="Arial"/>
          <w:sz w:val="16"/>
          <w:szCs w:val="16"/>
          <w:color w:val="auto"/>
        </w:rPr>
        <w:t>tradename assets, respectively. The charge recorded on our indefinite-lived</w:t>
      </w:r>
      <w:r>
        <w:rPr>
          <w:rFonts w:ascii="Arial" w:cs="Arial" w:eastAsia="Arial" w:hAnsi="Arial"/>
          <w:sz w:val="16"/>
          <w:szCs w:val="16"/>
          <w:i w:val="1"/>
          <w:iCs w:val="1"/>
          <w:color w:val="auto"/>
        </w:rPr>
        <w:t xml:space="preserve"> OshKosh </w:t>
      </w:r>
      <w:r>
        <w:rPr>
          <w:rFonts w:ascii="Arial" w:cs="Arial" w:eastAsia="Arial" w:hAnsi="Arial"/>
          <w:sz w:val="16"/>
          <w:szCs w:val="16"/>
          <w:color w:val="auto"/>
        </w:rPr>
        <w:t>tradename asset included charges of $13.6</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$1.6 million, and $0.3 million in the U.S. Retail, U.S. Wholesale, and International segments, respectively, to reflect the impairment of the value ascribed to the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tradename asset. The charge recorded on our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included charges of $6.8 million, $3.7 million, and $0.5 million in the U.S. Wholesale, International, and U.S. Retail segments, respectively, to reflect the impairment of the value ascribed to the indefinite-lived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 The carrying values of the Company's indefinite-lived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assets after the impairment charges and as of September 26, 2020 were $70.0 million and $15.0 million, respectively.</w:t>
      </w:r>
    </w:p>
    <w:p>
      <w:pPr>
        <w:spacing w:after="0" w:line="12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There were no impairments of goodwill or indefinite-lived or definite-lived intangible assets during the third quarter of fiscal 2020. Although the Company determined that no further impairment exists for the Company's goodwill or indefinite-lived or definite-lived intangible assets, these assets could be at risk for impairment should global economic conditions continue to deteriorate as a result of COVID-19.</w:t>
      </w:r>
    </w:p>
    <w:p>
      <w:pPr>
        <w:spacing w:after="0" w:line="14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Amortization expense for intangible assets subject to amortization was approximately $0.9 million for both third fiscal quarters ended September 26, 2020 and September 28, 2019. Amortization expense was approximately $2.8 million for each of the first three quarters of fiscal 2020 and for the first three quarters of fiscal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for the next five fiscal years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Amortization</w:t>
            </w:r>
          </w:p>
        </w:tc>
      </w:tr>
      <w:tr>
        <w:trPr>
          <w:trHeight w:val="210"/>
        </w:trPr>
        <w:tc>
          <w:tcPr>
            <w:tcW w:w="97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b w:val="1"/>
                <w:bCs w:val="1"/>
                <w:color w:val="auto"/>
              </w:rPr>
              <w:t>expense</w:t>
            </w:r>
          </w:p>
        </w:tc>
      </w:tr>
      <w:tr>
        <w:trPr>
          <w:trHeight w:val="33"/>
        </w:trPr>
        <w:tc>
          <w:tcPr>
            <w:tcW w:w="9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3,702</w:t>
            </w:r>
          </w:p>
        </w:tc>
      </w:tr>
      <w:tr>
        <w:trPr>
          <w:trHeight w:val="223"/>
        </w:trPr>
        <w:tc>
          <w:tcPr>
            <w:tcW w:w="9780" w:type="dxa"/>
            <w:vAlign w:val="bottom"/>
          </w:tcPr>
          <w:p>
            <w:pPr>
              <w:ind w:left="40"/>
              <w:spacing w:after="0"/>
              <w:rPr>
                <w:sz w:val="20"/>
                <w:szCs w:val="20"/>
                <w:color w:val="auto"/>
              </w:rPr>
            </w:pPr>
            <w:r>
              <w:rPr>
                <w:rFonts w:ascii="Arial" w:cs="Arial" w:eastAsia="Arial" w:hAnsi="Arial"/>
                <w:sz w:val="16"/>
                <w:szCs w:val="16"/>
                <w:color w:val="auto"/>
              </w:rPr>
              <w:t>2022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3,702</w:t>
            </w:r>
          </w:p>
        </w:tc>
      </w:tr>
      <w:tr>
        <w:trPr>
          <w:trHeight w:val="33"/>
        </w:trPr>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3,660</w:t>
            </w:r>
          </w:p>
        </w:tc>
      </w:tr>
      <w:tr>
        <w:trPr>
          <w:trHeight w:val="224"/>
        </w:trPr>
        <w:tc>
          <w:tcPr>
            <w:tcW w:w="9780" w:type="dxa"/>
            <w:vAlign w:val="bottom"/>
          </w:tcPr>
          <w:p>
            <w:pPr>
              <w:ind w:left="40"/>
              <w:spacing w:after="0"/>
              <w:rPr>
                <w:sz w:val="20"/>
                <w:szCs w:val="20"/>
                <w:color w:val="auto"/>
              </w:rPr>
            </w:pPr>
            <w:r>
              <w:rPr>
                <w:rFonts w:ascii="Arial" w:cs="Arial" w:eastAsia="Arial" w:hAnsi="Arial"/>
                <w:sz w:val="16"/>
                <w:szCs w:val="16"/>
                <w:color w:val="auto"/>
              </w:rPr>
              <w:t>2024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3,630</w:t>
            </w:r>
          </w:p>
        </w:tc>
      </w:tr>
      <w:tr>
        <w:trPr>
          <w:trHeight w:val="33"/>
        </w:trPr>
        <w:tc>
          <w:tcPr>
            <w:tcW w:w="9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3,630</w:t>
            </w:r>
          </w:p>
        </w:tc>
      </w:tr>
      <w:tr>
        <w:trPr>
          <w:trHeight w:val="33"/>
        </w:trPr>
        <w:tc>
          <w:tcPr>
            <w:tcW w:w="9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Share Repurchases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total aggregate remaining capacity under outstanding repurchase authorizations as of September 26, 2020 was approximately $650.4 million, based on settled repurchase transactions. The authorizations have no expiration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gridSpan w:val="3"/>
          </w:tcPr>
          <w:p>
            <w:pPr>
              <w:ind w:left="360"/>
              <w:spacing w:after="0"/>
              <w:rPr>
                <w:sz w:val="20"/>
                <w:szCs w:val="20"/>
                <w:color w:val="auto"/>
              </w:rPr>
            </w:pPr>
            <w:r>
              <w:rPr>
                <w:rFonts w:ascii="Arial" w:cs="Arial" w:eastAsia="Arial" w:hAnsi="Arial"/>
                <w:sz w:val="16"/>
                <w:szCs w:val="16"/>
                <w:b w:val="1"/>
                <w:bCs w:val="1"/>
                <w:color w:val="auto"/>
                <w:w w:val="95"/>
              </w:rPr>
              <w:t>Fiscal quarter ended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Three fiscal quarters ended</w:t>
            </w:r>
          </w:p>
        </w:tc>
      </w:tr>
      <w:tr>
        <w:trPr>
          <w:trHeight w:val="47"/>
        </w:trPr>
        <w:tc>
          <w:tcPr>
            <w:tcW w:w="5080" w:type="dxa"/>
            <w:vAlign w:val="bottom"/>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r>
      <w:tr>
        <w:trPr>
          <w:trHeight w:val="230"/>
        </w:trPr>
        <w:tc>
          <w:tcPr>
            <w:tcW w:w="5080" w:type="dxa"/>
            <w:vAlign w:val="bottom"/>
          </w:tcPr>
          <w:p>
            <w:pPr>
              <w:spacing w:after="0"/>
              <w:rPr>
                <w:sz w:val="20"/>
                <w:szCs w:val="20"/>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26, 2020</w:t>
            </w: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September 28, 2019</w:t>
            </w: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26, 2020</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28, 2019</w:t>
            </w:r>
          </w:p>
        </w:tc>
      </w:tr>
      <w:tr>
        <w:trPr>
          <w:trHeight w:val="33"/>
        </w:trPr>
        <w:tc>
          <w:tcPr>
            <w:tcW w:w="50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shares repurchased</w:t>
            </w: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602,043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474,684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1,607,920</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Aggregate cost of shares repurchased (dollars in thousands)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55,021</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45,255</w:t>
            </w:r>
          </w:p>
        </w:tc>
        <w:tc>
          <w:tcPr>
            <w:tcW w:w="12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147,464</w:t>
            </w:r>
          </w:p>
        </w:tc>
      </w:tr>
      <w:tr>
        <w:trPr>
          <w:trHeight w:val="33"/>
        </w:trPr>
        <w:tc>
          <w:tcPr>
            <w:tcW w:w="5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price per share</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95.34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91.71</w:t>
            </w:r>
          </w:p>
        </w:tc>
      </w:tr>
      <w:tr>
        <w:trPr>
          <w:trHeight w:val="33"/>
        </w:trPr>
        <w:tc>
          <w:tcPr>
            <w:tcW w:w="50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March 26, 2020, the Company announced that, in connection with the COVID-19 pandemic, it suspended its common stock share repurchase program. The timing and amount of any future repurchases will be determined by the Company based on its evaluation of market conditions, share price, other investment priorities, and other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first fiscal quarter ended March 28, 2020, the Company declared and paid cash dividends per share of $0.60. On May 1, 2020, in connection with the COVID-19 pandemic, the Company suspended its quarterly cash dividend. As a result,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37"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Company did not declare or pay cash dividends in the third fiscal quarter ended September 26, 2020. The Board of Directors will evaluate future dividend declarations based on a number of factors, including business conditions, the Company's financial performance, and other considerations. In the third fiscal quarter and three fiscal quarters ended September 28, 2019, the Company declared and paid cash dividends per share of $0.50 and $1.50, respectively.</w:t>
      </w:r>
    </w:p>
    <w:p>
      <w:pPr>
        <w:spacing w:after="0" w:line="10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Provisions in the Company's secured revolving credit facility have the effect of restricting the Company's ability to pay cash dividends on, or make future repurchases of, its common stock through the date the Company delivers its financial statements and associated certificates relating to the third fiscal quarter of 2021, and could have the effect of restricting the Company's ability to do so thereafter, as described in the Company's Annual Report on Form 10-K for the 2019 fiscal year ended December 28, 2019, and in Note 8, </w:t>
      </w:r>
      <w:r>
        <w:rPr>
          <w:rFonts w:ascii="Arial" w:cs="Arial" w:eastAsia="Arial" w:hAnsi="Arial"/>
          <w:sz w:val="17"/>
          <w:szCs w:val="17"/>
          <w:i w:val="1"/>
          <w:iCs w:val="1"/>
          <w:color w:val="auto"/>
        </w:rPr>
        <w:t>Long-Term Debt</w:t>
      </w:r>
      <w:r>
        <w:rPr>
          <w:rFonts w:ascii="Arial" w:cs="Arial" w:eastAsia="Arial" w:hAnsi="Arial"/>
          <w:sz w:val="17"/>
          <w:szCs w:val="17"/>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26, 2020</w:t>
            </w:r>
          </w:p>
        </w:tc>
        <w:tc>
          <w:tcPr>
            <w:tcW w:w="18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28, 2019</w:t>
            </w:r>
          </w:p>
        </w:tc>
        <w:tc>
          <w:tcPr>
            <w:tcW w:w="20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September 28, 2019</w:t>
            </w:r>
          </w:p>
        </w:tc>
      </w:tr>
      <w:tr>
        <w:trPr>
          <w:trHeight w:val="33"/>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5.500% Senior Notes due 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5.625% Senior Notes due 2027</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500,000</w:t>
            </w:r>
          </w:p>
        </w:tc>
      </w:tr>
      <w:tr>
        <w:trPr>
          <w:trHeight w:val="33"/>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senior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Less unamortized issuance-related costs for senior notes</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(10,914)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(5,328)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(5,475)</w:t>
            </w:r>
          </w:p>
        </w:tc>
      </w:tr>
      <w:tr>
        <w:trPr>
          <w:trHeight w:val="33"/>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Senior notes,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989,086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494,672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494,525</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Secured revolving credit facility</w:t>
            </w:r>
          </w:p>
        </w:tc>
        <w:tc>
          <w:tcPr>
            <w:tcW w:w="16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275,000</w:t>
            </w:r>
          </w:p>
        </w:tc>
      </w:tr>
      <w:tr>
        <w:trPr>
          <w:trHeight w:val="33"/>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5"/>
        </w:trPr>
        <w:tc>
          <w:tcPr>
            <w:tcW w:w="5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long-term debt,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989,086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594,672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769,525</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To improve the Company's cash position in light of the uncertainty and disruption related to COVID-19, the Company drew $639.0 million under its secured revolving credit facility in the month of March 2020, and in May 2020 repaid a portion of the outstanding borrowings with the net proceeds of a new $500 million senior notes offering, as discussed below, and cash on hand. During the third quarter of fiscal 2020, the Company repaid the remainder of its borrowings under its secured revolving credit facility with cash on hand. As of September 26, 2020, the Company had no outstanding borrowings under its secured revolving credit facility, exclusive of $7.0 million of outstanding letters of credit. As of September 26, 2020, approximately $743.0 million was available for future borrowing. All outstanding borrowings under the Company's secured revolving credit facility are classified as non-current liabilities on the Company's consolidated balance sheets due to contractual repayment terms under the credit facility.</w:t>
      </w:r>
    </w:p>
    <w:p>
      <w:pPr>
        <w:spacing w:after="0" w:line="13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May 4, 2020, the Company, through its wholly owned subsidiary, The William Carter Company ("TWCC"), entered into Amendment No.2 ("Amendment") to its fourth amended and restated credit agreement. This Amendment provided for, among other things, a waiver of financial covenants through the balance of fiscal year 2020, revised covenant requirements through the third quarter of fiscal year 2021, and the ability to raise additional unsecured financing, at the Company’s discretion.</w:t>
      </w:r>
    </w:p>
    <w:p>
      <w:pPr>
        <w:spacing w:after="0" w:line="14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Among other things, the Amendment provides that the Consolidated Fixed Charge Coverage Ratio and Lease Adjusted Leverage Ratio covenants, in each case, as defined in the Amendment, are waived during the period from and including the second fiscal quarter of 2020 through and including the fourth fiscal quarter of 2020. Thereafter, the Lease Adjusted Leverage Ratio is set at 5.50:1.00 for the first fiscal quarter of 2021 and, during the remainder of 2021, gradually steps down to 4.00:1.00 for the fourth fiscal quarter of 2021 and, subject to the consummation of a Material Acquisition (as defined in the Amendment), thereafter. The Consolidated Fixed Charge Coverage Ratio is set at 1.25:1.00 for the first fiscal quarter of 2021 and, during the remainder of 2021 and, gradually steps back up to 1.85:1.00 for the fourth fiscal quarter of 2021 and, subject to the consummation of a Material Acquisition, thereafter.</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the Amendment provides that during the period from May 4, 2020 through the date the Company delivers its financial statements and associated certificates relating to the third fiscal quarter of 2021, the Company must maintain a minimum liquidity (defined as cash-on-hand plus availability under its secured revolving credit facility) on the last day of each fiscal month of at least $700 million. Also, during this period, the availability of certain exceptions to the lien, investment, indebtedness, and restricted payment negative covenants (including those related to dividend payments and share repurchases) are limited or removed, and any incremental credit extensions and the possibility of collateral and covenant release periods are suspended.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3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Additionally, the Amendment provides that, among other things during the period from May 4, 2020 through the date the Company delivers its financial statements and associated certificates relating to the third quarter of fiscal 2021, interest rate margins applicable to the secured revolving credit facility were initially 2.125% for LIBOR rate loans (which may be adjusted based on a leverage-based pricing grid ranging from 1.125% to 2.375%) and 1.125% for base rate loans (which may be adjusted based on a leverage-based pricing grid ranging from 0.125% to 1.375%). The Amendment also provides for a commitment fee initially equal to 0.35% per annum and ranging from 0.15% per annum to 0.40% per annum, based upon a leverage-based pricing grid, which is payable quarterly in arrears with respect to the average daily unused portion of the revolving loan commitments.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Approximately $1.2 million, including both bank fees and other third party expenses, has been capitalized in connection with the amendment and is being amortized over the remaining term of the secured revolving credit facility.</w:t>
      </w:r>
    </w:p>
    <w:p>
      <w:pPr>
        <w:spacing w:after="0" w:line="13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interest rate margins applicable to our secured revolving credit facility as of September 26, 2020 were 1.625% for LIBOR rate loans and 0.625% for base rate loans. There were no U.S. dollar borrowings or foreign currency borrowings outstanding on September 26, 2020.</w:t>
      </w:r>
    </w:p>
    <w:p>
      <w:pPr>
        <w:spacing w:after="0" w:line="106" w:lineRule="exact"/>
        <w:rPr>
          <w:sz w:val="20"/>
          <w:szCs w:val="20"/>
          <w:color w:val="auto"/>
        </w:rPr>
      </w:pPr>
    </w:p>
    <w:p>
      <w:pPr>
        <w:ind w:right="1040"/>
        <w:spacing w:after="0" w:line="399" w:lineRule="auto"/>
        <w:rPr>
          <w:sz w:val="20"/>
          <w:szCs w:val="20"/>
          <w:color w:val="auto"/>
        </w:rPr>
      </w:pPr>
      <w:r>
        <w:rPr>
          <w:rFonts w:ascii="Arial" w:cs="Arial" w:eastAsia="Arial" w:hAnsi="Arial"/>
          <w:sz w:val="18"/>
          <w:szCs w:val="18"/>
          <w:color w:val="auto"/>
        </w:rPr>
        <w:t xml:space="preserve">As of September 26, 2020, the Company was in compliance with the financial and other covenants under the secured revolving credit facility. </w:t>
      </w:r>
      <w:r>
        <w:rPr>
          <w:rFonts w:ascii="Arial" w:cs="Arial" w:eastAsia="Arial" w:hAnsi="Arial"/>
          <w:sz w:val="18"/>
          <w:szCs w:val="18"/>
          <w:b w:val="1"/>
          <w:bCs w:val="1"/>
          <w:color w:val="auto"/>
        </w:rPr>
        <w:t>Senior Notes</w:t>
      </w:r>
    </w:p>
    <w:p>
      <w:pPr>
        <w:ind w:right="20"/>
        <w:spacing w:after="0" w:line="257" w:lineRule="auto"/>
        <w:rPr>
          <w:sz w:val="20"/>
          <w:szCs w:val="20"/>
          <w:color w:val="auto"/>
        </w:rPr>
      </w:pPr>
      <w:r>
        <w:rPr>
          <w:rFonts w:ascii="Arial" w:cs="Arial" w:eastAsia="Arial" w:hAnsi="Arial"/>
          <w:sz w:val="18"/>
          <w:szCs w:val="18"/>
          <w:color w:val="auto"/>
        </w:rPr>
        <w:t>On May 11, 2020, TWCC issued $500 million principal amount of senior notes at par, bearing interest at a rate of 5.500% per annum, and maturing on May 15, 2025, all of which were outstanding as of September 26, 2020. TWCC received net proceeds from the offering of the senior notes of approximately $494.5 million, after deducting underwriting fees, which TWCC used to repay borrowings outstanding under the Company's secured revolving credit facility. Approximately $6.5 million, including both bank fees and other third party expenses, has been capitalized in connection with the issuance and is being amortized over the term of the senior notes.</w:t>
      </w:r>
    </w:p>
    <w:p>
      <w:pPr>
        <w:spacing w:after="0" w:line="5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Additionally, as of September 26, 2020, the Company had outstanding $500 million principal amount of senior notes at par, bearing interest at a rate of 5.625% per annum, and maturing on March 15, 2027.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5"/>
          </w:tcPr>
          <w:p>
            <w:pPr>
              <w:ind w:left="980"/>
              <w:spacing w:after="0"/>
              <w:rPr>
                <w:sz w:val="20"/>
                <w:szCs w:val="20"/>
                <w:color w:val="auto"/>
              </w:rPr>
            </w:pPr>
            <w:r>
              <w:rPr>
                <w:rFonts w:ascii="Arial" w:cs="Arial" w:eastAsia="Arial" w:hAnsi="Arial"/>
                <w:sz w:val="16"/>
                <w:szCs w:val="16"/>
                <w:b w:val="1"/>
                <w:bCs w:val="1"/>
                <w:color w:val="auto"/>
              </w:rPr>
              <w:t>Fiscal quarter ended</w:t>
            </w:r>
          </w:p>
        </w:tc>
        <w:tc>
          <w:tcPr>
            <w:tcW w:w="160" w:type="dxa"/>
            <w:vAlign w:val="bottom"/>
          </w:tcPr>
          <w:p>
            <w:pPr>
              <w:spacing w:after="0"/>
              <w:rPr>
                <w:sz w:val="18"/>
                <w:szCs w:val="18"/>
                <w:color w:val="auto"/>
              </w:rPr>
            </w:pPr>
          </w:p>
        </w:tc>
        <w:tc>
          <w:tcPr>
            <w:tcW w:w="352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Three fiscal quarters ended</w:t>
            </w:r>
          </w:p>
        </w:tc>
      </w:tr>
      <w:tr>
        <w:trPr>
          <w:trHeight w:val="33"/>
        </w:trPr>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37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26, 2020</w:t>
            </w:r>
          </w:p>
        </w:tc>
        <w:tc>
          <w:tcPr>
            <w:tcW w:w="16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28, 2019</w:t>
            </w:r>
          </w:p>
        </w:tc>
        <w:tc>
          <w:tcPr>
            <w:tcW w:w="16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26, 2020</w:t>
            </w:r>
          </w:p>
        </w:tc>
        <w:tc>
          <w:tcPr>
            <w:tcW w:w="160" w:type="dxa"/>
            <w:vAlign w:val="bottom"/>
          </w:tcPr>
          <w:p>
            <w:pPr>
              <w:spacing w:after="0"/>
              <w:rPr>
                <w:sz w:val="20"/>
                <w:szCs w:val="20"/>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September 28, 2019</w:t>
            </w:r>
          </w:p>
        </w:tc>
      </w:tr>
      <w:tr>
        <w:trPr>
          <w:trHeight w:val="33"/>
        </w:trPr>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3,146</w:t>
            </w:r>
          </w:p>
        </w:tc>
      </w:tr>
      <w:tr>
        <w:trPr>
          <w:trHeight w:val="237"/>
        </w:trPr>
        <w:tc>
          <w:tcPr>
            <w:tcW w:w="3720" w:type="dxa"/>
            <w:vAlign w:val="bottom"/>
          </w:tcPr>
          <w:p>
            <w:pPr>
              <w:ind w:left="40"/>
              <w:spacing w:after="0"/>
              <w:rPr>
                <w:sz w:val="20"/>
                <w:szCs w:val="20"/>
                <w:color w:val="auto"/>
              </w:rPr>
            </w:pPr>
            <w:r>
              <w:rPr>
                <w:rFonts w:ascii="Arial" w:cs="Arial" w:eastAsia="Arial" w:hAnsi="Arial"/>
                <w:sz w:val="16"/>
                <w:szCs w:val="16"/>
                <w:color w:val="auto"/>
              </w:rPr>
              <w:t>Restricted stock:</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Time-based awards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7,034</w:t>
            </w:r>
          </w:p>
        </w:tc>
      </w:tr>
      <w:tr>
        <w:trPr>
          <w:trHeight w:val="237"/>
        </w:trPr>
        <w:tc>
          <w:tcPr>
            <w:tcW w:w="3720" w:type="dxa"/>
            <w:vAlign w:val="bottom"/>
          </w:tcPr>
          <w:p>
            <w:pPr>
              <w:ind w:left="160"/>
              <w:spacing w:after="0"/>
              <w:rPr>
                <w:sz w:val="20"/>
                <w:szCs w:val="20"/>
                <w:color w:val="auto"/>
              </w:rPr>
            </w:pPr>
            <w:r>
              <w:rPr>
                <w:rFonts w:ascii="Arial" w:cs="Arial" w:eastAsia="Arial" w:hAnsi="Arial"/>
                <w:sz w:val="16"/>
                <w:szCs w:val="16"/>
                <w:color w:val="auto"/>
              </w:rPr>
              <w:t>Performance-based awards</w:t>
            </w:r>
          </w:p>
        </w:tc>
        <w:tc>
          <w:tcPr>
            <w:tcW w:w="180" w:type="dxa"/>
            <w:vAlign w:val="bottom"/>
          </w:tcPr>
          <w:p>
            <w:pPr>
              <w:spacing w:after="0"/>
              <w:rPr>
                <w:sz w:val="20"/>
                <w:szCs w:val="20"/>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1,957</w:t>
            </w:r>
          </w:p>
        </w:tc>
      </w:tr>
      <w:tr>
        <w:trPr>
          <w:trHeight w:val="33"/>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 awards</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1,403</w:t>
            </w:r>
          </w:p>
        </w:tc>
      </w:tr>
      <w:tr>
        <w:trPr>
          <w:trHeight w:val="244"/>
        </w:trPr>
        <w:tc>
          <w:tcPr>
            <w:tcW w:w="3720" w:type="dxa"/>
            <w:vAlign w:val="bottom"/>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3,046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3,733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9,531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13,540</w:t>
            </w:r>
          </w:p>
        </w:tc>
      </w:tr>
      <w:tr>
        <w:trPr>
          <w:trHeight w:val="20"/>
        </w:trPr>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recognizes compensation cost ratably over the applicable performance periods based on the estimated probability of achievement of its performance targets at the end of each period. During the first quarter of fiscal 2020, the achievement of performance target estimates was revised resulting in a $2.8 million reversal of previously recognized stock-based compensation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9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September 26, 2020, the Company had gross unrecognized income tax benefits of approximately $13.4 million, of which $11.5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Included in the reserves for unrecognized tax benefits at September 26, 2020 is approximately $2.7 million of reserves for which the statute of limitations is expected to expire within the next 12 months. If these tax benefits are ultimately recognized,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37"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such recognition, net of federal income taxes, may affect the annual effective income tax rate for fiscal 2020 or fiscal 2021 along with the effective income tax rate in the quarter in which the benefits are recognized.</w:t>
      </w:r>
    </w:p>
    <w:p>
      <w:pPr>
        <w:spacing w:after="0" w:line="13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recognizes interest related to unrecognized tax benefits as a component of interest expense and recognizes penalties related to unrecognized income tax benefits as a component of income tax expense. During the third fiscal quarter ended September 26, 2020 and September 28, 2019, interest expense on uncertain tax positions was not material. Interest expense recorded on uncertain tax positions was $0.6 million and $0.7 million for the first three quarters of fiscal 2020 and the first three quarters of fiscal 2019, respectively. The Company had approximately $2.9 million, $2.3 million, and $2.5 million of interest accrued on uncertain tax positions as of September 26, 2020, December 28, 2019, and September 28, 2019, respectively.</w:t>
      </w:r>
    </w:p>
    <w:p>
      <w:pPr>
        <w:spacing w:after="0" w:line="12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early adopted the provisions of ASU 2019-12 in the first quarter of 2020 in order to simplify its income tax accounting disclosures during 2020 as a result of incurring an operating loss. The Company retrospectively adopted the provision related to the classification of taxes partially based on income and has determined that the adoption of this standard did not have a material impact on its prior period financial statements. The provisions related to intra period tax allocation and interim recognition of enactment of tax laws are being adopted on a prospective basis.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This law includes several taxpayer favorable provisions that may impact the Company, including an employee retention credit, relaxed interest expense limitations, a carryback of net operating losses, accelerated depreciation on certain store build out costs, and the deferral of employer FICA taxes. It is likely that this act will reduce the Company’s cash requirement for taxes over the balance of fiscal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consolidated balance sheets, and their aggregate fair values were approximately $18.9 million, $19.7 million, and $18.2 million at September 26, 2020, December 28, 2019, and September 28, 2019, respectively. These investments are classified as Level 1 within the fair value hierarchy. Gains on the investments in marketable securities were $2.5 million and $0.6 million for the third fiscal quarter and three fiscal quarters ended September 26, 2020, respectively. Gains on the investments in marketable securities were $0.9 million and $2.5 million for the third fiscal quarter and three fiscal quarters ended September 28, 2019, respectively. These amounts are included in Other (income) expense, net on the Company's consolidated statement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26, 2020, the Company had no outstanding borrowings under its secured revolving credit facility.</w:t>
      </w:r>
    </w:p>
    <w:p>
      <w:pPr>
        <w:spacing w:after="0" w:line="18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fair value of the Company's senior notes at September 26, 2020 was approximately $1.05 billion. The fair value of these senior notes with a notional value and carrying value (gross of debt cost) of $1.00 billion was estimated using a quoted price as provided in the secondary market, which considers the Company's credit risk and market related conditions, and is therefore within Level 2 of the fair value hierarchy.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tangible assets</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Long-lived assets, which for the Company primarily consist of operating lease assets and store assets, are reviewed for impairment whenever events or changes in circumstances indicate that the carrying amount of the assets may not be recoverable. The asset group is defined as the lowest level for which identifiable cash flows are available and is largely independent of cash flows of other groups of assets, which for our retail stores, is at the store level. For impaired assets, the Company recognized a loss equal to the difference between the carrying amount of the asset or asset group and its estimated fair value, which is recorded in Selling, general and administrative expenses on the Company's consolidated statements of operations. For operating lease assets, the Company determines the fair value of the assets by discounting the estimated market rental rates over the remaining term of the lease. These estimates can be affected by factors such as future store results, real estate demand, store closure plans, property specific discount rates, and economic conditions that can be difficult to predict. These fair value measurements qualify as level 3 measurements in the fair value hierarchy.</w:t>
      </w:r>
    </w:p>
    <w:p>
      <w:pPr>
        <w:spacing w:after="0" w:line="1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impact of the COVID-19 pandemic resulted in a qualitative indication of impairment related to our store long-lived assets. During the third quarter and first three quarters of fiscal 2020, the Company recorded impairment charges of operating lease</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337" w:right="3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assets and other long-lived assets for our underperforming retail stores of $1.7 million and $6.7 million, respectively. The impairment charges were recorded in Selling, general and administrative expenses on the Company's consolidated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Goodwill and indefinite-lived intangible assets are tested annually, or if a triggering event occurs that indicates an impairment loss may have been incurred, using fair value measurements with unobservable inputs (Level 3).</w:t>
      </w:r>
    </w:p>
    <w:p>
      <w:pPr>
        <w:spacing w:after="0" w:line="13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Due to the decrease in the Company's market capitalization, lower than expected actual sales, and lower projected sales and profitability due to the impacts from the outbreak of COVID-19, the Company concluded that impairment indicators existed for the first quarter of fiscal 2020. As a result, during the first quarter of fiscal 2020, the Company conducted interim quantitative impairment assessments on goodwill ascribed to the Other International reporting unit and on the value of the Company's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assets that was recorded in connection with the acquisition of OshKosh B'Gosh, Inc. in July 2005 and Skip Hop Holdings, Inc. in February 2017, respectively.</w:t>
      </w:r>
    </w:p>
    <w:p>
      <w:pPr>
        <w:spacing w:after="0" w:line="13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Based on these assessments, a goodwill impairment charge of $17.7 million was recorded during the first quarter of fiscal 2020 to our Other International reporting unit in the International segment and charges of $15.5 million and $11.0 million were recorded on our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assets, respectively. The charge recorded on our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asset included charges of $13.6 million, $1.6 million, and $0.3 million in the U.S. Retail, U.S. Wholesale, and International segments, respectively, to reflect the impairment of the value ascribed to the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asset. The charge recorded on our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included charges of $6.8 million, $3.7 million, and $0.5 million in the U.S. Wholesale, International, and U.S. Retail segments, respectively, to reflect the impairment of the value ascribed to the indefinite-lived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The carrying value of the Company's goodwill for the Other International reporting unit after the impairment charge and as of September 26, 2020 was approximately $11.5 million. The carrying values of the Company's indefinite-lived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asset after the impairment charge and as of September 26, 2020 were $70.0 million and $15.0 million, respectively. See Note 6, </w:t>
      </w:r>
      <w:r>
        <w:rPr>
          <w:rFonts w:ascii="Arial" w:cs="Arial" w:eastAsia="Arial" w:hAnsi="Arial"/>
          <w:sz w:val="17"/>
          <w:szCs w:val="17"/>
          <w:i w:val="1"/>
          <w:iCs w:val="1"/>
          <w:color w:val="auto"/>
        </w:rPr>
        <w:t>Goodwill and Intangibles</w:t>
      </w:r>
      <w:r>
        <w:rPr>
          <w:rFonts w:ascii="Arial" w:cs="Arial" w:eastAsia="Arial" w:hAnsi="Arial"/>
          <w:sz w:val="17"/>
          <w:szCs w:val="17"/>
          <w:color w:val="auto"/>
        </w:rPr>
        <w:t>, for further details on the impairment charges and valuation methodologies.</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337" w:right="379" w:bottom="1440" w:gutter="0" w:footer="0" w:header="0"/>
        </w:sectPr>
      </w:pPr>
    </w:p>
    <w:bookmarkStart w:id="22" w:name="page23"/>
    <w:bookmarkEnd w:id="22"/>
    <w:p>
      <w:pPr>
        <w:ind w:left="22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basic common shares outstanding to diluted common and common equivalent shares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ind w:left="460"/>
              <w:spacing w:after="0"/>
              <w:rPr>
                <w:sz w:val="20"/>
                <w:szCs w:val="20"/>
                <w:color w:val="auto"/>
              </w:rPr>
            </w:pPr>
            <w:r>
              <w:rPr>
                <w:rFonts w:ascii="Arial" w:cs="Arial" w:eastAsia="Arial" w:hAnsi="Arial"/>
                <w:sz w:val="16"/>
                <w:szCs w:val="16"/>
                <w:b w:val="1"/>
                <w:bCs w:val="1"/>
                <w:color w:val="auto"/>
              </w:rPr>
              <w:t>Fiscal quarter ended</w:t>
            </w:r>
          </w:p>
        </w:tc>
        <w:tc>
          <w:tcPr>
            <w:tcW w:w="340" w:type="dxa"/>
            <w:vAlign w:val="bottom"/>
          </w:tcPr>
          <w:p>
            <w:pPr>
              <w:spacing w:after="0"/>
              <w:rPr>
                <w:sz w:val="19"/>
                <w:szCs w:val="19"/>
                <w:color w:val="auto"/>
              </w:rPr>
            </w:pPr>
          </w:p>
        </w:tc>
        <w:tc>
          <w:tcPr>
            <w:tcW w:w="266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Three fiscal quarters ended</w:t>
            </w:r>
          </w:p>
        </w:tc>
      </w:tr>
      <w:tr>
        <w:trPr>
          <w:trHeight w:val="33"/>
        </w:trPr>
        <w:tc>
          <w:tcPr>
            <w:tcW w:w="508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31"/>
        </w:trPr>
        <w:tc>
          <w:tcPr>
            <w:tcW w:w="5080" w:type="dxa"/>
            <w:vAlign w:val="bottom"/>
          </w:tcPr>
          <w:p>
            <w:pPr>
              <w:spacing w:after="0"/>
              <w:rPr>
                <w:sz w:val="20"/>
                <w:szCs w:val="20"/>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26, 2020</w:t>
            </w: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September 28, 2019</w:t>
            </w: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26, 2020</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28, 2019</w:t>
            </w:r>
          </w:p>
        </w:tc>
      </w:tr>
      <w:tr>
        <w:trPr>
          <w:trHeight w:val="33"/>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number of common and common equivalent shares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9"/>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outstanding:</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37"/>
        </w:trPr>
        <w:tc>
          <w:tcPr>
            <w:tcW w:w="5080" w:type="dxa"/>
            <w:vAlign w:val="bottom"/>
          </w:tcPr>
          <w:p>
            <w:pPr>
              <w:ind w:left="360"/>
              <w:spacing w:after="0"/>
              <w:rPr>
                <w:sz w:val="20"/>
                <w:szCs w:val="20"/>
                <w:color w:val="auto"/>
              </w:rPr>
            </w:pPr>
            <w:r>
              <w:rPr>
                <w:rFonts w:ascii="Arial" w:cs="Arial" w:eastAsia="Arial" w:hAnsi="Arial"/>
                <w:sz w:val="16"/>
                <w:szCs w:val="16"/>
                <w:color w:val="auto"/>
              </w:rPr>
              <w:t>Basic number of common shares outstanding</w:t>
            </w:r>
          </w:p>
        </w:tc>
        <w:tc>
          <w:tcPr>
            <w:tcW w:w="3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43,193,752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44,144,135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43,237,319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44,640,413</w:t>
            </w:r>
          </w:p>
        </w:tc>
      </w:tr>
      <w:tr>
        <w:trPr>
          <w:trHeight w:val="33"/>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Dilutive effect of equity awards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156,878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287,904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174,351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302,832</w:t>
            </w:r>
          </w:p>
        </w:tc>
      </w:tr>
      <w:tr>
        <w:trPr>
          <w:trHeight w:val="283"/>
        </w:trPr>
        <w:tc>
          <w:tcPr>
            <w:tcW w:w="5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w w:val="92"/>
              </w:rPr>
              <w:t>Diluted number of common and common equivalent shares outstanding</w:t>
            </w: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43,350,630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44,432,039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43,411,670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44,943,245</w:t>
            </w:r>
          </w:p>
        </w:tc>
      </w:tr>
      <w:tr>
        <w:trPr>
          <w:trHeight w:val="203"/>
        </w:trPr>
        <w:tc>
          <w:tcPr>
            <w:tcW w:w="5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w w:val="94"/>
              </w:rPr>
              <w:t>Basic net income per common share (in thousands, except per share data):</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138,655</w:t>
            </w:r>
          </w:p>
        </w:tc>
      </w:tr>
      <w:tr>
        <w:trPr>
          <w:trHeight w:val="237"/>
        </w:trPr>
        <w:tc>
          <w:tcPr>
            <w:tcW w:w="5080" w:type="dxa"/>
            <w:vAlign w:val="bottom"/>
          </w:tcPr>
          <w:p>
            <w:pPr>
              <w:ind w:left="360"/>
              <w:spacing w:after="0"/>
              <w:rPr>
                <w:sz w:val="20"/>
                <w:szCs w:val="20"/>
                <w:color w:val="auto"/>
              </w:rPr>
            </w:pPr>
            <w:r>
              <w:rPr>
                <w:rFonts w:ascii="Arial" w:cs="Arial" w:eastAsia="Arial" w:hAnsi="Arial"/>
                <w:sz w:val="16"/>
                <w:szCs w:val="16"/>
                <w:color w:val="auto"/>
              </w:rPr>
              <w:t>Income allocated to participating securities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(1,244)</w:t>
            </w:r>
          </w:p>
        </w:tc>
      </w:tr>
      <w:tr>
        <w:trPr>
          <w:trHeight w:val="33"/>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 available to common shareholders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80,404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137,411</w:t>
            </w: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3"/>
        </w:trPr>
        <w:tc>
          <w:tcPr>
            <w:tcW w:w="5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 net income per common share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r>
      <w:tr>
        <w:trPr>
          <w:trHeight w:val="216"/>
        </w:trPr>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Diluted net income per common share (in thousands, except per share data):</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50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81,241</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60,252</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10,703</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138,655</w:t>
            </w:r>
          </w:p>
        </w:tc>
      </w:tr>
      <w:tr>
        <w:trPr>
          <w:trHeight w:val="33"/>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allocated to participating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r>
      <w:tr>
        <w:trPr>
          <w:trHeight w:val="283"/>
        </w:trPr>
        <w:tc>
          <w:tcPr>
            <w:tcW w:w="5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 available to common shareholders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80,407</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59,689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10,614</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137,416</w:t>
            </w:r>
          </w:p>
        </w:tc>
      </w:tr>
      <w:tr>
        <w:trPr>
          <w:trHeight w:val="203"/>
        </w:trPr>
        <w:tc>
          <w:tcPr>
            <w:tcW w:w="5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7"/>
        </w:trPr>
        <w:tc>
          <w:tcPr>
            <w:tcW w:w="5080" w:type="dxa"/>
            <w:vAlign w:val="bottom"/>
          </w:tcPr>
          <w:p>
            <w:pPr>
              <w:ind w:left="360"/>
              <w:spacing w:after="0"/>
              <w:rPr>
                <w:sz w:val="20"/>
                <w:szCs w:val="20"/>
                <w:color w:val="auto"/>
              </w:rPr>
            </w:pPr>
            <w:r>
              <w:rPr>
                <w:rFonts w:ascii="Arial" w:cs="Arial" w:eastAsia="Arial" w:hAnsi="Arial"/>
                <w:sz w:val="16"/>
                <w:szCs w:val="16"/>
                <w:color w:val="auto"/>
              </w:rPr>
              <w:t>Diluted net income per common share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3.06</w:t>
            </w:r>
          </w:p>
        </w:tc>
      </w:tr>
      <w:tr>
        <w:trPr>
          <w:trHeight w:val="33"/>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0"/>
        </w:trPr>
        <w:tc>
          <w:tcPr>
            <w:tcW w:w="5080" w:type="dxa"/>
            <w:vAlign w:val="bottom"/>
          </w:tcPr>
          <w:p>
            <w:pPr>
              <w:ind w:left="360"/>
              <w:spacing w:after="0"/>
              <w:rPr>
                <w:sz w:val="20"/>
                <w:szCs w:val="20"/>
                <w:color w:val="auto"/>
              </w:rPr>
            </w:pPr>
            <w:r>
              <w:rPr>
                <w:rFonts w:ascii="Arial" w:cs="Arial" w:eastAsia="Arial" w:hAnsi="Arial"/>
                <w:sz w:val="16"/>
                <w:szCs w:val="16"/>
                <w:color w:val="auto"/>
              </w:rPr>
              <w:t>Anti-dilutive awards excluded from diluted earnings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6"/>
        </w:trPr>
        <w:tc>
          <w:tcPr>
            <w:tcW w:w="5080" w:type="dxa"/>
            <w:vAlign w:val="bottom"/>
          </w:tcPr>
          <w:p>
            <w:pPr>
              <w:ind w:left="360"/>
              <w:spacing w:after="0"/>
              <w:rPr>
                <w:sz w:val="20"/>
                <w:szCs w:val="20"/>
                <w:color w:val="auto"/>
              </w:rPr>
            </w:pPr>
            <w:r>
              <w:rPr>
                <w:rFonts w:ascii="Arial" w:cs="Arial" w:eastAsia="Arial" w:hAnsi="Arial"/>
                <w:sz w:val="16"/>
                <w:szCs w:val="16"/>
                <w:color w:val="auto"/>
              </w:rPr>
              <w:t>computation</w:t>
            </w:r>
          </w:p>
        </w:tc>
        <w:tc>
          <w:tcPr>
            <w:tcW w:w="36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729,476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691,707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744,499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505,642</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CURRENT AND LONG-TERM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that exceeded five percent of total current liabilities, at the end of any comparable period,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26, 2020</w:t>
            </w:r>
          </w:p>
        </w:tc>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28, 2019</w:t>
            </w:r>
          </w:p>
        </w:tc>
        <w:tc>
          <w:tcPr>
            <w:tcW w:w="160" w:type="dxa"/>
            <w:vAlign w:val="bottom"/>
          </w:tcPr>
          <w:p>
            <w:pPr>
              <w:spacing w:after="0"/>
              <w:rPr>
                <w:sz w:val="18"/>
                <w:szCs w:val="18"/>
                <w:color w:val="auto"/>
              </w:rPr>
            </w:pPr>
          </w:p>
        </w:tc>
        <w:tc>
          <w:tcPr>
            <w:tcW w:w="162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September 28, 2019</w:t>
            </w:r>
          </w:p>
        </w:tc>
      </w:tr>
      <w:tr>
        <w:trPr>
          <w:trHeight w:val="33"/>
        </w:trPr>
        <w:tc>
          <w:tcPr>
            <w:tcW w:w="5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26,909</w:t>
            </w:r>
          </w:p>
        </w:tc>
      </w:tr>
      <w:tr>
        <w:trPr>
          <w:trHeight w:val="33"/>
        </w:trPr>
        <w:tc>
          <w:tcPr>
            <w:tcW w:w="5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long-term liabilities that exceeded five percent of total liabilities, at the end of any comparable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9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10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The Company's contractual obligations and commitments include obligations associated with leases, the secured revolving credit agreement, senior notes, employee benefit plans, and facility consolidations/closures as disclosed in Note 16, </w:t>
      </w:r>
      <w:r>
        <w:rPr>
          <w:rFonts w:ascii="Arial" w:cs="Arial" w:eastAsia="Arial" w:hAnsi="Arial"/>
          <w:sz w:val="18"/>
          <w:szCs w:val="18"/>
          <w:i w:val="1"/>
          <w:iCs w:val="1"/>
          <w:color w:val="auto"/>
        </w:rPr>
        <w:t>Organizational Restructuring and Office Consolidation</w:t>
      </w:r>
      <w:r>
        <w:rPr>
          <w:rFonts w:ascii="Arial" w:cs="Arial" w:eastAsia="Arial" w:hAnsi="Arial"/>
          <w:sz w:val="18"/>
          <w:szCs w:val="18"/>
          <w:color w:val="auto"/>
        </w:rPr>
        <w:t>, to the consolidated financial statements.</w:t>
      </w:r>
    </w:p>
    <w:p>
      <w:pPr>
        <w:spacing w:after="0" w:line="14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also has minimum inventory purchase commitments, including fabric commitments, with our suppliers which secure a portion of our material needs for future seasons. In light of the COVID-19 pandemic, some of our orders may be canceled. As of September 26, 2020, the Company had an outstanding reserve of $15.4 million for adverse inventory and fabric purchase commitments.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337" w:right="339" w:bottom="1440" w:gutter="0" w:footer="0" w:header="0"/>
        </w:sectPr>
      </w:pPr>
    </w:p>
    <w:bookmarkStart w:id="23" w:name="page24"/>
    <w:bookmarkEnd w:id="23"/>
    <w:p>
      <w:pPr>
        <w:ind w:left="22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certain information for our reportable segments and unallocated corporate expenses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ind w:left="500"/>
              <w:spacing w:after="0"/>
              <w:rPr>
                <w:sz w:val="20"/>
                <w:szCs w:val="20"/>
                <w:color w:val="auto"/>
              </w:rPr>
            </w:pPr>
            <w:r>
              <w:rPr>
                <w:rFonts w:ascii="Arial" w:cs="Arial" w:eastAsia="Arial" w:hAnsi="Arial"/>
                <w:sz w:val="16"/>
                <w:szCs w:val="16"/>
                <w:b w:val="1"/>
                <w:bCs w:val="1"/>
                <w:color w:val="auto"/>
              </w:rPr>
              <w:t>Fiscal quarter ended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fiscal quarters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i w:val="1"/>
                <w:iCs w:val="1"/>
                <w:color w:val="auto"/>
              </w:rPr>
              <w:t>(dollars in</w:t>
            </w: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26,</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28,</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26,</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28,</w:t>
            </w: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i w:val="1"/>
                <w:iCs w:val="1"/>
                <w:color w:val="auto"/>
              </w:rPr>
              <w:t>thousands)</w:t>
            </w: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Total Net Sales</w:t>
            </w:r>
          </w:p>
        </w:tc>
        <w:tc>
          <w:tcPr>
            <w:tcW w:w="26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Total Net Sales</w:t>
            </w:r>
          </w:p>
        </w:tc>
        <w:tc>
          <w:tcPr>
            <w:tcW w:w="22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Total Net Sales</w:t>
            </w:r>
          </w:p>
        </w:tc>
        <w:tc>
          <w:tcPr>
            <w:tcW w:w="22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w w:val="92"/>
              </w:rPr>
              <w:t>Total Net Sales</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sales: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U.S. Retail</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449,150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464,100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1,085,883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1,264,283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auto"/>
              </w:rPr>
              <w:t>U.S. Wholesale</w:t>
            </w: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302,135</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352,256</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706,009</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34.7 %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856,713</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113,795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126,966</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242,545</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297,768</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color w:val="auto"/>
                <w:w w:val="99"/>
              </w:rPr>
              <w:t>Total net sales</w:t>
            </w: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865,080</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943,322</w:t>
            </w:r>
          </w:p>
        </w:tc>
        <w:tc>
          <w:tcPr>
            <w:tcW w:w="1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2,034,437</w:t>
            </w:r>
          </w:p>
        </w:tc>
        <w:tc>
          <w:tcPr>
            <w:tcW w:w="10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2,418,764</w:t>
            </w:r>
          </w:p>
        </w:tc>
        <w:tc>
          <w:tcPr>
            <w:tcW w:w="1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9"/>
              <w:spacing w:after="0"/>
              <w:rPr>
                <w:sz w:val="20"/>
                <w:szCs w:val="20"/>
                <w:color w:val="auto"/>
              </w:rPr>
            </w:pPr>
            <w:r>
              <w:rPr>
                <w:rFonts w:ascii="Arial" w:cs="Arial" w:eastAsia="Arial" w:hAnsi="Arial"/>
                <w:sz w:val="16"/>
                <w:szCs w:val="16"/>
                <w:b w:val="1"/>
                <w:bCs w:val="1"/>
                <w:color w:val="auto"/>
              </w:rPr>
              <w:t>% of</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38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w w:val="99"/>
              </w:rPr>
              <w:t>Operating income</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19"/>
              <w:spacing w:after="0" w:line="176" w:lineRule="exact"/>
              <w:rPr>
                <w:sz w:val="20"/>
                <w:szCs w:val="20"/>
                <w:color w:val="auto"/>
              </w:rPr>
            </w:pPr>
            <w:r>
              <w:rPr>
                <w:rFonts w:ascii="Arial" w:cs="Arial" w:eastAsia="Arial" w:hAnsi="Arial"/>
                <w:sz w:val="16"/>
                <w:szCs w:val="16"/>
                <w:b w:val="1"/>
                <w:bCs w:val="1"/>
                <w:color w:val="auto"/>
                <w:w w:val="85"/>
              </w:rPr>
              <w:t>Segment</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85"/>
              </w:rPr>
              <w:t>Segment</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85"/>
              </w:rPr>
              <w:t>Segment</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24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rPr>
              <w:t>(loss):</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19"/>
              <w:spacing w:after="0" w:line="183" w:lineRule="exact"/>
              <w:rPr>
                <w:sz w:val="20"/>
                <w:szCs w:val="20"/>
                <w:color w:val="auto"/>
              </w:rPr>
            </w:pPr>
            <w:r>
              <w:rPr>
                <w:rFonts w:ascii="Arial" w:cs="Arial" w:eastAsia="Arial" w:hAnsi="Arial"/>
                <w:sz w:val="16"/>
                <w:szCs w:val="16"/>
                <w:b w:val="1"/>
                <w:bCs w:val="1"/>
                <w:color w:val="auto"/>
                <w:w w:val="86"/>
              </w:rPr>
              <w:t>Net Sales</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20"/>
              <w:spacing w:after="0" w:line="183" w:lineRule="exact"/>
              <w:rPr>
                <w:sz w:val="20"/>
                <w:szCs w:val="20"/>
                <w:color w:val="auto"/>
              </w:rPr>
            </w:pPr>
            <w:r>
              <w:rPr>
                <w:rFonts w:ascii="Arial" w:cs="Arial" w:eastAsia="Arial" w:hAnsi="Arial"/>
                <w:sz w:val="16"/>
                <w:szCs w:val="16"/>
                <w:b w:val="1"/>
                <w:bCs w:val="1"/>
                <w:color w:val="auto"/>
                <w:w w:val="86"/>
              </w:rPr>
              <w:t>Net Sales</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100"/>
              <w:spacing w:after="0" w:line="183" w:lineRule="exact"/>
              <w:rPr>
                <w:sz w:val="20"/>
                <w:szCs w:val="20"/>
                <w:color w:val="auto"/>
              </w:rPr>
            </w:pPr>
            <w:r>
              <w:rPr>
                <w:rFonts w:ascii="Arial" w:cs="Arial" w:eastAsia="Arial" w:hAnsi="Arial"/>
                <w:sz w:val="16"/>
                <w:szCs w:val="16"/>
                <w:b w:val="1"/>
                <w:bCs w:val="1"/>
                <w:color w:val="auto"/>
                <w:w w:val="86"/>
              </w:rPr>
              <w:t>Net Sales</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88"/>
              </w:rPr>
              <w:t>Net Sales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U.S. Retail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47,559</w:t>
            </w:r>
          </w:p>
        </w:tc>
        <w:tc>
          <w:tcPr>
            <w:tcW w:w="1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10.6%</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49,472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38,902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124,567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auto"/>
              </w:rPr>
              <w:t>U.S. Wholesale</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65,718</w:t>
            </w:r>
          </w:p>
        </w:tc>
        <w:tc>
          <w:tcPr>
            <w:tcW w:w="1340" w:type="dxa"/>
            <w:vAlign w:val="bottom"/>
            <w:gridSpan w:val="2"/>
          </w:tcPr>
          <w:p>
            <w:pPr>
              <w:jc w:val="right"/>
              <w:ind w:right="59"/>
              <w:spacing w:after="0"/>
              <w:rPr>
                <w:sz w:val="20"/>
                <w:szCs w:val="20"/>
                <w:color w:val="auto"/>
              </w:rPr>
            </w:pPr>
            <w:r>
              <w:rPr>
                <w:rFonts w:ascii="Arial" w:cs="Arial" w:eastAsia="Arial" w:hAnsi="Arial"/>
                <w:sz w:val="16"/>
                <w:szCs w:val="16"/>
                <w:color w:val="auto"/>
              </w:rPr>
              <w:t>21.8%</w:t>
            </w:r>
          </w:p>
        </w:tc>
        <w:tc>
          <w:tcPr>
            <w:tcW w:w="3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54,391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89,141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12.6 %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145,181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17,400</w:t>
            </w:r>
          </w:p>
        </w:tc>
        <w:tc>
          <w:tcPr>
            <w:tcW w:w="1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15.3%</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(15,819)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auto"/>
              </w:rPr>
              <w:t>Corporate</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gridSpan w:val="3"/>
          </w:tcPr>
          <w:p>
            <w:pPr>
              <w:spacing w:after="0" w:line="239" w:lineRule="exact"/>
              <w:rPr>
                <w:sz w:val="20"/>
                <w:szCs w:val="20"/>
                <w:color w:val="auto"/>
              </w:rPr>
            </w:pPr>
            <w:r>
              <w:rPr>
                <w:rFonts w:ascii="Arial" w:cs="Arial" w:eastAsia="Arial" w:hAnsi="Arial"/>
                <w:sz w:val="16"/>
                <w:szCs w:val="16"/>
                <w:color w:val="auto"/>
              </w:rPr>
              <w:t>expenses</w:t>
            </w:r>
            <w:r>
              <w:rPr>
                <w:rFonts w:ascii="Arial" w:cs="Arial" w:eastAsia="Arial" w:hAnsi="Arial"/>
                <w:sz w:val="21"/>
                <w:szCs w:val="21"/>
                <w:color w:val="auto"/>
                <w:vertAlign w:val="superscript"/>
              </w:rPr>
              <w:t>(*)</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(17,150)</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color w:val="auto"/>
              </w:rPr>
              <w:t>n/a</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(26,129)</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gridSpan w:val="2"/>
          </w:tcPr>
          <w:p>
            <w:pPr>
              <w:ind w:left="780"/>
              <w:spacing w:after="0"/>
              <w:rPr>
                <w:sz w:val="20"/>
                <w:szCs w:val="20"/>
                <w:color w:val="auto"/>
              </w:rPr>
            </w:pPr>
            <w:r>
              <w:rPr>
                <w:rFonts w:ascii="Arial" w:cs="Arial" w:eastAsia="Arial" w:hAnsi="Arial"/>
                <w:sz w:val="16"/>
                <w:szCs w:val="16"/>
                <w:color w:val="auto"/>
              </w:rPr>
              <w:t>n/a</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(56,221)</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gridSpan w:val="2"/>
          </w:tcPr>
          <w:p>
            <w:pPr>
              <w:ind w:left="800"/>
              <w:spacing w:after="0"/>
              <w:rPr>
                <w:sz w:val="20"/>
                <w:szCs w:val="20"/>
                <w:color w:val="auto"/>
              </w:rPr>
            </w:pPr>
            <w:r>
              <w:rPr>
                <w:rFonts w:ascii="Arial" w:cs="Arial" w:eastAsia="Arial" w:hAnsi="Arial"/>
                <w:sz w:val="16"/>
                <w:szCs w:val="16"/>
                <w:color w:val="auto"/>
              </w:rPr>
              <w:t>n/a</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(75,994)</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0"/>
        </w:trPr>
        <w:tc>
          <w:tcPr>
            <w:tcW w:w="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 operating</w:t>
            </w: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113,527</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83,870</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56,003</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209,105</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income</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13.1%</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00" w:right="580" w:hanging="492"/>
        <w:spacing w:after="0" w:line="273"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6"/>
                <w:szCs w:val="16"/>
                <w:i w:val="1"/>
                <w:iCs w:val="1"/>
                <w:color w:val="auto"/>
              </w:rPr>
              <w:t>(dollars in millions)</w:t>
            </w:r>
          </w:p>
        </w:tc>
        <w:tc>
          <w:tcPr>
            <w:tcW w:w="140" w:type="dxa"/>
            <w:vAlign w:val="bottom"/>
          </w:tcPr>
          <w:p>
            <w:pPr>
              <w:spacing w:after="0"/>
              <w:rPr>
                <w:sz w:val="18"/>
                <w:szCs w:val="18"/>
                <w:color w:val="auto"/>
              </w:rPr>
            </w:pPr>
          </w:p>
        </w:tc>
        <w:tc>
          <w:tcPr>
            <w:tcW w:w="3500" w:type="dxa"/>
            <w:vAlign w:val="bottom"/>
            <w:gridSpan w:val="8"/>
          </w:tcPr>
          <w:p>
            <w:pPr>
              <w:ind w:left="220"/>
              <w:spacing w:after="0"/>
              <w:rPr>
                <w:sz w:val="20"/>
                <w:szCs w:val="20"/>
                <w:color w:val="auto"/>
              </w:rPr>
            </w:pPr>
            <w:r>
              <w:rPr>
                <w:rFonts w:ascii="Arial" w:cs="Arial" w:eastAsia="Arial" w:hAnsi="Arial"/>
                <w:sz w:val="16"/>
                <w:szCs w:val="16"/>
                <w:b w:val="1"/>
                <w:bCs w:val="1"/>
                <w:color w:val="auto"/>
              </w:rPr>
              <w:t>Fiscal quarter ended September 26, 2020</w:t>
            </w:r>
          </w:p>
        </w:tc>
        <w:tc>
          <w:tcPr>
            <w:tcW w:w="3400" w:type="dxa"/>
            <w:vAlign w:val="bottom"/>
            <w:gridSpan w:val="8"/>
          </w:tcPr>
          <w:p>
            <w:pPr>
              <w:jc w:val="right"/>
              <w:spacing w:after="0"/>
              <w:rPr>
                <w:sz w:val="20"/>
                <w:szCs w:val="20"/>
                <w:color w:val="auto"/>
              </w:rPr>
            </w:pPr>
            <w:r>
              <w:rPr>
                <w:rFonts w:ascii="Arial" w:cs="Arial" w:eastAsia="Arial" w:hAnsi="Arial"/>
                <w:sz w:val="16"/>
                <w:szCs w:val="16"/>
                <w:b w:val="1"/>
                <w:bCs w:val="1"/>
                <w:color w:val="auto"/>
                <w:w w:val="92"/>
              </w:rPr>
              <w:t>Three fiscal quarters ended September 26, 2020</w:t>
            </w:r>
          </w:p>
        </w:tc>
      </w:tr>
      <w:tr>
        <w:trPr>
          <w:trHeight w:val="33"/>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U.S.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U.S.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41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Charges:</w:t>
            </w:r>
          </w:p>
        </w:tc>
        <w:tc>
          <w:tcPr>
            <w:tcW w:w="140" w:type="dxa"/>
            <w:vAlign w:val="bottom"/>
          </w:tcPr>
          <w:p>
            <w:pPr>
              <w:spacing w:after="0"/>
              <w:rPr>
                <w:sz w:val="15"/>
                <w:szCs w:val="15"/>
                <w:color w:val="auto"/>
              </w:rPr>
            </w:pPr>
          </w:p>
        </w:tc>
        <w:tc>
          <w:tcPr>
            <w:tcW w:w="10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88"/>
              </w:rPr>
              <w:t>Wholesale</w:t>
            </w:r>
          </w:p>
        </w:tc>
        <w:tc>
          <w:tcPr>
            <w:tcW w:w="140" w:type="dxa"/>
            <w:vAlign w:val="bottom"/>
          </w:tcPr>
          <w:p>
            <w:pPr>
              <w:spacing w:after="0"/>
              <w:rPr>
                <w:sz w:val="15"/>
                <w:szCs w:val="15"/>
                <w:color w:val="auto"/>
              </w:rPr>
            </w:pPr>
          </w:p>
        </w:tc>
        <w:tc>
          <w:tcPr>
            <w:tcW w:w="120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International</w:t>
            </w:r>
          </w:p>
        </w:tc>
        <w:tc>
          <w:tcPr>
            <w:tcW w:w="120" w:type="dxa"/>
            <w:vAlign w:val="bottom"/>
          </w:tcPr>
          <w:p>
            <w:pPr>
              <w:spacing w:after="0"/>
              <w:rPr>
                <w:sz w:val="15"/>
                <w:szCs w:val="15"/>
                <w:color w:val="auto"/>
              </w:rPr>
            </w:pPr>
          </w:p>
        </w:tc>
        <w:tc>
          <w:tcPr>
            <w:tcW w:w="98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0"/>
              </w:rPr>
              <w:t>Wholesale</w:t>
            </w:r>
          </w:p>
        </w:tc>
        <w:tc>
          <w:tcPr>
            <w:tcW w:w="140" w:type="dxa"/>
            <w:vAlign w:val="bottom"/>
          </w:tcPr>
          <w:p>
            <w:pPr>
              <w:spacing w:after="0"/>
              <w:rPr>
                <w:sz w:val="15"/>
                <w:szCs w:val="15"/>
                <w:color w:val="auto"/>
              </w:rPr>
            </w:pPr>
          </w:p>
        </w:tc>
        <w:tc>
          <w:tcPr>
            <w:tcW w:w="1080" w:type="dxa"/>
            <w:vAlign w:val="bottom"/>
          </w:tcPr>
          <w:p>
            <w:pPr>
              <w:jc w:val="right"/>
              <w:ind w:right="59"/>
              <w:spacing w:after="0" w:line="176" w:lineRule="exact"/>
              <w:rPr>
                <w:sz w:val="20"/>
                <w:szCs w:val="20"/>
                <w:color w:val="auto"/>
              </w:rPr>
            </w:pPr>
            <w:r>
              <w:rPr>
                <w:rFonts w:ascii="Arial" w:cs="Arial" w:eastAsia="Arial" w:hAnsi="Arial"/>
                <w:sz w:val="16"/>
                <w:szCs w:val="16"/>
                <w:b w:val="1"/>
                <w:bCs w:val="1"/>
                <w:color w:val="auto"/>
                <w:w w:val="95"/>
              </w:rPr>
              <w:t>International</w:t>
            </w:r>
          </w:p>
        </w:tc>
      </w:tr>
      <w:tr>
        <w:trPr>
          <w:trHeight w:val="48"/>
        </w:trPr>
        <w:tc>
          <w:tcPr>
            <w:tcW w:w="2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CCEEFF"/>
            </w:tcBorders>
          </w:tcPr>
          <w:p>
            <w:pPr>
              <w:spacing w:after="0"/>
              <w:rPr>
                <w:sz w:val="4"/>
                <w:szCs w:val="4"/>
                <w:color w:val="auto"/>
              </w:rPr>
            </w:pPr>
          </w:p>
        </w:tc>
        <w:tc>
          <w:tcPr>
            <w:tcW w:w="34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Organizational restructuring</w:t>
            </w:r>
            <w:r>
              <w:rPr>
                <w:rFonts w:ascii="Arial" w:cs="Arial" w:eastAsia="Arial" w:hAnsi="Arial"/>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Goodwill impairment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17.7</w:t>
            </w:r>
          </w:p>
        </w:tc>
      </w:tr>
      <w:tr>
        <w:trPr>
          <w:trHeight w:val="33"/>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 impairment charge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37"/>
        </w:trPr>
        <w:tc>
          <w:tcPr>
            <w:tcW w:w="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 impairment charge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Incremental costs associated with COVID-19 pandemic</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20"/>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Retail store operating leases and other long-lived asset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120" w:type="dxa"/>
            <w:vAlign w:val="bottom"/>
            <w:gridSpan w:val="2"/>
          </w:tcPr>
          <w:p>
            <w:pPr>
              <w:spacing w:after="0" w:line="239" w:lineRule="exact"/>
              <w:rPr>
                <w:sz w:val="20"/>
                <w:szCs w:val="20"/>
                <w:color w:val="auto"/>
              </w:rPr>
            </w:pPr>
            <w:r>
              <w:rPr>
                <w:rFonts w:ascii="Arial" w:cs="Arial" w:eastAsia="Arial" w:hAnsi="Arial"/>
                <w:sz w:val="16"/>
                <w:szCs w:val="16"/>
                <w:color w:val="auto"/>
              </w:rPr>
              <w:t>impairments, net of gain</w:t>
            </w:r>
            <w:r>
              <w:rPr>
                <w:rFonts w:ascii="Arial" w:cs="Arial" w:eastAsia="Arial" w:hAnsi="Arial"/>
                <w:sz w:val="21"/>
                <w:szCs w:val="21"/>
                <w:color w:val="auto"/>
                <w:vertAlign w:val="superscript"/>
              </w:rPr>
              <w:t>(2)</w:t>
            </w: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2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charges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right="20" w:hanging="332"/>
        <w:spacing w:after="0" w:line="27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third fiscal quarter ended September 26, 2020, the three fiscal quarters ended September 26, 2020, and the three fiscal quarters ended September 28, 2019 also include corporate charges related to organizational restructuring of $0.4 million, $2.0 million, and $1.6 million, respectively.</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Impairments include an immaterial gain on the remeasurement of retail store operating leases.</w:t>
      </w:r>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6"/>
                <w:szCs w:val="16"/>
                <w:i w:val="1"/>
                <w:iCs w:val="1"/>
                <w:color w:val="auto"/>
              </w:rPr>
              <w:t>(dollars in millions)</w:t>
            </w:r>
          </w:p>
        </w:tc>
        <w:tc>
          <w:tcPr>
            <w:tcW w:w="140" w:type="dxa"/>
            <w:vAlign w:val="bottom"/>
          </w:tcPr>
          <w:p>
            <w:pPr>
              <w:spacing w:after="0"/>
              <w:rPr>
                <w:sz w:val="18"/>
                <w:szCs w:val="18"/>
                <w:color w:val="auto"/>
              </w:rPr>
            </w:pPr>
          </w:p>
        </w:tc>
        <w:tc>
          <w:tcPr>
            <w:tcW w:w="3500" w:type="dxa"/>
            <w:vAlign w:val="bottom"/>
            <w:gridSpan w:val="8"/>
          </w:tcPr>
          <w:p>
            <w:pPr>
              <w:ind w:left="220"/>
              <w:spacing w:after="0"/>
              <w:rPr>
                <w:sz w:val="20"/>
                <w:szCs w:val="20"/>
                <w:color w:val="auto"/>
              </w:rPr>
            </w:pPr>
            <w:r>
              <w:rPr>
                <w:rFonts w:ascii="Arial" w:cs="Arial" w:eastAsia="Arial" w:hAnsi="Arial"/>
                <w:sz w:val="16"/>
                <w:szCs w:val="16"/>
                <w:b w:val="1"/>
                <w:bCs w:val="1"/>
                <w:color w:val="auto"/>
              </w:rPr>
              <w:t>Fiscal quarter ended September 28, 2019</w:t>
            </w:r>
          </w:p>
        </w:tc>
        <w:tc>
          <w:tcPr>
            <w:tcW w:w="3400" w:type="dxa"/>
            <w:vAlign w:val="bottom"/>
            <w:gridSpan w:val="8"/>
          </w:tcPr>
          <w:p>
            <w:pPr>
              <w:jc w:val="right"/>
              <w:spacing w:after="0"/>
              <w:rPr>
                <w:sz w:val="20"/>
                <w:szCs w:val="20"/>
                <w:color w:val="auto"/>
              </w:rPr>
            </w:pPr>
            <w:r>
              <w:rPr>
                <w:rFonts w:ascii="Arial" w:cs="Arial" w:eastAsia="Arial" w:hAnsi="Arial"/>
                <w:sz w:val="16"/>
                <w:szCs w:val="16"/>
                <w:b w:val="1"/>
                <w:bCs w:val="1"/>
                <w:color w:val="auto"/>
                <w:w w:val="92"/>
              </w:rPr>
              <w:t>Three fiscal quarters ended September 28, 2019</w:t>
            </w:r>
          </w:p>
        </w:tc>
      </w:tr>
      <w:tr>
        <w:trPr>
          <w:trHeight w:val="33"/>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U.S.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U.S.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41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Charges:</w:t>
            </w:r>
          </w:p>
        </w:tc>
        <w:tc>
          <w:tcPr>
            <w:tcW w:w="140" w:type="dxa"/>
            <w:vAlign w:val="bottom"/>
          </w:tcPr>
          <w:p>
            <w:pPr>
              <w:spacing w:after="0"/>
              <w:rPr>
                <w:sz w:val="15"/>
                <w:szCs w:val="15"/>
                <w:color w:val="auto"/>
              </w:rPr>
            </w:pPr>
          </w:p>
        </w:tc>
        <w:tc>
          <w:tcPr>
            <w:tcW w:w="10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88"/>
              </w:rPr>
              <w:t>Wholesale</w:t>
            </w:r>
          </w:p>
        </w:tc>
        <w:tc>
          <w:tcPr>
            <w:tcW w:w="140" w:type="dxa"/>
            <w:vAlign w:val="bottom"/>
          </w:tcPr>
          <w:p>
            <w:pPr>
              <w:spacing w:after="0"/>
              <w:rPr>
                <w:sz w:val="15"/>
                <w:szCs w:val="15"/>
                <w:color w:val="auto"/>
              </w:rPr>
            </w:pPr>
          </w:p>
        </w:tc>
        <w:tc>
          <w:tcPr>
            <w:tcW w:w="120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International</w:t>
            </w:r>
          </w:p>
        </w:tc>
        <w:tc>
          <w:tcPr>
            <w:tcW w:w="120" w:type="dxa"/>
            <w:vAlign w:val="bottom"/>
          </w:tcPr>
          <w:p>
            <w:pPr>
              <w:spacing w:after="0"/>
              <w:rPr>
                <w:sz w:val="15"/>
                <w:szCs w:val="15"/>
                <w:color w:val="auto"/>
              </w:rPr>
            </w:pPr>
          </w:p>
        </w:tc>
        <w:tc>
          <w:tcPr>
            <w:tcW w:w="98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0"/>
              </w:rPr>
              <w:t>Wholesale</w:t>
            </w:r>
          </w:p>
        </w:tc>
        <w:tc>
          <w:tcPr>
            <w:tcW w:w="140" w:type="dxa"/>
            <w:vAlign w:val="bottom"/>
          </w:tcPr>
          <w:p>
            <w:pPr>
              <w:spacing w:after="0"/>
              <w:rPr>
                <w:sz w:val="15"/>
                <w:szCs w:val="15"/>
                <w:color w:val="auto"/>
              </w:rPr>
            </w:pPr>
          </w:p>
        </w:tc>
        <w:tc>
          <w:tcPr>
            <w:tcW w:w="1080" w:type="dxa"/>
            <w:vAlign w:val="bottom"/>
          </w:tcPr>
          <w:p>
            <w:pPr>
              <w:jc w:val="right"/>
              <w:ind w:right="59"/>
              <w:spacing w:after="0" w:line="176" w:lineRule="exact"/>
              <w:rPr>
                <w:sz w:val="20"/>
                <w:szCs w:val="20"/>
                <w:color w:val="auto"/>
              </w:rPr>
            </w:pPr>
            <w:r>
              <w:rPr>
                <w:rFonts w:ascii="Arial" w:cs="Arial" w:eastAsia="Arial" w:hAnsi="Arial"/>
                <w:sz w:val="16"/>
                <w:szCs w:val="16"/>
                <w:b w:val="1"/>
                <w:bCs w:val="1"/>
                <w:color w:val="auto"/>
                <w:w w:val="95"/>
              </w:rPr>
              <w:t>International</w:t>
            </w:r>
          </w:p>
        </w:tc>
      </w:tr>
      <w:tr>
        <w:trPr>
          <w:trHeight w:val="48"/>
        </w:trPr>
        <w:tc>
          <w:tcPr>
            <w:tcW w:w="2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CCEEFF"/>
            </w:tcBorders>
          </w:tcPr>
          <w:p>
            <w:pPr>
              <w:spacing w:after="0"/>
              <w:rPr>
                <w:sz w:val="4"/>
                <w:szCs w:val="4"/>
                <w:color w:val="auto"/>
              </w:rPr>
            </w:pPr>
          </w:p>
        </w:tc>
        <w:tc>
          <w:tcPr>
            <w:tcW w:w="34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00"/>
        </w:trPr>
        <w:tc>
          <w:tcPr>
            <w:tcW w:w="20" w:type="dxa"/>
            <w:vAlign w:val="bottom"/>
            <w:shd w:val="clear" w:color="auto" w:fill="CCEEFF"/>
          </w:tcPr>
          <w:p>
            <w:pPr>
              <w:spacing w:after="0"/>
              <w:rPr>
                <w:sz w:val="17"/>
                <w:szCs w:val="17"/>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related to sale of inventory previously reserved in</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China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0"/>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Reversal of store restructuring costs previously recorded</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during the third quarter of fiscal 2017</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Skip Hop tradename impairment charge</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r>
      <w:tr>
        <w:trPr>
          <w:trHeight w:val="243"/>
        </w:trPr>
        <w:tc>
          <w:tcPr>
            <w:tcW w:w="20" w:type="dxa"/>
            <w:vAlign w:val="bottom"/>
          </w:tcPr>
          <w:p>
            <w:pPr>
              <w:spacing w:after="0"/>
              <w:rPr>
                <w:sz w:val="21"/>
                <w:szCs w:val="21"/>
                <w:color w:val="auto"/>
              </w:rPr>
            </w:pPr>
          </w:p>
        </w:tc>
        <w:tc>
          <w:tcPr>
            <w:tcW w:w="4120" w:type="dxa"/>
            <w:vAlign w:val="bottom"/>
            <w:gridSpan w:val="2"/>
          </w:tcPr>
          <w:p>
            <w:pPr>
              <w:ind w:left="240"/>
              <w:spacing w:after="0"/>
              <w:rPr>
                <w:sz w:val="20"/>
                <w:szCs w:val="20"/>
                <w:color w:val="auto"/>
              </w:rPr>
            </w:pPr>
            <w:r>
              <w:rPr>
                <w:rFonts w:ascii="Arial" w:cs="Arial" w:eastAsia="Arial" w:hAnsi="Arial"/>
                <w:sz w:val="16"/>
                <w:szCs w:val="16"/>
                <w:color w:val="auto"/>
              </w:rPr>
              <w:t>Total charges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337" w:right="339" w:bottom="1440" w:gutter="0" w:footer="0" w:header="0"/>
          <w:type w:val="continuous"/>
        </w:sectPr>
      </w:pPr>
    </w:p>
    <w:bookmarkStart w:id="24" w:name="page25"/>
    <w:bookmarkEnd w:id="24"/>
    <w:p>
      <w:pPr>
        <w:ind w:left="22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ORGANIZATIONAL RESTRUCTURING AND OFFICE CONSOLIDATION</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first quarter of fiscal 2020, the Company announced several organizational restructuring initiatives which included a reorganization of staffing models across multiple functions to drive labor savings and increase efficiencies as well as the consolidation of certain functions into our corporate headquarters in Atlanta, Georgia. In conjunction with these initiatives, the Company recorded the following charges in selling, general and administrative expenses: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Fiscal quarter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jc w:val="right"/>
              <w:ind w:right="259"/>
              <w:spacing w:after="0"/>
              <w:rPr>
                <w:sz w:val="20"/>
                <w:szCs w:val="20"/>
                <w:color w:val="auto"/>
              </w:rPr>
            </w:pPr>
            <w:r>
              <w:rPr>
                <w:rFonts w:ascii="Arial" w:cs="Arial" w:eastAsia="Arial" w:hAnsi="Arial"/>
                <w:sz w:val="16"/>
                <w:szCs w:val="16"/>
                <w:b w:val="1"/>
                <w:bCs w:val="1"/>
                <w:color w:val="auto"/>
                <w:w w:val="94"/>
              </w:rPr>
              <w:t>Three fiscal quarters ended</w:t>
            </w:r>
          </w:p>
        </w:tc>
      </w:tr>
      <w:tr>
        <w:trPr>
          <w:trHeight w:val="33"/>
        </w:trPr>
        <w:tc>
          <w:tcPr>
            <w:tcW w:w="62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17"/>
        </w:trPr>
        <w:tc>
          <w:tcPr>
            <w:tcW w:w="620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September 26, 2020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jc w:val="right"/>
              <w:ind w:right="519"/>
              <w:spacing w:after="0"/>
              <w:rPr>
                <w:sz w:val="20"/>
                <w:szCs w:val="20"/>
                <w:color w:val="auto"/>
              </w:rPr>
            </w:pPr>
            <w:r>
              <w:rPr>
                <w:rFonts w:ascii="Arial" w:cs="Arial" w:eastAsia="Arial" w:hAnsi="Arial"/>
                <w:sz w:val="16"/>
                <w:szCs w:val="16"/>
                <w:b w:val="1"/>
                <w:bCs w:val="1"/>
                <w:color w:val="auto"/>
              </w:rPr>
              <w:t>September 26, 2020</w:t>
            </w:r>
          </w:p>
        </w:tc>
      </w:tr>
      <w:tr>
        <w:trPr>
          <w:trHeight w:val="33"/>
        </w:trPr>
        <w:tc>
          <w:tcPr>
            <w:tcW w:w="62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Severance and other termination benefits</w:t>
            </w:r>
          </w:p>
        </w:tc>
        <w:tc>
          <w:tcPr>
            <w:tcW w:w="1900" w:type="dxa"/>
            <w:vAlign w:val="bottom"/>
            <w:tcBorders>
              <w:bottom w:val="single" w:sz="8" w:color="CCEEFF"/>
            </w:tcBorders>
            <w:shd w:val="clear" w:color="auto" w:fill="CCEEFF"/>
          </w:tcPr>
          <w:p>
            <w:pPr>
              <w:jc w:val="right"/>
              <w:ind w:right="17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4,423</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Lease exit costs</w:t>
            </w:r>
          </w:p>
        </w:tc>
        <w:tc>
          <w:tcPr>
            <w:tcW w:w="19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jc w:val="right"/>
              <w:ind w:right="19"/>
              <w:spacing w:after="0"/>
              <w:rPr>
                <w:sz w:val="20"/>
                <w:szCs w:val="20"/>
                <w:color w:val="auto"/>
              </w:rPr>
            </w:pPr>
            <w:r>
              <w:rPr>
                <w:rFonts w:ascii="Arial" w:cs="Arial" w:eastAsia="Arial" w:hAnsi="Arial"/>
                <w:sz w:val="16"/>
                <w:szCs w:val="16"/>
                <w:color w:val="auto"/>
              </w:rPr>
              <w:t>2,495</w:t>
            </w:r>
          </w:p>
        </w:tc>
      </w:tr>
      <w:tr>
        <w:trPr>
          <w:trHeight w:val="33"/>
        </w:trPr>
        <w:tc>
          <w:tcPr>
            <w:tcW w:w="6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Relocation and recruiting</w:t>
            </w:r>
          </w:p>
        </w:tc>
        <w:tc>
          <w:tcPr>
            <w:tcW w:w="1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w:t>
            </w: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Other closure costs</w:t>
            </w:r>
          </w:p>
        </w:tc>
        <w:tc>
          <w:tcPr>
            <w:tcW w:w="19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234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33"/>
        </w:trPr>
        <w:tc>
          <w:tcPr>
            <w:tcW w:w="62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shd w:val="clear" w:color="auto" w:fill="CCEEFF"/>
          </w:tcPr>
          <w:p>
            <w:pPr>
              <w:jc w:val="right"/>
              <w:ind w:right="17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4"/>
              </w:rPr>
              <w:t>1,214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8,753</w:t>
            </w:r>
          </w:p>
        </w:tc>
      </w:tr>
      <w:tr>
        <w:trPr>
          <w:trHeight w:val="20"/>
        </w:trPr>
        <w:tc>
          <w:tcPr>
            <w:tcW w:w="6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September 26, 2020, there was approximately $1.3 million in reserves related to severance and other termination benefits expected to be paid out by the end of the year included in Other current liabilities in the Company's consolidated balance sheets. The Company expects to incur additional restructuring-related charges of approximately $1.0 million to $2.0 million through fiscal 2021. These charges primarily relate to accelerated depreciation, lease exit costs, severance, and relocation and recruiting costs.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37" w:right="339" w:bottom="1440" w:gutter="0" w:footer="0" w:header="0"/>
        </w:sectPr>
      </w:pPr>
    </w:p>
    <w:bookmarkStart w:id="25" w:name="page26"/>
    <w:bookmarkEnd w:id="25"/>
    <w:p>
      <w:pPr>
        <w:ind w:right="1240"/>
        <w:spacing w:after="0" w:line="34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2020 or any other future period, assessment of our performance and financial position, drivers of our sales and earnings growth, and the effects of the COVID-19 pandemic.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in our most recently filed Annual Report on Form 10-K, in Part I. under the heading "Item 1A -- Risk Factors", in our Quarterly Report on Form 10-Q for the quarter ended March 28, 2020, in Part II. under the heading "Item 1A -- Risk Factors", and in other reports filed with the Securities and Exchange Commission from time to time.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a leading baby and young child lifestyle brand, </w:t>
      </w:r>
      <w:r>
        <w:rPr>
          <w:rFonts w:ascii="Arial" w:cs="Arial" w:eastAsia="Arial" w:hAnsi="Arial"/>
          <w:sz w:val="18"/>
          <w:szCs w:val="18"/>
          <w:i w:val="1"/>
          <w:iCs w:val="1"/>
          <w:color w:val="auto"/>
        </w:rPr>
        <w:t>Skip Hop</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and accessories for children in sizes newborn to 14.</w:t>
      </w:r>
    </w:p>
    <w:p>
      <w:pPr>
        <w:spacing w:after="0" w:line="2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apparel and accessories for children in sizes newborn to 14, with a focus on playclothes for toddlers and young children.</w:t>
      </w:r>
    </w:p>
    <w:p>
      <w:pPr>
        <w:spacing w:after="0" w:line="13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 xml:space="preserve">Established in 2003,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 re-thinks, re-energizes, and re-imagines durable childhood necessities such as diaper bags to create higher value, superior quality, and top-performing goods for parents, babies, and toddlers. We acquired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brand in February 2017.</w:t>
      </w:r>
    </w:p>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mission is to serve the needs of all families with young children, with a vision to be the world's favorite brands in young children's apparel and products. We believe our brands provide a complementary product offering and aesthetic, are each uniquely positioned in the marketplace, and offer strong value to families with young children. Our multi-channel global business model, which includes retail store, eCommerce, and wholesale sales channels, enables us to reach a broad range of consumers around the world. We have extensive experience in the young children's apparel and accessories market and focus on delivering products that satisfy our consumers' needs.</w:t>
      </w:r>
    </w:p>
    <w:p>
      <w:pPr>
        <w:spacing w:after="0" w:line="14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2019 fiscal year ended December 28,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and eCommerce websites in Canada and Mexico, and sales to our international wholesale customers and licensees.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December 2019, an outbreak of COVID-19 began in Wuhan, China. In March 2020, the World Health Organization declared COVID-19 a pandemic and the President of the United States declared a national emergency. Federal, state and local governments and private entities mandated various restrictions, including travel restrictions, restrictions on public gatherings, stay at home orders and advisories, and quarantining of people who may have been exposed to the virus. The response to the COVID-19 pandemic has negatively affected the global economy, disrupted global supply chains, and created significant disruption of the financial and retail markets, including a disruption in consumer demand for baby and young children’s clothing and accessories.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COVID-19 pandemic has had, and will likely continue to have, significant adverse effects on our business, financial condition, and results of operations as described in our Quarterly Reports on Form 10-Q for the quarters ended March 28, 2020 and June 27, 2020 in Part I. under the heading "Item 2 -- Management's Discussion and Analysis of Financial Condition and Results of Operations -- Recent Developments", which discussion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Developments during the third quarter of fiscal 2020 include:</w:t>
      </w:r>
    </w:p>
    <w:p>
      <w:pPr>
        <w:spacing w:after="0" w:line="90" w:lineRule="exact"/>
        <w:rPr>
          <w:sz w:val="20"/>
          <w:szCs w:val="20"/>
          <w:color w:val="auto"/>
        </w:rPr>
      </w:pPr>
    </w:p>
    <w:p>
      <w:pPr>
        <w:ind w:left="660" w:right="300" w:hanging="328"/>
        <w:spacing w:after="0" w:line="334"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of September 26, 2020, we had 1,095 stores out of 1,104 stores open in North America; stores were opened subject to safety considerations resulting from the progression of the novel coronavirus and related laws and regulations put in place by state and local governments.</w:t>
      </w:r>
    </w:p>
    <w:p>
      <w:pPr>
        <w:ind w:left="660" w:right="14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repaid all of its borrowings under its secured revolving credit facility with cash on hand. As of September 26, 2020, the Company had no outstanding borrowings under its secured revolving credit facility, exclusive of $7.0 million of outstanding letters of credit, and had approximately $1.57 billion in total liquidity, including $831.2 million cash on hand and $743.0 million available for future borrowing under our secured revolving credit facility.</w:t>
      </w:r>
    </w:p>
    <w:p>
      <w:pPr>
        <w:spacing w:after="0" w:line="5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reinstated previously reduced salaries for executives and employees, and Board of Directors' fees to pre-reduction levels.</w:t>
      </w:r>
    </w:p>
    <w:p>
      <w:pPr>
        <w:spacing w:after="0" w:line="101" w:lineRule="exact"/>
        <w:rPr>
          <w:rFonts w:ascii="Arial" w:cs="Arial" w:eastAsia="Arial" w:hAnsi="Arial"/>
          <w:sz w:val="17"/>
          <w:szCs w:val="17"/>
          <w:color w:val="auto"/>
        </w:rPr>
      </w:pPr>
    </w:p>
    <w:p>
      <w:pPr>
        <w:ind w:left="660" w:right="2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resumed its strategic investments in information technology, eCommerce, marketing, and retail store initiatives, which had been paused to create financial flexibility as a result of the COVID-19 pandemic.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Fiscal Quarter 2020 Financial Highlights</w:t>
      </w:r>
    </w:p>
    <w:p>
      <w:pPr>
        <w:spacing w:after="0" w:line="9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net sales decreased $78.2 million, or 8.3%, to $865.1 million in the third quarter of fiscal 2020.</w:t>
      </w:r>
    </w:p>
    <w:p>
      <w:pPr>
        <w:spacing w:after="0" w:line="6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decrease in sales to certain of our wholesale customers, decreased retail store traffic, and decreased back-to-school sales as a result of the COVID-19 pandemic negatively affected our financial results for the third quarter of fiscal 2020.</w:t>
      </w:r>
    </w:p>
    <w:p>
      <w:pPr>
        <w:spacing w:after="0" w:line="8" w:lineRule="exact"/>
        <w:rPr>
          <w:rFonts w:ascii="Arial" w:cs="Arial" w:eastAsia="Arial" w:hAnsi="Arial"/>
          <w:sz w:val="18"/>
          <w:szCs w:val="18"/>
          <w:color w:val="auto"/>
        </w:rPr>
      </w:pPr>
    </w:p>
    <w:p>
      <w:pPr>
        <w:ind w:left="1300" w:right="40" w:hanging="320"/>
        <w:spacing w:after="0" w:line="316"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Our eCommerce delivered strong growth in the third quarter of fiscal 2020, reflecting higher online demand, enhanced marketing efforts, the relaunch of our enhanced websites in the second-half of fiscal 2019, and the launch of our website in Mexico in late fiscal 2019.</w:t>
      </w:r>
    </w:p>
    <w:p>
      <w:pPr>
        <w:spacing w:after="0" w:line="1" w:lineRule="exact"/>
        <w:rPr>
          <w:rFonts w:ascii="Arial" w:cs="Arial" w:eastAsia="Arial" w:hAnsi="Arial"/>
          <w:sz w:val="16"/>
          <w:szCs w:val="16"/>
          <w:color w:val="auto"/>
        </w:rPr>
      </w:pPr>
    </w:p>
    <w:p>
      <w:pPr>
        <w:ind w:left="1300" w:right="680" w:hanging="320"/>
        <w:spacing w:after="0" w:line="316"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We also delivered growth in our omni-channel programs during the third quarter of fiscal 2020 due to increased investments and enhancements, including expanding our curbside pickup program and direct-from-store shipment program.</w:t>
      </w:r>
    </w:p>
    <w:p>
      <w:pPr>
        <w:spacing w:after="0" w:line="1" w:lineRule="exact"/>
        <w:rPr>
          <w:rFonts w:ascii="Arial" w:cs="Arial" w:eastAsia="Arial" w:hAnsi="Arial"/>
          <w:sz w:val="16"/>
          <w:szCs w:val="16"/>
          <w:color w:val="auto"/>
        </w:rPr>
      </w:pPr>
    </w:p>
    <w:p>
      <w:pPr>
        <w:ind w:left="660" w:right="20" w:hanging="328"/>
        <w:spacing w:after="0" w:line="299"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Gross profit decreased $18.5 million, or 4.6%, to $383.7 million in the third quarter of fiscal 2020. Gross margin increased 180 basis points ("bps") to 44.4% in the third quarter of fiscal 2020, primarily due to an increase in eCommerce average selling prices as a result of decreased promotions, decreased inventory provisions, and channel mix, partially offset by deleverage of in-bound transportation costs (which includes costs associated with shipping product to our distribution centers for further outbound distribution to our stores and customers).</w:t>
      </w:r>
    </w:p>
    <w:p>
      <w:pPr>
        <w:spacing w:after="0" w:line="1" w:lineRule="exact"/>
        <w:rPr>
          <w:rFonts w:ascii="Arial" w:cs="Arial" w:eastAsia="Arial" w:hAnsi="Arial"/>
          <w:sz w:val="16"/>
          <w:szCs w:val="16"/>
          <w:color w:val="auto"/>
        </w:rPr>
      </w:pPr>
    </w:p>
    <w:p>
      <w:pPr>
        <w:ind w:left="660" w:right="20" w:hanging="328"/>
        <w:spacing w:after="0" w:line="273"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Selling, general and administrative ("SG&amp;A") expenses as a percentage of total net sales ("SG&amp;A rate") increased 80 bps to 32.3% for the third quarter of fiscal 2020. The increase in the SG&amp;A rate was primarily due to decreased consolidated net sales as a result of business disruptions related to the COVID-19 pandemic, the incremental COVID-19 related charges as discussed below, increased eCommerce costs due to an increase in eCommerce demand, increased bad debt expense, impairment charges on operating lease assets, and organizational restructuring charges, all partially offset by reductions in performance-based compensation expense, decreased marketing costs due to a reduction in spend and the shift to eCommerce demand, and other reductions in spending.</w:t>
      </w:r>
    </w:p>
    <w:p>
      <w:pPr>
        <w:spacing w:after="0" w:line="15" w:lineRule="exact"/>
        <w:rPr>
          <w:rFonts w:ascii="Arial" w:cs="Arial" w:eastAsia="Arial" w:hAnsi="Arial"/>
          <w:sz w:val="17"/>
          <w:szCs w:val="17"/>
          <w:color w:val="auto"/>
        </w:rPr>
      </w:pPr>
    </w:p>
    <w:p>
      <w:pPr>
        <w:ind w:left="1300" w:right="12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COVID-19 related SG&amp;A expenses in the third quarter of fiscal 2020 were $3.3 million, which primarily included costs associated with additional protective equipment and cleaning supplies of $2.5 million.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337"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9" w:lineRule="exact"/>
        <w:rPr>
          <w:sz w:val="20"/>
          <w:szCs w:val="20"/>
          <w:color w:val="auto"/>
        </w:rPr>
      </w:pPr>
    </w:p>
    <w:p>
      <w:pPr>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income increased $29.7 million, or 35.4%, to $113.5 million in the third quarter of fiscal 2020, primarily due to an indefinite-lived tradename asset impairment charge of $30.8 million in the third quarter of fiscal 2019 that did not re-occur in the third quarter of fiscal 2020, and the factors discussed above.</w:t>
      </w:r>
    </w:p>
    <w:p>
      <w:pPr>
        <w:spacing w:after="0" w:line="21" w:lineRule="exact"/>
        <w:rPr>
          <w:rFonts w:ascii="Arial" w:cs="Arial" w:eastAsia="Arial" w:hAnsi="Arial"/>
          <w:sz w:val="18"/>
          <w:szCs w:val="18"/>
          <w:color w:val="auto"/>
        </w:rPr>
      </w:pPr>
    </w:p>
    <w:p>
      <w:pPr>
        <w:ind w:left="660" w:right="300" w:hanging="328"/>
        <w:spacing w:after="0" w:line="29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income increased $21.0 million, or 34.8%, to $81.2 million in the third quarter of fiscal 2020, primarily due to the factors discussed above, partially offset by a $6.4 million increase in interest expense as a result of increased borrowings, and increased income taxes.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Diluted net income per common share increased 38.1% to $1.85 in the third quarter of fiscal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FISCAL QUARTER ENDED SEPTEMBER 26, 2020 COMPARED TO THIRD FISCAL QUARTER ENDED SEPTEMBER 28, 2019</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table and the discussion that follows have been calculated using unrounded numbers.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4"/>
          </w:tcPr>
          <w:p>
            <w:pPr>
              <w:jc w:val="right"/>
              <w:ind w:right="1104"/>
              <w:spacing w:after="0"/>
              <w:rPr>
                <w:sz w:val="20"/>
                <w:szCs w:val="20"/>
                <w:color w:val="auto"/>
              </w:rPr>
            </w:pPr>
            <w:r>
              <w:rPr>
                <w:rFonts w:ascii="Arial" w:cs="Arial" w:eastAsia="Arial" w:hAnsi="Arial"/>
                <w:sz w:val="15"/>
                <w:szCs w:val="15"/>
                <w:b w:val="1"/>
                <w:bCs w:val="1"/>
                <w:color w:val="auto"/>
              </w:rPr>
              <w:t>Fiscal quarter ended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63"/>
        </w:trPr>
        <w:tc>
          <w:tcPr>
            <w:tcW w:w="4080" w:type="dxa"/>
            <w:vAlign w:val="bottom"/>
          </w:tcPr>
          <w:p>
            <w:pPr>
              <w:ind w:left="40"/>
              <w:spacing w:after="0"/>
              <w:rPr>
                <w:sz w:val="20"/>
                <w:szCs w:val="20"/>
                <w:color w:val="auto"/>
              </w:rPr>
            </w:pPr>
            <w:r>
              <w:rPr>
                <w:rFonts w:ascii="Arial" w:cs="Arial" w:eastAsia="Arial" w:hAnsi="Arial"/>
                <w:sz w:val="15"/>
                <w:szCs w:val="15"/>
                <w:i w:val="1"/>
                <w:iCs w:val="1"/>
                <w:color w:val="auto"/>
              </w:rPr>
              <w:t>(dollars in thousands, except per share data)</w:t>
            </w:r>
          </w:p>
        </w:tc>
        <w:tc>
          <w:tcPr>
            <w:tcW w:w="180" w:type="dxa"/>
            <w:vAlign w:val="bottom"/>
          </w:tcPr>
          <w:p>
            <w:pPr>
              <w:spacing w:after="0"/>
              <w:rPr>
                <w:sz w:val="22"/>
                <w:szCs w:val="22"/>
                <w:color w:val="auto"/>
              </w:rPr>
            </w:pPr>
          </w:p>
        </w:tc>
        <w:tc>
          <w:tcPr>
            <w:tcW w:w="174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26, 2020</w:t>
            </w:r>
          </w:p>
        </w:tc>
        <w:tc>
          <w:tcPr>
            <w:tcW w:w="200" w:type="dxa"/>
            <w:vAlign w:val="bottom"/>
          </w:tcPr>
          <w:p>
            <w:pPr>
              <w:spacing w:after="0"/>
              <w:rPr>
                <w:sz w:val="22"/>
                <w:szCs w:val="22"/>
                <w:color w:val="auto"/>
              </w:rPr>
            </w:pPr>
          </w:p>
        </w:tc>
        <w:tc>
          <w:tcPr>
            <w:tcW w:w="174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28, 2019</w:t>
            </w:r>
          </w:p>
        </w:tc>
        <w:tc>
          <w:tcPr>
            <w:tcW w:w="280" w:type="dxa"/>
            <w:vAlign w:val="bottom"/>
          </w:tcPr>
          <w:p>
            <w:pPr>
              <w:spacing w:after="0"/>
              <w:rPr>
                <w:sz w:val="22"/>
                <w:szCs w:val="22"/>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 Change</w:t>
            </w:r>
          </w:p>
        </w:tc>
        <w:tc>
          <w:tcPr>
            <w:tcW w:w="1660" w:type="dxa"/>
            <w:vAlign w:val="bottom"/>
          </w:tcPr>
          <w:p>
            <w:pPr>
              <w:jc w:val="right"/>
              <w:ind w:right="224"/>
              <w:spacing w:after="0"/>
              <w:rPr>
                <w:sz w:val="20"/>
                <w:szCs w:val="20"/>
                <w:color w:val="auto"/>
              </w:rPr>
            </w:pPr>
            <w:r>
              <w:rPr>
                <w:rFonts w:ascii="Arial" w:cs="Arial" w:eastAsia="Arial" w:hAnsi="Arial"/>
                <w:sz w:val="15"/>
                <w:szCs w:val="15"/>
                <w:b w:val="1"/>
                <w:bCs w:val="1"/>
                <w:color w:val="auto"/>
              </w:rPr>
              <w:t>% / bps Change</w:t>
            </w:r>
          </w:p>
        </w:tc>
      </w:tr>
      <w:tr>
        <w:trPr>
          <w:trHeight w:val="254"/>
        </w:trPr>
        <w:tc>
          <w:tcPr>
            <w:tcW w:w="4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Consolidated net sales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865,080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943,322</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(78,242)</w:t>
            </w:r>
          </w:p>
        </w:tc>
        <w:tc>
          <w:tcPr>
            <w:tcW w:w="10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w:t>
            </w:r>
          </w:p>
        </w:tc>
      </w:tr>
      <w:tr>
        <w:trPr>
          <w:trHeight w:val="266"/>
        </w:trPr>
        <w:tc>
          <w:tcPr>
            <w:tcW w:w="4080" w:type="dxa"/>
            <w:vAlign w:val="bottom"/>
          </w:tcPr>
          <w:p>
            <w:pPr>
              <w:ind w:left="40"/>
              <w:spacing w:after="0"/>
              <w:rPr>
                <w:sz w:val="20"/>
                <w:szCs w:val="20"/>
                <w:color w:val="auto"/>
              </w:rPr>
            </w:pPr>
            <w:r>
              <w:rPr>
                <w:rFonts w:ascii="Arial" w:cs="Arial" w:eastAsia="Arial" w:hAnsi="Arial"/>
                <w:sz w:val="15"/>
                <w:szCs w:val="15"/>
                <w:color w:val="auto"/>
              </w:rPr>
              <w:t>Cost of goods sold</w:t>
            </w:r>
          </w:p>
        </w:tc>
        <w:tc>
          <w:tcPr>
            <w:tcW w:w="180" w:type="dxa"/>
            <w:vAlign w:val="bottom"/>
          </w:tcPr>
          <w:p>
            <w:pPr>
              <w:spacing w:after="0"/>
              <w:rPr>
                <w:sz w:val="23"/>
                <w:szCs w:val="23"/>
                <w:color w:val="auto"/>
              </w:rPr>
            </w:pPr>
          </w:p>
        </w:tc>
        <w:tc>
          <w:tcPr>
            <w:tcW w:w="1640" w:type="dxa"/>
            <w:vAlign w:val="bottom"/>
          </w:tcPr>
          <w:p>
            <w:pPr>
              <w:jc w:val="right"/>
              <w:ind w:right="84"/>
              <w:spacing w:after="0"/>
              <w:rPr>
                <w:sz w:val="20"/>
                <w:szCs w:val="20"/>
                <w:color w:val="auto"/>
              </w:rPr>
            </w:pPr>
            <w:r>
              <w:rPr>
                <w:rFonts w:ascii="Arial" w:cs="Arial" w:eastAsia="Arial" w:hAnsi="Arial"/>
                <w:sz w:val="15"/>
                <w:szCs w:val="15"/>
                <w:color w:val="auto"/>
              </w:rPr>
              <w:t>483,333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84"/>
              <w:spacing w:after="0"/>
              <w:rPr>
                <w:sz w:val="20"/>
                <w:szCs w:val="20"/>
                <w:color w:val="auto"/>
              </w:rPr>
            </w:pPr>
            <w:r>
              <w:rPr>
                <w:rFonts w:ascii="Arial" w:cs="Arial" w:eastAsia="Arial" w:hAnsi="Arial"/>
                <w:sz w:val="15"/>
                <w:szCs w:val="15"/>
                <w:color w:val="auto"/>
              </w:rPr>
              <w:t>540,808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(57,475)</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180"/>
        </w:trPr>
        <w:tc>
          <w:tcPr>
            <w:tcW w:w="4080" w:type="dxa"/>
            <w:vAlign w:val="bottom"/>
            <w:shd w:val="clear" w:color="auto" w:fill="CCEEFF"/>
          </w:tcPr>
          <w:p>
            <w:pPr>
              <w:ind w:left="40"/>
              <w:spacing w:after="0"/>
              <w:rPr>
                <w:sz w:val="20"/>
                <w:szCs w:val="20"/>
                <w:color w:val="auto"/>
              </w:rPr>
            </w:pPr>
            <w:r>
              <w:rPr>
                <w:rFonts w:ascii="Arial" w:cs="Arial" w:eastAsia="Arial" w:hAnsi="Arial"/>
                <w:sz w:val="15"/>
                <w:szCs w:val="15"/>
                <w:color w:val="auto"/>
                <w:w w:val="96"/>
              </w:rPr>
              <w:t>Adverse purchase commitments (inventory and raw materials),</w:t>
            </w: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02"/>
        </w:trPr>
        <w:tc>
          <w:tcPr>
            <w:tcW w:w="4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w:t>
            </w: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(1,968)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303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(2,271)</w:t>
            </w:r>
          </w:p>
        </w:tc>
        <w:tc>
          <w:tcPr>
            <w:tcW w:w="10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nm</w:t>
            </w:r>
          </w:p>
        </w:tc>
      </w:tr>
      <w:tr>
        <w:trPr>
          <w:trHeight w:val="246"/>
        </w:trPr>
        <w:tc>
          <w:tcPr>
            <w:tcW w:w="4080" w:type="dxa"/>
            <w:vAlign w:val="bottom"/>
          </w:tcPr>
          <w:p>
            <w:pPr>
              <w:ind w:left="40"/>
              <w:spacing w:after="0"/>
              <w:rPr>
                <w:sz w:val="20"/>
                <w:szCs w:val="20"/>
                <w:color w:val="auto"/>
              </w:rPr>
            </w:pPr>
            <w:r>
              <w:rPr>
                <w:rFonts w:ascii="Arial" w:cs="Arial" w:eastAsia="Arial" w:hAnsi="Arial"/>
                <w:sz w:val="15"/>
                <w:szCs w:val="15"/>
                <w:color w:val="auto"/>
              </w:rPr>
              <w:t>Gross profit</w:t>
            </w:r>
          </w:p>
        </w:tc>
        <w:tc>
          <w:tcPr>
            <w:tcW w:w="180" w:type="dxa"/>
            <w:vAlign w:val="bottom"/>
          </w:tcPr>
          <w:p>
            <w:pPr>
              <w:spacing w:after="0"/>
              <w:rPr>
                <w:sz w:val="21"/>
                <w:szCs w:val="21"/>
                <w:color w:val="auto"/>
              </w:rPr>
            </w:pPr>
          </w:p>
        </w:tc>
        <w:tc>
          <w:tcPr>
            <w:tcW w:w="1640" w:type="dxa"/>
            <w:vAlign w:val="bottom"/>
          </w:tcPr>
          <w:p>
            <w:pPr>
              <w:jc w:val="right"/>
              <w:ind w:right="84"/>
              <w:spacing w:after="0"/>
              <w:rPr>
                <w:sz w:val="20"/>
                <w:szCs w:val="20"/>
                <w:color w:val="auto"/>
              </w:rPr>
            </w:pPr>
            <w:r>
              <w:rPr>
                <w:rFonts w:ascii="Arial" w:cs="Arial" w:eastAsia="Arial" w:hAnsi="Arial"/>
                <w:sz w:val="15"/>
                <w:szCs w:val="15"/>
                <w:color w:val="auto"/>
              </w:rPr>
              <w:t>383,715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84"/>
              <w:spacing w:after="0"/>
              <w:rPr>
                <w:sz w:val="20"/>
                <w:szCs w:val="20"/>
                <w:color w:val="auto"/>
              </w:rPr>
            </w:pPr>
            <w:r>
              <w:rPr>
                <w:rFonts w:ascii="Arial" w:cs="Arial" w:eastAsia="Arial" w:hAnsi="Arial"/>
                <w:sz w:val="15"/>
                <w:szCs w:val="15"/>
                <w:color w:val="auto"/>
              </w:rPr>
              <w:t>402,211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(18,496)</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74"/>
        </w:trPr>
        <w:tc>
          <w:tcPr>
            <w:tcW w:w="4080" w:type="dxa"/>
            <w:vAlign w:val="bottom"/>
            <w:shd w:val="clear" w:color="auto" w:fill="CCEEFF"/>
          </w:tcPr>
          <w:p>
            <w:pPr>
              <w:ind w:left="280"/>
              <w:spacing w:after="0"/>
              <w:rPr>
                <w:sz w:val="20"/>
                <w:szCs w:val="20"/>
                <w:color w:val="auto"/>
              </w:rPr>
            </w:pPr>
            <w:r>
              <w:rPr>
                <w:rFonts w:ascii="Arial" w:cs="Arial" w:eastAsia="Arial" w:hAnsi="Arial"/>
                <w:sz w:val="15"/>
                <w:szCs w:val="15"/>
                <w:i w:val="1"/>
                <w:iCs w:val="1"/>
                <w:color w:val="auto"/>
              </w:rPr>
              <w:t>Gross profit as % of consolidated net sales</w:t>
            </w: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44.4%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42.6%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44"/>
              <w:spacing w:after="0"/>
              <w:rPr>
                <w:sz w:val="20"/>
                <w:szCs w:val="20"/>
                <w:color w:val="auto"/>
              </w:rPr>
            </w:pPr>
            <w:r>
              <w:rPr>
                <w:rFonts w:ascii="Arial" w:cs="Arial" w:eastAsia="Arial" w:hAnsi="Arial"/>
                <w:sz w:val="15"/>
                <w:szCs w:val="15"/>
                <w:i w:val="1"/>
                <w:iCs w:val="1"/>
                <w:color w:val="auto"/>
              </w:rPr>
              <w:t>180 bps</w:t>
            </w:r>
          </w:p>
        </w:tc>
      </w:tr>
      <w:tr>
        <w:trPr>
          <w:trHeight w:val="266"/>
        </w:trPr>
        <w:tc>
          <w:tcPr>
            <w:tcW w:w="4080" w:type="dxa"/>
            <w:vAlign w:val="bottom"/>
          </w:tcPr>
          <w:p>
            <w:pPr>
              <w:ind w:left="40"/>
              <w:spacing w:after="0"/>
              <w:rPr>
                <w:sz w:val="20"/>
                <w:szCs w:val="20"/>
                <w:color w:val="auto"/>
              </w:rPr>
            </w:pPr>
            <w:r>
              <w:rPr>
                <w:rFonts w:ascii="Arial" w:cs="Arial" w:eastAsia="Arial" w:hAnsi="Arial"/>
                <w:sz w:val="15"/>
                <w:szCs w:val="15"/>
                <w:color w:val="auto"/>
              </w:rPr>
              <w:t>Royalty income, net</w:t>
            </w:r>
          </w:p>
        </w:tc>
        <w:tc>
          <w:tcPr>
            <w:tcW w:w="180" w:type="dxa"/>
            <w:vAlign w:val="bottom"/>
          </w:tcPr>
          <w:p>
            <w:pPr>
              <w:spacing w:after="0"/>
              <w:rPr>
                <w:sz w:val="23"/>
                <w:szCs w:val="23"/>
                <w:color w:val="auto"/>
              </w:rPr>
            </w:pPr>
          </w:p>
        </w:tc>
        <w:tc>
          <w:tcPr>
            <w:tcW w:w="1640" w:type="dxa"/>
            <w:vAlign w:val="bottom"/>
          </w:tcPr>
          <w:p>
            <w:pPr>
              <w:jc w:val="right"/>
              <w:ind w:right="84"/>
              <w:spacing w:after="0"/>
              <w:rPr>
                <w:sz w:val="20"/>
                <w:szCs w:val="20"/>
                <w:color w:val="auto"/>
              </w:rPr>
            </w:pPr>
            <w:r>
              <w:rPr>
                <w:rFonts w:ascii="Arial" w:cs="Arial" w:eastAsia="Arial" w:hAnsi="Arial"/>
                <w:sz w:val="15"/>
                <w:szCs w:val="15"/>
                <w:color w:val="auto"/>
              </w:rPr>
              <w:t>9,063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84"/>
              <w:spacing w:after="0"/>
              <w:rPr>
                <w:sz w:val="20"/>
                <w:szCs w:val="20"/>
                <w:color w:val="auto"/>
              </w:rPr>
            </w:pPr>
            <w:r>
              <w:rPr>
                <w:rFonts w:ascii="Arial" w:cs="Arial" w:eastAsia="Arial" w:hAnsi="Arial"/>
                <w:sz w:val="15"/>
                <w:szCs w:val="15"/>
                <w:color w:val="auto"/>
              </w:rPr>
              <w:t>9,192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74"/>
        </w:trPr>
        <w:tc>
          <w:tcPr>
            <w:tcW w:w="4080" w:type="dxa"/>
            <w:vAlign w:val="bottom"/>
            <w:shd w:val="clear" w:color="auto" w:fill="CCEEFF"/>
          </w:tcPr>
          <w:p>
            <w:pPr>
              <w:ind w:left="280"/>
              <w:spacing w:after="0"/>
              <w:rPr>
                <w:sz w:val="20"/>
                <w:szCs w:val="20"/>
                <w:color w:val="auto"/>
              </w:rPr>
            </w:pPr>
            <w:r>
              <w:rPr>
                <w:rFonts w:ascii="Arial" w:cs="Arial" w:eastAsia="Arial" w:hAnsi="Arial"/>
                <w:sz w:val="15"/>
                <w:szCs w:val="15"/>
                <w:i w:val="1"/>
                <w:iCs w:val="1"/>
                <w:color w:val="auto"/>
              </w:rPr>
              <w:t>Royalty income as % of consolidated net sales</w:t>
            </w: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44"/>
              <w:spacing w:after="0"/>
              <w:rPr>
                <w:sz w:val="20"/>
                <w:szCs w:val="20"/>
                <w:color w:val="auto"/>
              </w:rPr>
            </w:pPr>
            <w:r>
              <w:rPr>
                <w:rFonts w:ascii="Arial" w:cs="Arial" w:eastAsia="Arial" w:hAnsi="Arial"/>
                <w:sz w:val="15"/>
                <w:szCs w:val="15"/>
                <w:i w:val="1"/>
                <w:iCs w:val="1"/>
                <w:color w:val="auto"/>
              </w:rPr>
              <w:t>0 bps</w:t>
            </w:r>
          </w:p>
        </w:tc>
      </w:tr>
      <w:tr>
        <w:trPr>
          <w:trHeight w:val="266"/>
        </w:trPr>
        <w:tc>
          <w:tcPr>
            <w:tcW w:w="4080" w:type="dxa"/>
            <w:vAlign w:val="bottom"/>
          </w:tcPr>
          <w:p>
            <w:pPr>
              <w:ind w:left="40"/>
              <w:spacing w:after="0"/>
              <w:rPr>
                <w:sz w:val="20"/>
                <w:szCs w:val="20"/>
                <w:color w:val="auto"/>
              </w:rPr>
            </w:pPr>
            <w:r>
              <w:rPr>
                <w:rFonts w:ascii="Arial" w:cs="Arial" w:eastAsia="Arial" w:hAnsi="Arial"/>
                <w:sz w:val="15"/>
                <w:szCs w:val="15"/>
                <w:color w:val="auto"/>
              </w:rPr>
              <w:t>Selling, general, and administrative expenses</w:t>
            </w:r>
          </w:p>
        </w:tc>
        <w:tc>
          <w:tcPr>
            <w:tcW w:w="180" w:type="dxa"/>
            <w:vAlign w:val="bottom"/>
          </w:tcPr>
          <w:p>
            <w:pPr>
              <w:spacing w:after="0"/>
              <w:rPr>
                <w:sz w:val="23"/>
                <w:szCs w:val="23"/>
                <w:color w:val="auto"/>
              </w:rPr>
            </w:pPr>
          </w:p>
        </w:tc>
        <w:tc>
          <w:tcPr>
            <w:tcW w:w="1640" w:type="dxa"/>
            <w:vAlign w:val="bottom"/>
          </w:tcPr>
          <w:p>
            <w:pPr>
              <w:jc w:val="right"/>
              <w:ind w:right="84"/>
              <w:spacing w:after="0"/>
              <w:rPr>
                <w:sz w:val="20"/>
                <w:szCs w:val="20"/>
                <w:color w:val="auto"/>
              </w:rPr>
            </w:pPr>
            <w:r>
              <w:rPr>
                <w:rFonts w:ascii="Arial" w:cs="Arial" w:eastAsia="Arial" w:hAnsi="Arial"/>
                <w:sz w:val="15"/>
                <w:szCs w:val="15"/>
                <w:color w:val="auto"/>
              </w:rPr>
              <w:t>279,251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84"/>
              <w:spacing w:after="0"/>
              <w:rPr>
                <w:sz w:val="20"/>
                <w:szCs w:val="20"/>
                <w:color w:val="auto"/>
              </w:rPr>
            </w:pPr>
            <w:r>
              <w:rPr>
                <w:rFonts w:ascii="Arial" w:cs="Arial" w:eastAsia="Arial" w:hAnsi="Arial"/>
                <w:sz w:val="15"/>
                <w:szCs w:val="15"/>
                <w:color w:val="auto"/>
              </w:rPr>
              <w:t>296,733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(17,482)</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74"/>
        </w:trPr>
        <w:tc>
          <w:tcPr>
            <w:tcW w:w="4080" w:type="dxa"/>
            <w:vAlign w:val="bottom"/>
            <w:shd w:val="clear" w:color="auto" w:fill="CCEEFF"/>
          </w:tcPr>
          <w:p>
            <w:pPr>
              <w:ind w:left="280"/>
              <w:spacing w:after="0"/>
              <w:rPr>
                <w:sz w:val="20"/>
                <w:szCs w:val="20"/>
                <w:color w:val="auto"/>
              </w:rPr>
            </w:pPr>
            <w:r>
              <w:rPr>
                <w:rFonts w:ascii="Arial" w:cs="Arial" w:eastAsia="Arial" w:hAnsi="Arial"/>
                <w:sz w:val="15"/>
                <w:szCs w:val="15"/>
                <w:i w:val="1"/>
                <w:iCs w:val="1"/>
                <w:color w:val="auto"/>
              </w:rPr>
              <w:t>SG&amp;A expenses as % of consolidated net sales</w:t>
            </w: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32.3%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31.5%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44"/>
              <w:spacing w:after="0"/>
              <w:rPr>
                <w:sz w:val="20"/>
                <w:szCs w:val="20"/>
                <w:color w:val="auto"/>
              </w:rPr>
            </w:pPr>
            <w:r>
              <w:rPr>
                <w:rFonts w:ascii="Arial" w:cs="Arial" w:eastAsia="Arial" w:hAnsi="Arial"/>
                <w:sz w:val="15"/>
                <w:szCs w:val="15"/>
                <w:i w:val="1"/>
                <w:iCs w:val="1"/>
                <w:color w:val="auto"/>
              </w:rPr>
              <w:t>80 bps</w:t>
            </w:r>
          </w:p>
        </w:tc>
      </w:tr>
      <w:tr>
        <w:trPr>
          <w:trHeight w:val="266"/>
        </w:trPr>
        <w:tc>
          <w:tcPr>
            <w:tcW w:w="4080" w:type="dxa"/>
            <w:vAlign w:val="bottom"/>
          </w:tcPr>
          <w:p>
            <w:pPr>
              <w:ind w:left="40"/>
              <w:spacing w:after="0"/>
              <w:rPr>
                <w:sz w:val="20"/>
                <w:szCs w:val="20"/>
                <w:color w:val="auto"/>
              </w:rPr>
            </w:pPr>
            <w:r>
              <w:rPr>
                <w:rFonts w:ascii="Arial" w:cs="Arial" w:eastAsia="Arial" w:hAnsi="Arial"/>
                <w:sz w:val="15"/>
                <w:szCs w:val="15"/>
                <w:color w:val="auto"/>
              </w:rPr>
              <w:t>Intangible asset impairment</w:t>
            </w:r>
          </w:p>
        </w:tc>
        <w:tc>
          <w:tcPr>
            <w:tcW w:w="180" w:type="dxa"/>
            <w:vAlign w:val="bottom"/>
          </w:tcPr>
          <w:p>
            <w:pPr>
              <w:spacing w:after="0"/>
              <w:rPr>
                <w:sz w:val="23"/>
                <w:szCs w:val="23"/>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1620" w:type="dxa"/>
            <w:vAlign w:val="bottom"/>
          </w:tcPr>
          <w:p>
            <w:pPr>
              <w:jc w:val="right"/>
              <w:ind w:right="84"/>
              <w:spacing w:after="0"/>
              <w:rPr>
                <w:sz w:val="20"/>
                <w:szCs w:val="20"/>
                <w:color w:val="auto"/>
              </w:rPr>
            </w:pPr>
            <w:r>
              <w:rPr>
                <w:rFonts w:ascii="Arial" w:cs="Arial" w:eastAsia="Arial" w:hAnsi="Arial"/>
                <w:sz w:val="15"/>
                <w:szCs w:val="15"/>
                <w:color w:val="auto"/>
              </w:rPr>
              <w:t>30,800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(30,800)</w:t>
            </w:r>
          </w:p>
        </w:tc>
        <w:tc>
          <w:tcPr>
            <w:tcW w:w="100" w:type="dxa"/>
            <w:vAlign w:val="bottom"/>
          </w:tcPr>
          <w:p>
            <w:pPr>
              <w:spacing w:after="0"/>
              <w:rPr>
                <w:sz w:val="23"/>
                <w:szCs w:val="23"/>
                <w:color w:val="auto"/>
              </w:rPr>
            </w:pPr>
          </w:p>
        </w:tc>
        <w:tc>
          <w:tcPr>
            <w:tcW w:w="1660" w:type="dxa"/>
            <w:vAlign w:val="bottom"/>
          </w:tcPr>
          <w:p>
            <w:pPr>
              <w:jc w:val="right"/>
              <w:ind w:right="144"/>
              <w:spacing w:after="0"/>
              <w:rPr>
                <w:sz w:val="20"/>
                <w:szCs w:val="20"/>
                <w:color w:val="auto"/>
              </w:rPr>
            </w:pPr>
            <w:r>
              <w:rPr>
                <w:rFonts w:ascii="Arial" w:cs="Arial" w:eastAsia="Arial" w:hAnsi="Arial"/>
                <w:sz w:val="15"/>
                <w:szCs w:val="15"/>
                <w:color w:val="auto"/>
              </w:rPr>
              <w:t>nm</w:t>
            </w:r>
          </w:p>
        </w:tc>
      </w:tr>
      <w:tr>
        <w:trPr>
          <w:trHeight w:val="254"/>
        </w:trPr>
        <w:tc>
          <w:tcPr>
            <w:tcW w:w="4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Operating income</w:t>
            </w:r>
          </w:p>
        </w:tc>
        <w:tc>
          <w:tcPr>
            <w:tcW w:w="180" w:type="dxa"/>
            <w:vAlign w:val="bottom"/>
            <w:tcBorders>
              <w:top w:val="single" w:sz="8" w:color="auto"/>
            </w:tcBorders>
            <w:shd w:val="clear" w:color="auto" w:fill="CCEEFF"/>
          </w:tcPr>
          <w:p>
            <w:pPr>
              <w:spacing w:after="0"/>
              <w:rPr>
                <w:sz w:val="22"/>
                <w:szCs w:val="22"/>
                <w:color w:val="auto"/>
              </w:rPr>
            </w:pPr>
          </w:p>
        </w:tc>
        <w:tc>
          <w:tcPr>
            <w:tcW w:w="16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113,527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83,870</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29,657</w:t>
            </w:r>
          </w:p>
        </w:tc>
        <w:tc>
          <w:tcPr>
            <w:tcW w:w="10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35.4 %</w:t>
            </w:r>
          </w:p>
        </w:tc>
      </w:tr>
      <w:tr>
        <w:trPr>
          <w:trHeight w:val="266"/>
        </w:trPr>
        <w:tc>
          <w:tcPr>
            <w:tcW w:w="4080" w:type="dxa"/>
            <w:vAlign w:val="bottom"/>
          </w:tcPr>
          <w:p>
            <w:pPr>
              <w:ind w:left="280"/>
              <w:spacing w:after="0"/>
              <w:rPr>
                <w:sz w:val="20"/>
                <w:szCs w:val="20"/>
                <w:color w:val="auto"/>
              </w:rPr>
            </w:pPr>
            <w:r>
              <w:rPr>
                <w:rFonts w:ascii="Arial" w:cs="Arial" w:eastAsia="Arial" w:hAnsi="Arial"/>
                <w:sz w:val="15"/>
                <w:szCs w:val="15"/>
                <w:i w:val="1"/>
                <w:iCs w:val="1"/>
                <w:color w:val="auto"/>
              </w:rPr>
              <w:t>Operating income as % of consolidated net sales</w:t>
            </w: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5"/>
                <w:szCs w:val="15"/>
                <w:i w:val="1"/>
                <w:iCs w:val="1"/>
                <w:color w:val="auto"/>
              </w:rPr>
              <w:t>13.1%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5"/>
                <w:szCs w:val="15"/>
                <w:i w:val="1"/>
                <w:iCs w:val="1"/>
                <w:color w:val="auto"/>
              </w:rPr>
              <w:t>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jc w:val="right"/>
              <w:ind w:right="144"/>
              <w:spacing w:after="0"/>
              <w:rPr>
                <w:sz w:val="20"/>
                <w:szCs w:val="20"/>
                <w:color w:val="auto"/>
              </w:rPr>
            </w:pPr>
            <w:r>
              <w:rPr>
                <w:rFonts w:ascii="Arial" w:cs="Arial" w:eastAsia="Arial" w:hAnsi="Arial"/>
                <w:sz w:val="15"/>
                <w:szCs w:val="15"/>
                <w:i w:val="1"/>
                <w:iCs w:val="1"/>
                <w:color w:val="auto"/>
              </w:rPr>
              <w:t>420 bps</w:t>
            </w:r>
          </w:p>
        </w:tc>
      </w:tr>
      <w:tr>
        <w:trPr>
          <w:trHeight w:val="274"/>
        </w:trPr>
        <w:tc>
          <w:tcPr>
            <w:tcW w:w="4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16,347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9,966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6,381</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64.0 %</w:t>
            </w:r>
          </w:p>
        </w:tc>
      </w:tr>
      <w:tr>
        <w:trPr>
          <w:trHeight w:val="266"/>
        </w:trPr>
        <w:tc>
          <w:tcPr>
            <w:tcW w:w="4080" w:type="dxa"/>
            <w:vAlign w:val="bottom"/>
          </w:tcPr>
          <w:p>
            <w:pPr>
              <w:ind w:left="40"/>
              <w:spacing w:after="0"/>
              <w:rPr>
                <w:sz w:val="20"/>
                <w:szCs w:val="20"/>
                <w:color w:val="auto"/>
              </w:rPr>
            </w:pPr>
            <w:r>
              <w:rPr>
                <w:rFonts w:ascii="Arial" w:cs="Arial" w:eastAsia="Arial" w:hAnsi="Arial"/>
                <w:sz w:val="15"/>
                <w:szCs w:val="15"/>
                <w:color w:val="auto"/>
              </w:rPr>
              <w:t>Interest income</w:t>
            </w:r>
          </w:p>
        </w:tc>
        <w:tc>
          <w:tcPr>
            <w:tcW w:w="180" w:type="dxa"/>
            <w:vAlign w:val="bottom"/>
          </w:tcPr>
          <w:p>
            <w:pPr>
              <w:spacing w:after="0"/>
              <w:rPr>
                <w:sz w:val="23"/>
                <w:szCs w:val="23"/>
                <w:color w:val="auto"/>
              </w:rPr>
            </w:pPr>
          </w:p>
        </w:tc>
        <w:tc>
          <w:tcPr>
            <w:tcW w:w="1640" w:type="dxa"/>
            <w:vAlign w:val="bottom"/>
          </w:tcPr>
          <w:p>
            <w:pPr>
              <w:jc w:val="right"/>
              <w:ind w:right="44"/>
              <w:spacing w:after="0"/>
              <w:rPr>
                <w:sz w:val="20"/>
                <w:szCs w:val="20"/>
                <w:color w:val="auto"/>
              </w:rPr>
            </w:pPr>
            <w:r>
              <w:rPr>
                <w:rFonts w:ascii="Arial" w:cs="Arial" w:eastAsia="Arial" w:hAnsi="Arial"/>
                <w:sz w:val="15"/>
                <w:szCs w:val="15"/>
                <w:color w:val="auto"/>
              </w:rPr>
              <w:t>(330)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24"/>
              <w:spacing w:after="0"/>
              <w:rPr>
                <w:sz w:val="20"/>
                <w:szCs w:val="20"/>
                <w:color w:val="auto"/>
              </w:rPr>
            </w:pPr>
            <w:r>
              <w:rPr>
                <w:rFonts w:ascii="Arial" w:cs="Arial" w:eastAsia="Arial" w:hAnsi="Arial"/>
                <w:sz w:val="15"/>
                <w:szCs w:val="15"/>
                <w:color w:val="auto"/>
              </w:rPr>
              <w:t>(200)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65.0 %</w:t>
            </w:r>
          </w:p>
        </w:tc>
      </w:tr>
      <w:tr>
        <w:trPr>
          <w:trHeight w:val="274"/>
        </w:trPr>
        <w:tc>
          <w:tcPr>
            <w:tcW w:w="4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expense, net</w:t>
            </w: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(2,758)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483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(3,241)</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nm</w:t>
            </w:r>
          </w:p>
        </w:tc>
      </w:tr>
      <w:tr>
        <w:trPr>
          <w:trHeight w:val="246"/>
        </w:trPr>
        <w:tc>
          <w:tcPr>
            <w:tcW w:w="4080" w:type="dxa"/>
            <w:vAlign w:val="bottom"/>
          </w:tcPr>
          <w:p>
            <w:pPr>
              <w:ind w:left="20"/>
              <w:spacing w:after="0"/>
              <w:rPr>
                <w:sz w:val="20"/>
                <w:szCs w:val="20"/>
                <w:color w:val="auto"/>
              </w:rPr>
            </w:pPr>
            <w:r>
              <w:rPr>
                <w:rFonts w:ascii="Arial" w:cs="Arial" w:eastAsia="Arial" w:hAnsi="Arial"/>
                <w:sz w:val="15"/>
                <w:szCs w:val="15"/>
                <w:color w:val="auto"/>
              </w:rPr>
              <w:t>Income before income taxes</w:t>
            </w:r>
          </w:p>
        </w:tc>
        <w:tc>
          <w:tcPr>
            <w:tcW w:w="180" w:type="dxa"/>
            <w:vAlign w:val="bottom"/>
          </w:tcPr>
          <w:p>
            <w:pPr>
              <w:spacing w:after="0"/>
              <w:rPr>
                <w:sz w:val="21"/>
                <w:szCs w:val="21"/>
                <w:color w:val="auto"/>
              </w:rPr>
            </w:pPr>
          </w:p>
        </w:tc>
        <w:tc>
          <w:tcPr>
            <w:tcW w:w="1640" w:type="dxa"/>
            <w:vAlign w:val="bottom"/>
          </w:tcPr>
          <w:p>
            <w:pPr>
              <w:jc w:val="right"/>
              <w:ind w:right="84"/>
              <w:spacing w:after="0"/>
              <w:rPr>
                <w:sz w:val="20"/>
                <w:szCs w:val="20"/>
                <w:color w:val="auto"/>
              </w:rPr>
            </w:pPr>
            <w:r>
              <w:rPr>
                <w:rFonts w:ascii="Arial" w:cs="Arial" w:eastAsia="Arial" w:hAnsi="Arial"/>
                <w:sz w:val="15"/>
                <w:szCs w:val="15"/>
                <w:color w:val="auto"/>
              </w:rPr>
              <w:t>100,268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84"/>
              <w:spacing w:after="0"/>
              <w:rPr>
                <w:sz w:val="20"/>
                <w:szCs w:val="20"/>
                <w:color w:val="auto"/>
              </w:rPr>
            </w:pPr>
            <w:r>
              <w:rPr>
                <w:rFonts w:ascii="Arial" w:cs="Arial" w:eastAsia="Arial" w:hAnsi="Arial"/>
                <w:sz w:val="15"/>
                <w:szCs w:val="15"/>
                <w:color w:val="auto"/>
              </w:rPr>
              <w:t>73,621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color w:val="auto"/>
              </w:rPr>
              <w:t>26,647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36.2 %</w:t>
            </w:r>
          </w:p>
        </w:tc>
      </w:tr>
      <w:tr>
        <w:trPr>
          <w:trHeight w:val="274"/>
        </w:trPr>
        <w:tc>
          <w:tcPr>
            <w:tcW w:w="4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provision</w:t>
            </w: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19,027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13,369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5,658</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42.3 %</w:t>
            </w:r>
          </w:p>
        </w:tc>
      </w:tr>
      <w:tr>
        <w:trPr>
          <w:trHeight w:val="263"/>
        </w:trPr>
        <w:tc>
          <w:tcPr>
            <w:tcW w:w="4080" w:type="dxa"/>
            <w:vAlign w:val="bottom"/>
            <w:tcBorders>
              <w:bottom w:val="single" w:sz="8" w:color="CCEEFF"/>
            </w:tcBorders>
          </w:tcPr>
          <w:p>
            <w:pPr>
              <w:ind w:left="280"/>
              <w:spacing w:after="0" w:line="263" w:lineRule="exact"/>
              <w:rPr>
                <w:sz w:val="20"/>
                <w:szCs w:val="20"/>
                <w:color w:val="auto"/>
              </w:rPr>
            </w:pPr>
            <w:r>
              <w:rPr>
                <w:rFonts w:ascii="Arial" w:cs="Arial" w:eastAsia="Arial" w:hAnsi="Arial"/>
                <w:sz w:val="15"/>
                <w:szCs w:val="15"/>
                <w:i w:val="1"/>
                <w:iCs w:val="1"/>
                <w:color w:val="auto"/>
              </w:rPr>
              <w:t>Effective tax rate</w:t>
            </w:r>
            <w:r>
              <w:rPr>
                <w:rFonts w:ascii="Arial" w:cs="Arial" w:eastAsia="Arial" w:hAnsi="Arial"/>
                <w:sz w:val="25"/>
                <w:szCs w:val="25"/>
                <w:i w:val="1"/>
                <w:iCs w:val="1"/>
                <w:color w:val="auto"/>
                <w:vertAlign w:val="superscript"/>
              </w:rPr>
              <w:t>(*)</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i w:val="1"/>
                <w:iCs w:val="1"/>
                <w:color w:val="auto"/>
              </w:rPr>
              <w:t>19.0%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i w:val="1"/>
                <w:iCs w:val="1"/>
                <w:color w:val="auto"/>
              </w:rPr>
              <w:t>18.2%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i w:val="1"/>
                <w:iCs w:val="1"/>
                <w:color w:val="auto"/>
              </w:rPr>
              <w:t>80 bps</w:t>
            </w:r>
          </w:p>
        </w:tc>
      </w:tr>
      <w:tr>
        <w:trPr>
          <w:trHeight w:val="23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81,241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60,252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20,989</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34.8 %</w:t>
            </w: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Basic net income per common share</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1.86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1.35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0.51</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37.8 %</w:t>
            </w:r>
          </w:p>
        </w:tc>
      </w:tr>
      <w:tr>
        <w:trPr>
          <w:trHeight w:val="266"/>
        </w:trPr>
        <w:tc>
          <w:tcPr>
            <w:tcW w:w="4080" w:type="dxa"/>
            <w:vAlign w:val="bottom"/>
          </w:tcPr>
          <w:p>
            <w:pPr>
              <w:ind w:left="40"/>
              <w:spacing w:after="0"/>
              <w:rPr>
                <w:sz w:val="20"/>
                <w:szCs w:val="20"/>
                <w:color w:val="auto"/>
              </w:rPr>
            </w:pPr>
            <w:r>
              <w:rPr>
                <w:rFonts w:ascii="Arial" w:cs="Arial" w:eastAsia="Arial" w:hAnsi="Arial"/>
                <w:sz w:val="15"/>
                <w:szCs w:val="15"/>
                <w:color w:val="auto"/>
              </w:rPr>
              <w:t>Diluted net income per common share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84"/>
              <w:spacing w:after="0"/>
              <w:rPr>
                <w:sz w:val="20"/>
                <w:szCs w:val="20"/>
                <w:color w:val="auto"/>
              </w:rPr>
            </w:pPr>
            <w:r>
              <w:rPr>
                <w:rFonts w:ascii="Arial" w:cs="Arial" w:eastAsia="Arial" w:hAnsi="Arial"/>
                <w:sz w:val="15"/>
                <w:szCs w:val="15"/>
                <w:color w:val="auto"/>
              </w:rPr>
              <w:t>1.85</w:t>
            </w:r>
          </w:p>
        </w:tc>
        <w:tc>
          <w:tcPr>
            <w:tcW w:w="100" w:type="dxa"/>
            <w:vAlign w:val="bottom"/>
          </w:tcPr>
          <w:p>
            <w:pPr>
              <w:spacing w:after="0"/>
              <w:rPr>
                <w:sz w:val="23"/>
                <w:szCs w:val="23"/>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84"/>
              <w:spacing w:after="0"/>
              <w:rPr>
                <w:sz w:val="20"/>
                <w:szCs w:val="20"/>
                <w:color w:val="auto"/>
              </w:rPr>
            </w:pPr>
            <w:r>
              <w:rPr>
                <w:rFonts w:ascii="Arial" w:cs="Arial" w:eastAsia="Arial" w:hAnsi="Arial"/>
                <w:sz w:val="15"/>
                <w:szCs w:val="15"/>
                <w:color w:val="auto"/>
              </w:rPr>
              <w:t>1.34</w:t>
            </w:r>
          </w:p>
        </w:tc>
        <w:tc>
          <w:tcPr>
            <w:tcW w:w="120" w:type="dxa"/>
            <w:vAlign w:val="bottom"/>
          </w:tcPr>
          <w:p>
            <w:pPr>
              <w:spacing w:after="0"/>
              <w:rPr>
                <w:sz w:val="23"/>
                <w:szCs w:val="23"/>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4"/>
              <w:spacing w:after="0"/>
              <w:rPr>
                <w:sz w:val="20"/>
                <w:szCs w:val="20"/>
                <w:color w:val="auto"/>
              </w:rPr>
            </w:pPr>
            <w:r>
              <w:rPr>
                <w:rFonts w:ascii="Arial" w:cs="Arial" w:eastAsia="Arial" w:hAnsi="Arial"/>
                <w:sz w:val="15"/>
                <w:szCs w:val="15"/>
                <w:color w:val="auto"/>
              </w:rPr>
              <w:t>0.51</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38.1 %</w:t>
            </w:r>
          </w:p>
        </w:tc>
      </w:tr>
      <w:tr>
        <w:trPr>
          <w:trHeight w:val="274"/>
        </w:trPr>
        <w:tc>
          <w:tcPr>
            <w:tcW w:w="4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Dividend declared and paid per common share</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0.50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(0.50)</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bl>
    <w:p>
      <w:pPr>
        <w:spacing w:after="0" w:line="35" w:lineRule="exact"/>
        <w:rPr>
          <w:sz w:val="20"/>
          <w:szCs w:val="20"/>
          <w:color w:val="auto"/>
        </w:rPr>
      </w:pPr>
    </w:p>
    <w:p>
      <w:pPr>
        <w:ind w:right="4660" w:firstLine="8"/>
        <w:spacing w:after="0" w:line="353" w:lineRule="auto"/>
        <w:tabs>
          <w:tab w:leader="none" w:pos="486"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Effective tax rate is calculated by dividing the provision for income taxes by income before income taxes. </w:t>
      </w:r>
      <w:r>
        <w:rPr>
          <w:rFonts w:ascii="Arial" w:cs="Arial" w:eastAsia="Arial" w:hAnsi="Arial"/>
          <w:sz w:val="14"/>
          <w:szCs w:val="14"/>
          <w:i w:val="1"/>
          <w:iCs w:val="1"/>
          <w:color w:val="auto"/>
        </w:rPr>
        <w:t>Note: Results may not be additive due to rounding.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9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Consolidated net sales decreased $78.2 million, or 8.3%, to $865.1 million in the third quarter of fiscal 2020. This decrease primarily reflected decreased sales to certain of our wholesale customers, decreased retail store traffic, and decreased back-to-school sales, in each case as a result of disruptions related to COVID-19, partially offset by an increase in eCommerce net sales. Changes in foreign currency exchange rates used for translation in the third quarter of fiscal 2020, as compared to the third quarter of fiscal 2019, had an unfavorable effect on our consolidated net sales of approximately $2.0 million.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consolidated gross profit decreased $18.5 million, or 4.6%, to $383.7 million in the third quarter of fiscal 2020. Consolidated gross margin increased 180 bps to 44.4% in the third quarter of fiscal 2020.</w:t>
      </w:r>
    </w:p>
    <w:p>
      <w:pPr>
        <w:sectPr>
          <w:pgSz w:w="11900" w:h="16838" w:orient="portrait"/>
          <w:cols w:equalWidth="0" w:num="1">
            <w:col w:w="11240"/>
          </w:cols>
          <w:pgMar w:left="320" w:top="337"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337"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Gross profit is calculated as consolidated net sales less cost of goods sold, and gross margin is calculated as gross profit divided by consolidated net sales. Cost of goods sold include expenses related to the merchandising, design, and procurement of product, including inbound freight costs, purchasing and receiving costs, and inspection costs. Also included in cost of goods sold are the costs of shipping eCommerce product to end consumers. Retail store occupancy costs, distribution expenses, and generally all other expenses other than interest and income taxes are included in SG&amp;A.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Accordingly, our gross profit and gross margin may not be comparable to other entities that define their metrics differently.</w:t>
      </w:r>
    </w:p>
    <w:p>
      <w:pPr>
        <w:spacing w:after="0" w:line="13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decrease in consolidated gross profit was primarily due to decreased consolidated net sales across our businesses. The increase in gross margin was primarily due to an increase in eCommerce average selling prices as a result of decreased promotions, decreased inventory provisions, and channel mix, partially offset by deleverage of in-bound transportation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Royalty income of $9.1 million in the third quarter of fiscal 2020 was comparable to royalty income in the third quarter of fiscal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Consolidated SG&amp;A expenses decreased $17.5 million, or 5.9%, to $279.3 million in the third quarter of fiscal 2020 and increased as a percentage of consolidated net sales by approximately 80 bps to 32.3%. This increase as a percentage of net sales was primarily due to decreased consolidated net sales as a result of business disruptions related to the COVID-19 pandemic, incremental COVID-19 related charges, increased eCommerce costs due to an increase in eCommerce demand, increased bad debt expense, impairment charges on operating lease assets, and organizational restructuring charges, all partially offset by reductions in performance-based compensation expense, decreased marketing costs due to a reduction in spend and the shift to eCommerce demand, and other reductions in spending.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third quarter of fiscal 2019, the Company recorded a non-cash charge of $30.8 million related to the impairment of its Skip Hop tradename recorded in connection with the acquisition of Skip Hop Holdings, Inc. in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Consolidated operating income increased $29.7 million, or 35.4%, to $113.5 million in the third quarter of fiscal 2020 and increased as a percentage of net sales by approximately 420 bps to 13.1% in the third quarter of fiscal 2020, primarily due to the factors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Interest expense increased $6.4 million, or 64.0%, to $16.3 million in the third quarter of fiscal 2020. Weighted-average borrowings for the third quarter of fiscal 2020 were $1.24 billion at an effective interest rate of 5.25%, compared to weighted-average borrowings for the third quarter of fiscal 2019 of $735.2 million at an effective interest rate of 5.34%.</w:t>
      </w:r>
    </w:p>
    <w:p>
      <w:pPr>
        <w:spacing w:after="0" w:line="143"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increase in weighted-average borrowings during the third quarter of fiscal 2020 was attributable to the issuance of $500 million in principal amount of senior notes due 2025 in the second quarter of fiscal 2020 to strengthen our cash position. The decrease in the effective interest rate for the third quarter of fiscal 2020 compared to the third quarter of fiscal 2019 was primarily due to lower LIBOR rates under our secured revolving credit facility.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Other (income) expense, net reflected income of $2.8 million in the third quarter of fiscal 2020 compared to expense of $0.5 million in the third quarter of fiscal 2019, primarily due to strengthening of the Canadian dollar resulting in remeasurement gains of our U.S. dollar denominated payables in Canada and increased investment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consolidated income tax provision increased $5.7 million, or 42.3%, to $19.0 million in the third quarter of fiscal 2020. Our effective tax rate was 19.0% in the third quarter of fiscal 2020 compared to 18.2% in the third quarter of fiscal 2019.</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consolidated net income increased $21.0 million, or 34.8%, to $81.2 million in the third quarter of fiscal 2020. This increase was due to the factors previously discussed.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Third Quarter of Fiscal 2020 compared to Third Quarter of Fiscal 2019</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summarizes net sales and operating income, by segment, for the third fiscal quarter ended September 26, 2020 and September 28,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ind w:left="640"/>
              <w:spacing w:after="0"/>
              <w:rPr>
                <w:sz w:val="20"/>
                <w:szCs w:val="20"/>
                <w:color w:val="auto"/>
              </w:rPr>
            </w:pPr>
            <w:r>
              <w:rPr>
                <w:rFonts w:ascii="Arial" w:cs="Arial" w:eastAsia="Arial" w:hAnsi="Arial"/>
                <w:sz w:val="16"/>
                <w:szCs w:val="16"/>
                <w:b w:val="1"/>
                <w:bCs w:val="1"/>
                <w:color w:val="auto"/>
                <w:w w:val="94"/>
              </w:rPr>
              <w:t>Fiscal quarter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3"/>
        </w:trPr>
        <w:tc>
          <w:tcPr>
            <w:tcW w:w="3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consolidated net</w:t>
            </w: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consolidated net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31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26, 2020</w:t>
            </w:r>
          </w:p>
        </w:tc>
        <w:tc>
          <w:tcPr>
            <w:tcW w:w="1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79"/>
              </w:rPr>
              <w:t>sales</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28, 2019</w:t>
            </w: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sales</w:t>
            </w:r>
          </w:p>
        </w:tc>
        <w:tc>
          <w:tcPr>
            <w:tcW w:w="1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 Change</w:t>
            </w:r>
          </w:p>
        </w:tc>
        <w:tc>
          <w:tcPr>
            <w:tcW w:w="1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U.S. Retail</w:t>
            </w:r>
          </w:p>
        </w:tc>
        <w:tc>
          <w:tcPr>
            <w:tcW w:w="46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449,150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464,100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(14,950)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3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Wholesale</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302,135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352,256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(50,121)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International</w:t>
            </w:r>
          </w:p>
        </w:tc>
        <w:tc>
          <w:tcPr>
            <w:tcW w:w="4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113,795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126,966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(13,171)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3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3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Consolidated net sales</w:t>
            </w:r>
          </w:p>
        </w:tc>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865,080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943,322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(78,242)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203"/>
        </w:trPr>
        <w:tc>
          <w:tcPr>
            <w:tcW w:w="3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0"/>
              </w:rPr>
              <w:t>% of segment net</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2"/>
              </w:rPr>
              <w:t>% of segment net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79"/>
              </w:rPr>
              <w:t>sales</w:t>
            </w:r>
          </w:p>
        </w:tc>
        <w:tc>
          <w:tcPr>
            <w:tcW w:w="7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4"/>
              </w:rPr>
              <w:t>sales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17"/>
        </w:trPr>
        <w:tc>
          <w:tcPr>
            <w:tcW w:w="3160" w:type="dxa"/>
            <w:vAlign w:val="bottom"/>
          </w:tcPr>
          <w:p>
            <w:pPr>
              <w:ind w:left="180"/>
              <w:spacing w:after="0"/>
              <w:rPr>
                <w:sz w:val="20"/>
                <w:szCs w:val="20"/>
                <w:color w:val="auto"/>
              </w:rPr>
            </w:pPr>
            <w:r>
              <w:rPr>
                <w:rFonts w:ascii="Arial" w:cs="Arial" w:eastAsia="Arial" w:hAnsi="Arial"/>
                <w:sz w:val="16"/>
                <w:szCs w:val="16"/>
                <w:color w:val="auto"/>
              </w:rPr>
              <w:t>U.S. Retail</w:t>
            </w:r>
          </w:p>
        </w:tc>
        <w:tc>
          <w:tcPr>
            <w:tcW w:w="46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47,559</w:t>
            </w:r>
          </w:p>
        </w:tc>
        <w:tc>
          <w:tcPr>
            <w:tcW w:w="10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49,472</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(1,913)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3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Wholesale</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65,718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54,391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20.8 %</w:t>
            </w: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International</w:t>
            </w:r>
          </w:p>
        </w:tc>
        <w:tc>
          <w:tcPr>
            <w:tcW w:w="4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17,400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6,136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11,264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183.6 %</w:t>
            </w:r>
          </w:p>
        </w:tc>
      </w:tr>
      <w:tr>
        <w:trPr>
          <w:trHeight w:val="33"/>
        </w:trPr>
        <w:tc>
          <w:tcPr>
            <w:tcW w:w="3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Unallocated corporate expenses</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(17,150)</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n/a</w:t>
            </w:r>
          </w:p>
        </w:tc>
        <w:tc>
          <w:tcPr>
            <w:tcW w:w="7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(26,129)</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34.4 %</w:t>
            </w:r>
          </w:p>
        </w:tc>
      </w:tr>
      <w:tr>
        <w:trPr>
          <w:trHeight w:val="244"/>
        </w:trPr>
        <w:tc>
          <w:tcPr>
            <w:tcW w:w="3160" w:type="dxa"/>
            <w:vAlign w:val="bottom"/>
          </w:tcPr>
          <w:p>
            <w:pPr>
              <w:ind w:left="280"/>
              <w:spacing w:after="0"/>
              <w:rPr>
                <w:sz w:val="20"/>
                <w:szCs w:val="20"/>
                <w:color w:val="auto"/>
              </w:rPr>
            </w:pPr>
            <w:r>
              <w:rPr>
                <w:rFonts w:ascii="Arial" w:cs="Arial" w:eastAsia="Arial" w:hAnsi="Arial"/>
                <w:sz w:val="16"/>
                <w:szCs w:val="16"/>
                <w:color w:val="auto"/>
              </w:rPr>
              <w:t>Consolidated operating income</w:t>
            </w: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113,527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1"/>
                <w:szCs w:val="21"/>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83,870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29,657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35.4 %</w:t>
            </w:r>
          </w:p>
        </w:tc>
      </w:tr>
      <w:tr>
        <w:trPr>
          <w:trHeight w:val="20"/>
        </w:trPr>
        <w:tc>
          <w:tcPr>
            <w:tcW w:w="3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 Metrics</w:t>
      </w:r>
    </w:p>
    <w:p>
      <w:pPr>
        <w:spacing w:after="0" w:line="9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stores reopened and remained open for the third quarter of fiscal 2020, although in some instances operating with reduced hours, we are including in our management's discussion and analysis for the third quarter of fiscal 2020 comparable sales metrics for our company-owned retail stores and our eCommerce sites in our U.S. Retail and International segments.</w:t>
      </w:r>
    </w:p>
    <w:p>
      <w:pPr>
        <w:spacing w:after="0" w:line="14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comparable store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method of calculating sales metrics varies across the retail industry. As a result, our comparable sales metrics may not be comparable to those other retailers.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U.S. Retail segment net sales decreased $15.0 million, or 3.2%, to $449.2 million in the third quarter of fiscal 2020. The decrease in net sales was primarily driven by decreased retail store traffic as a result of disruptions related to COVID-19, partially offset by an increase in eCommerce sales. Comparable net sales, including retail stores and eCommerce, decreased 3.5% during the third quarter of fiscal 2020 compared to the third quarter of fiscal 2019 primarily driven by the factors mentioned above. As of September 26, 2020, we operated 863 retail stores in the U.S., of which 854 were open, compared to 862 as of December 28, 2019.</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U.S. Retail segment operating income decreased $1.9 million, or 3.9%, to $47.6 million in the third quarter of fiscal 2020. Operating margin decreased 10 bps to 10.6% in the third quarter of fiscal 2020. Operating income in the third quarter of fiscal 2019 included an intangible asset impairment charge of $1.2 million related to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tradename. The primary drivers of the decrease in operating margin were a 60 bps increase in gross margin, the intangible asset impairment charge in the third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quarter of fiscal 2019 that did not re-occur in the third quarter of fiscal 2020, and a 90 bps increase in SG&amp;A rate. The increase in gross margin was primarily due to an increase in eCommerce average selling prices as a result of decreased promotions and decreased inventory provisions, partially offset by deleverage of in-bound transportation costs and increased inventory-related handling costs. The increase in the SG&amp;A rate was primarily due to increased eCommerce costs due to an increase in eCommerce demand, incremental COVID-19 related charges, impairment charges on operating lease assets, and deleveraged retail store expenses as a result of decreased retail store traffic, partially offset by decreased marketing costs due to a reduction in spend and the shift to eCommerce demand, decreased performance-based compensation expense, and other reductions in spending.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U.S. Wholesale segment net sales decreased $50.1 million, or 14.2%, to $302.1 million in the third quarter of fiscal 2020, primarily due to decreased sales to certain of our wholesale customers as a result of disruptions related to COVID-19, partially offset by an increase in net sales of our exclusive Carter's brands.</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U.S. Wholesale segment operating income increased $11.3 million, or 20.8%, to $65.7 million in the third quarter of fiscal 2020. Operating margin increased 640 bps to 21.8% in the third quarter of fiscal 2020. Operating income in the third quarter of fiscal 2019 included intangible asset impairment charges of $19.1 million related to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tradename. The primary drivers of the increase in operating margin were the intangible asset impairment charge in the third quarter of fiscal 2019 that did not re-occur in fiscal 2020, a 160 bps increase in gross margin, and a 90 bps increase in the SG&amp;A rate. The increase in gross margin was primarily due to better than expected sales of inventory that was reserved in the first quarter of fiscal 2020 due to COVID-19 related disruptions, partially offset by deleverage of in-bound transportation costs. The increase in the SG&amp;A rate was primarily due to increased bad debt expense and incremental COVID-19 related charges, partially offset by decreased performance-based compensation expense and other reductions in spending.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International segment net sales decreased $13.2 million, or 10.4%, to $113.8 million in the third quarter of fiscal 2020. Changes in foreign currency exchange rates used for translation had a $2.0 million unfavorable effect on International segment net sales in the third quarter of fiscal 2020. The decrease in net sales is primarily due to decreased wholesale shipments to our international partners and decreased retail store traffic as a result of disruptions related to COVID-19, partially offset by growth in Canadian eCommerce and the addition of our Mexico eCommerce in late fiscal 2019.</w:t>
      </w:r>
    </w:p>
    <w:p>
      <w:pPr>
        <w:spacing w:after="0" w:line="13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Canadian comparable net sales, including retail stores and eCommerce, increased 6.8% during the third quarter of fiscal 2020 compared to the third quarter of fiscal 2019, primarily due to growth in Canadian eCommerce. As of September 26, 2020, we have reopened all of our stores in Canada and Mexico. As of September 26, 2020, we operated 196 and 45 retail stores in Canada and Mexico, respectively, compared to 201 and 46 as of December 28, 2019.</w:t>
      </w:r>
    </w:p>
    <w:p>
      <w:pPr>
        <w:spacing w:after="0" w:line="10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International segment operating income increased $11.3 million, or 183.6%, to operating income of $17.4 million in the third quarter of fiscal 2020. Operating margin increased 1,050 bps to 15.3% in the third quarter of fiscal 2020. Operating income in the third quarter of fiscal 2019 included intangible asset impairment charges of $10.5 million related to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The increase in the operating margin was primarily attributable to the intangible asset impairment charge in the third quarter of fiscal 2019 that did not re-occur in fiscal 2020, a 200 bps increase in gross margin, a 30 bps increase in royalty income, and a 10 bps increase in the SG&amp;A rate. The increase in gross margin was primarily due to an increase in eCommerce average selling prices and decreased inventory provisions, partially offset by unfavorable foreign currency exchange rates. The increase in royalty income was primarily due to increased sales from our international licensees. The increase in the SG&amp;A rate was primarily due to a deleverage of retail store expenses as a result of decreased retail store traffic and increased eCommerce costs due to an increase in eCommerce demand, partially offset by decreased marketing costs due to a reduction in spend, reductions in performance-based compensation expense, and other reductions in spending.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Unallocated corporate expenses decreased $9.0 million, or 34.4%, to $17.2 million in the third quarter of fiscal 2020. Unallocated corporate expenses, as a percentage of consolidated net sales, decreased 80 bps to 2.0% in the third quarter of fiscal 2020 primarily due to spending reductions, partially offset by decreased consolidated net sales.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337"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FISCAL QUARTERS ENDED SEPTEMBER 26, 2020 COMPARED TO THREE FISCAL QUARTERS ENDED SEPTEMBER 28, 2019</w:t>
      </w:r>
    </w:p>
    <w:p>
      <w:pPr>
        <w:spacing w:after="0" w:line="10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table and the discussion that follows have been calculated using unrounded numbers.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(dollars in thousands, except per share data)</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Consolidated net sales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goods sold</w:t>
      </w:r>
    </w:p>
    <w:p>
      <w:pPr>
        <w:spacing w:after="0" w:line="86" w:lineRule="exact"/>
        <w:rPr>
          <w:sz w:val="20"/>
          <w:szCs w:val="20"/>
          <w:color w:val="auto"/>
        </w:rPr>
      </w:pPr>
    </w:p>
    <w:p>
      <w:pPr>
        <w:ind w:left="40" w:right="80"/>
        <w:spacing w:after="0" w:line="293" w:lineRule="auto"/>
        <w:rPr>
          <w:sz w:val="20"/>
          <w:szCs w:val="20"/>
          <w:color w:val="auto"/>
        </w:rPr>
      </w:pPr>
      <w:r>
        <w:rPr>
          <w:rFonts w:ascii="Arial" w:cs="Arial" w:eastAsia="Arial" w:hAnsi="Arial"/>
          <w:sz w:val="16"/>
          <w:szCs w:val="16"/>
          <w:color w:val="auto"/>
        </w:rPr>
        <w:t>Adverse purchase commitments (inventory and raw materials), net</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Gross profit as % of consolidated net sales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Royalty income,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Royalty income as % of consolidated net sales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SG&amp;A expenses as % of consolidated net sales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impairment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 impairment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Operating income as % of consolidated net sales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expense,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on extinguishment of debt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before income taxes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tax provision</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Effective tax rate</w:t>
      </w:r>
      <w:r>
        <w:rPr>
          <w:rFonts w:ascii="Arial" w:cs="Arial" w:eastAsia="Arial" w:hAnsi="Arial"/>
          <w:sz w:val="21"/>
          <w:szCs w:val="21"/>
          <w:i w:val="1"/>
          <w:iCs w:val="1"/>
          <w:color w:val="auto"/>
          <w:vertAlign w:val="superscript"/>
        </w:rPr>
        <w:t>(*)</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370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fiscal quarters ended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r>
      <w:tr>
        <w:trPr>
          <w:trHeight w:val="230"/>
        </w:trPr>
        <w:tc>
          <w:tcPr>
            <w:tcW w:w="16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26, 2020</w:t>
            </w:r>
          </w:p>
        </w:tc>
        <w:tc>
          <w:tcPr>
            <w:tcW w:w="18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28, 2019</w:t>
            </w:r>
          </w:p>
        </w:tc>
        <w:tc>
          <w:tcPr>
            <w:tcW w:w="26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 Change</w:t>
            </w: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rPr>
              <w:t>% / bps Change</w:t>
            </w:r>
          </w:p>
        </w:tc>
      </w:tr>
      <w:tr>
        <w:trPr>
          <w:trHeight w:val="33"/>
        </w:trPr>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2,034,437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2,418,764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(384,327)</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70"/>
        </w:trPr>
        <w:tc>
          <w:tcPr>
            <w:tcW w:w="16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1,170,778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1,376,336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(205,558)</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459"/>
        </w:trPr>
        <w:tc>
          <w:tcPr>
            <w:tcW w:w="160" w:type="dxa"/>
            <w:vAlign w:val="bottom"/>
          </w:tcPr>
          <w:p>
            <w:pPr>
              <w:spacing w:after="0"/>
              <w:rPr>
                <w:sz w:val="24"/>
                <w:szCs w:val="24"/>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16,166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1,354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14,812</w:t>
            </w:r>
          </w:p>
        </w:tc>
        <w:tc>
          <w:tcPr>
            <w:tcW w:w="100" w:type="dxa"/>
            <w:vAlign w:val="bottom"/>
          </w:tcPr>
          <w:p>
            <w:pPr>
              <w:spacing w:after="0"/>
              <w:rPr>
                <w:sz w:val="24"/>
                <w:szCs w:val="24"/>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nm</w:t>
            </w:r>
          </w:p>
        </w:tc>
      </w:tr>
      <w:tr>
        <w:trPr>
          <w:trHeight w:val="33"/>
        </w:trPr>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847,493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1,041,074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(193,581)</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70"/>
        </w:trPr>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i w:val="1"/>
                <w:iCs w:val="1"/>
                <w:color w:val="auto"/>
              </w:rPr>
              <w:t>41.7%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i w:val="1"/>
                <w:iCs w:val="1"/>
                <w:color w:val="auto"/>
              </w:rPr>
              <w:t>43.0%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i w:val="1"/>
                <w:iCs w:val="1"/>
                <w:color w:val="auto"/>
              </w:rPr>
              <w:t>(130) bps</w:t>
            </w:r>
          </w:p>
        </w:tc>
      </w:tr>
      <w:tr>
        <w:trPr>
          <w:trHeight w:val="270"/>
        </w:trPr>
        <w:tc>
          <w:tcPr>
            <w:tcW w:w="16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19,989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27,371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(7,382)</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70"/>
        </w:trPr>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i w:val="1"/>
                <w:iCs w:val="1"/>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i w:val="1"/>
                <w:iCs w:val="1"/>
                <w:color w:val="auto"/>
              </w:rPr>
              <w:t>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i w:val="1"/>
                <w:iCs w:val="1"/>
                <w:color w:val="auto"/>
              </w:rPr>
              <w:t>(10) bps</w:t>
            </w:r>
          </w:p>
        </w:tc>
      </w:tr>
      <w:tr>
        <w:trPr>
          <w:trHeight w:val="270"/>
        </w:trPr>
        <w:tc>
          <w:tcPr>
            <w:tcW w:w="16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767,237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828,540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(61,303)</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70"/>
        </w:trPr>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i w:val="1"/>
                <w:iCs w:val="1"/>
                <w:color w:val="auto"/>
              </w:rPr>
              <w:t>37.7%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i w:val="1"/>
                <w:iCs w:val="1"/>
                <w:color w:val="auto"/>
              </w:rPr>
              <w:t>34.3%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i w:val="1"/>
                <w:iCs w:val="1"/>
                <w:color w:val="auto"/>
              </w:rPr>
              <w:t>340 bps</w:t>
            </w:r>
          </w:p>
        </w:tc>
      </w:tr>
      <w:tr>
        <w:trPr>
          <w:trHeight w:val="270"/>
        </w:trPr>
        <w:tc>
          <w:tcPr>
            <w:tcW w:w="16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17,742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17,742</w:t>
            </w:r>
          </w:p>
        </w:tc>
        <w:tc>
          <w:tcPr>
            <w:tcW w:w="100" w:type="dxa"/>
            <w:vAlign w:val="bottom"/>
          </w:tcPr>
          <w:p>
            <w:pPr>
              <w:spacing w:after="0"/>
              <w:rPr>
                <w:sz w:val="23"/>
                <w:szCs w:val="23"/>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nm</w:t>
            </w:r>
          </w:p>
        </w:tc>
      </w:tr>
      <w:tr>
        <w:trPr>
          <w:trHeight w:val="270"/>
        </w:trPr>
        <w:tc>
          <w:tcPr>
            <w:tcW w:w="16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26,500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30,800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(4,300)</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33"/>
        </w:trPr>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56,003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209,105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(153,102)</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(73.2)%</w:t>
            </w:r>
          </w:p>
        </w:tc>
      </w:tr>
      <w:tr>
        <w:trPr>
          <w:trHeight w:val="270"/>
        </w:trPr>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i w:val="1"/>
                <w:iCs w:val="1"/>
                <w:color w:val="auto"/>
              </w:rPr>
              <w:t>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i w:val="1"/>
                <w:iCs w:val="1"/>
                <w:color w:val="auto"/>
              </w:rPr>
              <w:t>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i w:val="1"/>
                <w:iCs w:val="1"/>
                <w:color w:val="auto"/>
              </w:rPr>
              <w:t>(580) bps</w:t>
            </w:r>
          </w:p>
        </w:tc>
      </w:tr>
      <w:tr>
        <w:trPr>
          <w:trHeight w:val="270"/>
        </w:trPr>
        <w:tc>
          <w:tcPr>
            <w:tcW w:w="16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40,523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28,667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11,856</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41.4 %</w:t>
            </w:r>
          </w:p>
        </w:tc>
      </w:tr>
      <w:tr>
        <w:trPr>
          <w:trHeight w:val="270"/>
        </w:trPr>
        <w:tc>
          <w:tcPr>
            <w:tcW w:w="160" w:type="dxa"/>
            <w:vAlign w:val="bottom"/>
          </w:tcPr>
          <w:p>
            <w:pPr>
              <w:spacing w:after="0"/>
              <w:rPr>
                <w:sz w:val="23"/>
                <w:szCs w:val="23"/>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(1,217)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29.9 %</w:t>
            </w:r>
          </w:p>
        </w:tc>
      </w:tr>
      <w:tr>
        <w:trPr>
          <w:trHeight w:val="270"/>
        </w:trPr>
        <w:tc>
          <w:tcPr>
            <w:tcW w:w="16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2,647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2,173</w:t>
            </w:r>
          </w:p>
        </w:tc>
        <w:tc>
          <w:tcPr>
            <w:tcW w:w="100" w:type="dxa"/>
            <w:vAlign w:val="bottom"/>
          </w:tcPr>
          <w:p>
            <w:pPr>
              <w:spacing w:after="0"/>
              <w:rPr>
                <w:sz w:val="23"/>
                <w:szCs w:val="23"/>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nm</w:t>
            </w:r>
          </w:p>
        </w:tc>
      </w:tr>
      <w:tr>
        <w:trPr>
          <w:trHeight w:val="270"/>
        </w:trPr>
        <w:tc>
          <w:tcPr>
            <w:tcW w:w="160" w:type="dxa"/>
            <w:vAlign w:val="bottom"/>
          </w:tcPr>
          <w:p>
            <w:pPr>
              <w:spacing w:after="0"/>
              <w:rPr>
                <w:sz w:val="23"/>
                <w:szCs w:val="23"/>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7,823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(7,823)</w:t>
            </w:r>
          </w:p>
        </w:tc>
        <w:tc>
          <w:tcPr>
            <w:tcW w:w="100" w:type="dxa"/>
            <w:vAlign w:val="bottom"/>
          </w:tcPr>
          <w:p>
            <w:pPr>
              <w:spacing w:after="0"/>
              <w:rPr>
                <w:sz w:val="23"/>
                <w:szCs w:val="23"/>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nm</w:t>
            </w:r>
          </w:p>
        </w:tc>
      </w:tr>
      <w:tr>
        <w:trPr>
          <w:trHeight w:val="33"/>
        </w:trPr>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14,050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173,078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(159,028)</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(91.9)%</w:t>
            </w:r>
          </w:p>
        </w:tc>
      </w:tr>
      <w:tr>
        <w:trPr>
          <w:trHeight w:val="270"/>
        </w:trPr>
        <w:tc>
          <w:tcPr>
            <w:tcW w:w="160" w:type="dxa"/>
            <w:vAlign w:val="bottom"/>
          </w:tcPr>
          <w:p>
            <w:pPr>
              <w:spacing w:after="0"/>
              <w:rPr>
                <w:sz w:val="23"/>
                <w:szCs w:val="23"/>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3,347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34,423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(31,076)</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(90.3)%</w:t>
            </w:r>
          </w:p>
        </w:tc>
      </w:tr>
      <w:tr>
        <w:trPr>
          <w:trHeight w:val="33"/>
        </w:trPr>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i w:val="1"/>
                <w:iCs w:val="1"/>
                <w:color w:val="auto"/>
              </w:rPr>
              <w:t>23.8%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i w:val="1"/>
                <w:iCs w:val="1"/>
                <w:color w:val="auto"/>
              </w:rPr>
              <w:t>19.9%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i w:val="1"/>
                <w:iCs w:val="1"/>
                <w:color w:val="auto"/>
              </w:rPr>
              <w:t>390 bps</w:t>
            </w:r>
          </w:p>
        </w:tc>
      </w:tr>
      <w:tr>
        <w:trPr>
          <w:trHeight w:val="33"/>
        </w:trPr>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10,703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138,655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(127,952)</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(92.3)%</w:t>
            </w:r>
          </w:p>
        </w:tc>
      </w:tr>
      <w:tr>
        <w:trPr>
          <w:trHeight w:val="33"/>
        </w:trPr>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-3754120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-3411220</wp:posOffset>
            </wp:positionV>
            <wp:extent cx="713232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-2948305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-2605405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-2262505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-1919605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-1576705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-1233805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-890905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-548005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-196215</wp:posOffset>
            </wp:positionV>
            <wp:extent cx="71323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620"/>
            <w:col w:w="7160"/>
          </w:cols>
          <w:pgMar w:left="320" w:top="337"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income per common share</w:t>
            </w:r>
          </w:p>
        </w:tc>
        <w:tc>
          <w:tcPr>
            <w:tcW w:w="12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0.25</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3.08</w:t>
            </w:r>
          </w:p>
        </w:tc>
        <w:tc>
          <w:tcPr>
            <w:tcW w:w="7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(2.83)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w:t>
            </w: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124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0.24</w:t>
            </w:r>
          </w:p>
        </w:tc>
        <w:tc>
          <w:tcPr>
            <w:tcW w:w="86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3.06</w:t>
            </w:r>
          </w:p>
        </w:tc>
        <w:tc>
          <w:tcPr>
            <w:tcW w:w="7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59"/>
              <w:spacing w:after="0"/>
              <w:rPr>
                <w:sz w:val="20"/>
                <w:szCs w:val="20"/>
                <w:color w:val="auto"/>
              </w:rPr>
            </w:pPr>
            <w:r>
              <w:rPr>
                <w:rFonts w:ascii="Arial" w:cs="Arial" w:eastAsia="Arial" w:hAnsi="Arial"/>
                <w:sz w:val="16"/>
                <w:szCs w:val="16"/>
                <w:color w:val="auto"/>
              </w:rPr>
              <w:t>(2.82)</w:t>
            </w:r>
          </w:p>
        </w:tc>
        <w:tc>
          <w:tcPr>
            <w:tcW w:w="1180" w:type="dxa"/>
            <w:vAlign w:val="bottom"/>
          </w:tcPr>
          <w:p>
            <w:pPr>
              <w:jc w:val="right"/>
              <w:spacing w:after="0"/>
              <w:rPr>
                <w:sz w:val="20"/>
                <w:szCs w:val="20"/>
                <w:color w:val="auto"/>
              </w:rPr>
            </w:pPr>
            <w:r>
              <w:rPr>
                <w:rFonts w:ascii="Arial" w:cs="Arial" w:eastAsia="Arial" w:hAnsi="Arial"/>
                <w:sz w:val="16"/>
                <w:szCs w:val="16"/>
                <w:color w:val="auto"/>
              </w:rPr>
              <w:t>(92.2)%</w:t>
            </w:r>
          </w:p>
        </w:tc>
      </w:tr>
      <w:tr>
        <w:trPr>
          <w:trHeight w:val="33"/>
        </w:trPr>
        <w:tc>
          <w:tcPr>
            <w:tcW w:w="3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declared and paid per common share</w:t>
            </w:r>
          </w:p>
        </w:tc>
        <w:tc>
          <w:tcPr>
            <w:tcW w:w="12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0.60</w:t>
            </w:r>
          </w:p>
        </w:tc>
        <w:tc>
          <w:tcPr>
            <w:tcW w:w="8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1.50</w:t>
            </w:r>
          </w:p>
        </w:tc>
        <w:tc>
          <w:tcPr>
            <w:tcW w:w="7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(0.90)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33"/>
        </w:trPr>
        <w:tc>
          <w:tcPr>
            <w:tcW w:w="35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right="4660" w:firstLine="8"/>
        <w:spacing w:after="0" w:line="353" w:lineRule="auto"/>
        <w:tabs>
          <w:tab w:leader="none" w:pos="486"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Effective tax rate is calculated by dividing the provision for income taxes by income before income taxes. </w:t>
      </w:r>
      <w:r>
        <w:rPr>
          <w:rFonts w:ascii="Arial" w:cs="Arial" w:eastAsia="Arial" w:hAnsi="Arial"/>
          <w:sz w:val="14"/>
          <w:szCs w:val="14"/>
          <w:i w:val="1"/>
          <w:iCs w:val="1"/>
          <w:color w:val="auto"/>
        </w:rPr>
        <w:t>Note: Results may not be additive due to rounding.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Consolidated net sales decreased $384.3 million, or 15.9%, to $2.03 billion in the first three quarters of fiscal 2020. This decrease primarily reflected the temporary closure of our retail stores, particularly during the months of March, April, and May, and decreased sales to certain of our wholesale customers as a result of disruptions related to the COVID-19 pandemic, partially offset by an increase in net sales through our eCommerce channel. Changes in foreign currency exchange rates used for translation in the first three quarters of fiscal 2020, as compared to the first three quarters of fiscal 2019, had an unfavorable effect on our consolidated net sales of approximately $4.7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consolidated gross profit decreased $193.6 million, or 18.6%, to $847.5 million in the first three quarters of fiscal 2020. Consolidated gross margin decreased 130 bps to 41.7% in the first three quarters of fiscal 2020.</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 in consolidated gross profit and gross margin was primarily due to lower net sales across our business segments, increased inventory provisions, the recognition of other adverse inventory and fabric purchase commitments from disruptions related to the COVID-19 pandemic, channel mix, and increased inventory-related handling costs, partially offset by an increase in eCommerce average selling prices as a result of decreased promotions. The Company recorded inventory related charges of</w:t>
      </w:r>
    </w:p>
    <w:p>
      <w:pPr>
        <w:sectPr>
          <w:pgSz w:w="11900" w:h="16838" w:orient="portrait"/>
          <w:cols w:equalWidth="0" w:num="1">
            <w:col w:w="11240"/>
          </w:cols>
          <w:pgMar w:left="320" w:top="337" w:right="339" w:bottom="1440" w:gutter="0" w:footer="0" w:header="0"/>
          <w:type w:val="continuous"/>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337"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$40.0 million, inclusive of adverse inventory and fabric purchase commitments of $16.2 million in the first three quarters of fiscal 2020, primarily due to disruptions related to the COVID-19 pandemic.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9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Royalty income decreased $7.4 million, or 27.0%, to $20.0 million in the first three quarters of fiscal 2020, primarily as a result of decreased licensee sales volume due to business disruptions related to the COVID-19 pandemic. Additionally, in 2019, the Company ended a previous royalty arrangement with Target related to the Genuine Kids by OshKosh brand. The Company now sells the OshKosh brand to Target directly under a wholesale business model.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Consolidated SG&amp;A expenses decreased $61.3 million, or 7.4%, to $767.2 million in the first three quarters of fiscal 2020 and increased as a percentage of consolidated net sales approximately 340 bps to 37.7%. This increase as a percentage of consolidated net sales was primarily driven by lower net sales as a result of business disruptions related to the COVID-19 pandemic, increased eCommerce costs due to an increase in eCommerce demand, incremental COVID-19 related charges, organizational restructuring charges, impairment charges on operating lease assets, increased bad debt expense, and increased investments in technology initiatives, all partially offset by decreased performance-based compensation expense, decreased marketing costs due to a reduction in spend and the shift to eCommerce demand, and other reductions in spending.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first quarter of fiscal 2020, the Company's market capitalization declined, and actual and projected sales and profitability decreased as a result of disruptions related to COVID-19. Based on these events, we concluded that a triggering event occurred, and we performed an interim quantitative impairment test as of March 28, 2020. Based upon the results of the impairment test, we recognized a goodwill impairment charge of $17.7 million during the first quarter of fiscal 2020 which was recorded to the Other International reporting unit in the International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 Impairment</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the first quarter of fiscal 2020, the Company recorded non-cash impairment charges of $15.5 million and $11.0 million related to its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w:t>
      </w:r>
      <w:r>
        <w:rPr>
          <w:rFonts w:ascii="Arial" w:cs="Arial" w:eastAsia="Arial" w:hAnsi="Arial"/>
          <w:sz w:val="18"/>
          <w:szCs w:val="18"/>
          <w:i w:val="1"/>
          <w:iCs w:val="1"/>
          <w:color w:val="auto"/>
        </w:rPr>
        <w:t>Skip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Hop </w:t>
      </w:r>
      <w:r>
        <w:rPr>
          <w:rFonts w:ascii="Arial" w:cs="Arial" w:eastAsia="Arial" w:hAnsi="Arial"/>
          <w:sz w:val="18"/>
          <w:szCs w:val="18"/>
          <w:color w:val="auto"/>
        </w:rPr>
        <w:t>tradename assets that were recorded in connection with the acquisition of OshKosh B'Gosh, Inc. in July 2005 and Skip Hop Holdings, Inc. in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respectively. The impairment reflected lower-than-expected actual sales, and lower projected sales and profitability due to decreased demand as a result of disruptions related to COVID-19.</w:t>
      </w:r>
    </w:p>
    <w:p>
      <w:pPr>
        <w:spacing w:after="0" w:line="1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third quarter of fiscal 2019, the Company recorded a non-cash charge of $30.8 million relative to the impairment of its Skip Hop tradename recorded in connection with the acquisition of Skip Hop Holdings, Inc. in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Consolidated operating income decreased $153.1 million, or 73.2%, to $56.0 million in the first three quarters of fiscal 2020 and decreased as a percentage of net sales by approximately 580 bps to 2.8% in the first three quarters of fiscal 2020, primarily due to the factors discussed above.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Interest expense increased $11.9 million, or 41.4%, to $40.5 million in the first three quarters of fiscal 2020. Weighted-average borrowings for the first three quarters of fiscal 2020 were $1.04 billion at an effective interest rate of 5.10%, compared to weighted-average borrowings for the first three quarters of fiscal 2019 of $661.2 million at an effective interest rate of 5.45%.</w:t>
      </w:r>
    </w:p>
    <w:p>
      <w:pPr>
        <w:spacing w:after="0" w:line="14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increase in weighted-average borrowings during the first three quarters of fiscal 2020 was attributable to the issuance of $500 million in principal amount of senior notes in May 2020, as well as to increased borrowings under our secured revolving credit facility beginning in March to strengthen our cash position. The decrease in the effective interest rate for the first three quarters of fiscal 2020 compared to the first three quarters of fiscal 2019 was primarily due to lower LIBOR rates and increased variable-rate borrowings under our secured revolving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Other expense, net increased $2.2 million in the first three quarters of fiscal 2020 primarily due to a foreign exchange loss on intercompany loans in the first quarter of fiscal 2020 related to the strengthening of the U.S. dollar.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9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During the first quarter of fiscal 2019, loss on extinguishment of debt was $7.8 million due to the early extinguishment of our $400 million in aggregate principal amount of 5.25% senior notes due in 2021. Concurrently, we issued $500 million in aggregate principal amount of 5.625% senior notes due in 2027.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consolidated income tax provision decreased $31.1 million, or 90.3%, to $3.3 million in the first three quarters of fiscal 2020. Our effective tax rate was 23.8% in the first three quarters of fiscal 2020 compared to 19.9% in the first three quarters of fiscal 2019. The increase in effective tax rate primarily reflects the impact of goodwill impairments in the first quarter of fiscal 2020 with no corresponding tax benefit, partially offset by a greater portion of our income earned in jurisdictions with a tax rate lower than the U.S. tax rate.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consolidated net income decreased $128.0 million, or 92.3%, to $10.7 million in the first three quarters of fiscal 2020. This decrease was due to the factors previously discussed.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First Three Quarters of Fiscal 2020 compared to First Three Quarters of Fiscal 2019</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net sales and operating income, by segment, for the first three fiscal quarters ended September 26, 2020 and September 28,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fiscal quarters ended</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3"/>
        </w:trPr>
        <w:tc>
          <w:tcPr>
            <w:tcW w:w="3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 of consolidated</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consolidated net</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31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September 26, 2020</w:t>
            </w: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28, 2019</w:t>
            </w: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79"/>
              </w:rPr>
              <w:t>sales</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U.S. Retail</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1,085,883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53.4 %</w:t>
            </w:r>
          </w:p>
        </w:tc>
        <w:tc>
          <w:tcPr>
            <w:tcW w:w="10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1,264,283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3"/>
              </w:rPr>
              <w:t>(178,400)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(14.1)%</w:t>
            </w:r>
          </w:p>
        </w:tc>
      </w:tr>
      <w:tr>
        <w:trPr>
          <w:trHeight w:val="33"/>
        </w:trPr>
        <w:tc>
          <w:tcPr>
            <w:tcW w:w="3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Wholesale</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706,009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34.7 %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856,713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(150,704)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International</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242,545</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297,768</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(55,223)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(18.5)%</w:t>
            </w:r>
          </w:p>
        </w:tc>
      </w:tr>
      <w:tr>
        <w:trPr>
          <w:trHeight w:val="33"/>
        </w:trPr>
        <w:tc>
          <w:tcPr>
            <w:tcW w:w="3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3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Consolidated net sales</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2,034,437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2,418,764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(384,327)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203"/>
        </w:trPr>
        <w:tc>
          <w:tcPr>
            <w:tcW w:w="3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0"/>
              </w:rPr>
              <w:t>% of segment net</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0"/>
              </w:rPr>
              <w:t>% of segment net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79"/>
              </w:rPr>
              <w:t>sales</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79"/>
              </w:rPr>
              <w:t>sales</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17"/>
        </w:trPr>
        <w:tc>
          <w:tcPr>
            <w:tcW w:w="3160" w:type="dxa"/>
            <w:vAlign w:val="bottom"/>
          </w:tcPr>
          <w:p>
            <w:pPr>
              <w:ind w:left="180"/>
              <w:spacing w:after="0"/>
              <w:rPr>
                <w:sz w:val="20"/>
                <w:szCs w:val="20"/>
                <w:color w:val="auto"/>
              </w:rPr>
            </w:pPr>
            <w:r>
              <w:rPr>
                <w:rFonts w:ascii="Arial" w:cs="Arial" w:eastAsia="Arial" w:hAnsi="Arial"/>
                <w:sz w:val="16"/>
                <w:szCs w:val="16"/>
                <w:color w:val="auto"/>
              </w:rPr>
              <w:t>U.S. Retail</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38,902</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124,567</w:t>
            </w:r>
          </w:p>
        </w:tc>
        <w:tc>
          <w:tcPr>
            <w:tcW w:w="10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(85,665)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(68.8)%</w:t>
            </w:r>
          </w:p>
        </w:tc>
      </w:tr>
      <w:tr>
        <w:trPr>
          <w:trHeight w:val="33"/>
        </w:trPr>
        <w:tc>
          <w:tcPr>
            <w:tcW w:w="3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Wholesale</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89,141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145,181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(56,040)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International</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(15,819)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15,351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(31,170)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(203.0)%</w:t>
            </w:r>
          </w:p>
        </w:tc>
      </w:tr>
      <w:tr>
        <w:trPr>
          <w:trHeight w:val="33"/>
        </w:trPr>
        <w:tc>
          <w:tcPr>
            <w:tcW w:w="3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Unallocated corporate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(56,221)</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n/a</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(75,994)</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19,773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26.0 %</w:t>
            </w:r>
          </w:p>
        </w:tc>
      </w:tr>
      <w:tr>
        <w:trPr>
          <w:trHeight w:val="243"/>
        </w:trPr>
        <w:tc>
          <w:tcPr>
            <w:tcW w:w="3160" w:type="dxa"/>
            <w:vAlign w:val="bottom"/>
          </w:tcPr>
          <w:p>
            <w:pPr>
              <w:ind w:left="280"/>
              <w:spacing w:after="0"/>
              <w:rPr>
                <w:sz w:val="20"/>
                <w:szCs w:val="20"/>
                <w:color w:val="auto"/>
              </w:rPr>
            </w:pPr>
            <w:r>
              <w:rPr>
                <w:rFonts w:ascii="Arial" w:cs="Arial" w:eastAsia="Arial" w:hAnsi="Arial"/>
                <w:sz w:val="16"/>
                <w:szCs w:val="16"/>
                <w:color w:val="auto"/>
              </w:rPr>
              <w:t>Consolidated operating income</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56,003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209,105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(153,102)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(73.2)%</w:t>
            </w:r>
          </w:p>
        </w:tc>
      </w:tr>
      <w:tr>
        <w:trPr>
          <w:trHeight w:val="20"/>
        </w:trPr>
        <w:tc>
          <w:tcPr>
            <w:tcW w:w="3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U.S. Retail segment net sales decreased $178.4 million, or 14.1%, to $1.09 billion in the first three quarters of fiscal 2020. The decrease in net sales was primarily driven by temporary store closures and decreased retail store traffic in response to the COVID-19 pandemic, partially offset by an increase in eCommerce sales. Comparable net sales, including retail stores and eCommerce, decreased 14.5% during the first three quarters of fiscal 2020 compared to first three quarters of fiscal 2019 primarily driven by the factors mentioned above.</w:t>
      </w:r>
    </w:p>
    <w:p>
      <w:pPr>
        <w:spacing w:after="0" w:line="146"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 xml:space="preserve">U.S. Retail segment operating income decreased $85.7 million, or 68.8%, to $38.9 million in the first three quarters of fiscal 2020. Operating margin decreased 630 bps to 3.6% in the first three quarters of fiscal 2020. Operating income in the first three quarters of fiscal 2020 included intangible asset impairment charges of $13.6 million and $0.5 million related to the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tradenames, respectively. Operating income in the three quarters of fiscal 2019 included an intangible asset impairment charge of $1.2 million related to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The primary drivers of the decrease in operating margin were a 70 bps decrease in gross margin, a 10 bps decrease in royalty income, a 430 bps increase in SG&amp;A rate, and the incremental intangible asset impairment charges. The decrease in gross margin was primarily due to increased excess inventory provisions as a result of COVID-19 and increased inventory-related handling costs, partially offset by an increase in eCommerce average selling prices as a result of decreased promotions. The decrease in royalty income was primarily due to</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decreased licensee sales volumes due to business disruptions related to the COVID-19 pandemic. The increase in the SG&amp;A rate was primarily due to increased eCommerce costs due to an increase in eCommerce demand, incremental COVID-19 related charges, deleverage of retail store expenses due to store closures and reduced retail store traffic, impairment charges on operating lease assets, investments in the U.S. Retail business and technology initiatives, and organizational restructuring, partially offset by decreased distribution and freight costs as a result of fewer units shipped to retail stores, decreased marketing costs due to a reduction in spend and the shift to eCommerce demand, and reductions in performance-based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U.S. Wholesale segment net sales decreased $150.7 million, or 17.6%, to $706.0 million in the first three quarters of fiscal 2020, primarily due to decreased sales to certain of our wholesale customers as a result of disruptions related to COVID-19, partially offset by an increase in net sales in our exclusive Carter's brands and an increase in average selling price per unit.</w:t>
      </w:r>
    </w:p>
    <w:p>
      <w:pPr>
        <w:spacing w:after="0" w:line="14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U.S. Wholesale segment operating income decreased $56.0 million, or 38.6%, to $89.1 million in the first three quarters of fiscal 2020. Operating margin decreased 430 bps to 12.6% in the first three quarters of fiscal 2020. Operating income in the first three quarters of fiscal 2020 included intangible asset impairment charges of $6.8 million and $1.6 million related to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tradenames, respectively. Operating income in the three quarters of fiscal 2019 included an intangible asset impairment charge of $19.1 million related to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tradename. The primary drivers of the decrease in operating margin were a 250 bps decrease in gross margin, a 30 bps decrease in royalty income, a 250 bps increase in SG&amp;A rate, and decreased intangible asset impairment charges. The decrease in gross margin was primarily due to increased inventory provisions and other adverse inventory and fabric purchase commitments from disruptions related to the COVID-19 pandemic, deleveraged in-bound transportation costs, and customer mix, partially offset by an increase in average selling price per unit. The decrease in royalty income was primarily a result of our customers' business disruptions and temporary store closures related to COVID-19 and the initiation of wholesale sales of the OshKosh brand at Target, which replaced a former royalty business model. The increase in the SG&amp;A rate was primarily due to decreased sales due to customers' business disruptions and temporary store closures as a result of the COVID-19 pandemic, incremental COVID-19 related charges, and increased bad debt expense, partially offset by decreased selling expenses as a result of fewer units sold, reductions in performance-based compensation expense, and decreased marketing costs due to a reduction in spending.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International segment net sales decreased $55.2 million, or 18.5%, to $242.5 million in the first three quarters of fiscal 2020. Changes in foreign currency exchange rates used for translation had a $4.7 million unfavorable effect on International segment net sales in the first three quarters of fiscal 2020. The decrease in net sales is primarily due to a decrease in retail store sales in Canada and Mexico driven by temporary store closures in response to COVID-19 and decreased wholesale shipments to our international partners as a result of COVID-19, partially offset by growth in Canadian eCommerce, the addition of our Mexico eCommerce business in late fiscal 2019, and an increase in Mexico wholesale sales. Canadian comparable net sales, including retail stores and eCommerce, decreased 15.7% during the first three quarters of fiscal 2020 compared to the first three quarters of fiscal 2019 primarily due to the factors for Canada sales mentioned above.</w:t>
      </w:r>
    </w:p>
    <w:p>
      <w:pPr>
        <w:spacing w:after="0" w:line="15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International segment operating income decreased $31.2 million, or 203.0%, to a $15.8 million operating loss in the first three quarters of fiscal 2020. Operating margin decreased 1,170 bps to (6.5)% in the first three quarters of fiscal 2020. Operating loss in the first three quarters of fiscal 2020 included a $17.7 million goodwill impairment charge recorded to the Other International reporting unit, a $3.7 million intangible asset impairment charge related to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and a $0.3 million intangible asset impairment charge related to the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Operating income in the three quarters of fiscal 2019 included an intangible asset impairment charge of $10.5 million related to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w:t>
      </w:r>
    </w:p>
    <w:p>
      <w:pPr>
        <w:spacing w:after="0" w:line="13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decrease in the operating margin was primarily attributable to the goodwill impairment charge partially offset by decreased intangible asset impairment charges, a 310 bps decrease in gross margin, and a 330 bps increase in the SG&amp;A rate. The decrease in gross margin was primarily due to increased excess inventory provisions and other adverse inventory and fabric purchase commitments from disruptions related to the COVID-19 pandemic and deleveraged in-bound transportation costs, partially offset by an increase in eCommerce average selling prices. The increase in the SG&amp;A rate was primarily due to incremental COVID-19 related charges, deleverage of retail store and distribution expenses as a result of temporary store closures and reduced retail store traffic, increased bad debt expense, and increased eCommerce costs due to an increase in eCommerce demand, partially offset by reductions in performance-based compensation expense and decreased marketing costs due to a reduction in spending.</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337"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Unallocated corporate expenses decreased $19.8 million, or 26.0%, to $56.2 million in the first three quarters of fiscal 2020. Unallocated corporate expenses, as a percentage of consolidated net sales, decreased 30 bps to 2.8% in the first three quarters of fiscal 2020. The decrease as a percentage of consolidated net sales was a result of spending reductions, including decreased performance-based compensation expense, offset by decreased consolidated net sales.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expect that our primary sources of liquidity will be cash and cash equivalents on hand along with available borrowing capacity under our secured revolving credit facility. In May 2020, the Company, through its wholly-owned subsidiary TWCC, issued $500 million principal amount of senior notes at par. During the second quarter of fiscal 2020, net proceeds from this issuance, along with cash on hand, were used to pay down $500 million of then outstanding borrowings under our secured revolving credit facility that was drawn down in March 2020 to improve liquidity. During the third quarter of fiscal 2020, we repaid the remainder of our borrowings under our secured revolving credit facility with cash on hand. We have increased our cash on hand by approximately $617 million as of September 26, 2020, compared to December 28, 2019. We further believe that cash flow from operations, although affected by reduced sales and net income for us, access to additional capital and increased flexibility under financial maintenance covenants, along with reductions in costs, and suspension of our share repurchase program and quarterly cash dividend, will allow us to manage the anticipated adverse impact of COVID-19 on our business operations for the foreseeable future. Looking ahead, we have developed contingency plans to reduce costs further if the situation deteriorates. We will continue to evaluate our financial position in light of future developments, particularly those relating to COVID-19. We believe that these available and anticipated sources will fund our projected requirements for at least the next twelve months. These sources of liquidity may be affected by events described in our risk factors, as further discussed under the heading "Risk Factors" in our most recently filed Annual Report on Form 10-K, under the heading "Risk Factors" in Part II, Item 1A, in our Quarterly Report on Form 10-Q for the quarter ended March 28, 2020, and in other reports filed with the Securities and Exchange Commission from time to time.</w:t>
      </w:r>
    </w:p>
    <w:p>
      <w:pPr>
        <w:spacing w:after="0" w:line="13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As of September 26, 2020, we had $831.2 million of cash and cash equivalents in major financial institutions, including $72.3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9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Net accounts receivable at September 26, 2020 were $263.2 million compared to $293.2 million at September 28, 2019 and $251.0 million at December 28, 2019. The overall decrease of $30.0 million, or 10.2%, at September 26, 2020 compared to September 28, 2019 was primarily a result of reduced customer demand and an increase in our bad debt reserves as a result of COVID-19, offset in part by the timing of cash receipts. Due to the seasonal nature of our operations, the net accounts receivable balance at September 26, 2020 is not comparable to the net accounts receivable balance at December 28, 2019.</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Inventories at September 26, 2020 were $646.6 million compared to $723.2 million at September 28, 2019 and $594.0 million at December 28, 2019. The decrease of $76.6 million, or 10.6%, at September 26, 2020 compared to September 28, 2019 primarily reflects reduced purchases and higher inventory provisions from disruptions related to COVID-19. Due to the seasonal nature of our operations, the inventories balance at September 26, 2020 is not comparable to the inventories balance at December 28,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operating activities for the first three quarters of fiscal 2020 was $320.1 million compared to net cash provided by operating activities of $73.4 million in the first three quarters of fiscal 2019. Our cash flow provided by operating activities is dependent on net income and changes in our working capital. The increase in operating cash flow for the first three quarters of fiscal 2020 was primarily due to an extension of payment terms and deferrals of retail store lease payments, partially offset by lower earnings related to COVID-19.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Net cash used in investing activities was $25.2 million for the first three quarters of fiscal 2020 compared to $45.4 million in the first three quarters of fiscal 2019 and is primarily related to capital expenditures for investments in information technology initiatives, new store openings, store remodels, and distribution center enhancements..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response to COVID-19, we decreased our total planned fiscal 2020 investment in capital expenditures from approximately $75 million to approximately $40 million. The $40 million of planned fiscal 2020 capital expenditures primarily relates to critical information technology initiatives, U.S. and international retail store openings and remodels, investments to strengthen our omni-channel capabilities, and distribution facility initiatives. The majority of the $35 million decrease relates to delayed store openings and the deferral of non-critical information technology initiatives.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Net cash provided by financing activities was $319.6 million in the first three quarters of fiscal 2020 compared to $44.4 million used in the first three quarters of fiscal 2019. The net increase in cash provided by financing activities in the first three quarters of fiscal 2020 was primarily due to an issuance of $500 million in principal amount of senior notes in May 2020 to improve our cash position in light of the uncertainty and disruption related to COVID-19, partially offset by the repayment of the remainder of our borrowings under our secured revolving credit facility with cash on hand. The first three quarters of fiscal 2019 reflected the redemption of $400 million in principal amount of senior notes, the premium paid on the early extinguishment of the $400 million senior notes, repurchases of common stock, and dividend payments, partially offset by the issuance of $500 million in principal amount of senior notes and an increase in borrowings on the revolving credit facility.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To improve our cash position in light of the uncertainty and disruption related to COVID-19, we drew $639.0 million under our secured revolving credit facility in the month of March 2020, and in May 2020 repaid a portion of the outstanding borrowings with the net proceeds of a new $500 million senior notes offering, as discussed below, and cash on hand. During the third quarter of fiscal 2020, we repaid the remainder of our borrowings under our secured revolving credit facility with cash on hand. As of September 26, 2020, we had no outstanding borrowings under our secured revolving credit facility, exclusive of $7.0 million of outstanding letters of credit. As of September 26, 2020, approximately $743.0 million was available for future borrowing. All outstanding borrowings under our secured revolving credit facility are classified as non-current liabilities on our consolidated balance sheets due to contractual repayment terms under the credit facility. However, these repayment terms also allow us to repay some or all of the outstanding borrowings at any time.</w:t>
      </w:r>
    </w:p>
    <w:p>
      <w:pPr>
        <w:spacing w:after="0" w:line="15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May 4, 2020, the Company, through its wholly owned subsidiary, TWCC, entered into Amendment No.2 ("Amendment") to its fourth amended and restated credit agreement. This Amendment provided for, among other things, a waiver of financial covenants through the balance of fiscal year 2020, revised covenant requirements through the third quarter of fiscal year 2021, and the ability to raise additional unsecured financing, at the our discretion.</w:t>
      </w:r>
    </w:p>
    <w:p>
      <w:pPr>
        <w:spacing w:after="0" w:line="14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Among other things, the Amendment provides that the Consolidated Fixed Charge Coverage Ratio and Lease Adjusted Leverage Ratio covenants, in each case, as defined in the Amendment, are waived during the period from and including the second fiscal quarter of 2020 through and including the fourth fiscal quarter of 2020. Thereafter, the Lease Adjusted Leverage Ratio is set at 5.50:1.00 for the first fiscal quarter of 2021 and, during the remainder of 2021, gradually steps down to 4.00:1.00 for the fourth fiscal quarter of 2021 and, subject to the consummation of a Material Acquisition (as defined in the Amendment), thereafter. The Consolidated Fixed Charge Coverage Ratio is set at 1.25:1.00 for the first fiscal quarter of 2021 and, during the remainder of 2021 and, gradually steps back up to 1.85:1.00 for the fourth fiscal quarter of 2021 and, subject to the consummation of a Material Acquisition, thereafter.</w:t>
      </w:r>
    </w:p>
    <w:p>
      <w:pPr>
        <w:spacing w:after="0" w:line="12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addition, the Amendment provides that during the period from May 4, 2020 through the date we deliver our financial statements and associated certificates relating to the third fiscal quarter of 2021, we must maintain a minimum liquidity (defined as cash-on-hand plus availability under its secured revolving credit facility) on the last day of each fiscal month of at least $700 million. Also, during this period, the availability of certain exceptions to the lien, investment, indebtedness, and restricted payment negative covenants (including those related to dividend payments and share repurchases) are limited or removed, and any incremental credit extensions and the possibility of collateral and covenant release periods are suspended.</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Additionally, the Amendment provides that, among other things during the period from May 4, 2020 through the date we deliver our financial statements and associated certificates relating to the third quarter of fiscal 2021, interest rate margins applicable to the secured revolving credit facility were initially 2.125% for LIBOR rate loans (which may be adjusted based on a leverage-based pricing grid ranging from 1.125% to 2.375%) and 1.125% for base rate loans (which may be adjusted based on a leverage-based pricing grid ranging from 0.125% to 1.375%). The Amendment also provides for a commitment fee initially equal to 0.35% per annum and ranging from 0.15% per annum to 0.40% per annum, based upon a leverage-based pricing grid, which is payable quarterly in arrears with respect to the average daily unused portion of the revolving loan commitments.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337"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Approximately $1.2 million, including both bank fees and other third party expenses, has been capitalized in connection with the amendment and is being amortized over the remaining term of the secured revolving credit facility.</w:t>
      </w:r>
    </w:p>
    <w:p>
      <w:pPr>
        <w:spacing w:after="0" w:line="13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interest rate margins applicable to our secured revolving credit facility as of September 26, 2020 were 1.625% for LIBOR rate loans and 0.625% for base rate loans. There were no U.S. dollar borrowings or foreign currency borrowings outstanding on September 26, 2020.</w:t>
      </w:r>
    </w:p>
    <w:p>
      <w:pPr>
        <w:spacing w:after="0" w:line="106" w:lineRule="exact"/>
        <w:rPr>
          <w:sz w:val="20"/>
          <w:szCs w:val="20"/>
          <w:color w:val="auto"/>
        </w:rPr>
      </w:pPr>
    </w:p>
    <w:p>
      <w:pPr>
        <w:ind w:right="1720"/>
        <w:spacing w:after="0" w:line="399" w:lineRule="auto"/>
        <w:rPr>
          <w:sz w:val="20"/>
          <w:szCs w:val="20"/>
          <w:color w:val="auto"/>
        </w:rPr>
      </w:pPr>
      <w:r>
        <w:rPr>
          <w:rFonts w:ascii="Arial" w:cs="Arial" w:eastAsia="Arial" w:hAnsi="Arial"/>
          <w:sz w:val="18"/>
          <w:szCs w:val="18"/>
          <w:color w:val="auto"/>
        </w:rPr>
        <w:t xml:space="preserve">As of September 26, 2020, we were in compliance with the financial and other covenants under the secured revolving credit facility. </w:t>
      </w:r>
      <w:r>
        <w:rPr>
          <w:rFonts w:ascii="Arial" w:cs="Arial" w:eastAsia="Arial" w:hAnsi="Arial"/>
          <w:sz w:val="18"/>
          <w:szCs w:val="18"/>
          <w:b w:val="1"/>
          <w:bCs w:val="1"/>
          <w:color w:val="auto"/>
        </w:rPr>
        <w:t>Senior Notes</w:t>
      </w:r>
    </w:p>
    <w:p>
      <w:pPr>
        <w:ind w:right="120"/>
        <w:spacing w:after="0" w:line="275" w:lineRule="auto"/>
        <w:rPr>
          <w:sz w:val="20"/>
          <w:szCs w:val="20"/>
          <w:color w:val="auto"/>
        </w:rPr>
      </w:pPr>
      <w:r>
        <w:rPr>
          <w:rFonts w:ascii="Arial" w:cs="Arial" w:eastAsia="Arial" w:hAnsi="Arial"/>
          <w:sz w:val="17"/>
          <w:szCs w:val="17"/>
          <w:color w:val="auto"/>
        </w:rPr>
        <w:t>On May 11, 2020, the Company's wholly-owned subsidiary, TWCC, completed the sale of $500 million principal amount of senior notes at par, bearing interest at a rate of 5.500% per annum, and maturing on May 15, 2025, all of which were outstanding as of September 26, 2020. TWCC received net proceeds from the offering of the senior notes of approximately $494.5 million, after deducting underwriting fees, which TWCC used to repay borrowings outstanding under our secured revolving credit facility. Approximately $6.5 million, including both bank fees and other third party expenses, has been capitalized in connection with the issuance and is being amortized over the term of the senior notes.</w:t>
      </w:r>
    </w:p>
    <w:p>
      <w:pPr>
        <w:spacing w:after="0" w:line="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Additionally, as of September 26, 2020, we had outstanding $500 million principal amount of senior notes at par, bearing interest at a rate of 5.625% per annum, and maturing on March 15, 2027,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Restructuring and Office Consolidation</w:t>
      </w:r>
    </w:p>
    <w:p>
      <w:pPr>
        <w:spacing w:after="0" w:line="9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the first quarter of fiscal 2020, we announced several organizational restructuring initiatives which included a reorganization of staffing models across multiple functions to drive labor savings and increase efficiencies as well as the consolidation of certain functions into our corporate headquarters in Atlanta, Georgia. In conjunction with these plans, we incurred approximately $1.2 million and $8.8 million for the third quarter and the first three quarters of fiscal 2020, respectively. As of September 26, 2020, we had approximately $1.3 million in reserves primarily related to severance and other termination benefits expected to be paid by the end of fiscal 2020. We expect to incur additional restructuring-related charges of approximately $1.0 million to $2.0 million through fiscal 2021. These charges primarily relate to accelerated depreciation, lease exit costs, severance, and relocation and recruiting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26, 2020, we announced that, in connection with the COVID-19 pandemic, we suspended our common stock share repurchase program, which permits repurchases in the open market, in negotiated transactions, or otherwise. The timing and amount of any future repurchases will be determined by us based on our evaluation of market conditions, share price, other investment priorities, and other factors. The share repurchase authorizations have no expiration date.</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we did not repurchase and retire any shares in open market transactions during the third quarter of fiscal 2020. In the first quarter of fiscal 2020, we repurchased and retired 474,684 shares in open market transactions for approximately $45.3 million at an average price of $95.34 per share. In the first three quarters of fiscal 2019, we repurchased and retired 1,607,920 shares in open market transactions for approximately $147.5 million, at an average price of $91.71 per share.</w:t>
      </w:r>
    </w:p>
    <w:p>
      <w:pPr>
        <w:spacing w:after="0" w:line="146" w:lineRule="exact"/>
        <w:rPr>
          <w:sz w:val="20"/>
          <w:szCs w:val="20"/>
          <w:color w:val="auto"/>
        </w:rPr>
      </w:pPr>
    </w:p>
    <w:p>
      <w:pPr>
        <w:ind w:right="1380"/>
        <w:spacing w:after="0" w:line="399" w:lineRule="auto"/>
        <w:rPr>
          <w:sz w:val="20"/>
          <w:szCs w:val="20"/>
          <w:color w:val="auto"/>
        </w:rPr>
      </w:pPr>
      <w:r>
        <w:rPr>
          <w:rFonts w:ascii="Arial" w:cs="Arial" w:eastAsia="Arial" w:hAnsi="Arial"/>
          <w:sz w:val="18"/>
          <w:szCs w:val="18"/>
          <w:color w:val="auto"/>
        </w:rPr>
        <w:t xml:space="preserve">The total remaining capacity under all remaining repurchase authorizations as of September 26, 2020 was approximately $650.4 million. </w:t>
      </w:r>
      <w:r>
        <w:rPr>
          <w:rFonts w:ascii="Arial" w:cs="Arial" w:eastAsia="Arial" w:hAnsi="Arial"/>
          <w:sz w:val="18"/>
          <w:szCs w:val="18"/>
          <w:b w:val="1"/>
          <w:bCs w:val="1"/>
          <w:color w:val="auto"/>
        </w:rPr>
        <w:t>Dividends</w:t>
      </w:r>
    </w:p>
    <w:p>
      <w:pPr>
        <w:jc w:val="both"/>
        <w:ind w:right="60"/>
        <w:spacing w:after="0" w:line="311" w:lineRule="auto"/>
        <w:rPr>
          <w:sz w:val="20"/>
          <w:szCs w:val="20"/>
          <w:color w:val="auto"/>
        </w:rPr>
      </w:pPr>
      <w:r>
        <w:rPr>
          <w:rFonts w:ascii="Arial" w:cs="Arial" w:eastAsia="Arial" w:hAnsi="Arial"/>
          <w:sz w:val="16"/>
          <w:szCs w:val="16"/>
          <w:color w:val="auto"/>
        </w:rPr>
        <w:t>We paid a cash dividend of $0.60 per share in the first quarter of fiscal 2020. On May 1, 2020, in connection with the COVID-19 pandemic, we suspended our quarterly cash dividend. The Board of Directors will evaluate future dividend declarations based on a number of factors, including business conditions, our financial performance, and other considerations. In each of the first three quarters of fiscal 2019, we paid quarterly cash dividends of $0.50 per share.</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Provisions in our secured revolving credit facility have the effect of restricting our ability to pay cash dividends on, or make future repurchases of, our common stock through the date we delivers our financial statements and associated certificates relating to the third fiscal quarter of 2021, and could have the effect of restricting our ability to do so thereafter, as described in our Annual Report on Form 10-K for the 2019 fiscal year ended December 28, 2019, and in Note 8, </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Absent the effects of the COVID-19 global pandemic, 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1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critical accounting policies and estimates are described under the heading "Critical Accounting Policies and Estimates" in Item 7 of our most recent Annual Report on Form 10-K for the 2019 fiscal year ended December 28, 2019.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337" w:right="439" w:bottom="1440" w:gutter="0" w:footer="0" w:header="0"/>
        </w:sectPr>
      </w:pPr>
    </w:p>
    <w:bookmarkStart w:id="39" w:name="page40"/>
    <w:bookmarkEnd w:id="39"/>
    <w:p>
      <w:pPr>
        <w:ind w:right="4080"/>
        <w:spacing w:after="0" w:line="346" w:lineRule="auto"/>
        <w:rPr>
          <w:sz w:val="20"/>
          <w:szCs w:val="20"/>
          <w:color w:val="auto"/>
        </w:rPr>
      </w:pPr>
      <w:r>
        <w:rPr>
          <w:rFonts w:ascii="Arial" w:cs="Arial" w:eastAsia="Arial" w:hAnsi="Arial"/>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and interest rates. We employ various strategies to attempt to minimize our exposure to these risks.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foreign subsidiaries typically record sales denominated in currencies other than the U.S. dollar, which are then translated into U.S. dollars using weighted-average exchange rates. The changes in foreign currency exchange rates in the third quarter of fiscal 2020, compared to the third quarter of fiscal 2019, had a $2.0 million unfavorable effect on our International segment's net sales.</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noncurrent intercompany loans with foreign subsidiaries that are marked to market. In our statement of operations, these gains and losses are recorded within Other (income) expense, net.</w:t>
      </w:r>
    </w:p>
    <w:p>
      <w:pPr>
        <w:spacing w:after="0" w:line="14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part of our overall strategy to manage the level of exposure to the risk of foreign currency exchange rate fluctuations, primarily between the U.S. dollar and currencies of Canada and Mexico, we may use foreign currency forward contracts to hedge purchases that are made in U.S. dollars, primarily for inventory purchases for our Canadian and Mexican operations. As part of this hedging strategy, we may use foreign currency forward exchange contracts with maturities of less than 12 months to provide coverage throughout the hedging period. As of September 26, 2020, there were no open foreign currency forward exchange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operating results are subject to risk from interest rate fluctuations on our secured revolving credit facility, which carries variable interest rates. Weighted-average variable rate borrowings outstanding for the first three quarters of fiscal 2020 were $288.3 million. An increase or decrease of 1% in the effective interest rate on that amount would increase or decrease our annual pre-tax interest expense by approximately $2.9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September 26,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quarter ended September 26, 2020 that have materially affected, or which are reasonably likely to materially affect, Internal Control.</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the Company’s Internal Control that materially affected, or were likely to materially affect, such control over financial reporting during the fiscal quarter ended September 26, 2020.</w:t>
      </w: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341" w:right="4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There have been no material changes to the risk factors described in our Form 10-K for the 2019 fiscal year ended December 28, 2019, other than as set out in our Quarterly Report on Form 10-Q for the quarter ended March 28, 2020, in Part II. under the heading "Item 1A -- Risk Factors".</w:t>
      </w:r>
    </w:p>
    <w:p>
      <w:pPr>
        <w:spacing w:after="0" w:line="102" w:lineRule="exact"/>
        <w:rPr>
          <w:sz w:val="20"/>
          <w:szCs w:val="20"/>
          <w:color w:val="auto"/>
        </w:rPr>
      </w:pPr>
    </w:p>
    <w:p>
      <w:pPr>
        <w:ind w:right="4140"/>
        <w:spacing w:after="0" w:line="376" w:lineRule="auto"/>
        <w:rPr>
          <w:sz w:val="20"/>
          <w:szCs w:val="20"/>
          <w:color w:val="auto"/>
        </w:rPr>
      </w:pPr>
      <w:r>
        <w:rPr>
          <w:rFonts w:ascii="Arial" w:cs="Arial" w:eastAsia="Arial" w:hAnsi="Arial"/>
          <w:sz w:val="18"/>
          <w:szCs w:val="18"/>
          <w:b w:val="1"/>
          <w:bCs w:val="1"/>
          <w:color w:val="auto"/>
        </w:rPr>
        <w:t>ITEM 2. UNREGISTERED SALES OF EQUITY SECURITIES AND USE OF PROCEEDS Share Repurchases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during the third quarter of fiscal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4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dollar value of shares</w:t>
            </w:r>
          </w:p>
        </w:tc>
      </w:tr>
      <w:tr>
        <w:trPr>
          <w:trHeight w:val="203"/>
        </w:trPr>
        <w:tc>
          <w:tcPr>
            <w:tcW w:w="4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that may</w:t>
            </w:r>
          </w:p>
        </w:tc>
      </w:tr>
      <w:tr>
        <w:trPr>
          <w:trHeight w:val="203"/>
        </w:trPr>
        <w:tc>
          <w:tcPr>
            <w:tcW w:w="4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86"/>
              </w:rPr>
              <w:t>yet be</w:t>
            </w:r>
          </w:p>
        </w:tc>
      </w:tr>
      <w:tr>
        <w:trPr>
          <w:trHeight w:val="203"/>
        </w:trPr>
        <w:tc>
          <w:tcPr>
            <w:tcW w:w="41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 part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purchased</w:t>
            </w:r>
          </w:p>
        </w:tc>
      </w:tr>
      <w:tr>
        <w:trPr>
          <w:trHeight w:val="203"/>
        </w:trPr>
        <w:tc>
          <w:tcPr>
            <w:tcW w:w="41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17"/>
                <w:szCs w:val="17"/>
                <w:color w:val="auto"/>
              </w:rPr>
            </w:pPr>
          </w:p>
        </w:tc>
        <w:tc>
          <w:tcPr>
            <w:tcW w:w="180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Average price paid per</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under the plans</w:t>
            </w:r>
          </w:p>
        </w:tc>
      </w:tr>
      <w:tr>
        <w:trPr>
          <w:trHeight w:val="243"/>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 or programs</w:t>
            </w:r>
            <w:r>
              <w:rPr>
                <w:rFonts w:ascii="Arial" w:cs="Arial" w:eastAsia="Arial" w:hAnsi="Arial"/>
                <w:sz w:val="21"/>
                <w:szCs w:val="21"/>
                <w:b w:val="1"/>
                <w:bCs w:val="1"/>
                <w:color w:val="auto"/>
                <w:w w:val="88"/>
                <w:vertAlign w:val="superscript"/>
              </w:rPr>
              <w:t>(2)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(3)</w:t>
            </w: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28, 2020 through July 25, 2020</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650,447,970</w:t>
            </w:r>
          </w:p>
        </w:tc>
      </w:tr>
      <w:tr>
        <w:trPr>
          <w:trHeight w:val="216"/>
        </w:trPr>
        <w:tc>
          <w:tcPr>
            <w:tcW w:w="4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26, 2020 through August 22, 2020</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1,744</w:t>
            </w:r>
          </w:p>
        </w:tc>
        <w:tc>
          <w:tcPr>
            <w:tcW w:w="52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79.67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650,447,970</w:t>
            </w:r>
          </w:p>
        </w:tc>
      </w:tr>
      <w:tr>
        <w:trPr>
          <w:trHeight w:val="216"/>
        </w:trPr>
        <w:tc>
          <w:tcPr>
            <w:tcW w:w="4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August 23, 2020 through September 26, 2020</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650,447,970</w:t>
            </w:r>
          </w:p>
        </w:tc>
      </w:tr>
      <w:tr>
        <w:trPr>
          <w:trHeight w:val="216"/>
        </w:trPr>
        <w:tc>
          <w:tcPr>
            <w:tcW w:w="416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1,744</w:t>
            </w:r>
          </w:p>
        </w:tc>
        <w:tc>
          <w:tcPr>
            <w:tcW w:w="52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79.67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4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right="100" w:hanging="332"/>
        <w:spacing w:after="0" w:line="273"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of the shares purchased during the current quarter represent shares of our common stock surrendered by our employees to satisfy required tax withholding upon the vesting of restricted stock awards.</w:t>
      </w:r>
    </w:p>
    <w:p>
      <w:pPr>
        <w:spacing w:after="0" w:line="38" w:lineRule="exact"/>
        <w:rPr>
          <w:rFonts w:ascii="Arial" w:cs="Arial" w:eastAsia="Arial" w:hAnsi="Arial"/>
          <w:sz w:val="14"/>
          <w:szCs w:val="14"/>
          <w:color w:val="auto"/>
        </w:rPr>
      </w:pPr>
    </w:p>
    <w:p>
      <w:pPr>
        <w:ind w:left="340" w:right="220" w:hanging="332"/>
        <w:spacing w:after="0" w:line="273"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the first quarter of fiscal 2020, the Company announced, that in connection with the COVID-19 pandemic, it suspended its common stock share repurchase program. Refer to the open market repurchases as disclosed in Note 7, Common Stock, to the consolidated financial statements.</w:t>
      </w:r>
    </w:p>
    <w:p>
      <w:pPr>
        <w:spacing w:after="0" w:line="38"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Under share repurchase authorizations approved by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68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40" w:type="dxa"/>
            <w:vAlign w:val="bottom"/>
            <w:gridSpan w:val="5"/>
          </w:tcPr>
          <w:p>
            <w:pPr>
              <w:spacing w:after="0"/>
              <w:rPr>
                <w:sz w:val="20"/>
                <w:szCs w:val="20"/>
                <w:color w:val="auto"/>
              </w:rPr>
            </w:pPr>
            <w:r>
              <w:rPr>
                <w:rFonts w:ascii="Arial" w:cs="Arial" w:eastAsia="Arial" w:hAnsi="Arial"/>
                <w:sz w:val="16"/>
                <w:szCs w:val="16"/>
                <w:b w:val="1"/>
                <w:bCs w:val="1"/>
                <w:color w:val="auto"/>
              </w:rPr>
              <w:t>Description of Exhibits</w:t>
            </w:r>
          </w:p>
        </w:tc>
      </w:tr>
      <w:tr>
        <w:trPr>
          <w:trHeight w:val="20"/>
        </w:trPr>
        <w:tc>
          <w:tcPr>
            <w:tcW w:w="1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68"/>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3.1</w:t>
            </w:r>
          </w:p>
        </w:tc>
        <w:tc>
          <w:tcPr>
            <w:tcW w:w="560" w:type="dxa"/>
            <w:vAlign w:val="bottom"/>
          </w:tcPr>
          <w:p>
            <w:pPr>
              <w:spacing w:after="0"/>
              <w:rPr>
                <w:sz w:val="24"/>
                <w:szCs w:val="24"/>
                <w:color w:val="auto"/>
              </w:rPr>
            </w:pPr>
          </w:p>
        </w:tc>
        <w:tc>
          <w:tcPr>
            <w:tcW w:w="9440" w:type="dxa"/>
            <w:vAlign w:val="bottom"/>
            <w:gridSpan w:val="5"/>
          </w:tcPr>
          <w:p>
            <w:pPr>
              <w:spacing w:after="0"/>
              <w:rPr>
                <w:rFonts w:ascii="Arial" w:cs="Arial" w:eastAsia="Arial" w:hAnsi="Arial"/>
                <w:sz w:val="16"/>
                <w:szCs w:val="16"/>
                <w:color w:val="0000FF"/>
                <w:w w:val="95"/>
              </w:rPr>
            </w:pPr>
            <w:hyperlink r:id="rId42">
              <w:r>
                <w:rPr>
                  <w:rFonts w:ascii="Arial" w:cs="Arial" w:eastAsia="Arial" w:hAnsi="Arial"/>
                  <w:sz w:val="16"/>
                  <w:szCs w:val="16"/>
                  <w:color w:val="0000FF"/>
                  <w:w w:val="95"/>
                </w:rPr>
                <w:t>Certificate of Incorporation of Carter's, Inc., as amended on May 22, 2017 (incorporated by reference to Exhibit 3.1 of Carter's, Inc.'s Current</w:t>
              </w:r>
            </w:hyperlink>
          </w:p>
        </w:tc>
      </w:tr>
      <w:tr>
        <w:trPr>
          <w:trHeight w:val="183"/>
        </w:trPr>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160" w:type="dxa"/>
            <w:vAlign w:val="bottom"/>
            <w:tcBorders>
              <w:top w:val="single" w:sz="8" w:color="0000FF"/>
            </w:tcBorders>
            <w:gridSpan w:val="4"/>
          </w:tcPr>
          <w:p>
            <w:pPr>
              <w:spacing w:after="0" w:line="183" w:lineRule="exact"/>
              <w:rPr>
                <w:rFonts w:ascii="Arial" w:cs="Arial" w:eastAsia="Arial" w:hAnsi="Arial"/>
                <w:sz w:val="16"/>
                <w:szCs w:val="16"/>
                <w:color w:val="0000FF"/>
              </w:rPr>
            </w:pPr>
            <w:hyperlink r:id="rId42">
              <w:r>
                <w:rPr>
                  <w:rFonts w:ascii="Arial" w:cs="Arial" w:eastAsia="Arial" w:hAnsi="Arial"/>
                  <w:sz w:val="16"/>
                  <w:szCs w:val="16"/>
                  <w:color w:val="0000FF"/>
                </w:rPr>
                <w:t>Report on Form 8-K filed on May 23, 2017).</w:t>
              </w:r>
            </w:hyperlink>
          </w:p>
        </w:tc>
        <w:tc>
          <w:tcPr>
            <w:tcW w:w="28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r>
      <w:tr>
        <w:trPr>
          <w:trHeight w:val="236"/>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3.2</w:t>
            </w:r>
          </w:p>
        </w:tc>
        <w:tc>
          <w:tcPr>
            <w:tcW w:w="560" w:type="dxa"/>
            <w:vAlign w:val="bottom"/>
          </w:tcPr>
          <w:p>
            <w:pPr>
              <w:spacing w:after="0"/>
              <w:rPr>
                <w:sz w:val="20"/>
                <w:szCs w:val="20"/>
                <w:color w:val="auto"/>
              </w:rPr>
            </w:pPr>
          </w:p>
        </w:tc>
        <w:tc>
          <w:tcPr>
            <w:tcW w:w="9440" w:type="dxa"/>
            <w:vAlign w:val="bottom"/>
            <w:tcBorders>
              <w:bottom w:val="single" w:sz="8" w:color="0000FF"/>
            </w:tcBorders>
            <w:gridSpan w:val="5"/>
          </w:tcPr>
          <w:p>
            <w:pPr>
              <w:spacing w:after="0"/>
              <w:rPr>
                <w:rFonts w:ascii="Arial" w:cs="Arial" w:eastAsia="Arial" w:hAnsi="Arial"/>
                <w:sz w:val="16"/>
                <w:szCs w:val="16"/>
                <w:color w:val="0000FF"/>
                <w:w w:val="92"/>
              </w:rPr>
            </w:pPr>
            <w:hyperlink r:id="rId43">
              <w:r>
                <w:rPr>
                  <w:rFonts w:ascii="Arial" w:cs="Arial" w:eastAsia="Arial" w:hAnsi="Arial"/>
                  <w:sz w:val="16"/>
                  <w:szCs w:val="16"/>
                  <w:color w:val="0000FF"/>
                  <w:w w:val="92"/>
                </w:rPr>
                <w:t>Amended and Restated By-Laws of Carter's, Inc. (incorporated by reference to Exhibit 3.2 of Carter's, Inc.'s Current Report on Form 8-K filed on</w:t>
              </w:r>
            </w:hyperlink>
          </w:p>
        </w:tc>
      </w:tr>
      <w:tr>
        <w:trPr>
          <w:trHeight w:val="183"/>
        </w:trPr>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40" w:type="dxa"/>
            <w:vAlign w:val="bottom"/>
            <w:gridSpan w:val="5"/>
          </w:tcPr>
          <w:p>
            <w:pPr>
              <w:spacing w:after="0" w:line="183" w:lineRule="exact"/>
              <w:rPr>
                <w:rFonts w:ascii="Arial" w:cs="Arial" w:eastAsia="Arial" w:hAnsi="Arial"/>
                <w:sz w:val="16"/>
                <w:szCs w:val="16"/>
                <w:color w:val="0000FF"/>
              </w:rPr>
            </w:pPr>
            <w:hyperlink r:id="rId43">
              <w:r>
                <w:rPr>
                  <w:rFonts w:ascii="Arial" w:cs="Arial" w:eastAsia="Arial" w:hAnsi="Arial"/>
                  <w:sz w:val="16"/>
                  <w:szCs w:val="16"/>
                  <w:color w:val="0000FF"/>
                </w:rPr>
                <w:t>May 23, 2017).</w:t>
              </w:r>
            </w:hyperlink>
          </w:p>
        </w:tc>
      </w:tr>
      <w:tr>
        <w:trPr>
          <w:trHeight w:val="20"/>
        </w:trPr>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40" w:type="dxa"/>
            <w:vAlign w:val="bottom"/>
            <w:gridSpan w:val="4"/>
          </w:tcPr>
          <w:p>
            <w:pPr>
              <w:spacing w:after="0" w:line="20" w:lineRule="exact"/>
              <w:rPr>
                <w:sz w:val="1"/>
                <w:szCs w:val="1"/>
                <w:color w:val="auto"/>
              </w:rPr>
            </w:pPr>
          </w:p>
        </w:tc>
      </w:tr>
      <w:tr>
        <w:trPr>
          <w:trHeight w:val="271"/>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31.1</w:t>
            </w:r>
          </w:p>
        </w:tc>
        <w:tc>
          <w:tcPr>
            <w:tcW w:w="560" w:type="dxa"/>
            <w:vAlign w:val="bottom"/>
          </w:tcPr>
          <w:p>
            <w:pPr>
              <w:spacing w:after="0"/>
              <w:rPr>
                <w:sz w:val="23"/>
                <w:szCs w:val="23"/>
                <w:color w:val="auto"/>
              </w:rPr>
            </w:pPr>
          </w:p>
        </w:tc>
        <w:tc>
          <w:tcPr>
            <w:tcW w:w="9440" w:type="dxa"/>
            <w:vAlign w:val="bottom"/>
            <w:gridSpan w:val="5"/>
          </w:tcPr>
          <w:p>
            <w:pPr>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Rule 13a-15(e)/15d-15(e) and 13a-15(f)/15d-15(f) Certification.</w:t>
              </w:r>
            </w:hyperlink>
          </w:p>
        </w:tc>
      </w:tr>
      <w:tr>
        <w:trPr>
          <w:trHeight w:val="257"/>
        </w:trPr>
        <w:tc>
          <w:tcPr>
            <w:tcW w:w="1120" w:type="dxa"/>
            <w:vAlign w:val="bottom"/>
          </w:tcPr>
          <w:p>
            <w:pPr>
              <w:jc w:val="center"/>
              <w:ind w:left="439"/>
              <w:spacing w:after="0"/>
              <w:rPr>
                <w:sz w:val="20"/>
                <w:szCs w:val="20"/>
                <w:color w:val="auto"/>
              </w:rPr>
            </w:pPr>
            <w:r>
              <w:rPr>
                <w:rFonts w:ascii="Arial" w:cs="Arial" w:eastAsia="Arial" w:hAnsi="Arial"/>
                <w:sz w:val="16"/>
                <w:szCs w:val="16"/>
                <w:color w:val="auto"/>
                <w:w w:val="89"/>
              </w:rPr>
              <w:t>31.2</w:t>
            </w:r>
          </w:p>
        </w:tc>
        <w:tc>
          <w:tcPr>
            <w:tcW w:w="560" w:type="dxa"/>
            <w:vAlign w:val="bottom"/>
          </w:tcPr>
          <w:p>
            <w:pPr>
              <w:spacing w:after="0"/>
              <w:rPr>
                <w:sz w:val="22"/>
                <w:szCs w:val="22"/>
                <w:color w:val="auto"/>
              </w:rPr>
            </w:pPr>
          </w:p>
        </w:tc>
        <w:tc>
          <w:tcPr>
            <w:tcW w:w="9440" w:type="dxa"/>
            <w:vAlign w:val="bottom"/>
            <w:gridSpan w:val="5"/>
          </w:tcPr>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Rule 13a-15(e)/15d-15(e) and 13a-15(f)/15d-15(f) Certification.</w:t>
              </w:r>
            </w:hyperlink>
          </w:p>
        </w:tc>
      </w:tr>
    </w:tbl>
    <w:p>
      <w:pPr>
        <w:spacing w:after="0" w:line="50" w:lineRule="exact"/>
        <w:rPr>
          <w:sz w:val="20"/>
          <w:szCs w:val="20"/>
          <w:color w:val="auto"/>
        </w:rPr>
      </w:pPr>
    </w:p>
    <w:p>
      <w:pPr>
        <w:ind w:left="1720" w:hanging="949"/>
        <w:spacing w:after="0"/>
        <w:tabs>
          <w:tab w:leader="none" w:pos="1720" w:val="left"/>
        </w:tabs>
        <w:numPr>
          <w:ilvl w:val="0"/>
          <w:numId w:val="18"/>
        </w:numPr>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Section 1350 Certification.</w:t>
        </w:r>
      </w:hyperlink>
    </w:p>
    <w:p>
      <w:pPr>
        <w:spacing w:after="0" w:line="73"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1560" w:type="dxa"/>
            <w:vAlign w:val="bottom"/>
          </w:tcPr>
          <w:p>
            <w:pPr>
              <w:jc w:val="center"/>
              <w:spacing w:after="0"/>
              <w:rPr>
                <w:sz w:val="20"/>
                <w:szCs w:val="20"/>
                <w:color w:val="auto"/>
              </w:rPr>
            </w:pPr>
            <w:r>
              <w:rPr>
                <w:rFonts w:ascii="Arial" w:cs="Arial" w:eastAsia="Arial" w:hAnsi="Arial"/>
                <w:sz w:val="16"/>
                <w:szCs w:val="16"/>
                <w:color w:val="auto"/>
                <w:w w:val="97"/>
              </w:rPr>
              <w:t>Exhibit No. (101).INS</w:t>
            </w:r>
          </w:p>
        </w:tc>
        <w:tc>
          <w:tcPr>
            <w:tcW w:w="9260" w:type="dxa"/>
            <w:vAlign w:val="bottom"/>
          </w:tcPr>
          <w:p>
            <w:pPr>
              <w:ind w:left="60"/>
              <w:spacing w:after="0"/>
              <w:rPr>
                <w:sz w:val="20"/>
                <w:szCs w:val="20"/>
                <w:color w:val="auto"/>
              </w:rPr>
            </w:pPr>
            <w:r>
              <w:rPr>
                <w:rFonts w:ascii="Arial" w:cs="Arial" w:eastAsia="Arial" w:hAnsi="Arial"/>
                <w:sz w:val="16"/>
                <w:szCs w:val="16"/>
                <w:color w:val="auto"/>
                <w:w w:val="91"/>
              </w:rPr>
              <w:t>XBRL Instance Document - the instant document does not appear in the Interactive Data File because its XBRL tags are embedded within the</w:t>
            </w:r>
          </w:p>
        </w:tc>
      </w:tr>
      <w:tr>
        <w:trPr>
          <w:trHeight w:val="206"/>
        </w:trPr>
        <w:tc>
          <w:tcPr>
            <w:tcW w:w="1560" w:type="dxa"/>
            <w:vAlign w:val="bottom"/>
          </w:tcPr>
          <w:p>
            <w:pPr>
              <w:spacing w:after="0"/>
              <w:rPr>
                <w:sz w:val="17"/>
                <w:szCs w:val="17"/>
                <w:color w:val="auto"/>
              </w:rPr>
            </w:pPr>
          </w:p>
        </w:tc>
        <w:tc>
          <w:tcPr>
            <w:tcW w:w="9260" w:type="dxa"/>
            <w:vAlign w:val="bottom"/>
          </w:tcPr>
          <w:p>
            <w:pPr>
              <w:ind w:left="60"/>
              <w:spacing w:after="0"/>
              <w:rPr>
                <w:sz w:val="20"/>
                <w:szCs w:val="20"/>
                <w:color w:val="auto"/>
              </w:rPr>
            </w:pPr>
            <w:r>
              <w:rPr>
                <w:rFonts w:ascii="Arial" w:cs="Arial" w:eastAsia="Arial" w:hAnsi="Arial"/>
                <w:sz w:val="16"/>
                <w:szCs w:val="16"/>
                <w:color w:val="auto"/>
              </w:rPr>
              <w:t>Inline XBRL document</w:t>
            </w:r>
          </w:p>
        </w:tc>
      </w:tr>
      <w:tr>
        <w:trPr>
          <w:trHeight w:val="257"/>
        </w:trPr>
        <w:tc>
          <w:tcPr>
            <w:tcW w:w="1560" w:type="dxa"/>
            <w:vAlign w:val="bottom"/>
          </w:tcPr>
          <w:p>
            <w:pPr>
              <w:jc w:val="center"/>
              <w:spacing w:after="0"/>
              <w:rPr>
                <w:sz w:val="20"/>
                <w:szCs w:val="20"/>
                <w:color w:val="auto"/>
              </w:rPr>
            </w:pPr>
            <w:r>
              <w:rPr>
                <w:rFonts w:ascii="Arial" w:cs="Arial" w:eastAsia="Arial" w:hAnsi="Arial"/>
                <w:sz w:val="16"/>
                <w:szCs w:val="16"/>
                <w:color w:val="auto"/>
                <w:w w:val="95"/>
              </w:rPr>
              <w:t>Exhibit No. (101).SCH</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Schema Document</w:t>
            </w:r>
          </w:p>
        </w:tc>
      </w:tr>
      <w:tr>
        <w:trPr>
          <w:trHeight w:val="257"/>
        </w:trPr>
        <w:tc>
          <w:tcPr>
            <w:tcW w:w="1560" w:type="dxa"/>
            <w:vAlign w:val="bottom"/>
          </w:tcPr>
          <w:p>
            <w:pPr>
              <w:jc w:val="center"/>
              <w:spacing w:after="0"/>
              <w:rPr>
                <w:sz w:val="20"/>
                <w:szCs w:val="20"/>
                <w:color w:val="auto"/>
              </w:rPr>
            </w:pPr>
            <w:r>
              <w:rPr>
                <w:rFonts w:ascii="Arial" w:cs="Arial" w:eastAsia="Arial" w:hAnsi="Arial"/>
                <w:sz w:val="16"/>
                <w:szCs w:val="16"/>
                <w:color w:val="auto"/>
                <w:w w:val="96"/>
              </w:rPr>
              <w:t>Exhibit No. (101).CAL</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57"/>
        </w:trPr>
        <w:tc>
          <w:tcPr>
            <w:tcW w:w="1560" w:type="dxa"/>
            <w:vAlign w:val="bottom"/>
          </w:tcPr>
          <w:p>
            <w:pPr>
              <w:jc w:val="center"/>
              <w:spacing w:after="0"/>
              <w:rPr>
                <w:sz w:val="20"/>
                <w:szCs w:val="20"/>
                <w:color w:val="auto"/>
              </w:rPr>
            </w:pPr>
            <w:r>
              <w:rPr>
                <w:rFonts w:ascii="Arial" w:cs="Arial" w:eastAsia="Arial" w:hAnsi="Arial"/>
                <w:sz w:val="16"/>
                <w:szCs w:val="16"/>
                <w:color w:val="auto"/>
                <w:w w:val="96"/>
              </w:rPr>
              <w:t>Exhibit No. (101).DEF</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Definition Linkbase Document</w:t>
            </w:r>
          </w:p>
        </w:tc>
      </w:tr>
      <w:tr>
        <w:trPr>
          <w:trHeight w:val="256"/>
        </w:trPr>
        <w:tc>
          <w:tcPr>
            <w:tcW w:w="1560" w:type="dxa"/>
            <w:vAlign w:val="bottom"/>
          </w:tcPr>
          <w:p>
            <w:pPr>
              <w:jc w:val="center"/>
              <w:spacing w:after="0"/>
              <w:rPr>
                <w:sz w:val="20"/>
                <w:szCs w:val="20"/>
                <w:color w:val="auto"/>
              </w:rPr>
            </w:pPr>
            <w:r>
              <w:rPr>
                <w:rFonts w:ascii="Arial" w:cs="Arial" w:eastAsia="Arial" w:hAnsi="Arial"/>
                <w:sz w:val="16"/>
                <w:szCs w:val="16"/>
                <w:color w:val="auto"/>
                <w:w w:val="97"/>
              </w:rPr>
              <w:t>Exhibit No. (101).LAB</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Label Linkbase Document</w:t>
            </w:r>
          </w:p>
        </w:tc>
      </w:tr>
      <w:tr>
        <w:trPr>
          <w:trHeight w:val="257"/>
        </w:trPr>
        <w:tc>
          <w:tcPr>
            <w:tcW w:w="1560" w:type="dxa"/>
            <w:vAlign w:val="bottom"/>
          </w:tcPr>
          <w:p>
            <w:pPr>
              <w:jc w:val="center"/>
              <w:spacing w:after="0"/>
              <w:rPr>
                <w:sz w:val="20"/>
                <w:szCs w:val="20"/>
                <w:color w:val="auto"/>
              </w:rPr>
            </w:pPr>
            <w:r>
              <w:rPr>
                <w:rFonts w:ascii="Arial" w:cs="Arial" w:eastAsia="Arial" w:hAnsi="Arial"/>
                <w:sz w:val="16"/>
                <w:szCs w:val="16"/>
                <w:color w:val="auto"/>
                <w:w w:val="95"/>
              </w:rPr>
              <w:t>Exhibit No. (101).PRE</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57"/>
        </w:trPr>
        <w:tc>
          <w:tcPr>
            <w:tcW w:w="1560" w:type="dxa"/>
            <w:vAlign w:val="bottom"/>
          </w:tcPr>
          <w:p>
            <w:pPr>
              <w:jc w:val="center"/>
              <w:spacing w:after="0"/>
              <w:rPr>
                <w:sz w:val="20"/>
                <w:szCs w:val="20"/>
                <w:color w:val="auto"/>
              </w:rPr>
            </w:pPr>
            <w:r>
              <w:rPr>
                <w:rFonts w:ascii="Arial" w:cs="Arial" w:eastAsia="Arial" w:hAnsi="Arial"/>
                <w:sz w:val="16"/>
                <w:szCs w:val="16"/>
                <w:color w:val="auto"/>
                <w:w w:val="95"/>
              </w:rPr>
              <w:t>Exhibit No. 104</w:t>
            </w:r>
          </w:p>
        </w:tc>
        <w:tc>
          <w:tcPr>
            <w:tcW w:w="9260" w:type="dxa"/>
            <w:vAlign w:val="bottom"/>
          </w:tcPr>
          <w:p>
            <w:pPr>
              <w:ind w:left="60"/>
              <w:spacing w:after="0"/>
              <w:rPr>
                <w:sz w:val="20"/>
                <w:szCs w:val="20"/>
                <w:color w:val="auto"/>
              </w:rPr>
            </w:pPr>
            <w:r>
              <w:rPr>
                <w:rFonts w:ascii="Arial" w:cs="Arial" w:eastAsia="Arial" w:hAnsi="Arial"/>
                <w:sz w:val="16"/>
                <w:szCs w:val="16"/>
                <w:color w:val="auto"/>
              </w:rPr>
              <w:t>The cover page from this Current Report on Form 10-Q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60"/>
          </w:cols>
          <w:pgMar w:left="320" w:top="337" w:right="419" w:bottom="1440" w:gutter="0" w:footer="0" w:header="0"/>
        </w:sectPr>
      </w:pPr>
    </w:p>
    <w:bookmarkStart w:id="43" w:name="page44"/>
    <w:bookmarkEnd w:id="43"/>
    <w:p>
      <w:pPr>
        <w:ind w:left="4980"/>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0"/>
        <w:spacing w:after="0"/>
        <w:tabs>
          <w:tab w:leader="none" w:pos="6140" w:val="left"/>
        </w:tabs>
        <w:rPr>
          <w:sz w:val="20"/>
          <w:szCs w:val="20"/>
          <w:color w:val="auto"/>
        </w:rPr>
      </w:pPr>
      <w:r>
        <w:rPr>
          <w:rFonts w:ascii="Arial" w:cs="Arial" w:eastAsia="Arial" w:hAnsi="Arial"/>
          <w:sz w:val="16"/>
          <w:szCs w:val="16"/>
          <w:color w:val="auto"/>
        </w:rPr>
        <w:t>October 23, 2020</w:t>
      </w:r>
      <w:r>
        <w:rPr>
          <w:sz w:val="20"/>
          <w:szCs w:val="20"/>
          <w:color w:val="auto"/>
        </w:rPr>
        <w:tab/>
      </w:r>
      <w:r>
        <w:rPr>
          <w:rFonts w:ascii="Arial" w:cs="Arial" w:eastAsia="Arial" w:hAnsi="Arial"/>
          <w:sz w:val="15"/>
          <w:szCs w:val="15"/>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34925</wp:posOffset>
            </wp:positionV>
            <wp:extent cx="26060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107" w:lineRule="exact"/>
        <w:rPr>
          <w:sz w:val="20"/>
          <w:szCs w:val="20"/>
          <w:color w:val="auto"/>
        </w:rPr>
      </w:pPr>
    </w:p>
    <w:p>
      <w:pPr>
        <w:jc w:val="center"/>
        <w:ind w:left="2760"/>
        <w:spacing w:after="0"/>
        <w:rPr>
          <w:sz w:val="20"/>
          <w:szCs w:val="20"/>
          <w:color w:val="auto"/>
        </w:rPr>
      </w:pPr>
      <w:r>
        <w:rPr>
          <w:rFonts w:ascii="Arial" w:cs="Arial" w:eastAsia="Arial" w:hAnsi="Arial"/>
          <w:sz w:val="16"/>
          <w:szCs w:val="16"/>
          <w:color w:val="auto"/>
        </w:rPr>
        <w:t>Michael D. Casey</w:t>
      </w:r>
    </w:p>
    <w:p>
      <w:pPr>
        <w:spacing w:after="0" w:line="73"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Chief Executive Officer</w:t>
      </w:r>
    </w:p>
    <w:p>
      <w:pPr>
        <w:spacing w:after="0" w:line="86"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00"/>
        <w:spacing w:after="0"/>
        <w:tabs>
          <w:tab w:leader="none" w:pos="5780" w:val="left"/>
        </w:tabs>
        <w:rPr>
          <w:sz w:val="20"/>
          <w:szCs w:val="20"/>
          <w:color w:val="auto"/>
        </w:rPr>
      </w:pPr>
      <w:r>
        <w:rPr>
          <w:rFonts w:ascii="Arial" w:cs="Arial" w:eastAsia="Arial" w:hAnsi="Arial"/>
          <w:sz w:val="16"/>
          <w:szCs w:val="16"/>
          <w:color w:val="auto"/>
        </w:rPr>
        <w:t>October 23, 2020</w:t>
      </w:r>
      <w:r>
        <w:rPr>
          <w:sz w:val="20"/>
          <w:szCs w:val="20"/>
          <w:color w:val="auto"/>
        </w:rPr>
        <w:tab/>
      </w:r>
      <w:r>
        <w:rPr>
          <w:rFonts w:ascii="Arial" w:cs="Arial" w:eastAsia="Arial" w:hAnsi="Arial"/>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34925</wp:posOffset>
            </wp:positionV>
            <wp:extent cx="26060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107" w:lineRule="exact"/>
        <w:rPr>
          <w:sz w:val="20"/>
          <w:szCs w:val="20"/>
          <w:color w:val="auto"/>
        </w:rPr>
      </w:pPr>
    </w:p>
    <w:p>
      <w:pPr>
        <w:jc w:val="center"/>
        <w:ind w:left="2760"/>
        <w:spacing w:after="0"/>
        <w:rPr>
          <w:sz w:val="20"/>
          <w:szCs w:val="20"/>
          <w:color w:val="auto"/>
        </w:rPr>
      </w:pPr>
      <w:r>
        <w:rPr>
          <w:rFonts w:ascii="Arial" w:cs="Arial" w:eastAsia="Arial" w:hAnsi="Arial"/>
          <w:sz w:val="16"/>
          <w:szCs w:val="16"/>
          <w:color w:val="auto"/>
        </w:rPr>
        <w:t>Richard F. Westenberger</w:t>
      </w:r>
    </w:p>
    <w:p>
      <w:pPr>
        <w:spacing w:after="0" w:line="73"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Executive Vice President and</w:t>
      </w:r>
    </w:p>
    <w:p>
      <w:pPr>
        <w:spacing w:after="0" w:line="86"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Chief Financial Officer</w:t>
      </w:r>
    </w:p>
    <w:p>
      <w:pPr>
        <w:spacing w:after="0" w:line="86" w:lineRule="exact"/>
        <w:rPr>
          <w:sz w:val="20"/>
          <w:szCs w:val="20"/>
          <w:color w:val="auto"/>
        </w:rPr>
      </w:pPr>
    </w:p>
    <w:p>
      <w:pPr>
        <w:jc w:val="center"/>
        <w:ind w:left="27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00"/>
          </w:cols>
          <w:pgMar w:left="320" w:top="738" w:right="10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980"/>
        <w:spacing w:after="0"/>
        <w:tabs>
          <w:tab w:leader="none" w:pos="6880" w:val="left"/>
        </w:tabs>
        <w:rPr>
          <w:sz w:val="20"/>
          <w:szCs w:val="20"/>
          <w:color w:val="auto"/>
        </w:rPr>
      </w:pPr>
      <w:r>
        <w:rPr>
          <w:rFonts w:ascii="Arial" w:cs="Arial" w:eastAsia="Arial" w:hAnsi="Arial"/>
          <w:sz w:val="18"/>
          <w:szCs w:val="18"/>
          <w:color w:val="auto"/>
        </w:rPr>
        <w:t>October 23, 2020</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31750</wp:posOffset>
            </wp:positionV>
            <wp:extent cx="18345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7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44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34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880"/>
        <w:spacing w:after="0"/>
        <w:tabs>
          <w:tab w:leader="none" w:pos="6320" w:val="left"/>
        </w:tabs>
        <w:rPr>
          <w:sz w:val="20"/>
          <w:szCs w:val="20"/>
          <w:color w:val="auto"/>
        </w:rPr>
      </w:pPr>
      <w:r>
        <w:rPr>
          <w:rFonts w:ascii="Arial" w:cs="Arial" w:eastAsia="Arial" w:hAnsi="Arial"/>
          <w:sz w:val="18"/>
          <w:szCs w:val="18"/>
          <w:color w:val="auto"/>
        </w:rPr>
        <w:t>October 23, 2020</w:t>
      </w:r>
      <w:r>
        <w:rPr>
          <w:sz w:val="20"/>
          <w:szCs w:val="20"/>
          <w:color w:val="auto"/>
        </w:rPr>
        <w:tab/>
      </w:r>
      <w:r>
        <w:rPr>
          <w:rFonts w:ascii="Arial" w:cs="Arial" w:eastAsia="Arial" w:hAnsi="Arial"/>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21685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168525" cy="17145"/>
                    </a:xfrm>
                    <a:prstGeom prst="rect">
                      <a:avLst/>
                    </a:prstGeom>
                    <a:noFill/>
                  </pic:spPr>
                </pic:pic>
              </a:graphicData>
            </a:graphic>
          </wp:anchor>
        </w:drawing>
      </w:r>
    </w:p>
    <w:p>
      <w:pPr>
        <w:spacing w:after="0" w:line="8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24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Each of the undersigned in the capacity indicated hereby certifies that, to his knowledge, this Report on Form 10-Q for the fiscal quarter ended September 26, 2020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40"/>
        <w:spacing w:after="0"/>
        <w:tabs>
          <w:tab w:leader="none" w:pos="6460" w:val="left"/>
        </w:tabs>
        <w:rPr>
          <w:sz w:val="20"/>
          <w:szCs w:val="20"/>
          <w:color w:val="auto"/>
        </w:rPr>
      </w:pPr>
      <w:r>
        <w:rPr>
          <w:rFonts w:ascii="Arial" w:cs="Arial" w:eastAsia="Arial" w:hAnsi="Arial"/>
          <w:sz w:val="18"/>
          <w:szCs w:val="18"/>
          <w:color w:val="auto"/>
        </w:rPr>
        <w:t>October 23, 2020</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143510</wp:posOffset>
            </wp:positionV>
            <wp:extent cx="279463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59" w:lineRule="exact"/>
        <w:rPr>
          <w:sz w:val="20"/>
          <w:szCs w:val="20"/>
          <w:color w:val="auto"/>
        </w:rPr>
      </w:pPr>
    </w:p>
    <w:p>
      <w:pPr>
        <w:jc w:val="center"/>
        <w:ind w:left="360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36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40"/>
        <w:spacing w:after="0"/>
        <w:tabs>
          <w:tab w:leader="none" w:pos="6080" w:val="left"/>
        </w:tabs>
        <w:rPr>
          <w:sz w:val="20"/>
          <w:szCs w:val="20"/>
          <w:color w:val="auto"/>
        </w:rPr>
      </w:pPr>
      <w:r>
        <w:rPr>
          <w:rFonts w:ascii="Arial" w:cs="Arial" w:eastAsia="Arial" w:hAnsi="Arial"/>
          <w:sz w:val="18"/>
          <w:szCs w:val="18"/>
          <w:color w:val="auto"/>
        </w:rPr>
        <w:t>October 23, 2020</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143510</wp:posOffset>
            </wp:positionV>
            <wp:extent cx="27946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5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2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lvl w:ilvl="1">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32"/>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42" Type="http://schemas.openxmlformats.org/officeDocument/2006/relationships/hyperlink" Target="http://www.sec.gov/Archives/edgar/data/1060822/000119312517179483/d400342dex31.htm" TargetMode="External"/><Relationship Id="rId43" Type="http://schemas.openxmlformats.org/officeDocument/2006/relationships/hyperlink" Target="http://www.sec.gov/Archives/edgar/data/1060822/000119312517179483/d40034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2020-10-23T14:10:26Z</dcterms:created>
  <dcterms:modified xsi:type="dcterms:W3CDTF">2020-10-23T14:10:26Z</dcterms:modified>
</cp:coreProperties>
</file>