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57"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 xml:space="preserve">For the Fiscal Year Ended </w:t>
      </w:r>
      <w:r>
        <w:rPr>
          <w:rFonts w:ascii="Times New Roman" w:cs="Times New Roman" w:eastAsia="Times New Roman" w:hAnsi="Times New Roman"/>
          <w:sz w:val="14"/>
          <w:szCs w:val="14"/>
          <w:b w:val="1"/>
          <w:bCs w:val="1"/>
          <w:color w:val="auto"/>
        </w:rPr>
        <w:t>December 30, 2023</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tbl>
      <w:tblPr>
        <w:tblLayout w:type="fixed"/>
        <w:tblInd w:w="1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3740" w:type="dxa"/>
            <w:vAlign w:val="bottom"/>
            <w:gridSpan w:val="3"/>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 ______to ______</w:t>
            </w:r>
          </w:p>
        </w:tc>
        <w:tc>
          <w:tcPr>
            <w:tcW w:w="3820" w:type="dxa"/>
            <w:vAlign w:val="bottom"/>
          </w:tcPr>
          <w:p>
            <w:pPr>
              <w:spacing w:after="0"/>
              <w:rPr>
                <w:sz w:val="12"/>
                <w:szCs w:val="12"/>
                <w:color w:val="auto"/>
              </w:rPr>
            </w:pPr>
          </w:p>
        </w:tc>
      </w:tr>
      <w:tr>
        <w:trPr>
          <w:trHeight w:val="167"/>
        </w:trPr>
        <w:tc>
          <w:tcPr>
            <w:tcW w:w="3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w w:val="97"/>
              </w:rPr>
              <w:t>Commission file number: 001-31829</w:t>
            </w:r>
          </w:p>
        </w:tc>
        <w:tc>
          <w:tcPr>
            <w:tcW w:w="3820" w:type="dxa"/>
            <w:vAlign w:val="bottom"/>
          </w:tcPr>
          <w:p>
            <w:pPr>
              <w:spacing w:after="0"/>
              <w:rPr>
                <w:sz w:val="14"/>
                <w:szCs w:val="14"/>
                <w:color w:val="auto"/>
              </w:rPr>
            </w:pPr>
          </w:p>
        </w:tc>
      </w:tr>
      <w:tr>
        <w:trPr>
          <w:trHeight w:val="404"/>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gridSpan w:val="2"/>
          </w:tcPr>
          <w:p>
            <w:pPr>
              <w:jc w:val="center"/>
              <w:ind w:right="840"/>
              <w:spacing w:after="0"/>
              <w:rPr>
                <w:sz w:val="20"/>
                <w:szCs w:val="20"/>
                <w:color w:val="auto"/>
              </w:rPr>
            </w:pPr>
            <w:r>
              <w:rPr>
                <w:rFonts w:ascii="Times New Roman" w:cs="Times New Roman" w:eastAsia="Times New Roman" w:hAnsi="Times New Roman"/>
                <w:sz w:val="23"/>
                <w:szCs w:val="23"/>
                <w:b w:val="1"/>
                <w:bCs w:val="1"/>
                <w:color w:val="auto"/>
                <w:w w:val="98"/>
              </w:rPr>
              <w:t>CARTER’S, INC.</w:t>
            </w:r>
          </w:p>
        </w:tc>
        <w:tc>
          <w:tcPr>
            <w:tcW w:w="3820" w:type="dxa"/>
            <w:vAlign w:val="bottom"/>
          </w:tcPr>
          <w:p>
            <w:pPr>
              <w:spacing w:after="0"/>
              <w:rPr>
                <w:sz w:val="24"/>
                <w:szCs w:val="24"/>
                <w:color w:val="auto"/>
              </w:rPr>
            </w:pPr>
          </w:p>
        </w:tc>
      </w:tr>
      <w:tr>
        <w:trPr>
          <w:trHeight w:val="184"/>
        </w:trPr>
        <w:tc>
          <w:tcPr>
            <w:tcW w:w="3740" w:type="dxa"/>
            <w:vAlign w:val="bottom"/>
          </w:tcPr>
          <w:p>
            <w:pPr>
              <w:spacing w:after="0"/>
              <w:rPr>
                <w:sz w:val="16"/>
                <w:szCs w:val="16"/>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820" w:type="dxa"/>
            <w:vAlign w:val="bottom"/>
          </w:tcPr>
          <w:p>
            <w:pPr>
              <w:spacing w:after="0"/>
              <w:rPr>
                <w:sz w:val="16"/>
                <w:szCs w:val="16"/>
                <w:color w:val="auto"/>
              </w:rPr>
            </w:pPr>
          </w:p>
        </w:tc>
      </w:tr>
      <w:tr>
        <w:trPr>
          <w:trHeight w:val="463"/>
        </w:trPr>
        <w:tc>
          <w:tcPr>
            <w:tcW w:w="3740" w:type="dxa"/>
            <w:vAlign w:val="bottom"/>
          </w:tcPr>
          <w:p>
            <w:pPr>
              <w:jc w:val="center"/>
              <w:ind w:left="9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Pr>
          <w:p>
            <w:pPr>
              <w:jc w:val="right"/>
              <w:ind w:right="2229"/>
              <w:spacing w:after="0"/>
              <w:rPr>
                <w:sz w:val="20"/>
                <w:szCs w:val="20"/>
                <w:color w:val="auto"/>
              </w:rPr>
            </w:pPr>
            <w:r>
              <w:rPr>
                <w:rFonts w:ascii="Times New Roman" w:cs="Times New Roman" w:eastAsia="Times New Roman" w:hAnsi="Times New Roman"/>
                <w:sz w:val="14"/>
                <w:szCs w:val="14"/>
                <w:b w:val="1"/>
                <w:bCs w:val="1"/>
                <w:color w:val="auto"/>
              </w:rPr>
              <w:t>13-3912933</w:t>
            </w:r>
          </w:p>
        </w:tc>
      </w:tr>
      <w:tr>
        <w:trPr>
          <w:trHeight w:val="180"/>
        </w:trPr>
        <w:tc>
          <w:tcPr>
            <w:tcW w:w="3740" w:type="dxa"/>
            <w:vAlign w:val="bottom"/>
          </w:tcPr>
          <w:p>
            <w:pPr>
              <w:jc w:val="center"/>
              <w:ind w:left="9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20" w:type="dxa"/>
            <w:vAlign w:val="bottom"/>
          </w:tcPr>
          <w:p>
            <w:pPr>
              <w:jc w:val="center"/>
              <w:ind w:right="138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3740" w:type="dxa"/>
            <w:vAlign w:val="bottom"/>
          </w:tcPr>
          <w:p>
            <w:pPr>
              <w:jc w:val="center"/>
              <w:ind w:left="96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20" w:type="dxa"/>
            <w:vAlign w:val="bottom"/>
          </w:tcPr>
          <w:p>
            <w:pPr>
              <w:spacing w:after="0"/>
              <w:rPr>
                <w:sz w:val="16"/>
                <w:szCs w:val="16"/>
                <w:color w:val="auto"/>
              </w:rPr>
            </w:pPr>
          </w:p>
        </w:tc>
      </w:tr>
      <w:tr>
        <w:trPr>
          <w:trHeight w:val="408"/>
        </w:trPr>
        <w:tc>
          <w:tcPr>
            <w:tcW w:w="3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Phipps Tower</w:t>
            </w:r>
          </w:p>
        </w:tc>
        <w:tc>
          <w:tcPr>
            <w:tcW w:w="3820" w:type="dxa"/>
            <w:vAlign w:val="bottom"/>
          </w:tcPr>
          <w:p>
            <w:pPr>
              <w:spacing w:after="0"/>
              <w:rPr>
                <w:sz w:val="24"/>
                <w:szCs w:val="24"/>
                <w:color w:val="auto"/>
              </w:rPr>
            </w:pPr>
          </w:p>
        </w:tc>
      </w:tr>
      <w:tr>
        <w:trPr>
          <w:trHeight w:val="170"/>
        </w:trPr>
        <w:tc>
          <w:tcPr>
            <w:tcW w:w="3740" w:type="dxa"/>
            <w:vAlign w:val="bottom"/>
          </w:tcPr>
          <w:p>
            <w:pPr>
              <w:spacing w:after="0"/>
              <w:rPr>
                <w:sz w:val="14"/>
                <w:szCs w:val="14"/>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3438 Peachtree Road NE, Suite 1800</w:t>
            </w:r>
          </w:p>
        </w:tc>
        <w:tc>
          <w:tcPr>
            <w:tcW w:w="382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Atlanta, Georgia 30326</w:t>
            </w:r>
          </w:p>
        </w:tc>
        <w:tc>
          <w:tcPr>
            <w:tcW w:w="3820" w:type="dxa"/>
            <w:vAlign w:val="bottom"/>
          </w:tcPr>
          <w:p>
            <w:pPr>
              <w:spacing w:after="0"/>
              <w:rPr>
                <w:sz w:val="14"/>
                <w:szCs w:val="14"/>
                <w:color w:val="auto"/>
              </w:rPr>
            </w:pPr>
          </w:p>
        </w:tc>
      </w:tr>
      <w:tr>
        <w:trPr>
          <w:trHeight w:val="168"/>
        </w:trPr>
        <w:tc>
          <w:tcPr>
            <w:tcW w:w="3740" w:type="dxa"/>
            <w:vAlign w:val="bottom"/>
          </w:tcPr>
          <w:p>
            <w:pPr>
              <w:spacing w:after="0"/>
              <w:rPr>
                <w:sz w:val="14"/>
                <w:szCs w:val="14"/>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82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3060" w:type="dxa"/>
            <w:vAlign w:val="bottom"/>
            <w:gridSpan w:val="2"/>
          </w:tcPr>
          <w:p>
            <w:pPr>
              <w:jc w:val="right"/>
              <w:ind w:right="643"/>
              <w:spacing w:after="0"/>
              <w:rPr>
                <w:sz w:val="20"/>
                <w:szCs w:val="20"/>
                <w:color w:val="auto"/>
              </w:rPr>
            </w:pPr>
            <w:r>
              <w:rPr>
                <w:rFonts w:ascii="Times New Roman" w:cs="Times New Roman" w:eastAsia="Times New Roman" w:hAnsi="Times New Roman"/>
                <w:sz w:val="14"/>
                <w:szCs w:val="14"/>
                <w:b w:val="1"/>
                <w:bCs w:val="1"/>
                <w:color w:val="auto"/>
              </w:rPr>
              <w:t>(678) 791-1000</w:t>
            </w:r>
          </w:p>
        </w:tc>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170"/>
        </w:trPr>
        <w:tc>
          <w:tcPr>
            <w:tcW w:w="3740" w:type="dxa"/>
            <w:vAlign w:val="bottom"/>
          </w:tcPr>
          <w:p>
            <w:pPr>
              <w:spacing w:after="0"/>
              <w:rPr>
                <w:sz w:val="14"/>
                <w:szCs w:val="14"/>
                <w:color w:val="auto"/>
              </w:rPr>
            </w:pPr>
          </w:p>
        </w:tc>
        <w:tc>
          <w:tcPr>
            <w:tcW w:w="37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20" w:type="dxa"/>
            <w:vAlign w:val="bottom"/>
          </w:tcPr>
          <w:p>
            <w:pPr>
              <w:spacing w:after="0"/>
              <w:rPr>
                <w:sz w:val="14"/>
                <w:szCs w:val="14"/>
                <w:color w:val="auto"/>
              </w:rPr>
            </w:pPr>
          </w:p>
        </w:tc>
      </w:tr>
      <w:tr>
        <w:trPr>
          <w:trHeight w:val="184"/>
        </w:trPr>
        <w:tc>
          <w:tcPr>
            <w:tcW w:w="3740" w:type="dxa"/>
            <w:vAlign w:val="bottom"/>
          </w:tcPr>
          <w:p>
            <w:pPr>
              <w:spacing w:after="0"/>
              <w:rPr>
                <w:sz w:val="16"/>
                <w:szCs w:val="16"/>
                <w:color w:val="auto"/>
              </w:rPr>
            </w:pPr>
          </w:p>
        </w:tc>
        <w:tc>
          <w:tcPr>
            <w:tcW w:w="3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_______________________________________________</w:t>
            </w:r>
          </w:p>
        </w:tc>
        <w:tc>
          <w:tcPr>
            <w:tcW w:w="3820" w:type="dxa"/>
            <w:vAlign w:val="bottom"/>
          </w:tcPr>
          <w:p>
            <w:pPr>
              <w:spacing w:after="0"/>
              <w:rPr>
                <w:sz w:val="16"/>
                <w:szCs w:val="16"/>
                <w:color w:val="auto"/>
              </w:rPr>
            </w:pPr>
          </w:p>
        </w:tc>
      </w:tr>
      <w:tr>
        <w:trPr>
          <w:trHeight w:val="361"/>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r>
              <w:rPr>
                <w:rFonts w:ascii="Times New Roman" w:cs="Times New Roman" w:eastAsia="Times New Roman" w:hAnsi="Times New Roman"/>
                <w:sz w:val="14"/>
                <w:szCs w:val="14"/>
                <w:color w:val="auto"/>
              </w:rPr>
              <w:t>:</w:t>
            </w:r>
          </w:p>
        </w:tc>
        <w:tc>
          <w:tcPr>
            <w:tcW w:w="9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r>
      <w:tr>
        <w:trPr>
          <w:trHeight w:val="171"/>
        </w:trPr>
        <w:tc>
          <w:tcPr>
            <w:tcW w:w="3740" w:type="dxa"/>
            <w:vAlign w:val="bottom"/>
            <w:tcBorders>
              <w:left w:val="single" w:sz="8" w:color="auto"/>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92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6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2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1"/>
        </w:trPr>
        <w:tc>
          <w:tcPr>
            <w:tcW w:w="3740" w:type="dxa"/>
            <w:vAlign w:val="bottom"/>
            <w:tcBorders>
              <w:left w:val="single" w:sz="8" w:color="auto"/>
              <w:bottom w:val="single" w:sz="8" w:color="auto"/>
            </w:tcBorders>
          </w:tcPr>
          <w:p>
            <w:pPr>
              <w:jc w:val="center"/>
              <w:ind w:left="84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920" w:type="dxa"/>
            <w:vAlign w:val="bottom"/>
            <w:tcBorders>
              <w:bottom w:val="single" w:sz="8" w:color="auto"/>
              <w:right w:val="single" w:sz="8" w:color="auto"/>
            </w:tcBorders>
          </w:tcPr>
          <w:p>
            <w:pPr>
              <w:spacing w:after="0"/>
              <w:rPr>
                <w:sz w:val="14"/>
                <w:szCs w:val="14"/>
                <w:color w:val="auto"/>
              </w:rPr>
            </w:pP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CRI</w:t>
            </w:r>
          </w:p>
        </w:tc>
        <w:tc>
          <w:tcPr>
            <w:tcW w:w="680" w:type="dxa"/>
            <w:vAlign w:val="bottom"/>
            <w:tcBorders>
              <w:bottom w:val="single" w:sz="8" w:color="auto"/>
            </w:tcBorders>
          </w:tcPr>
          <w:p>
            <w:pPr>
              <w:spacing w:after="0"/>
              <w:rPr>
                <w:sz w:val="14"/>
                <w:szCs w:val="14"/>
                <w:color w:val="auto"/>
              </w:rPr>
            </w:pPr>
          </w:p>
        </w:tc>
        <w:tc>
          <w:tcPr>
            <w:tcW w:w="3820" w:type="dxa"/>
            <w:vAlign w:val="bottom"/>
            <w:tcBorders>
              <w:bottom w:val="single" w:sz="8" w:color="auto"/>
              <w:right w:val="single" w:sz="8" w:color="auto"/>
            </w:tcBorders>
          </w:tcPr>
          <w:p>
            <w:pPr>
              <w:jc w:val="center"/>
              <w:ind w:right="629"/>
              <w:spacing w:after="0"/>
              <w:rPr>
                <w:sz w:val="20"/>
                <w:szCs w:val="20"/>
                <w:color w:val="auto"/>
              </w:rPr>
            </w:pPr>
            <w:r>
              <w:rPr>
                <w:rFonts w:ascii="Times New Roman" w:cs="Times New Roman" w:eastAsia="Times New Roman" w:hAnsi="Times New Roman"/>
                <w:sz w:val="14"/>
                <w:szCs w:val="14"/>
                <w:color w:val="auto"/>
                <w:w w:val="99"/>
              </w:rPr>
              <w:t>New York Stock Exchange</w:t>
            </w:r>
          </w:p>
        </w:tc>
      </w:tr>
    </w:tbl>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pacing w:after="0" w:line="2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4"/>
          <w:szCs w:val="24"/>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5" w:lineRule="exact"/>
        <w:rPr>
          <w:sz w:val="24"/>
          <w:szCs w:val="24"/>
          <w:color w:val="auto"/>
        </w:rPr>
      </w:pPr>
    </w:p>
    <w:p>
      <w:pPr>
        <w:ind w:right="30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472440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20" w:right="299"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p>
    <w:p>
      <w:pPr>
        <w:spacing w:after="0" w:line="9" w:lineRule="exact"/>
        <w:rPr>
          <w:sz w:val="20"/>
          <w:szCs w:val="20"/>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9" w:lineRule="exact"/>
        <w:rPr>
          <w:sz w:val="20"/>
          <w:szCs w:val="20"/>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9" w:lineRule="exact"/>
        <w:rPr>
          <w:sz w:val="20"/>
          <w:szCs w:val="20"/>
          <w:color w:val="auto"/>
        </w:rPr>
      </w:pPr>
    </w:p>
    <w:p>
      <w:pPr>
        <w:ind w:right="20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5" w:lineRule="exact"/>
        <w:rPr>
          <w:sz w:val="20"/>
          <w:szCs w:val="20"/>
          <w:color w:val="auto"/>
        </w:rPr>
      </w:pPr>
    </w:p>
    <w:p>
      <w:pPr>
        <w:ind w:right="28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5" w:lineRule="exact"/>
        <w:rPr>
          <w:sz w:val="20"/>
          <w:szCs w:val="20"/>
          <w:color w:val="auto"/>
        </w:rPr>
      </w:pPr>
    </w:p>
    <w:p>
      <w:pPr>
        <w:ind w:right="340"/>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55" w:lineRule="exact"/>
        <w:rPr>
          <w:sz w:val="20"/>
          <w:szCs w:val="20"/>
          <w:color w:val="auto"/>
        </w:rPr>
      </w:pPr>
    </w:p>
    <w:p>
      <w:pPr>
        <w:ind w:right="2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1"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approximate aggregate market value of the voting stock held by non-affiliates of the registrant as of the last business day of the registrant’s most recently completed second fiscal quarter, based upon the closing sale price of the registrant's common stock on July 1, 2023 as reported on the New York Stock Exchange was $2,614,562,313. For purposes of the foregoing calculation only, which is required by Form 10-K, the registrant has included in the shares owned by affiliates those shares owned by directors and executive officers of the registrant, and such inclusion shall not be construed as an admission that any such person is an affiliate for any purpose.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20, 2024, there were 36,480,603 shares of the registrant’s common stock outstanding.</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81"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4"/>
          <w:szCs w:val="14"/>
          <w:color w:val="auto"/>
        </w:rPr>
        <w:t>Portions of the definitive proxy statement to be filed with the Securities and Exchange Commission pursuant to Regulation 14A relating to the Annual Meeting of shareholders of Carter’s, Inc., scheduled to be held on May 16, 2024, will be incorporated by reference in Part III of this Form 10-K. Carter’s, Inc. intends to file such proxy statement with the Securities and Exchange Commission not later than 120 days after its fiscal year ended December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749935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210185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920" w:type="dxa"/>
            <w:vAlign w:val="bottom"/>
            <w:gridSpan w:val="7"/>
          </w:tcPr>
          <w:p>
            <w:pPr>
              <w:jc w:val="center"/>
              <w:ind w:right="3640"/>
              <w:spacing w:after="0"/>
              <w:rPr>
                <w:sz w:val="20"/>
                <w:szCs w:val="20"/>
                <w:color w:val="auto"/>
              </w:rPr>
            </w:pPr>
            <w:r>
              <w:rPr>
                <w:rFonts w:ascii="Times New Roman" w:cs="Times New Roman" w:eastAsia="Times New Roman" w:hAnsi="Times New Roman"/>
                <w:sz w:val="16"/>
                <w:szCs w:val="16"/>
                <w:b w:val="1"/>
                <w:bCs w:val="1"/>
                <w:color w:val="auto"/>
                <w:w w:val="97"/>
              </w:rPr>
              <w:t>CARTER’S, INC.</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60" w:type="dxa"/>
            <w:vAlign w:val="bottom"/>
            <w:gridSpan w:val="11"/>
          </w:tcPr>
          <w:p>
            <w:pPr>
              <w:jc w:val="center"/>
              <w:ind w:right="2380"/>
              <w:spacing w:after="0" w:line="181" w:lineRule="exact"/>
              <w:rPr>
                <w:sz w:val="20"/>
                <w:szCs w:val="20"/>
                <w:color w:val="auto"/>
              </w:rPr>
            </w:pPr>
            <w:r>
              <w:rPr>
                <w:rFonts w:ascii="Times New Roman" w:cs="Times New Roman" w:eastAsia="Times New Roman" w:hAnsi="Times New Roman"/>
                <w:sz w:val="16"/>
                <w:szCs w:val="16"/>
                <w:b w:val="1"/>
                <w:bCs w:val="1"/>
                <w:color w:val="auto"/>
                <w:w w:val="96"/>
              </w:rPr>
              <w:t>INDEX TO ANNUAL REPORT ON FORM 10-K</w:t>
            </w: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60" w:type="dxa"/>
            <w:vAlign w:val="bottom"/>
            <w:gridSpan w:val="11"/>
          </w:tcPr>
          <w:p>
            <w:pPr>
              <w:jc w:val="center"/>
              <w:ind w:right="2400"/>
              <w:spacing w:after="0"/>
              <w:rPr>
                <w:sz w:val="20"/>
                <w:szCs w:val="20"/>
                <w:color w:val="auto"/>
              </w:rPr>
            </w:pPr>
            <w:r>
              <w:rPr>
                <w:rFonts w:ascii="Times New Roman" w:cs="Times New Roman" w:eastAsia="Times New Roman" w:hAnsi="Times New Roman"/>
                <w:sz w:val="16"/>
                <w:szCs w:val="16"/>
                <w:b w:val="1"/>
                <w:bCs w:val="1"/>
                <w:color w:val="auto"/>
                <w:w w:val="97"/>
              </w:rPr>
              <w:t>FOR FISCAL YEAR ENDED DECEMBER 30, 2023</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left w:val="single" w:sz="8" w:color="CCEEFF"/>
            </w:tcBorders>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60" w:type="dxa"/>
            <w:vAlign w:val="bottom"/>
            <w:tcBorders>
              <w:bottom w:val="single" w:sz="8" w:color="auto"/>
            </w:tcBorders>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39"/>
        </w:trPr>
        <w:tc>
          <w:tcPr>
            <w:tcW w:w="20" w:type="dxa"/>
            <w:vAlign w:val="bottom"/>
          </w:tcPr>
          <w:p>
            <w:pPr>
              <w:spacing w:after="0"/>
              <w:rPr>
                <w:sz w:val="12"/>
                <w:szCs w:val="12"/>
                <w:color w:val="auto"/>
              </w:rPr>
            </w:pPr>
          </w:p>
        </w:tc>
        <w:tc>
          <w:tcPr>
            <w:tcW w:w="360" w:type="dxa"/>
            <w:vAlign w:val="bottom"/>
          </w:tcPr>
          <w:p>
            <w:pPr>
              <w:spacing w:after="0" w:line="139" w:lineRule="exact"/>
              <w:rPr>
                <w:sz w:val="20"/>
                <w:szCs w:val="20"/>
                <w:color w:val="auto"/>
              </w:rPr>
            </w:pPr>
            <w:r>
              <w:rPr>
                <w:rFonts w:ascii="Times New Roman" w:cs="Times New Roman" w:eastAsia="Times New Roman" w:hAnsi="Times New Roman"/>
                <w:sz w:val="14"/>
                <w:szCs w:val="14"/>
                <w:b w:val="1"/>
                <w:bCs w:val="1"/>
                <w:color w:val="0000FF"/>
                <w:w w:val="95"/>
              </w:rPr>
              <w:t>Part I</w:t>
            </w:r>
          </w:p>
        </w:tc>
        <w:tc>
          <w:tcPr>
            <w:tcW w:w="1780" w:type="dxa"/>
            <w:vAlign w:val="bottom"/>
            <w:gridSpan w:val="7"/>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60" w:type="dxa"/>
            <w:vAlign w:val="bottom"/>
            <w:gridSpan w:val="3"/>
          </w:tcPr>
          <w:p>
            <w:pPr>
              <w:jc w:val="right"/>
              <w:ind w:right="20"/>
              <w:spacing w:after="0" w:line="139" w:lineRule="exact"/>
              <w:rPr>
                <w:sz w:val="20"/>
                <w:szCs w:val="20"/>
                <w:color w:val="auto"/>
              </w:rPr>
            </w:pPr>
            <w:r>
              <w:rPr>
                <w:rFonts w:ascii="Times New Roman" w:cs="Times New Roman" w:eastAsia="Times New Roman" w:hAnsi="Times New Roman"/>
                <w:sz w:val="14"/>
                <w:szCs w:val="14"/>
                <w:color w:val="0000FF"/>
              </w:rPr>
              <w:t>1</w:t>
            </w:r>
          </w:p>
        </w:tc>
      </w:tr>
      <w:tr>
        <w:trPr>
          <w:trHeight w:val="26"/>
        </w:trPr>
        <w:tc>
          <w:tcPr>
            <w:tcW w:w="2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1</w:t>
            </w:r>
          </w:p>
        </w:tc>
        <w:tc>
          <w:tcPr>
            <w:tcW w:w="780" w:type="dxa"/>
            <w:vAlign w:val="bottom"/>
            <w:tcBorders>
              <w:left w:val="single" w:sz="8" w:color="CCEEFF"/>
            </w:tcBorders>
            <w:gridSpan w:val="2"/>
            <w:shd w:val="clear" w:color="auto" w:fill="CCEEFF"/>
          </w:tcPr>
          <w:p>
            <w:pPr>
              <w:spacing w:after="0"/>
              <w:rPr>
                <w:sz w:val="13"/>
                <w:szCs w:val="13"/>
                <w:color w:val="auto"/>
              </w:rPr>
            </w:pP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Business</w:t>
            </w:r>
          </w:p>
        </w:tc>
        <w:tc>
          <w:tcPr>
            <w:tcW w:w="1360" w:type="dxa"/>
            <w:vAlign w:val="bottom"/>
            <w:gridSpan w:val="3"/>
            <w:shd w:val="clear" w:color="auto" w:fill="CCEE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0000FF"/>
              </w:rPr>
              <w:t>2</w:t>
            </w: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0"/>
              </w:rPr>
              <w:t>Item 1A</w:t>
            </w:r>
          </w:p>
        </w:tc>
        <w:tc>
          <w:tcPr>
            <w:tcW w:w="700" w:type="dxa"/>
            <w:vAlign w:val="bottom"/>
          </w:tcPr>
          <w:p>
            <w:pPr>
              <w:spacing w:after="0"/>
              <w:rPr>
                <w:sz w:val="13"/>
                <w:szCs w:val="13"/>
                <w:color w:val="auto"/>
              </w:rPr>
            </w:pPr>
          </w:p>
        </w:tc>
        <w:tc>
          <w:tcPr>
            <w:tcW w:w="720" w:type="dxa"/>
            <w:vAlign w:val="bottom"/>
            <w:tcBorders>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FF"/>
                <w:w w:val="99"/>
              </w:rPr>
              <w:t>Risk Factors</w:t>
            </w:r>
          </w:p>
        </w:tc>
        <w:tc>
          <w:tcPr>
            <w:tcW w:w="7040" w:type="dxa"/>
            <w:vAlign w:val="bottom"/>
            <w:gridSpan w:val="18"/>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w:t>
            </w:r>
          </w:p>
        </w:tc>
        <w:tc>
          <w:tcPr>
            <w:tcW w:w="20" w:type="dxa"/>
            <w:vAlign w:val="bottom"/>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1B</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Unresolved Staff Comments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26</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1C</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Cybersecurity</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26</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2</w:t>
            </w:r>
          </w:p>
        </w:tc>
        <w:tc>
          <w:tcPr>
            <w:tcW w:w="8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700" w:type="dxa"/>
            <w:vAlign w:val="bottom"/>
            <w:tcBorders>
              <w:left w:val="single" w:sz="8" w:color="CCEE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0000FF"/>
              <w:right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Properties</w:t>
            </w:r>
          </w:p>
        </w:tc>
        <w:tc>
          <w:tcPr>
            <w:tcW w:w="1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6960" w:type="dxa"/>
            <w:vAlign w:val="bottom"/>
            <w:tcBorders>
              <w:bottom w:val="single" w:sz="8" w:color="CCEEFF"/>
            </w:tcBorders>
            <w:gridSpan w:val="17"/>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3"/>
              </w:rPr>
              <w:t>Item 3</w:t>
            </w:r>
          </w:p>
        </w:tc>
        <w:tc>
          <w:tcPr>
            <w:tcW w:w="780" w:type="dxa"/>
            <w:vAlign w:val="bottom"/>
            <w:gridSpan w:val="2"/>
          </w:tcPr>
          <w:p>
            <w:pPr>
              <w:spacing w:after="0"/>
              <w:rPr>
                <w:sz w:val="13"/>
                <w:szCs w:val="13"/>
                <w:color w:val="auto"/>
              </w:rPr>
            </w:pPr>
          </w:p>
        </w:tc>
        <w:tc>
          <w:tcPr>
            <w:tcW w:w="1060" w:type="dxa"/>
            <w:vAlign w:val="bottom"/>
            <w:tcBorders>
              <w:bottom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6700" w:type="dxa"/>
            <w:vAlign w:val="bottom"/>
            <w:gridSpan w:val="15"/>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27</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4</w:t>
            </w:r>
          </w:p>
        </w:tc>
        <w:tc>
          <w:tcPr>
            <w:tcW w:w="7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1400" w:type="dxa"/>
            <w:vAlign w:val="bottom"/>
            <w:tcBorders>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Mine Safety Disclosures</w:t>
            </w:r>
          </w:p>
        </w:tc>
        <w:tc>
          <w:tcPr>
            <w:tcW w:w="6360" w:type="dxa"/>
            <w:vAlign w:val="bottom"/>
            <w:tcBorders>
              <w:bottom w:val="single" w:sz="8" w:color="CCEEFF"/>
            </w:tcBorders>
            <w:gridSpan w:val="13"/>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420" w:type="dxa"/>
            <w:vAlign w:val="bottom"/>
            <w:tcBorders>
              <w:bottom w:val="single" w:sz="8" w:color="0000FF"/>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7"/>
              </w:rPr>
              <w:t>Part II</w:t>
            </w:r>
          </w:p>
        </w:tc>
        <w:tc>
          <w:tcPr>
            <w:tcW w:w="1720" w:type="dxa"/>
            <w:vAlign w:val="bottom"/>
            <w:gridSpan w:val="6"/>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28</w:t>
            </w:r>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5</w:t>
            </w:r>
          </w:p>
        </w:tc>
        <w:tc>
          <w:tcPr>
            <w:tcW w:w="780" w:type="dxa"/>
            <w:vAlign w:val="bottom"/>
            <w:tcBorders>
              <w:left w:val="single" w:sz="8" w:color="CCEEFF"/>
            </w:tcBorders>
            <w:gridSpan w:val="2"/>
            <w:shd w:val="clear" w:color="auto" w:fill="CCEEFF"/>
          </w:tcPr>
          <w:p>
            <w:pPr>
              <w:spacing w:after="0"/>
              <w:rPr>
                <w:sz w:val="14"/>
                <w:szCs w:val="14"/>
                <w:color w:val="auto"/>
              </w:rPr>
            </w:pP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28</w:t>
            </w:r>
          </w:p>
        </w:tc>
        <w:tc>
          <w:tcPr>
            <w:tcW w:w="20" w:type="dxa"/>
            <w:vAlign w:val="bottom"/>
            <w:shd w:val="clear" w:color="auto" w:fill="CCEEFF"/>
          </w:tcPr>
          <w:p>
            <w:pPr>
              <w:spacing w:after="0"/>
              <w:rPr>
                <w:sz w:val="14"/>
                <w:szCs w:val="14"/>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80" w:type="dxa"/>
            <w:vAlign w:val="bottom"/>
            <w:tcBorders>
              <w:top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3"/>
              </w:rPr>
              <w:t>Item 6</w:t>
            </w:r>
          </w:p>
        </w:tc>
        <w:tc>
          <w:tcPr>
            <w:tcW w:w="780" w:type="dxa"/>
            <w:vAlign w:val="bottom"/>
            <w:tcBorders>
              <w:top w:val="single" w:sz="8" w:color="CCEEFF"/>
            </w:tcBorders>
            <w:gridSpan w:val="2"/>
          </w:tcPr>
          <w:p>
            <w:pPr>
              <w:spacing w:after="0"/>
              <w:rPr>
                <w:sz w:val="12"/>
                <w:szCs w:val="12"/>
                <w:color w:val="auto"/>
              </w:rPr>
            </w:pPr>
          </w:p>
        </w:tc>
        <w:tc>
          <w:tcPr>
            <w:tcW w:w="6380" w:type="dxa"/>
            <w:vAlign w:val="bottom"/>
            <w:tcBorders>
              <w:top w:val="single" w:sz="8" w:color="0000FF"/>
            </w:tcBorders>
            <w:gridSpan w:val="20"/>
          </w:tcPr>
          <w:p>
            <w:pPr>
              <w:spacing w:after="0" w:line="149" w:lineRule="exact"/>
              <w:rPr>
                <w:sz w:val="20"/>
                <w:szCs w:val="20"/>
                <w:color w:val="auto"/>
              </w:rPr>
            </w:pPr>
            <w:r>
              <w:rPr>
                <w:rFonts w:ascii="Times New Roman" w:cs="Times New Roman" w:eastAsia="Times New Roman" w:hAnsi="Times New Roman"/>
                <w:sz w:val="14"/>
                <w:szCs w:val="14"/>
                <w:color w:val="0000FF"/>
              </w:rPr>
              <w:t>[Reserved]</w:t>
            </w:r>
          </w:p>
        </w:tc>
        <w:tc>
          <w:tcPr>
            <w:tcW w:w="138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40" w:type="dxa"/>
            <w:vAlign w:val="bottom"/>
            <w:tcBorders>
              <w:top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29</w:t>
            </w:r>
          </w:p>
        </w:tc>
        <w:tc>
          <w:tcPr>
            <w:tcW w:w="20" w:type="dxa"/>
            <w:vAlign w:val="bottom"/>
            <w:tcBorders>
              <w:top w:val="single" w:sz="8" w:color="CCEEFF"/>
            </w:tcBorders>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7</w:t>
            </w:r>
          </w:p>
        </w:tc>
        <w:tc>
          <w:tcPr>
            <w:tcW w:w="780" w:type="dxa"/>
            <w:vAlign w:val="bottom"/>
            <w:tcBorders>
              <w:left w:val="single" w:sz="8" w:color="CCEEFF"/>
              <w:bottom w:val="single" w:sz="8" w:color="CCEEFF"/>
            </w:tcBorders>
            <w:gridSpan w:val="2"/>
            <w:shd w:val="clear" w:color="auto" w:fill="CCEEFF"/>
          </w:tcPr>
          <w:p>
            <w:pPr>
              <w:spacing w:after="0"/>
              <w:rPr>
                <w:sz w:val="14"/>
                <w:szCs w:val="14"/>
                <w:color w:val="auto"/>
              </w:rPr>
            </w:pPr>
          </w:p>
        </w:tc>
        <w:tc>
          <w:tcPr>
            <w:tcW w:w="5080" w:type="dxa"/>
            <w:vAlign w:val="bottom"/>
            <w:tcBorders>
              <w:bottom w:val="single" w:sz="8" w:color="0000FF"/>
            </w:tcBorders>
            <w:gridSpan w:val="17"/>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680" w:type="dxa"/>
            <w:vAlign w:val="bottom"/>
            <w:tcBorders>
              <w:bottom w:val="single" w:sz="8" w:color="CCEEFF"/>
            </w:tcBorders>
            <w:gridSpan w:val="4"/>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w w:val="90"/>
              </w:rPr>
              <w:t>Item 7A</w:t>
            </w:r>
          </w:p>
        </w:tc>
        <w:tc>
          <w:tcPr>
            <w:tcW w:w="700" w:type="dxa"/>
            <w:vAlign w:val="bottom"/>
          </w:tcPr>
          <w:p>
            <w:pPr>
              <w:spacing w:after="0"/>
              <w:rPr>
                <w:sz w:val="13"/>
                <w:szCs w:val="13"/>
                <w:color w:val="auto"/>
              </w:rPr>
            </w:pP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45</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3"/>
              </w:rPr>
              <w:t>Item 8</w:t>
            </w:r>
          </w:p>
        </w:tc>
        <w:tc>
          <w:tcPr>
            <w:tcW w:w="80" w:type="dxa"/>
            <w:vAlign w:val="bottom"/>
            <w:tcBorders>
              <w:top w:val="single" w:sz="8" w:color="0000FF"/>
              <w:left w:val="single" w:sz="8" w:color="CCEEFF"/>
              <w:bottom w:val="single" w:sz="8" w:color="CCEEFF"/>
            </w:tcBorders>
            <w:shd w:val="clear" w:color="auto" w:fill="CCEEFF"/>
          </w:tcPr>
          <w:p>
            <w:pPr>
              <w:spacing w:after="0"/>
              <w:rPr>
                <w:sz w:val="14"/>
                <w:szCs w:val="14"/>
                <w:color w:val="auto"/>
              </w:rPr>
            </w:pPr>
          </w:p>
        </w:tc>
        <w:tc>
          <w:tcPr>
            <w:tcW w:w="700" w:type="dxa"/>
            <w:vAlign w:val="bottom"/>
            <w:tcBorders>
              <w:left w:val="single" w:sz="8" w:color="CCEEFF"/>
              <w:bottom w:val="single" w:sz="8" w:color="CCEEFF"/>
            </w:tcBorders>
            <w:shd w:val="clear" w:color="auto" w:fill="CCEEFF"/>
          </w:tcPr>
          <w:p>
            <w:pPr>
              <w:spacing w:after="0"/>
              <w:rPr>
                <w:sz w:val="14"/>
                <w:szCs w:val="14"/>
                <w:color w:val="auto"/>
              </w:rPr>
            </w:pPr>
          </w:p>
        </w:tc>
        <w:tc>
          <w:tcPr>
            <w:tcW w:w="2680" w:type="dxa"/>
            <w:vAlign w:val="bottom"/>
            <w:tcBorders>
              <w:top w:val="single" w:sz="8" w:color="0000FF"/>
              <w:bottom w:val="single" w:sz="8" w:color="0000FF"/>
              <w:right w:val="single" w:sz="8" w:color="CCEEFF"/>
            </w:tcBorders>
            <w:gridSpan w:val="1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70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4380" w:type="dxa"/>
            <w:vAlign w:val="bottom"/>
            <w:tcBorders>
              <w:bottom w:val="single" w:sz="8" w:color="CCEEFF"/>
            </w:tcBorders>
            <w:gridSpan w:val="6"/>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0000FF"/>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47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93"/>
              </w:rPr>
              <w:t>Item 9</w:t>
            </w:r>
          </w:p>
        </w:tc>
        <w:tc>
          <w:tcPr>
            <w:tcW w:w="780" w:type="dxa"/>
            <w:vAlign w:val="bottom"/>
            <w:gridSpan w:val="2"/>
          </w:tcPr>
          <w:p>
            <w:pPr>
              <w:spacing w:after="0"/>
              <w:rPr>
                <w:sz w:val="13"/>
                <w:szCs w:val="13"/>
                <w:color w:val="auto"/>
              </w:rPr>
            </w:pPr>
          </w:p>
        </w:tc>
        <w:tc>
          <w:tcPr>
            <w:tcW w:w="5100" w:type="dxa"/>
            <w:vAlign w:val="bottom"/>
            <w:tcBorders>
              <w:bottom w:val="single" w:sz="8" w:color="0000FF"/>
            </w:tcBorders>
            <w:gridSpan w:val="18"/>
          </w:tcPr>
          <w:p>
            <w:pPr>
              <w:spacing w:after="0" w:line="14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660" w:type="dxa"/>
            <w:vAlign w:val="bottom"/>
            <w:gridSpan w:val="3"/>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88</w:t>
            </w:r>
          </w:p>
        </w:tc>
        <w:tc>
          <w:tcPr>
            <w:tcW w:w="20" w:type="dxa"/>
            <w:vAlign w:val="bottom"/>
          </w:tcPr>
          <w:p>
            <w:pPr>
              <w:spacing w:after="0"/>
              <w:rPr>
                <w:sz w:val="13"/>
                <w:szCs w:val="13"/>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0000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w w:val="90"/>
              </w:rPr>
              <w:t>Item 9A</w:t>
            </w:r>
          </w:p>
        </w:tc>
        <w:tc>
          <w:tcPr>
            <w:tcW w:w="700" w:type="dxa"/>
            <w:vAlign w:val="bottom"/>
            <w:tcBorders>
              <w:left w:val="single" w:sz="8" w:color="CCEEFF"/>
              <w:bottom w:val="single" w:sz="8" w:color="CCEEFF"/>
            </w:tcBorders>
            <w:shd w:val="clear" w:color="auto" w:fill="CCEEFF"/>
          </w:tcPr>
          <w:p>
            <w:pPr>
              <w:spacing w:after="0"/>
              <w:rPr>
                <w:sz w:val="14"/>
                <w:szCs w:val="14"/>
                <w:color w:val="auto"/>
              </w:rPr>
            </w:pPr>
          </w:p>
        </w:tc>
        <w:tc>
          <w:tcPr>
            <w:tcW w:w="1400" w:type="dxa"/>
            <w:vAlign w:val="bottom"/>
            <w:tcBorders>
              <w:bottom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Controls and Procedures</w:t>
            </w:r>
          </w:p>
        </w:tc>
        <w:tc>
          <w:tcPr>
            <w:tcW w:w="6360" w:type="dxa"/>
            <w:vAlign w:val="bottom"/>
            <w:tcBorders>
              <w:bottom w:val="single" w:sz="8" w:color="CCEEFF"/>
            </w:tcBorders>
            <w:gridSpan w:val="13"/>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88</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9B</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88</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9C</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89</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0000FF"/>
              </w:rPr>
              <w:t>Part III</w:t>
            </w:r>
          </w:p>
        </w:tc>
        <w:tc>
          <w:tcPr>
            <w:tcW w:w="460" w:type="dxa"/>
            <w:vAlign w:val="bottom"/>
            <w:tcBorders>
              <w:top w:val="single" w:sz="8" w:color="0000FF"/>
            </w:tcBorders>
            <w:gridSpan w:val="2"/>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90</w:t>
            </w:r>
          </w:p>
        </w:tc>
        <w:tc>
          <w:tcPr>
            <w:tcW w:w="20" w:type="dxa"/>
            <w:vAlign w:val="bottom"/>
            <w:tcBorders>
              <w:top w:val="single" w:sz="8" w:color="CCEEFF"/>
            </w:tcBorders>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tcBorders>
              <w:top w:val="single" w:sz="8" w:color="0000FF"/>
            </w:tcBorders>
            <w:shd w:val="clear" w:color="auto" w:fill="CCEEFF"/>
          </w:tcPr>
          <w:p>
            <w:pPr>
              <w:spacing w:after="0"/>
              <w:rPr>
                <w:sz w:val="14"/>
                <w:szCs w:val="14"/>
                <w:color w:val="auto"/>
              </w:rPr>
            </w:pPr>
          </w:p>
        </w:tc>
        <w:tc>
          <w:tcPr>
            <w:tcW w:w="60" w:type="dxa"/>
            <w:vAlign w:val="bottom"/>
            <w:tcBorders>
              <w:top w:val="single" w:sz="8" w:color="0000FF"/>
            </w:tcBorders>
            <w:shd w:val="clear" w:color="auto" w:fill="CCEEFF"/>
          </w:tcPr>
          <w:p>
            <w:pPr>
              <w:spacing w:after="0"/>
              <w:rPr>
                <w:sz w:val="14"/>
                <w:szCs w:val="14"/>
                <w:color w:val="auto"/>
              </w:rPr>
            </w:pPr>
          </w:p>
        </w:tc>
        <w:tc>
          <w:tcPr>
            <w:tcW w:w="40" w:type="dxa"/>
            <w:vAlign w:val="bottom"/>
            <w:tcBorders>
              <w:top w:val="single" w:sz="8" w:color="0000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10</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200" w:type="dxa"/>
            <w:vAlign w:val="bottom"/>
            <w:shd w:val="clear" w:color="auto" w:fill="CCEEFF"/>
          </w:tcPr>
          <w:p>
            <w:pPr>
              <w:spacing w:after="0"/>
              <w:rPr>
                <w:sz w:val="14"/>
                <w:szCs w:val="14"/>
                <w:color w:val="auto"/>
              </w:rPr>
            </w:pPr>
          </w:p>
        </w:tc>
        <w:tc>
          <w:tcPr>
            <w:tcW w:w="140" w:type="dxa"/>
            <w:vAlign w:val="bottom"/>
            <w:tcBorders>
              <w:top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90</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4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0000FF"/>
              <w:bottom w:val="single" w:sz="8" w:color="0000FF"/>
            </w:tcBorders>
          </w:tcPr>
          <w:p>
            <w:pPr>
              <w:spacing w:after="0" w:line="149" w:lineRule="exact"/>
              <w:rPr>
                <w:sz w:val="20"/>
                <w:szCs w:val="20"/>
                <w:color w:val="auto"/>
              </w:rPr>
            </w:pPr>
            <w:r>
              <w:rPr>
                <w:rFonts w:ascii="Times New Roman" w:cs="Times New Roman" w:eastAsia="Times New Roman" w:hAnsi="Times New Roman"/>
                <w:sz w:val="14"/>
                <w:szCs w:val="14"/>
                <w:color w:val="0000FF"/>
                <w:w w:val="78"/>
              </w:rPr>
              <w:t>Item 11</w:t>
            </w:r>
          </w:p>
        </w:tc>
        <w:tc>
          <w:tcPr>
            <w:tcW w:w="780" w:type="dxa"/>
            <w:vAlign w:val="bottom"/>
            <w:tcBorders>
              <w:top w:val="single" w:sz="8" w:color="CCEEFF"/>
            </w:tcBorders>
            <w:gridSpan w:val="2"/>
          </w:tcPr>
          <w:p>
            <w:pPr>
              <w:spacing w:after="0"/>
              <w:rPr>
                <w:sz w:val="13"/>
                <w:szCs w:val="13"/>
                <w:color w:val="auto"/>
              </w:rPr>
            </w:pPr>
          </w:p>
        </w:tc>
        <w:tc>
          <w:tcPr>
            <w:tcW w:w="1420" w:type="dxa"/>
            <w:vAlign w:val="bottom"/>
            <w:tcBorders>
              <w:top w:val="single" w:sz="8" w:color="0000FF"/>
              <w:bottom w:val="single" w:sz="8" w:color="0000FF"/>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FF"/>
                <w:w w:val="99"/>
              </w:rPr>
              <w:t>Executive Compensation</w:t>
            </w:r>
          </w:p>
        </w:tc>
        <w:tc>
          <w:tcPr>
            <w:tcW w:w="1420" w:type="dxa"/>
            <w:vAlign w:val="bottom"/>
            <w:tcBorders>
              <w:top w:val="single" w:sz="8" w:color="0000FF"/>
            </w:tcBorders>
            <w:gridSpan w:val="5"/>
          </w:tcPr>
          <w:p>
            <w:pPr>
              <w:spacing w:after="0"/>
              <w:rPr>
                <w:sz w:val="13"/>
                <w:szCs w:val="13"/>
                <w:color w:val="auto"/>
              </w:rPr>
            </w:pPr>
          </w:p>
        </w:tc>
        <w:tc>
          <w:tcPr>
            <w:tcW w:w="4920" w:type="dxa"/>
            <w:vAlign w:val="bottom"/>
            <w:tcBorders>
              <w:top w:val="single" w:sz="8" w:color="CCEEFF"/>
            </w:tcBorders>
            <w:gridSpan w:val="7"/>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90</w:t>
            </w:r>
          </w:p>
        </w:tc>
        <w:tc>
          <w:tcPr>
            <w:tcW w:w="20" w:type="dxa"/>
            <w:vAlign w:val="bottom"/>
            <w:tcBorders>
              <w:top w:val="single" w:sz="8" w:color="CCEEFF"/>
            </w:tcBorders>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12</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90</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2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13</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Certain Relationships and Related Transactions</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90</w:t>
            </w:r>
          </w:p>
        </w:tc>
        <w:tc>
          <w:tcPr>
            <w:tcW w:w="20" w:type="dxa"/>
            <w:vAlign w:val="bottom"/>
          </w:tcPr>
          <w:p>
            <w:pPr>
              <w:spacing w:after="0"/>
              <w:rPr>
                <w:sz w:val="12"/>
                <w:szCs w:val="12"/>
                <w:color w:val="auto"/>
              </w:rPr>
            </w:pPr>
          </w:p>
        </w:tc>
      </w:tr>
      <w:tr>
        <w:trPr>
          <w:trHeight w:val="26"/>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14</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90</w:t>
            </w:r>
          </w:p>
        </w:tc>
        <w:tc>
          <w:tcPr>
            <w:tcW w:w="20" w:type="dxa"/>
            <w:vAlign w:val="bottom"/>
            <w:shd w:val="clear" w:color="auto" w:fill="CCEEFF"/>
          </w:tcPr>
          <w:p>
            <w:pPr>
              <w:spacing w:after="0"/>
              <w:rPr>
                <w:sz w:val="14"/>
                <w:szCs w:val="14"/>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60" w:type="dxa"/>
            <w:vAlign w:val="bottom"/>
            <w:tcBorders>
              <w:top w:val="single" w:sz="8" w:color="CCEEFF"/>
              <w:bottom w:val="single" w:sz="8" w:color="0000FF"/>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0000FF"/>
                <w:w w:val="96"/>
              </w:rPr>
              <w:t>Part IV</w:t>
            </w:r>
          </w:p>
        </w:tc>
        <w:tc>
          <w:tcPr>
            <w:tcW w:w="52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780" w:type="dxa"/>
            <w:vAlign w:val="bottom"/>
            <w:tcBorders>
              <w:top w:val="single" w:sz="8" w:color="CCEEFF"/>
            </w:tcBorders>
            <w:gridSpan w:val="2"/>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54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tcPr>
          <w:p>
            <w:pPr>
              <w:spacing w:after="0"/>
              <w:rPr>
                <w:sz w:val="13"/>
                <w:szCs w:val="13"/>
                <w:color w:val="auto"/>
              </w:rPr>
            </w:pPr>
          </w:p>
        </w:tc>
        <w:tc>
          <w:tcPr>
            <w:tcW w:w="12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200" w:type="dxa"/>
            <w:vAlign w:val="bottom"/>
            <w:tcBorders>
              <w:top w:val="single" w:sz="8" w:color="CCEEFF"/>
            </w:tcBorders>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91</w:t>
            </w:r>
          </w:p>
        </w:tc>
        <w:tc>
          <w:tcPr>
            <w:tcW w:w="20" w:type="dxa"/>
            <w:vAlign w:val="bottom"/>
            <w:tcBorders>
              <w:top w:val="single" w:sz="8" w:color="CCEEFF"/>
            </w:tcBorders>
          </w:tcPr>
          <w:p>
            <w:pPr>
              <w:spacing w:after="0"/>
              <w:rPr>
                <w:sz w:val="13"/>
                <w:szCs w:val="13"/>
                <w:color w:val="auto"/>
              </w:rPr>
            </w:pPr>
          </w:p>
        </w:tc>
      </w:tr>
      <w:tr>
        <w:trPr>
          <w:trHeight w:val="154"/>
        </w:trPr>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Item 15</w:t>
            </w:r>
          </w:p>
        </w:tc>
        <w:tc>
          <w:tcPr>
            <w:tcW w:w="7760" w:type="dxa"/>
            <w:vAlign w:val="bottom"/>
            <w:gridSpan w:val="21"/>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1340" w:type="dxa"/>
            <w:vAlign w:val="bottom"/>
            <w:tcBorders>
              <w:right w:val="single" w:sz="8" w:color="CCEE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rPr>
              <w:t>91</w:t>
            </w:r>
          </w:p>
        </w:tc>
        <w:tc>
          <w:tcPr>
            <w:tcW w:w="20" w:type="dxa"/>
            <w:vAlign w:val="bottom"/>
            <w:shd w:val="clear" w:color="auto" w:fill="CCEEFF"/>
          </w:tcPr>
          <w:p>
            <w:pPr>
              <w:spacing w:after="0"/>
              <w:rPr>
                <w:sz w:val="13"/>
                <w:szCs w:val="13"/>
                <w:color w:val="auto"/>
              </w:rPr>
            </w:pPr>
          </w:p>
        </w:tc>
      </w:tr>
      <w:tr>
        <w:trPr>
          <w:trHeight w:val="32"/>
        </w:trPr>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CCEEFF"/>
          </w:tcPr>
          <w:p>
            <w:pPr>
              <w:spacing w:after="0"/>
              <w:rPr>
                <w:sz w:val="2"/>
                <w:szCs w:val="2"/>
                <w:color w:val="auto"/>
              </w:rPr>
            </w:pPr>
          </w:p>
        </w:tc>
        <w:tc>
          <w:tcPr>
            <w:tcW w:w="700" w:type="dxa"/>
            <w:vAlign w:val="bottom"/>
            <w:tcBorders>
              <w:left w:val="single" w:sz="8" w:color="CCEEFF"/>
            </w:tcBorders>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tcBorders>
              <w:right w:val="single" w:sz="8" w:color="0000FF"/>
            </w:tcBorders>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0000FF"/>
              </w:rPr>
              <w:t>Item 16</w:t>
            </w:r>
          </w:p>
        </w:tc>
        <w:tc>
          <w:tcPr>
            <w:tcW w:w="7760" w:type="dxa"/>
            <w:vAlign w:val="bottom"/>
            <w:gridSpan w:val="21"/>
          </w:tcPr>
          <w:p>
            <w:pPr>
              <w:spacing w:after="0" w:line="149" w:lineRule="exact"/>
              <w:rPr>
                <w:sz w:val="20"/>
                <w:szCs w:val="20"/>
                <w:color w:val="auto"/>
              </w:rPr>
            </w:pPr>
            <w:r>
              <w:rPr>
                <w:rFonts w:ascii="Times New Roman" w:cs="Times New Roman" w:eastAsia="Times New Roman" w:hAnsi="Times New Roman"/>
                <w:sz w:val="14"/>
                <w:szCs w:val="14"/>
                <w:color w:val="0000FF"/>
              </w:rPr>
              <w:t>Form 10-K Summary</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rPr>
              <w:t>96</w:t>
            </w:r>
          </w:p>
        </w:tc>
        <w:tc>
          <w:tcPr>
            <w:tcW w:w="20" w:type="dxa"/>
            <w:vAlign w:val="bottom"/>
          </w:tcPr>
          <w:p>
            <w:pPr>
              <w:spacing w:after="0"/>
              <w:rPr>
                <w:sz w:val="13"/>
                <w:szCs w:val="13"/>
                <w:color w:val="auto"/>
              </w:rPr>
            </w:pPr>
          </w:p>
        </w:tc>
      </w:tr>
      <w:tr>
        <w:trPr>
          <w:trHeight w:val="166"/>
        </w:trPr>
        <w:tc>
          <w:tcPr>
            <w:tcW w:w="20" w:type="dxa"/>
            <w:vAlign w:val="bottom"/>
            <w:shd w:val="clear" w:color="auto" w:fill="CCEEFF"/>
          </w:tcPr>
          <w:p>
            <w:pPr>
              <w:spacing w:after="0"/>
              <w:rPr>
                <w:sz w:val="14"/>
                <w:szCs w:val="14"/>
                <w:color w:val="auto"/>
              </w:rPr>
            </w:pPr>
          </w:p>
        </w:tc>
        <w:tc>
          <w:tcPr>
            <w:tcW w:w="980" w:type="dxa"/>
            <w:vAlign w:val="bottom"/>
            <w:gridSpan w:val="5"/>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0000FF"/>
              </w:rPr>
              <w:t>SIGNATURES</w:t>
            </w:r>
          </w:p>
        </w:tc>
        <w:tc>
          <w:tcPr>
            <w:tcW w:w="380" w:type="dxa"/>
            <w:vAlign w:val="bottom"/>
            <w:tcBorders>
              <w:top w:val="single" w:sz="8" w:color="0000FF"/>
            </w:tcBorders>
            <w:shd w:val="clear" w:color="auto" w:fill="CCEEFF"/>
          </w:tcPr>
          <w:p>
            <w:pPr>
              <w:spacing w:after="0"/>
              <w:rPr>
                <w:sz w:val="14"/>
                <w:szCs w:val="14"/>
                <w:color w:val="auto"/>
              </w:rPr>
            </w:pPr>
          </w:p>
        </w:tc>
        <w:tc>
          <w:tcPr>
            <w:tcW w:w="780" w:type="dxa"/>
            <w:vAlign w:val="bottom"/>
            <w:tcBorders>
              <w:left w:val="single" w:sz="8" w:color="CCEEFF"/>
            </w:tcBorders>
            <w:gridSpan w:val="2"/>
            <w:shd w:val="clear" w:color="auto" w:fill="CCEEFF"/>
          </w:tcPr>
          <w:p>
            <w:pPr>
              <w:spacing w:after="0"/>
              <w:rPr>
                <w:sz w:val="14"/>
                <w:szCs w:val="14"/>
                <w:color w:val="auto"/>
              </w:rPr>
            </w:pPr>
          </w:p>
        </w:tc>
        <w:tc>
          <w:tcPr>
            <w:tcW w:w="500" w:type="dxa"/>
            <w:vAlign w:val="bottom"/>
            <w:tcBorders>
              <w:top w:val="single" w:sz="8" w:color="0000FF"/>
            </w:tcBorders>
            <w:shd w:val="clear" w:color="auto" w:fill="CCEEFF"/>
          </w:tcPr>
          <w:p>
            <w:pPr>
              <w:spacing w:after="0"/>
              <w:rPr>
                <w:sz w:val="14"/>
                <w:szCs w:val="14"/>
                <w:color w:val="auto"/>
              </w:rPr>
            </w:pPr>
          </w:p>
        </w:tc>
        <w:tc>
          <w:tcPr>
            <w:tcW w:w="120" w:type="dxa"/>
            <w:vAlign w:val="bottom"/>
            <w:tcBorders>
              <w:top w:val="single" w:sz="8" w:color="0000FF"/>
              <w:right w:val="single" w:sz="8" w:color="CCEEFF"/>
            </w:tcBorders>
            <w:shd w:val="clear" w:color="auto" w:fill="CCEEFF"/>
          </w:tcPr>
          <w:p>
            <w:pPr>
              <w:spacing w:after="0"/>
              <w:rPr>
                <w:sz w:val="14"/>
                <w:szCs w:val="14"/>
                <w:color w:val="auto"/>
              </w:rPr>
            </w:pPr>
          </w:p>
        </w:tc>
        <w:tc>
          <w:tcPr>
            <w:tcW w:w="100" w:type="dxa"/>
            <w:vAlign w:val="bottom"/>
            <w:tcBorders>
              <w:top w:val="single" w:sz="8" w:color="0000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24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160" w:type="dxa"/>
            <w:vAlign w:val="bottom"/>
            <w:tcBorders>
              <w:top w:val="single" w:sz="8" w:color="0000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tcBorders>
              <w:top w:val="single" w:sz="8" w:color="0000FF"/>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97</w:t>
            </w:r>
          </w:p>
        </w:tc>
        <w:tc>
          <w:tcPr>
            <w:tcW w:w="20" w:type="dxa"/>
            <w:vAlign w:val="bottom"/>
            <w:shd w:val="clear" w:color="auto" w:fill="CCEEFF"/>
          </w:tcPr>
          <w:p>
            <w:pPr>
              <w:spacing w:after="0"/>
              <w:rPr>
                <w:sz w:val="14"/>
                <w:szCs w:val="14"/>
                <w:color w:val="auto"/>
              </w:rPr>
            </w:pPr>
          </w:p>
        </w:tc>
      </w:tr>
      <w:tr>
        <w:trPr>
          <w:trHeight w:val="765"/>
        </w:trPr>
        <w:tc>
          <w:tcPr>
            <w:tcW w:w="2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70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2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1380" w:type="dxa"/>
            <w:vAlign w:val="bottom"/>
            <w:tcBorders>
              <w:top w:val="single" w:sz="8" w:color="CCEEFF"/>
              <w:bottom w:val="single" w:sz="8" w:color="9A9A9A"/>
            </w:tcBorders>
          </w:tcPr>
          <w:p>
            <w:pPr>
              <w:spacing w:after="0"/>
              <w:rPr>
                <w:sz w:val="24"/>
                <w:szCs w:val="24"/>
                <w:color w:val="auto"/>
              </w:rPr>
            </w:pPr>
          </w:p>
        </w:tc>
        <w:tc>
          <w:tcPr>
            <w:tcW w:w="120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533" w:right="319" w:bottom="1440" w:gutter="0" w:footer="0" w:header="0"/>
        </w:sectPr>
      </w:pPr>
    </w:p>
    <w:bookmarkStart w:id="3" w:name="page4"/>
    <w:bookmarkEnd w:id="3"/>
    <w:p>
      <w:pPr>
        <w:ind w:right="20"/>
        <w:spacing w:after="0" w:line="254" w:lineRule="auto"/>
        <w:rPr>
          <w:sz w:val="20"/>
          <w:szCs w:val="20"/>
          <w:color w:val="auto"/>
        </w:rPr>
      </w:pPr>
      <w:r>
        <w:rPr>
          <w:rFonts w:ascii="Times New Roman" w:cs="Times New Roman" w:eastAsia="Times New Roman" w:hAnsi="Times New Roman"/>
          <w:sz w:val="14"/>
          <w:szCs w:val="14"/>
          <w:color w:val="auto"/>
        </w:rPr>
        <w:t>Statements contained in this annual report that are not historical fact and use predictive words such as “estimates”, “outlook”, “guidance”, “expect”, “believe”, “intend”, “designed”, “target”, “plans”, “may”, “will”, “are confident” and similar words are forward-looking statements (as such term is defined in the Private Securities Litigation Reform Act of 1995). These forward-looking statements and related assumptions involve risks and uncertainties that could cause actual results and outcomes to differ materially from any forward-looking statements or views expressed in this press release. These risks and uncertainties include, but are not limited to, those discussed in the subsection entitled “Risk Factors” under Part I, Item 1A, of this Annual Report on 10-K, and otherwise in our reports and filings with the Securities and Exchange Commission, as well as the following factors: risks related to public health crises, such as the COVID-19 pandemic; changes in global economic and financial conditions, and the resulting impact on consumer confidence and consumer spending, as well as other changes in consumer discretionary spending habits; continued inflationary pressures with respect to labor and raw materials and global supply chain constraints that have, and could continue, to affect freight, transit, and other costs; risks related to geopolitical conflict, including ongoing geopolitical challenges between the United States and China, the ongoing hostilities in Ukraine, Israel, and the Red Sea region, acts of terrorism, mass casualty events, social unrest, civil disturbance or disobedience; risks related to a shutdown of the U.S. government; financial difficulties for one or more of our major customers; an overall decrease in consumer spending, including, but not limited to, decreases in birth rates; our products not being accepted in the marketplace and our failure to manage our inventory; increased competition in the market place; diminished value of our brands; the failure to protect our intellectual property; the failure to comply with applicable quality standards or regulations; unseasonable or extreme weather conditions; pending and threatened lawsuits; a breach of our information technology systems and the loss of personal data; increased margin pressures, including increased cost of materials and labor and our inability to successfully increase prices to offset these increased costs; our foreign sourcing arrangements; disruptions in our supply chain, including increased transportation and freight costs; the management and expansion of our business domestically and internationally; the acquisition and integration of other brands and businesses; changes in our tax obligations, including additional customs, duties or tariffs; fluctuations in foreign currency exchange rates; risks associated with corporate responsibility issues; our ability to achieve our forecasted financial results for the fiscal year; our continued ability to declare and pay a dividend and conduct share repurchases in future periods; our planned opening and closing of stores during the fiscal year. Except for any ongoing obligations to disclose material information as required by federal securities laws, the Company does not undertake any obligation to publicly update or revise any forward-looking statements, whether as a result of new information, future events, or otherwise. The inclusion of any statement in this Annual Report on Form 10-K does not constitute an admission by the Company or any other person that the events or circumstances described in such statement are material.</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indicates otherwise, in this filing on Form 10-K, “Carter’s,” the “Company,” “we,” “us,” “its,” and “our” refers to Carter’s, Inc. and its wholly owned subsidiaries.</w:t>
      </w:r>
    </w:p>
    <w:p>
      <w:pPr>
        <w:spacing w:after="0" w:line="14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market share data is based on information provided by Circana, LLC (formerly the NPD Group, Inc.). Circana, LLC. (“Circana”) data is based upon Consumer Panel Track</w:t>
      </w:r>
      <w:r>
        <w:rPr>
          <w:rFonts w:ascii="Times New Roman" w:cs="Times New Roman" w:eastAsia="Times New Roman" w:hAnsi="Times New Roman"/>
          <w:sz w:val="7"/>
          <w:szCs w:val="7"/>
          <w:color w:val="auto"/>
        </w:rPr>
        <w:t>SM</w:t>
      </w:r>
      <w:r>
        <w:rPr>
          <w:rFonts w:ascii="Times New Roman" w:cs="Times New Roman" w:eastAsia="Times New Roman" w:hAnsi="Times New Roman"/>
          <w:sz w:val="14"/>
          <w:szCs w:val="14"/>
          <w:color w:val="auto"/>
        </w:rPr>
        <w:t xml:space="preserve"> (consumer-reported sales) calibrated with selected retailers’ point of sale data for children’s apparel in the United States (“U.S.”) and represents the twelve-month period ended December 2023.</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Unless otherwise indicated, references to market share in this Annual Report on Form 10-K are expressed as a percentage of total retail sales of the stated market. Some Circana market share data is presented based on age segments. The baby and young children’s apparel market in which we compete includes apparel products for ages zero to 10 and is divided into the zero to two-year-old baby market, the three- to four-year-old toddler market, and the five- to 10-year-old kids market. Note that Carter’s defines its product offerings by sizes: baby (sizes newborn to 24 months), toddlers (sizes 2T to 5T), and kids (sizes 4-14). In addition, other Circana market share data is presented based on Circana’s definition of the baby and playclothes categories, which is different from Carter’s definitions of these categories.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Circana data cited in prior Annual Reports on Form 10-K were based on an alternate methodology no longer employed by Circana and are not comparable to the current year presentation.</w:t>
      </w:r>
    </w:p>
    <w:p>
      <w:pPr>
        <w:spacing w:after="0" w:line="14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 xml:space="preserve">Our trademarks that are referred to in this Annual Report on Form 10-K, including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 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Baby B’gosh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Little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Planet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Carter’s KID</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My Rewarding Moments</w:t>
      </w:r>
      <w:r>
        <w:rPr>
          <w:rFonts w:ascii="Times New Roman" w:cs="Times New Roman" w:eastAsia="Times New Roman" w:hAnsi="Times New Roman"/>
          <w:sz w:val="14"/>
          <w:szCs w:val="14"/>
          <w:color w:val="auto"/>
        </w:rPr>
        <w:t>, many of which are registered in the United States and in over 100 other countries and territories, are each the property of one or more subsidiaries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Carter’s, Inc.</w:t>
      </w:r>
    </w:p>
    <w:p>
      <w:pPr>
        <w:spacing w:after="0" w:line="83" w:lineRule="exact"/>
        <w:rPr>
          <w:sz w:val="20"/>
          <w:szCs w:val="20"/>
          <w:color w:val="auto"/>
        </w:rPr>
      </w:pPr>
    </w:p>
    <w:p>
      <w:pPr>
        <w:ind w:right="140"/>
        <w:spacing w:after="0" w:line="217" w:lineRule="auto"/>
        <w:rPr>
          <w:sz w:val="20"/>
          <w:szCs w:val="20"/>
          <w:color w:val="auto"/>
        </w:rPr>
      </w:pPr>
      <w:r>
        <w:rPr>
          <w:rFonts w:ascii="Times New Roman" w:cs="Times New Roman" w:eastAsia="Times New Roman" w:hAnsi="Times New Roman"/>
          <w:sz w:val="14"/>
          <w:szCs w:val="14"/>
          <w:color w:val="auto"/>
        </w:rPr>
        <w:t>The Company’s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2023 ended on December 30, 2023, fiscal 2022 ended on December 31, 2022, and fiscal 2021 ended on January 1, 2022. All three fiscal years contained 52 calendar weeks.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OshKosh B’gosh </w:t>
      </w:r>
      <w:r>
        <w:rPr>
          <w:rFonts w:ascii="Times New Roman" w:cs="Times New Roman" w:eastAsia="Times New Roman" w:hAnsi="Times New Roman"/>
          <w:sz w:val="14"/>
          <w:szCs w:val="14"/>
          <w:color w:val="auto"/>
        </w:rPr>
        <w:t>(or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We also own</w:t>
      </w:r>
      <w:r>
        <w:rPr>
          <w:rFonts w:ascii="Times New Roman" w:cs="Times New Roman" w:eastAsia="Times New Roman" w:hAnsi="Times New Roman"/>
          <w:sz w:val="14"/>
          <w:szCs w:val="14"/>
          <w:i w:val="1"/>
          <w:iCs w:val="1"/>
          <w:color w:val="auto"/>
        </w:rPr>
        <w:t xml:space="preserve"> Skip Hop</w:t>
      </w:r>
      <w:r>
        <w:rPr>
          <w:rFonts w:ascii="Times New Roman" w:cs="Times New Roman" w:eastAsia="Times New Roman" w:hAnsi="Times New Roman"/>
          <w:sz w:val="14"/>
          <w:szCs w:val="14"/>
          <w:color w:val="auto"/>
        </w:rPr>
        <w:t>, a leading young children’s lifestyle brand,</w:t>
      </w:r>
      <w:r>
        <w:rPr>
          <w:rFonts w:ascii="Times New Roman" w:cs="Times New Roman" w:eastAsia="Times New Roman" w:hAnsi="Times New Roman"/>
          <w:sz w:val="14"/>
          <w:szCs w:val="14"/>
          <w:i w:val="1"/>
          <w:iCs w:val="1"/>
          <w:color w:val="auto"/>
        </w:rPr>
        <w:t xml:space="preserve"> Little Planet</w:t>
      </w:r>
      <w:r>
        <w:rPr>
          <w:rFonts w:ascii="Times New Roman" w:cs="Times New Roman" w:eastAsia="Times New Roman" w:hAnsi="Times New Roman"/>
          <w:sz w:val="14"/>
          <w:szCs w:val="14"/>
          <w:color w:val="auto"/>
        </w:rPr>
        <w:t>, a brand focused on organic fabrics and sustainable materials, and exclusive</w:t>
      </w:r>
      <w:r>
        <w:rPr>
          <w:rFonts w:ascii="Times New Roman" w:cs="Times New Roman" w:eastAsia="Times New Roman" w:hAnsi="Times New Roman"/>
          <w:sz w:val="14"/>
          <w:szCs w:val="14"/>
          <w:i w:val="1"/>
          <w:iCs w:val="1"/>
          <w:color w:val="auto"/>
        </w:rPr>
        <w:t xml:space="preserve"> Carter’s </w:t>
      </w:r>
      <w:r>
        <w:rPr>
          <w:rFonts w:ascii="Times New Roman" w:cs="Times New Roman" w:eastAsia="Times New Roman" w:hAnsi="Times New Roman"/>
          <w:sz w:val="14"/>
          <w:szCs w:val="14"/>
          <w:color w:val="auto"/>
        </w:rPr>
        <w:t>brands developed for Amazon, Target, and Walmart.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Established in 1865,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recognized and trusted by consumers for high-quality apparel and accessories for children in sizes newborn to 14.</w:t>
      </w:r>
    </w:p>
    <w:p>
      <w:pPr>
        <w:spacing w:after="0" w:line="147"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1895,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is a well-known brand, trusted by consumers for high-quality apparel and accessories for children in sizes newborn to 14, with a focus on playclothes for toddlers and young children. We acquired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 2005.</w:t>
      </w:r>
    </w:p>
    <w:p>
      <w:pPr>
        <w:spacing w:after="0" w:line="88" w:lineRule="exact"/>
        <w:rPr>
          <w:sz w:val="20"/>
          <w:szCs w:val="20"/>
          <w:color w:val="auto"/>
        </w:rPr>
      </w:pPr>
    </w:p>
    <w:p>
      <w:pPr>
        <w:ind w:right="520"/>
        <w:spacing w:after="0" w:line="290" w:lineRule="auto"/>
        <w:rPr>
          <w:sz w:val="20"/>
          <w:szCs w:val="20"/>
          <w:color w:val="auto"/>
        </w:rPr>
      </w:pPr>
      <w:r>
        <w:rPr>
          <w:rFonts w:ascii="Times New Roman" w:cs="Times New Roman" w:eastAsia="Times New Roman" w:hAnsi="Times New Roman"/>
          <w:sz w:val="14"/>
          <w:szCs w:val="14"/>
          <w:color w:val="auto"/>
        </w:rPr>
        <w:t xml:space="preserve">Established in 2003,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rethinks, reenergizes, and reimagines durable necessities to create higher value, superior quality, and top-performing products for parents, babies, and toddlers. We acquired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 2017.</w:t>
      </w:r>
    </w:p>
    <w:p>
      <w:pPr>
        <w:spacing w:after="0" w:line="99"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color w:val="auto"/>
        </w:rPr>
        <w:t xml:space="preserve">Launched in 2021, the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focuses on sustainable clothing through the sourcing of mostly organic cotton as certified under the Global Organic Textile Standard (“GOTS”), a global textile processing standard for organic fibers. This brand includes a wide assortment of baby and toddler apparel, accessories, and sleepwear.</w:t>
      </w:r>
    </w:p>
    <w:p>
      <w:pPr>
        <w:spacing w:after="0" w:line="8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color w:val="auto"/>
        </w:rPr>
        <w:t xml:space="preserve">Additionally,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Walmart,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sold at Target, and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is available on Amazon.</w:t>
      </w:r>
    </w:p>
    <w:p>
      <w:pPr>
        <w:spacing w:after="0" w:line="9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Our mission is to serve the needs of all families with young children, with a vision to be the world’s favorite brands in young children’s apparel and related products. We believe our brands are complementary to one another in product offering and aesthetic. Each brand is uniquely positioned in the marketplace and offers great value to families with young children. The baby and young children’s apparel market, ages zero to 10, in the U.S. is approximately $28 billion as of December 2023. In this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including our exclusive brands, hold the #1 position with over 9% market share and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has approximately 1% market share as of December 2023.</w:t>
      </w:r>
    </w:p>
    <w:p>
      <w:pPr>
        <w:spacing w:after="0" w:line="11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Our multichannel global business model, which includes retail stores, eCommerce, and wholesale distribution channels, as well as omni-channel capabilities in the United States and Canada, enables us to reach a broad range of consumers around the world. At the end of fiscal 2023, our channels included 1,034 company-owned retail stores, eCommerce websites, approximately 19,350 wholesale locations in North America, as well as our international wholesale accounts and licensees who operate in over 1,100 locations outside of North America in over 90 countries.</w:t>
      </w:r>
    </w:p>
    <w:p>
      <w:pPr>
        <w:spacing w:after="0" w:line="10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business segments is contained in Item 8 “Financial Statements and Supplementary Data” and under Note 18,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85"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We have extensive experience in the young children’s apparel and accessories market and focus on delivering products that satisfy our consumers’ needs. Our long-term growth strategy focuses on three key strategic priorities:</w:t>
      </w:r>
    </w:p>
    <w:p>
      <w:pPr>
        <w:ind w:left="520" w:right="100" w:hanging="260"/>
        <w:spacing w:after="0" w:line="26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Provide the Best Value and Experience in Young Children’s Apparel — </w:t>
      </w:r>
      <w:r>
        <w:rPr>
          <w:rFonts w:ascii="Times New Roman" w:cs="Times New Roman" w:eastAsia="Times New Roman" w:hAnsi="Times New Roman"/>
          <w:sz w:val="14"/>
          <w:szCs w:val="14"/>
          <w:color w:val="auto"/>
        </w:rPr>
        <w:t>We own two of the best known and trusted brands in young children’s apparel –</w:t>
      </w:r>
      <w:r>
        <w:rPr>
          <w:rFonts w:ascii="Times New Roman" w:cs="Times New Roman" w:eastAsia="Times New Roman" w:hAnsi="Times New Roman"/>
          <w:sz w:val="14"/>
          <w:szCs w:val="14"/>
          <w:i w:val="1"/>
          <w:iCs w:val="1"/>
          <w:color w:val="auto"/>
        </w:rPr>
        <w:t xml:space="preserve"> Carter’s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OshKosh B’gosh</w:t>
      </w:r>
      <w:r>
        <w:rPr>
          <w:rFonts w:ascii="Times New Roman" w:cs="Times New Roman" w:eastAsia="Times New Roman" w:hAnsi="Times New Roman"/>
          <w:sz w:val="14"/>
          <w:szCs w:val="14"/>
          <w:color w:val="auto"/>
        </w:rPr>
        <w: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 100 years of rich history, these iconic brands have well-earned reputations for quality and value with generations of consumers, which has contributed to our leading market share in North America. Our omnichannel capabilities include retail stores located in open-air center, outlet, and mall locations as well as a highly rated website, which together provide the broadest and best expression of our assortment in the marketplace. These channels are fully integrated in the U.S. and Canada and provide convenience for consumers, to include same-day and curbside pickup of online purchases.</w:t>
      </w:r>
    </w:p>
    <w:p>
      <w:pPr>
        <w:spacing w:after="0" w:line="44" w:lineRule="exact"/>
        <w:rPr>
          <w:rFonts w:ascii="Times New Roman" w:cs="Times New Roman" w:eastAsia="Times New Roman" w:hAnsi="Times New Roman"/>
          <w:sz w:val="14"/>
          <w:szCs w:val="14"/>
          <w:color w:val="auto"/>
        </w:rPr>
      </w:pPr>
    </w:p>
    <w:p>
      <w:pPr>
        <w:ind w:left="520" w:right="80" w:hanging="260"/>
        <w:spacing w:after="0" w:line="290"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Leverage Our Market-Leading Distribution Capabilities — </w:t>
      </w:r>
      <w:r>
        <w:rPr>
          <w:rFonts w:ascii="Times New Roman" w:cs="Times New Roman" w:eastAsia="Times New Roman" w:hAnsi="Times New Roman"/>
          <w:sz w:val="14"/>
          <w:szCs w:val="14"/>
          <w:color w:val="auto"/>
        </w:rPr>
        <w:t>Our global, multichannel business model is unique. No other children’s apparel company in the world has our combined strength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wholesale, retail store, and online</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 w:name="page6"/>
    <w:bookmarkEnd w:id="5"/>
    <w:p>
      <w:pPr>
        <w:ind w:left="520" w:right="260"/>
        <w:spacing w:after="0" w:line="264" w:lineRule="auto"/>
        <w:rPr>
          <w:sz w:val="20"/>
          <w:szCs w:val="20"/>
          <w:color w:val="auto"/>
        </w:rPr>
      </w:pPr>
      <w:r>
        <w:rPr>
          <w:rFonts w:ascii="Times New Roman" w:cs="Times New Roman" w:eastAsia="Times New Roman" w:hAnsi="Times New Roman"/>
          <w:sz w:val="14"/>
          <w:szCs w:val="14"/>
          <w:color w:val="auto"/>
        </w:rPr>
        <w:t>capabilities. We are the largest specialty retailer in North America focused on young children’s apparel, with over 1,000 Company-operated stores and dedicated websites in the United States, Canada, and Mexico. In wholesale, we are the largest supplier of young children’s apparel to the largest retailers in North America. We have the most extensive distribution of childrenswear – our brands are sold in more than 19,350 retail locations in North America and through our wholesale customers’ websites. Our global distribution capabilities are further strengthened through our relationships with multi-national retailers and other wholesale partners with over 1,100 points of distribution, and over 100 global websites.</w:t>
      </w:r>
    </w:p>
    <w:p>
      <w:pPr>
        <w:spacing w:after="0" w:line="43" w:lineRule="exact"/>
        <w:rPr>
          <w:sz w:val="20"/>
          <w:szCs w:val="20"/>
          <w:color w:val="auto"/>
        </w:rPr>
      </w:pPr>
    </w:p>
    <w:p>
      <w:pPr>
        <w:ind w:left="520" w:hanging="260"/>
        <w:spacing w:after="0" w:line="259"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Drive Shareholder Value Through Profitability, Cash Flow, and Return of Excess Capital </w:t>
      </w:r>
      <w:r>
        <w:rPr>
          <w:rFonts w:ascii="Times New Roman" w:cs="Times New Roman" w:eastAsia="Times New Roman" w:hAnsi="Times New Roman"/>
          <w:sz w:val="14"/>
          <w:szCs w:val="14"/>
          <w:color w:val="auto"/>
        </w:rPr>
        <w:t>— We believe we possess a resilient business model, which historically has resulted in double-digit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margins, strong operating cash flow, low balance sheet leverage, and meaningful liquidity. In recent years we have benefited from structural changes to our business, which included focusing our efforts on fewer, better, and higher margin sales, reducing lower margin-product choices, closing over 100 low-margin stores, remaining lean on inventory and staffing, and focusing our marketing investments on brand building versus margin-erosive promotions. We believe these changes, along with planned improvements in marketing effectiveness, localized product offerings, and improved digital capabilities, will continue to support our margin, cash flow, and return of capital objectives. Cumulatively over the past 10 years, we have generated $3.5 billion in operating cash flow, invested approximately $0.7 billion in capital expenditures, and returned $2.5 billion to our shareholders through dividends and share repurchases.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Brands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Carter’s </w:t>
      </w:r>
      <w:r>
        <w:rPr>
          <w:rFonts w:ascii="Times New Roman" w:cs="Times New Roman" w:eastAsia="Times New Roman" w:hAnsi="Times New Roman"/>
          <w:sz w:val="14"/>
          <w:szCs w:val="14"/>
          <w:b w:val="1"/>
          <w:bCs w:val="1"/>
          <w:color w:val="auto"/>
        </w:rPr>
        <w:t>&amp;</w:t>
      </w:r>
      <w:r>
        <w:rPr>
          <w:rFonts w:ascii="Times New Roman" w:cs="Times New Roman" w:eastAsia="Times New Roman" w:hAnsi="Times New Roman"/>
          <w:sz w:val="14"/>
          <w:szCs w:val="14"/>
          <w:b w:val="1"/>
          <w:bCs w:val="1"/>
          <w:i w:val="1"/>
          <w:iCs w:val="1"/>
          <w:color w:val="auto"/>
        </w:rPr>
        <w:t xml:space="preserve"> OshKosh B’gosh</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product offerings include apparel and accessories for babies (sizes newborn to 24 months), toddlers (sizes 2T to 5T), and kids (sizes 4-14).</w:t>
      </w:r>
    </w:p>
    <w:p>
      <w:pPr>
        <w:spacing w:after="0" w:line="15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4"/>
          <w:szCs w:val="14"/>
          <w:color w:val="auto"/>
        </w:rPr>
        <w:t xml:space="preserve">For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our focus is on essential and fashion apparel products for babies and young children, including bodysuits, layette essentials, sleep and play, pants, tops and t-shirts, multi-piece sets, dresses, and sleepwear. We attribute our leading market position to our strong value proposition, brand strength, distinctive design, and commitment to quality, as well as our broad wholesale distribution channel that includes successful and long-standing relationships with leading global and national retailers. Our marketing programs are targeted toward first-time parents, experienced parents, and gift-givers. Our core baby product line provides families with essential products and accessories, including value-focused multi-piece sets. We also have three exclusive </w:t>
      </w: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brands: our</w:t>
      </w:r>
      <w:r>
        <w:rPr>
          <w:rFonts w:ascii="Times New Roman" w:cs="Times New Roman" w:eastAsia="Times New Roman" w:hAnsi="Times New Roman"/>
          <w:sz w:val="14"/>
          <w:szCs w:val="14"/>
          <w:i w:val="1"/>
          <w:iCs w:val="1"/>
          <w:color w:val="auto"/>
        </w:rPr>
        <w:t xml:space="preserve"> Child of Mine </w:t>
      </w:r>
      <w:r>
        <w:rPr>
          <w:rFonts w:ascii="Times New Roman" w:cs="Times New Roman" w:eastAsia="Times New Roman" w:hAnsi="Times New Roman"/>
          <w:sz w:val="14"/>
          <w:szCs w:val="14"/>
          <w:color w:val="auto"/>
        </w:rPr>
        <w:t>brand, which is sold at Walmart, our</w:t>
      </w:r>
      <w:r>
        <w:rPr>
          <w:rFonts w:ascii="Times New Roman" w:cs="Times New Roman" w:eastAsia="Times New Roman" w:hAnsi="Times New Roman"/>
          <w:sz w:val="14"/>
          <w:szCs w:val="14"/>
          <w:i w:val="1"/>
          <w:iCs w:val="1"/>
          <w:color w:val="auto"/>
        </w:rPr>
        <w:t xml:space="preserve"> Just One You </w:t>
      </w:r>
      <w:r>
        <w:rPr>
          <w:rFonts w:ascii="Times New Roman" w:cs="Times New Roman" w:eastAsia="Times New Roman" w:hAnsi="Times New Roman"/>
          <w:sz w:val="14"/>
          <w:szCs w:val="14"/>
          <w:color w:val="auto"/>
        </w:rPr>
        <w:t>brand, which is sold at Target, and our</w:t>
      </w:r>
      <w:r>
        <w:rPr>
          <w:rFonts w:ascii="Times New Roman" w:cs="Times New Roman" w:eastAsia="Times New Roman" w:hAnsi="Times New Roman"/>
          <w:sz w:val="14"/>
          <w:szCs w:val="14"/>
          <w:i w:val="1"/>
          <w:iCs w:val="1"/>
          <w:color w:val="auto"/>
        </w:rPr>
        <w:t xml:space="preserve"> Simple Joys </w:t>
      </w:r>
      <w:r>
        <w:rPr>
          <w:rFonts w:ascii="Times New Roman" w:cs="Times New Roman" w:eastAsia="Times New Roman" w:hAnsi="Times New Roman"/>
          <w:sz w:val="14"/>
          <w:szCs w:val="14"/>
          <w:color w:val="auto"/>
        </w:rPr>
        <w:t>brand, which is available on Amazon.</w:t>
      </w:r>
    </w:p>
    <w:p>
      <w:pPr>
        <w:spacing w:after="0" w:line="108"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is the leading brand in the zero to 10-year-old market in the United States, with particular strength in the zero to two-year-old segment. As of December 2023, our multichannel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model enabled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to maintain a leading market share of over 9% in the zero to 10-year-old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maintained the leading market position with approximately 20% in the zero to two-year-old baby market and maintained its leading market position with approximately 10% in the three to four-year-old toddler market.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also have an approximately 3% market share in the five to ten-year-old kid market.</w:t>
      </w:r>
    </w:p>
    <w:p>
      <w:pPr>
        <w:spacing w:after="0" w:line="106"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The focus of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is high-quality playclothes, including denim jeans, overalls, core bottoms, knit tops, t-shirts, and layering pieces for everyday use, primarily targeted at toddlers and young children. We believe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has significant brand name recognition, which consumers associate with high-quality, durable, and authentic playclothes for young children. As of December 2023, 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market share was approximately 1% of the zero to 10-year-old apparel market in the United States.</w:t>
      </w:r>
    </w:p>
    <w:p>
      <w:pPr>
        <w:spacing w:after="0" w:line="11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 xml:space="preserve">For both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we employ cross-functional teams to develop our product assortments. Team members from merchandising, art, design, sourcing, product development, and planning follow a disciplined development process. We believe this approach, which includes consumer research, value engineering, and rigorous attention to detail, results in compelling consumer product offerings, increases consumer response, and supports efficient and productive operations.</w:t>
      </w:r>
    </w:p>
    <w:p>
      <w:pPr>
        <w:spacing w:after="0" w:line="104"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We are focused on strengthening our brands with consumers by differentiating our products through fabric softness, on-trend styling, updated packaging and presentation strategies, and consumer-facing marketing. We also place importance on differentiating our brand experience through in-store fixturing, branding, signage, photography, and advertising across all of our global channels of distribution.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color w:val="auto"/>
        </w:rPr>
        <w:t>Licensed Products</w:t>
      </w:r>
    </w:p>
    <w:p>
      <w:pPr>
        <w:spacing w:after="0" w:line="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4"/>
          <w:szCs w:val="14"/>
          <w:color w:val="auto"/>
        </w:rPr>
        <w:t xml:space="preserve">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brands to various licensed partners in order to expand our product offerings into additional product categories such as footwear, outerwear, accessories (such as hair accessories and jewelry), toys, paper goods, home décor, cribs and baby furniture, and bedding. These licensed partners develop and sell our branded products through multiple sales channels, while leveraging our brand strength, customer relationships, and designs. Licensed products provide our customers with a range of lifestyle products that complement and expand upon our baby and young children’s apparel offerings. Our license agreements require strict adherence to our quality and compliance standards and provide for a multi-step product approval process. We work in conjunction with our licensing partners in the development of our branded products to aim to ensure consistency across product offerings with our brand vision of high-quality products at market-leading value.</w:t>
      </w:r>
    </w:p>
    <w:p>
      <w:pPr>
        <w:spacing w:after="0" w:line="112" w:lineRule="exact"/>
        <w:rPr>
          <w:sz w:val="20"/>
          <w:szCs w:val="20"/>
          <w:color w:val="auto"/>
        </w:rPr>
      </w:pPr>
    </w:p>
    <w:p>
      <w:pPr>
        <w:ind w:right="1140"/>
        <w:spacing w:after="0" w:line="409" w:lineRule="auto"/>
        <w:rPr>
          <w:sz w:val="20"/>
          <w:szCs w:val="20"/>
          <w:color w:val="auto"/>
        </w:rPr>
      </w:pPr>
      <w:r>
        <w:rPr>
          <w:rFonts w:ascii="Times New Roman" w:cs="Times New Roman" w:eastAsia="Times New Roman" w:hAnsi="Times New Roman"/>
          <w:sz w:val="14"/>
          <w:szCs w:val="14"/>
          <w:color w:val="auto"/>
        </w:rPr>
        <w:t xml:space="preserve">We also partner with other brand owners to further expand our retail apparel product offerings, including a range of licensed sports and character t-shirts, bodysuits, and sleepwear. </w:t>
      </w:r>
      <w:r>
        <w:rPr>
          <w:rFonts w:ascii="Times New Roman" w:cs="Times New Roman" w:eastAsia="Times New Roman" w:hAnsi="Times New Roman"/>
          <w:sz w:val="14"/>
          <w:szCs w:val="14"/>
          <w:b w:val="1"/>
          <w:bCs w:val="1"/>
          <w:i w:val="1"/>
          <w:iCs w:val="1"/>
          <w:color w:val="auto"/>
        </w:rPr>
        <w:t>Skip Hop</w:t>
      </w:r>
    </w:p>
    <w:p>
      <w:pPr>
        <w:spacing w:after="0" w:line="1"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color w:val="auto"/>
        </w:rPr>
        <w:t xml:space="preserve">Under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we design, source, and market products that are sold primarily to expectant parents and families with young children.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is best known for kid’s bags, home gear, and products for playtime, mealtime, bath time, and travel, and combines innovative functionality with attractive design.</w:t>
      </w:r>
    </w:p>
    <w:p>
      <w:pPr>
        <w:spacing w:after="0" w:line="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We believe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is a global lifestyle brand.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’s core philosophy and positioning revolves around its brand promise — “</w:t>
      </w:r>
      <w:r>
        <w:rPr>
          <w:rFonts w:ascii="Times New Roman" w:cs="Times New Roman" w:eastAsia="Times New Roman" w:hAnsi="Times New Roman"/>
          <w:sz w:val="14"/>
          <w:szCs w:val="14"/>
          <w:i w:val="1"/>
          <w:iCs w:val="1"/>
          <w:color w:val="auto"/>
        </w:rPr>
        <w:t>Must-Haves * Made Better.</w:t>
      </w:r>
      <w:r>
        <w:rPr>
          <w:rFonts w:ascii="Times New Roman" w:cs="Times New Roman" w:eastAsia="Times New Roman" w:hAnsi="Times New Roman"/>
          <w:sz w:val="14"/>
          <w:szCs w:val="14"/>
          <w:color w:val="auto"/>
        </w:rPr>
        <w:t xml:space="preserve">” This reflects the brand’s goal of creating innovative, smartly designed, and highly functional essentials for parents, babies, and toddlers.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team includes both in-house design and creative teams, each of which is dedicated to meeting that goal. We carry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branded products in our retail stores and on our eCommerce site, and have made investments in in-store fixturing, branding, and signage, along with digital advertising, to further strengthen the position of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Little Planet</w:t>
      </w:r>
    </w:p>
    <w:p>
      <w:pPr>
        <w:spacing w:after="0" w:line="7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 launched in 2021 and is a primarily organic and sustainable apparel brand created to serve a growing consumer need for beautiful heirloom-quality baby and toddler products developed using sustainable materials. The assortment of products includes sleepwear, swimwear, outerwear, bedding, accessories, and toys.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products are primarily sold through our eCommerce site, our retail stores, and in the wholesale channel at Target.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Channels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sell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branded products through multiple channels, both in the United States and globally.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Retail</w:t>
      </w:r>
    </w:p>
    <w:p>
      <w:pPr>
        <w:spacing w:after="0" w:line="7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Our U.S. Retail segment includes sales of our products through our U.S. retail stores and eCommerce sites, including through our omni-channel capabilities to allow our customers to experience our brands as a seamless shopping experience in the channel of their choice.</w:t>
      </w:r>
    </w:p>
    <w:p>
      <w:pPr>
        <w:spacing w:after="0" w:line="103"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Our U.S. retail stores are generally located in high-traffic open-air shopping centers and malls in or near major cities or in outlet centers that are near densely-populated areas. We believe our brand strength, product assortment, shopping experience, and high quality service have made our retail stores a destination for consumers seeking children’s apparel and accessories.</w:t>
      </w:r>
    </w:p>
    <w:p>
      <w:pPr>
        <w:spacing w:after="0" w:line="9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color w:val="auto"/>
        </w:rPr>
        <w:t xml:space="preserve">Each of our stores carries an assortment of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branded products, as well as other products, including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branded products, depending on the store and location. As of the end of fiscal 2023, the square footage of our stores ranged from approximately 4,300 to 7,300 square feet, with an average of approximately 5,000 square feet per location. As of the end of fiscal 2023, in the United States we operated 792 stores.</w:t>
      </w:r>
    </w:p>
    <w:p>
      <w:pPr>
        <w:spacing w:after="0" w:line="10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regularly assess potential new retail store locations and existing store closures based on demographic factors, retail adjacencies, competitive factors, population density, and growth projections as part of a rigorous real estate portfolio optimization process.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sell our products through our U.S. eCommerce websites at www.carters.com, www.oshkosh.com, and www.skiphop.com, and through our mobile app.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7" w:name="page8"/>
    <w:bookmarkEnd w:id="7"/>
    <w:p>
      <w:pPr>
        <w:ind w:right="220"/>
        <w:spacing w:after="0" w:line="287" w:lineRule="auto"/>
        <w:rPr>
          <w:sz w:val="20"/>
          <w:szCs w:val="20"/>
          <w:color w:val="auto"/>
        </w:rPr>
      </w:pPr>
      <w:r>
        <w:rPr>
          <w:rFonts w:ascii="Times New Roman" w:cs="Times New Roman" w:eastAsia="Times New Roman" w:hAnsi="Times New Roman"/>
          <w:sz w:val="14"/>
          <w:szCs w:val="14"/>
          <w:color w:val="auto"/>
        </w:rPr>
        <w:t>We focus on the customer experience through store and eCommerce website design, visual aesthetics, clear product presentation, and exceptional customer service. Our eCommerce websites also feature product recommendations and online-only offerings.</w:t>
      </w:r>
    </w:p>
    <w:p>
      <w:pPr>
        <w:spacing w:after="0" w:line="9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strive to create a seamless omni-channel experience between our retail stores and our eCommerce websites. Customers can choose to have eCommerce purchases shipped directly to them (same-day shipping available in select markets), to pick-up the purchases in a store (buy-online, pick-up in-store), or through our curbside pick-up services. eCommerce purchases, including from our eCommerce websites and mobile app, may be shipped from one of our distribution facilities or from a retail store (buy-online, deliver-from-store). Store purchases are primarily fulfilled from each store’s inventory, but our in-store buy-online services offer our broadest assortment to be shipped to a customer from one of our distribution facilities or from another retail store. In fiscal 2022, we began utilizing Radio Frequency Identification (“RFID”) technology in our stores. This technology helps us to improve our management of inventory and allows us to fulfill more omni-channel orders more effectively.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U.S. Wholesale segment includes sales of our products to our U.S. wholesale customers.</w:t>
      </w:r>
    </w:p>
    <w:p>
      <w:pPr>
        <w:spacing w:after="0" w:line="155"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 wholesale customers in the United States include major retailers, such as, in alphabetical order, Costco, JCPenney, Kohl’s, Macy’s, and Sam’s Club. Additionally, our </w:t>
      </w:r>
      <w:r>
        <w:rPr>
          <w:rFonts w:ascii="Times New Roman" w:cs="Times New Roman" w:eastAsia="Times New Roman" w:hAnsi="Times New Roman"/>
          <w:sz w:val="14"/>
          <w:szCs w:val="14"/>
          <w:i w:val="1"/>
          <w:iCs w:val="1"/>
          <w:color w:val="auto"/>
        </w:rPr>
        <w:t>Child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Mine </w:t>
      </w:r>
      <w:r>
        <w:rPr>
          <w:rFonts w:ascii="Times New Roman" w:cs="Times New Roman" w:eastAsia="Times New Roman" w:hAnsi="Times New Roman"/>
          <w:sz w:val="14"/>
          <w:szCs w:val="14"/>
          <w:color w:val="auto"/>
        </w:rPr>
        <w:t>exclusive brand is sold at Walmart, our</w:t>
      </w:r>
      <w:r>
        <w:rPr>
          <w:rFonts w:ascii="Times New Roman" w:cs="Times New Roman" w:eastAsia="Times New Roman" w:hAnsi="Times New Roman"/>
          <w:sz w:val="14"/>
          <w:szCs w:val="14"/>
          <w:i w:val="1"/>
          <w:iCs w:val="1"/>
          <w:color w:val="auto"/>
        </w:rPr>
        <w:t xml:space="preserve"> Just One You </w:t>
      </w:r>
      <w:r>
        <w:rPr>
          <w:rFonts w:ascii="Times New Roman" w:cs="Times New Roman" w:eastAsia="Times New Roman" w:hAnsi="Times New Roman"/>
          <w:sz w:val="14"/>
          <w:szCs w:val="14"/>
          <w:color w:val="auto"/>
        </w:rPr>
        <w:t>exclusive brand is sold at Target, and our</w:t>
      </w:r>
      <w:r>
        <w:rPr>
          <w:rFonts w:ascii="Times New Roman" w:cs="Times New Roman" w:eastAsia="Times New Roman" w:hAnsi="Times New Roman"/>
          <w:sz w:val="14"/>
          <w:szCs w:val="14"/>
          <w:i w:val="1"/>
          <w:iCs w:val="1"/>
          <w:color w:val="auto"/>
        </w:rPr>
        <w:t xml:space="preserve"> Simple Joys </w:t>
      </w:r>
      <w:r>
        <w:rPr>
          <w:rFonts w:ascii="Times New Roman" w:cs="Times New Roman" w:eastAsia="Times New Roman" w:hAnsi="Times New Roman"/>
          <w:sz w:val="14"/>
          <w:szCs w:val="14"/>
          <w:color w:val="auto"/>
        </w:rPr>
        <w:t>exclusive brand is available on Amazon.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 wholesale customers in the United States include major retailers, such as, in alphabetical order, Amazon and Target.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brand wholesale customers in the United States include major retailers, such as, in alphabetical order, Amazon, Target, and Walmart.</w:t>
      </w:r>
    </w:p>
    <w:p>
      <w:pPr>
        <w:spacing w:after="0" w:line="15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We collaborate with our wholesale customers to provide a consistent and high-level of service, and to drive growth through eCommerce, replenishment, product mix, and brand presentation initiatives. We also have frequent meetings with the senior management of key accounts to align on strategic growth plans.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largest wholesale customer accounted for approximately 10.4% of consolidated net sales in fiscal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8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 xml:space="preserve">Our International segment includes sales of our products through our retail stores and eCommerce sites in Canada and Mexico. As of the end of fiscal 2023, in Canada we operated 188 co-branded </w:t>
      </w:r>
      <w:r>
        <w:rPr>
          <w:rFonts w:ascii="Times New Roman" w:cs="Times New Roman" w:eastAsia="Times New Roman" w:hAnsi="Times New Roman"/>
          <w:sz w:val="14"/>
          <w:szCs w:val="14"/>
          <w:i w:val="1"/>
          <w:iCs w:val="1"/>
          <w:color w:val="auto"/>
        </w:rPr>
        <w:t xml:space="preserve">Carter’s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OshKosh </w:t>
      </w:r>
      <w:r>
        <w:rPr>
          <w:rFonts w:ascii="Times New Roman" w:cs="Times New Roman" w:eastAsia="Times New Roman" w:hAnsi="Times New Roman"/>
          <w:sz w:val="14"/>
          <w:szCs w:val="14"/>
          <w:color w:val="auto"/>
        </w:rPr>
        <w:t>retail stores and an eCommerce site at www.cartersoshkosh.ca, and in Mexico we operated 54 retail stores and an eCommerce site at www.carters.com.mx.</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 xml:space="preserve">Our International segment includes sales of our products to wholesale accounts outside of the United States, including both domestic retailers with international operations and international retailers. In addition, 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brands to international customers that sell our products through branded retail and online stores, as well as to wholesale customers, within their licensed territories. Our International segment includes sales of our products to these licensees, and royalty income based on sales made by certain licensees. As of the end of fiscal 2023 our International channel included wholesale accounts in approximately 19,350 locations in North America and wholesale accounts and licensees who operated in over 1,100 locations outside of North America. As of the end of fiscal 2023, we had 39 international licensees who operated in over 90 countries.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Marketing Strategy</w:t>
      </w:r>
    </w:p>
    <w:p>
      <w:pPr>
        <w:spacing w:after="0" w:line="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For all of our brands, our marketing is largely focused on driving brand preference and engagement with both first-time and experienced parents, as well as gift-givers. Our goal is to have the most top-of-mind, preferred brands in the young children’s apparel market and to connect with diverse, digitally savvy customers. As such, our marketing investments are targeted at acquiring new customers, developing stronger relationships with our existing customers, and extending our customers’ tenure with our brands, and include our newly-developed marketing personalization capabilities, customer loyalty program, digital and social media, and strengthened consumer-facing technologies such as our mobile app.</w:t>
      </w:r>
    </w:p>
    <w:p>
      <w:pPr>
        <w:spacing w:after="0" w:line="117"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We operate our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xml:space="preserve"> customer loyalty and rewards program in the United States to drive customer traffic, sales, and brand loyalty. This program is integrated across our U.S. retail stores and online businesses. During fiscal 2023, our U.S. retail sales were predominantly made to members of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In 2024, we will be relaunching our loyalty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program with the goals of further deepening our customer loyalty, increasing the frequency of visits, and growing customer lifetime value.</w:t>
      </w:r>
    </w:p>
    <w:p>
      <w:pPr>
        <w:spacing w:after="0" w:line="145"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 xml:space="preserve">Complementing our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xml:space="preserve"> loyalty program is our Carter’s credit card program, which we launched in the United States in 2019. A third-party financial institution issues the Carter’s credit card to consumers and bears all underwriting and credit risk under the program. The Carter’s credit card provides added benefits for our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xml:space="preserve"> customers, which it will continue to do with our loyalty program relaunch. Under the credit card program agreement with the third-party financial institution, the Company receives payments for the establishment of new credit accounts, as well as royalties on the usage of the credit card by customers.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Global Sourcing Network</w:t>
      </w:r>
    </w:p>
    <w:p>
      <w:pPr>
        <w:spacing w:after="0" w:line="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source all of our garments and other products from a global network of third-party suppliers, primarily located in Asia. We source the remainder of our products primarily through North America, Africa, and Central America. During fiscal 2023, approximately 74% of our product was sourced from Cambodia, Vietnam, Bangladesh, and India, and approximately 66% of the fabric that was used in the manufacture of our products was sourced from China, with the remainder primarily from India, Bangladesh, Thailand, and Taiwan. We do not own any raw materials or manufacturing facilities.</w:t>
      </w:r>
    </w:p>
    <w:p>
      <w:pPr>
        <w:spacing w:after="0" w:line="104"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Our sourcing operations are based in Hong Kong in order to facilitate better service and manage the volume of manufacturing in Asia. Our Hong Kong office acts as an agent for substantially all of our sourcing in Asia and monitors production at manufacturers’ facilities to ensure quality control, compliance with our manufacturing specifications and social responsibility standards, as well as timely delivery of finished garments to our distribution facilities. We also have sourcing offices in Cambodia, Vietnam, China, and Bangladesh to help support these efforts.</w:t>
      </w:r>
    </w:p>
    <w:p>
      <w:pPr>
        <w:spacing w:after="0" w:line="1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Prior to placing production, and on a recurring basis, we conduct assessments of political, social, economic, environmental, trade, labor and intellectual property protection conditions in the countries in which we source our products, and we conduct assessments of our manufacturers and supply chain, as discussed under “—Responsible Sourcing” below. In connection with the manufacture of our products, manufacturers purchase raw materials including fabric and other materials (such as linings, zippers, buttons, and trim) at our direction. We regularly inspect and supervise the manufacture of our products as well as test the products in order to maintain safety and quality control, monitor compliance with our manufacturing specifications and social responsibility standards, and to ensure timely delivery. We also inspect finished products at the manufacturing facilities.</w:t>
      </w:r>
    </w:p>
    <w:p>
      <w:pPr>
        <w:spacing w:after="0" w:line="11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generally arrange for the production of products on a purchase order basis with completed products manufactured to our design specifications. We assume the risk of loss predominantly on a Freight-On-Board (F.O.B.) basis when goods are delivered to a shipper and are insured against losses arising during shipping.</w:t>
      </w:r>
    </w:p>
    <w:p>
      <w:pPr>
        <w:spacing w:after="0" w:line="9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have not entered into any long-term contractual arrangements with any contractor or manufacturer. We believe that the production capacity of each foreign manufacturer with which we have developed, or are developing, a relationship is adequate to meet our production requirements for the foreseeable future. We believe that alternative foreign manufacturers are readily available.</w:t>
      </w:r>
    </w:p>
    <w:p>
      <w:pPr>
        <w:spacing w:after="0" w:line="10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expect all of our suppliers shipping to the United States to adhere to the requirements of the U.S. Customs and Border Protection’s Customs-Trade Partnership Against Terrorism (“C-TPAT”) program, including standards relating to facility security, procedural security, personnel security, cargo security, and the overall protection of the supply chain. In the event a supplier does not comply with our C-TPAT requirements, or if we have determined that the supplier will be unable to correct a deficiency, we may move that supplier’s product through alternative supply chain channels or we may terminate our business relationship with the supplier.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Responsible Sourcing</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We have adopted a factory on-boarding program that allows us to assess each factory’s compliance with our ethical and social responsibility standards before we place orders for product with that factory. Additionally, we regularly assess the manufacturing facilities we use through periodic on-site facility inspections, including the use of independent auditors to supplement our internal staff. We use audit data and performance results to identify potential improvements, and we integrate this information into our on-going sourcing decisions. Our vendor code of ethics, with which we require our factories to comply, outlines our standards for supplier behavior in creating a fair and safe workplace and covers employment practices, such as wages and benefits, working hours, health and safety, working age, and discriminatory practices, as well as environmental, ethical, and other legal matters. In addition, our social responsibility policy establishes our expectations for our global suppliers and guides our oversight. This policy is derived from the policies, standards, and conventions of the International Labor Organization, and includes a commitment to the Universal Declaration of Human Rights.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Sustainability</w:t>
      </w:r>
    </w:p>
    <w:p>
      <w:pPr>
        <w:spacing w:after="0" w:line="85"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4"/>
          <w:szCs w:val="14"/>
          <w:color w:val="auto"/>
        </w:rPr>
        <w:t>We issued our third annual Corporate Social Responsibility (“CSR”) Report in fiscal 2023, in which we highlighted our three strategic pillars that guide our long-term CSR commitments: Product, Planet, and People. In furtherance of these commitments, we discussed our efforts to grow our sustainable product offerings, reduce our carbon footprint, and uplift our workers and communities. In fiscal 2022, we continued to transition to more sustainably grown cotton through the Better Cotton Initiative and introduced LENZING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ECOVERO</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 sustainable viscose fiber sourced from responsibly managed forests. We also expanded the scope of our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product offerings, and we plan to increase the availability of sustainable choices across all our product lines. We have increased our transparency on our chemicals management process by publishing a Restricted Substances List, designating chemicals that should be minimized or avoided in our apparel and accessories, and are working with our suppliers to minimize or avoid the use of such chemicals in our products. We use the OEKO-TEX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Standard 100 certification label, a well-known certification for textiles tested for harmful substances, which appeared on much of our baby apparel and sleepwear in fiscal 2023. We have established targets, validated by the Science-Based Target Initiative, to reduce our Scope 1 and 2 greenhouse gas emissions.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Global Distribution Network</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majority of all finished goods manufactured for us is shipped to our distribution facilities or to designated third-party facilities for final inspection, allocation, and reshipment to customers. The goods are delivered to us and to our customers by independent shippers. We choose the form of shipment based upon needs, costs, and timing considerations.</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the United States, we operate three distribution centers in Georgia: an approximately 1.1 million square-foot multichannel facility in Braselton, a 0.5 million square-foot facility in Stockbridge, and a 0.2 million square-foot single-channel facility in Jonesboro. We outsource certain distribution activities to third-party logistics providers located in California and leverage additional third-party providers in Georgia primarily for storage seasonally. Our distribution center activities include receiving finished goods from our vendors, inspecting those products, and preparing and shipping them to our wholesale customers, retail stores, and eCommerce customers.</w:t>
      </w:r>
    </w:p>
    <w:p>
      <w:pPr>
        <w:spacing w:after="0" w:line="1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Internationally, we operate directly or outsource our distribution activities to third-party logistics providers in Canada, China, Mexico, and Vietnam to support shipment to the United States, as well as our international wholesale accounts, international licensees, international eCommerce operations, and Canadian and Mexican retail store networks.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Governmental Regulation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laws, regulations and standards set by various governmental authorities and standard setting bodies around the world, including in the United States, Canada, and Mexico, including:</w:t>
      </w:r>
    </w:p>
    <w:p>
      <w:pPr>
        <w:spacing w:after="0" w:line="51" w:lineRule="exact"/>
        <w:rPr>
          <w:sz w:val="20"/>
          <w:szCs w:val="20"/>
          <w:color w:val="auto"/>
        </w:rPr>
      </w:pPr>
    </w:p>
    <w:p>
      <w:pPr>
        <w:ind w:left="520" w:right="60" w:hanging="260"/>
        <w:spacing w:after="0" w:line="283" w:lineRule="auto"/>
        <w:tabs>
          <w:tab w:leader="none" w:pos="516"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those imposed by the Sarbanes-Oxley Act of 2002, the Dodd-Frank Wall Street Reform and Consumer Protection Act, the Securities and Exchange Commission (“SEC”), and the New York Stock Exchange (“NYSE”);</w:t>
      </w:r>
    </w:p>
    <w:p>
      <w:pPr>
        <w:spacing w:after="0" w:line="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U.S. Foreign Corrupt Practices Act, and similar world-wide anti-bribery laws;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tax laws of the United States and other countries;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health care, employment and labor laws;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product and consumer safety laws, including those imposed by the U.S. Consumer Product Safety Commission and the Americans with Disabilities Act of 1990;</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data privacy laws, including the E.U. General Data Protection Act (“GDPA”), the California Consumer Privacy Act (“CCPA”), and the California Privacy Rights Act (“CPRA”);</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trade, transportation and logistics related laws, including tariffs, quotas, embargoes, and orders issued by Customs and Border Protection and similar agencies in other countries; and</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applicable environmental laws.</w:t>
      </w:r>
    </w:p>
    <w:p>
      <w:pPr>
        <w:spacing w:after="0" w:line="15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The majority of our products are imported into the United States, Canada, and Mexico. These products are subject to various customs laws, which may impose tariffs, as well as quota restrictions. In addition, each of the countries in which our products are sold has laws and regulations covering imports. The United States and other countries in which our products are sold may impose, from time to time, new duties, tariffs, surcharges, or other import controls or restrictions including trade related restrictions on the sourcing and importation of raw materials and finished goods, or adjust presently prevailing duty or tariff rates or levels. We, therefore, actively monitor import restrictions and developments and seek to minimize our potential exposure to import related risks through shifts of production among countries, including consideration of countries with tariff preference and free trade agreements, manufacturers, and geographical diversification of our sources of supply.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10" w:name="page11"/>
    <w:bookmarkEnd w:id="10"/>
    <w:p>
      <w:pPr>
        <w:ind w:right="20"/>
        <w:spacing w:after="0" w:line="270" w:lineRule="auto"/>
        <w:rPr>
          <w:sz w:val="20"/>
          <w:szCs w:val="20"/>
          <w:color w:val="auto"/>
        </w:rPr>
      </w:pPr>
      <w:r>
        <w:rPr>
          <w:rFonts w:ascii="Times New Roman" w:cs="Times New Roman" w:eastAsia="Times New Roman" w:hAnsi="Times New Roman"/>
          <w:sz w:val="14"/>
          <w:szCs w:val="14"/>
          <w:color w:val="auto"/>
        </w:rPr>
        <w:t>Additionally, we are subject to various other federal, state, local and foreign laws and regulations that govern our activities, operations, and products, including data privacy, truth-in-advertising, accessibility, customs, wage and hour laws and regulations, and zoning and occupancy ordinances that regulate retailers generally and govern the promotion and sale of merchandise and the operation of retail stores and eCommerce sites. Noncompliance with these laws and regulations may result in substantial monetary penalties and criminal sanctions.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baby and young children’s apparel and accessories market is highly competitive. Competition in our market is generally based on a variety of factors, including comfort and fit, quality, pricing, style, and selection. Both national brand and private label manufacturers as well as specialty apparel retailers aggressively compete in the baby and young children’s apparel market. Our primary competitors include (in alphabetical order): Gap, Old Navy, and The Children’s Place; Cat &amp; Jack (private label sold exclusively in Target) and Garanimals (sold exclusively in Walmart); and Disney, Nike, and Under Armour (national brands). Because of the highly fragmented nature of the industry, we also compete with many small manufacturers and retailers. We believe that the awareness and strength of our brand names, combined with the breadth and value of our product offerings, broad distribution, scale, and operational expertise, position us well against these competitors.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 and Weather</w:t>
      </w:r>
    </w:p>
    <w:p>
      <w:pPr>
        <w:spacing w:after="0" w:line="8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have resulted in lower sales and gross profit in the first half of our fiscal year versus the second half of the year. Accordingly, our results of operations during the first half of the year may not be indicative of the results we expect for the full fiscal year. In addition, our business is susceptible to unseasonable weather conditions, which could influence consumer behavior, customer traffic, and shopping habits. For example, extended periods of unseasonably warm temperatures during the winter season or cool temperatures during the summer season could affect the level and timing of demand.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end of fiscal 2023, we had approximately 15,230 employees globally. The tables below present the composition and location of our employees: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w w:val="99"/>
              </w:rPr>
              <w:t>Employee Count</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 of Total</w:t>
            </w:r>
          </w:p>
        </w:tc>
      </w:tr>
      <w:tr>
        <w:trPr>
          <w:trHeight w:val="16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 stores</w:t>
            </w:r>
          </w:p>
        </w:tc>
        <w:tc>
          <w:tcPr>
            <w:tcW w:w="13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offices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12.2 %</w:t>
            </w: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Distribution centers</w:t>
            </w:r>
          </w:p>
        </w:tc>
        <w:tc>
          <w:tcPr>
            <w:tcW w:w="13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w:t>
            </w:r>
          </w:p>
        </w:tc>
        <w:tc>
          <w:tcPr>
            <w:tcW w:w="100" w:type="dxa"/>
            <w:vAlign w:val="bottom"/>
            <w:shd w:val="clear" w:color="auto" w:fill="CCEEFF"/>
          </w:tcPr>
          <w:p>
            <w:pPr>
              <w:spacing w:after="0"/>
              <w:rPr>
                <w:sz w:val="14"/>
                <w:szCs w:val="14"/>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10.1 %</w:t>
            </w:r>
          </w:p>
        </w:tc>
      </w:tr>
      <w:tr>
        <w:trPr>
          <w:trHeight w:val="16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15,230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20"/>
        </w:trPr>
        <w:tc>
          <w:tcPr>
            <w:tcW w:w="7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Employee Count</w:t>
            </w:r>
          </w:p>
        </w:tc>
        <w:tc>
          <w:tcPr>
            <w:tcW w:w="18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63"/>
        </w:trPr>
        <w:tc>
          <w:tcPr>
            <w:tcW w:w="3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374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12,070</w:t>
            </w:r>
          </w:p>
        </w:tc>
        <w:tc>
          <w:tcPr>
            <w:tcW w:w="10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79.2 %</w:t>
            </w:r>
          </w:p>
        </w:tc>
        <w:tc>
          <w:tcPr>
            <w:tcW w:w="0" w:type="dxa"/>
            <w:vAlign w:val="bottom"/>
          </w:tcPr>
          <w:p>
            <w:pPr>
              <w:spacing w:after="0"/>
              <w:rPr>
                <w:sz w:val="1"/>
                <w:szCs w:val="1"/>
                <w:color w:val="auto"/>
              </w:rPr>
            </w:pPr>
          </w:p>
        </w:tc>
      </w:tr>
      <w:tr>
        <w:trPr>
          <w:trHeight w:val="168"/>
        </w:trPr>
        <w:tc>
          <w:tcPr>
            <w:tcW w:w="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320" w:type="dxa"/>
            <w:vAlign w:val="bottom"/>
          </w:tcPr>
          <w:p>
            <w:pPr>
              <w:spacing w:after="0"/>
              <w:rPr>
                <w:sz w:val="14"/>
                <w:szCs w:val="14"/>
                <w:color w:val="auto"/>
              </w:rPr>
            </w:pP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14.2 %</w:t>
            </w:r>
          </w:p>
        </w:tc>
        <w:tc>
          <w:tcPr>
            <w:tcW w:w="0" w:type="dxa"/>
            <w:vAlign w:val="bottom"/>
          </w:tcPr>
          <w:p>
            <w:pPr>
              <w:spacing w:after="0"/>
              <w:rPr>
                <w:sz w:val="1"/>
                <w:szCs w:val="1"/>
                <w:color w:val="auto"/>
              </w:rPr>
            </w:pPr>
          </w:p>
        </w:tc>
      </w:tr>
      <w:tr>
        <w:trPr>
          <w:trHeight w:val="172"/>
        </w:trPr>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3320" w:type="dxa"/>
            <w:vAlign w:val="bottom"/>
            <w:shd w:val="clear" w:color="auto" w:fill="CCEEFF"/>
          </w:tcPr>
          <w:p>
            <w:pPr>
              <w:spacing w:after="0"/>
              <w:rPr>
                <w:sz w:val="14"/>
                <w:szCs w:val="14"/>
                <w:color w:val="auto"/>
              </w:rPr>
            </w:pPr>
          </w:p>
        </w:tc>
        <w:tc>
          <w:tcPr>
            <w:tcW w:w="5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0" w:type="dxa"/>
            <w:vAlign w:val="bottom"/>
          </w:tcPr>
          <w:p>
            <w:pPr>
              <w:spacing w:after="0"/>
              <w:rPr>
                <w:sz w:val="1"/>
                <w:szCs w:val="1"/>
                <w:color w:val="auto"/>
              </w:rPr>
            </w:pPr>
          </w:p>
        </w:tc>
      </w:tr>
      <w:tr>
        <w:trPr>
          <w:trHeight w:val="16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countries in Asia)</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88"/>
        </w:trPr>
        <w:tc>
          <w:tcPr>
            <w:tcW w:w="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3320" w:type="dxa"/>
            <w:vAlign w:val="bottom"/>
            <w:tcBorders>
              <w:top w:val="single" w:sz="8" w:color="CCEEFF"/>
              <w:bottom w:val="single" w:sz="8" w:color="CCEEFF"/>
            </w:tcBorders>
            <w:shd w:val="clear" w:color="auto" w:fill="CCEEFF"/>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spacing w:after="0"/>
              <w:rPr>
                <w:sz w:val="15"/>
                <w:szCs w:val="15"/>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Talent and Development</w:t>
            </w:r>
          </w:p>
        </w:tc>
        <w:tc>
          <w:tcPr>
            <w:tcW w:w="3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80" w:type="dxa"/>
            <w:vAlign w:val="bottom"/>
            <w:gridSpan w:val="2"/>
            <w:vMerge w:val="continue"/>
          </w:tcPr>
          <w:p>
            <w:pPr>
              <w:spacing w:after="0"/>
              <w:rPr>
                <w:sz w:val="24"/>
                <w:szCs w:val="24"/>
                <w:color w:val="auto"/>
              </w:rPr>
            </w:pPr>
          </w:p>
        </w:tc>
        <w:tc>
          <w:tcPr>
            <w:tcW w:w="3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 are guided by our core values:</w:t>
            </w:r>
          </w:p>
        </w:tc>
        <w:tc>
          <w:tcPr>
            <w:tcW w:w="3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Act with Integrity</w:t>
            </w:r>
          </w:p>
        </w:tc>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Exceed Expectations</w:t>
            </w:r>
          </w:p>
        </w:tc>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Inspire Innovation</w:t>
            </w:r>
          </w:p>
        </w:tc>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Succeed Together</w:t>
            </w:r>
          </w:p>
        </w:tc>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3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Invest in People</w:t>
            </w:r>
          </w:p>
        </w:tc>
        <w:tc>
          <w:tcPr>
            <w:tcW w:w="3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9"/>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740" w:type="dxa"/>
            <w:vAlign w:val="bottom"/>
          </w:tcPr>
          <w:p>
            <w:pPr>
              <w:jc w:val="right"/>
              <w:ind w:right="1775"/>
              <w:spacing w:after="0"/>
              <w:rPr>
                <w:sz w:val="20"/>
                <w:szCs w:val="20"/>
                <w:color w:val="auto"/>
              </w:rPr>
            </w:pPr>
            <w:r>
              <w:rPr>
                <w:rFonts w:ascii="Times New Roman" w:cs="Times New Roman" w:eastAsia="Times New Roman" w:hAnsi="Times New Roman"/>
                <w:sz w:val="14"/>
                <w:szCs w:val="14"/>
                <w:color w:val="auto"/>
              </w:rPr>
              <w:t>8</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1" w:name="page12"/>
    <w:bookmarkEnd w:id="11"/>
    <w:p>
      <w:pPr>
        <w:ind w:right="540"/>
        <w:spacing w:after="0" w:line="283" w:lineRule="auto"/>
        <w:rPr>
          <w:sz w:val="20"/>
          <w:szCs w:val="20"/>
          <w:color w:val="auto"/>
        </w:rPr>
      </w:pPr>
      <w:r>
        <w:rPr>
          <w:rFonts w:ascii="Times New Roman" w:cs="Times New Roman" w:eastAsia="Times New Roman" w:hAnsi="Times New Roman"/>
          <w:sz w:val="14"/>
          <w:szCs w:val="14"/>
          <w:color w:val="auto"/>
        </w:rPr>
        <w:t>We believe that to succeed as a business and to positively impact families and our communities, we must first create and maintain an inclusive, supportive workplace culture that fosters high employee engagement. We believe in developing our employees and offer numerous formal training opportunities as well as ongoing informal on-the-job learning, including:</w:t>
      </w:r>
    </w:p>
    <w:p>
      <w:pPr>
        <w:spacing w:after="0" w:line="2"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mentoring, reverse mentoring, and executive development programs that nurture emerging talent and facilitate knowledge sharing, benefiting employees at all stages of their careers;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development days, when employees step away from their day-to-day responsibilities for curated professional growth opportunities;</w:t>
      </w:r>
    </w:p>
    <w:p>
      <w:pPr>
        <w:spacing w:after="0" w:line="51" w:lineRule="exact"/>
        <w:rPr>
          <w:rFonts w:ascii="Times New Roman" w:cs="Times New Roman" w:eastAsia="Times New Roman" w:hAnsi="Times New Roman"/>
          <w:sz w:val="14"/>
          <w:szCs w:val="14"/>
          <w:b w:val="1"/>
          <w:bCs w:val="1"/>
          <w:color w:val="auto"/>
        </w:rPr>
      </w:pPr>
    </w:p>
    <w:p>
      <w:pPr>
        <w:ind w:left="520" w:right="440" w:hanging="260"/>
        <w:spacing w:after="0" w:line="283" w:lineRule="auto"/>
        <w:tabs>
          <w:tab w:leader="none" w:pos="51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online courses and formal development programs designed to enhance personal leadership skills, business acumen, and people management skills, as well as specialized development resources for our retail store, distribution center and office employees; and</w:t>
      </w:r>
    </w:p>
    <w:p>
      <w:pPr>
        <w:spacing w:after="0" w:line="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each year, we award scholarships to Carter’s employees and children of employees to attend an accredited college or university.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Diversity and Inclusion</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We are committed to ensuring that our workforce reflects our diverse world through a range of efforts to broaden diversity and ensure fairness across our global enterprise. Our Diversity &amp; Inclusion (“D&amp;I”) efforts are driven by cross-functional teams charged with guiding and implementing the organization’s D&amp;I efforts. These teams oversee our efforts to establish and improve inclusive policies in four key areas of our management processes: leadership, strategies and processes, programs and benefits, and policies and compliance. We continually measure and monitor diversity metrics including pay equity, retention, new hires, internal promotions and identified successors, and our D&amp;I education equips employees with the tools and support needed to further enhance a workplace culture of inclusion.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Health and Safety</w:t>
      </w:r>
    </w:p>
    <w:p>
      <w:pPr>
        <w:spacing w:after="0" w:line="85"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We maintain a culture focused on safety with the goal of eliminating workplace incidents, risks and hazards. We have created and implemented processes to help eliminate safety incidents by reducing their frequency and severity, and we review and monitor our performance closely.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Our corporate website address is https://corporate.carters.com. On our investor relations website (ir.carters.com), we make available, free of charge, our SEC filings, such as Annual Reports on Form 10-K, Quarterly Reports on Form 10-Q, Current Reports on Form 8-K, proxy statements, director and officer reports on Forms 3, 4, and 5, and any amendments to these reports, as soon as reasonably practicable after we electronically file such material with, or furnish it to, the SEC. We also make available on our website the </w:t>
      </w:r>
      <w:r>
        <w:rPr>
          <w:rFonts w:ascii="Times New Roman" w:cs="Times New Roman" w:eastAsia="Times New Roman" w:hAnsi="Times New Roman"/>
          <w:sz w:val="14"/>
          <w:szCs w:val="14"/>
          <w:i w:val="1"/>
          <w:iCs w:val="1"/>
          <w:color w:val="auto"/>
        </w:rPr>
        <w:t>Carter’s Code of Ethics</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Vendor Code of Ethics</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CSR Report</w:t>
      </w:r>
      <w:r>
        <w:rPr>
          <w:rFonts w:ascii="Times New Roman" w:cs="Times New Roman" w:eastAsia="Times New Roman" w:hAnsi="Times New Roman"/>
          <w:sz w:val="14"/>
          <w:szCs w:val="14"/>
          <w:color w:val="auto"/>
        </w:rPr>
        <w:t xml:space="preserve"> our corporate governance principles, and the charters for the Compensation, Audit, and Nominating and Corporate Governance Committees of the Board of Directors. The information contained on our website is not included as part of, or incorporated by reference into, this Annual Report on Form 10-K or any other reports we file with or furnish to the SEC. The SEC maintains an internet site, www.sec.gov, containing reports, proxy and information statements, and other information regarding issuers, including us,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following is a summary of the principal risks and uncertainties described in more detail in this Annual Report on Form 10-K for the year ended December 30,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Global and Macroeconomic Conditions</w:t>
      </w:r>
    </w:p>
    <w:p>
      <w:pPr>
        <w:spacing w:after="0" w:line="74"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business is sensitive to overall levels of consumer spending, particularly in the young children’s apparel market.</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business could be negatively impacted by political or economic risks that we are exposed to as a part of our global operations.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COVID-19 pandemic and other global crises had, and may in the future have, a significant adverse effect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Brands and Product Value</w:t>
      </w:r>
    </w:p>
    <w:p>
      <w:pPr>
        <w:spacing w:after="0" w:line="7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acceptance of our products in the marketplace is affected by consumer tastes and preferences, along with fashion trends.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be unable to protect our intellectual property rights, which could diminish the value of our brands, weaken our competitive position, and adversely affect our reputation and results.</w:t>
      </w:r>
    </w:p>
    <w:p>
      <w:pPr>
        <w:spacing w:after="0" w:line="51" w:lineRule="exact"/>
        <w:rPr>
          <w:rFonts w:ascii="Times New Roman" w:cs="Times New Roman" w:eastAsia="Times New Roman" w:hAnsi="Times New Roman"/>
          <w:sz w:val="14"/>
          <w:szCs w:val="14"/>
          <w:b w:val="1"/>
          <w:bCs w:val="1"/>
          <w:color w:val="auto"/>
        </w:rPr>
      </w:pPr>
    </w:p>
    <w:p>
      <w:pPr>
        <w:ind w:left="520" w:right="80" w:hanging="260"/>
        <w:spacing w:after="0" w:line="283" w:lineRule="auto"/>
        <w:tabs>
          <w:tab w:leader="none" w:pos="516"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future growth depends significantly on our branding and marketing efforts, and if our marketing efforts are not successful or we receive negative publicity, the value of our brands, and our sales, could be diminished.</w:t>
      </w:r>
    </w:p>
    <w:p>
      <w:pPr>
        <w:spacing w:after="0" w:line="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experience delays, product recalls, or loss of revenues or incur additional costs if our products do not meet our quality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Operating a Global Business</w:t>
      </w:r>
    </w:p>
    <w:p>
      <w:pPr>
        <w:spacing w:after="0" w:line="7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operate in a highly competitive market and the size and resources of some of our competitors may allow them to compete more effectively than we can.</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Financial difficulties for, or the loss of one or more of, our major wholesale customers could result in a material loss of revenues.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retail success is dependent upon identifying locations and negotiating appropriate lease terms for retail stores.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eCommerce business faces distinct risks, and our failure to successfully manage it could have a negative impact on our profitability.</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line="283" w:lineRule="auto"/>
        <w:tabs>
          <w:tab w:leader="none" w:pos="516"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profitability may decline as a result of lower margins, such as through deflationary pressures on our selling prices and increases in production costs and costs to serve.</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not be able to increase prices to fully offset inflationary pressures on costs, such as raw materials, labor, and transportation costs, which may impact our expenses and profitability.</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revenues, product costs, and other expenses are subject to foreign economic and currency risks due to our operations outside of the United States.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business could suffer a material adverse effect from unseasonable or extreme weather conditions, or other effects of climate change.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Litigation</w:t>
      </w:r>
    </w:p>
    <w:p>
      <w:pPr>
        <w:spacing w:after="0" w:line="74" w:lineRule="exact"/>
        <w:rPr>
          <w:sz w:val="20"/>
          <w:szCs w:val="20"/>
          <w:color w:val="auto"/>
        </w:rPr>
      </w:pPr>
    </w:p>
    <w:p>
      <w:pPr>
        <w:ind w:left="520" w:right="740" w:hanging="260"/>
        <w:spacing w:after="0" w:line="287" w:lineRule="auto"/>
        <w:tabs>
          <w:tab w:leader="none" w:pos="516"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are and may become subject to various claims and pending or threatened lawsuits, including as a result of investigations or other proceedings related to previously disclosed investigations.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Cybersecurity, Data Privacy, and Information Technology</w:t>
      </w:r>
    </w:p>
    <w:p>
      <w:pPr>
        <w:spacing w:after="0" w:line="74" w:lineRule="exact"/>
        <w:rPr>
          <w:sz w:val="20"/>
          <w:szCs w:val="20"/>
          <w:color w:val="auto"/>
        </w:rPr>
      </w:pPr>
    </w:p>
    <w:p>
      <w:pPr>
        <w:ind w:left="520" w:right="60" w:hanging="260"/>
        <w:spacing w:after="0" w:line="284" w:lineRule="auto"/>
        <w:tabs>
          <w:tab w:leader="none" w:pos="516" w:val="left"/>
        </w:tabs>
        <w:numPr>
          <w:ilvl w:val="0"/>
          <w:numId w:val="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implement new information technology systems or needed upgrades to our systems, including operational and financial systems,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Risks Related to our Global Supply Chain and Labor Force</w:t>
      </w:r>
    </w:p>
    <w:p>
      <w:pPr>
        <w:spacing w:after="0" w:line="85" w:lineRule="exact"/>
        <w:rPr>
          <w:sz w:val="20"/>
          <w:szCs w:val="20"/>
          <w:color w:val="auto"/>
        </w:rPr>
      </w:pPr>
    </w:p>
    <w:p>
      <w:pPr>
        <w:ind w:left="520" w:right="300" w:hanging="260"/>
        <w:spacing w:after="0" w:line="283"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 relatively small number of vendors supply a significant amount of our products, and losing one or more of these vendors could have a material adverse effect on our business.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Labor or other disruptions along our supply chain may adversely affect our relationships with customers, reputation with consumers, and results of operations.</w:t>
      </w:r>
    </w:p>
    <w:p>
      <w:pPr>
        <w:spacing w:after="0" w:line="51" w:lineRule="exact"/>
        <w:rPr>
          <w:rFonts w:ascii="Times New Roman" w:cs="Times New Roman" w:eastAsia="Times New Roman" w:hAnsi="Times New Roman"/>
          <w:sz w:val="14"/>
          <w:szCs w:val="14"/>
          <w:b w:val="1"/>
          <w:bCs w:val="1"/>
          <w:color w:val="auto"/>
        </w:rPr>
      </w:pPr>
    </w:p>
    <w:p>
      <w:pPr>
        <w:ind w:left="520" w:right="40" w:hanging="260"/>
        <w:spacing w:after="0" w:line="283" w:lineRule="auto"/>
        <w:tabs>
          <w:tab w:leader="none" w:pos="516"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inability to effectively source and manage inventory could negatively impact our ability to timely deliver our inventory supply and disrupt our business, which may adversely affect our operating results.</w:t>
      </w:r>
    </w:p>
    <w:p>
      <w:pPr>
        <w:spacing w:after="0" w:line="2" w:lineRule="exact"/>
        <w:rPr>
          <w:rFonts w:ascii="Times New Roman" w:cs="Times New Roman" w:eastAsia="Times New Roman" w:hAnsi="Times New Roman"/>
          <w:sz w:val="14"/>
          <w:szCs w:val="14"/>
          <w:b w:val="1"/>
          <w:bCs w:val="1"/>
          <w:color w:val="auto"/>
        </w:rPr>
      </w:pPr>
    </w:p>
    <w:p>
      <w:pPr>
        <w:ind w:left="520" w:right="320" w:hanging="260"/>
        <w:spacing w:after="0" w:line="287" w:lineRule="auto"/>
        <w:tabs>
          <w:tab w:leader="none" w:pos="516"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International Expansion</w:t>
      </w:r>
    </w:p>
    <w:p>
      <w:pPr>
        <w:spacing w:after="0" w:line="85" w:lineRule="exact"/>
        <w:rPr>
          <w:sz w:val="20"/>
          <w:szCs w:val="20"/>
          <w:color w:val="auto"/>
        </w:rPr>
      </w:pPr>
    </w:p>
    <w:p>
      <w:pPr>
        <w:ind w:left="520" w:right="540" w:hanging="260"/>
        <w:spacing w:after="0" w:line="287" w:lineRule="auto"/>
        <w:tabs>
          <w:tab w:leader="none" w:pos="516"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Failure to comply with the various laws and regulations as well as changes in laws and regulations could have an adverse impact on our reputation, financial condition, or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Executing Our Strategic Plan</w:t>
      </w:r>
    </w:p>
    <w:p>
      <w:pPr>
        <w:spacing w:after="0" w:line="85"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failure to properly manage strategic initiatives in order to achieve our objectives may negatively impact our business.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success is dependent upon retaining key individuals within the organization to execute our strategic plan.</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be unable to grow through acquisitions or successfully integrate acquired businesses, and such acquisitions may fail to achieve the financial results we expected.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Financial Reporting, Our Debt, and Taxes</w:t>
      </w:r>
    </w:p>
    <w:p>
      <w:pPr>
        <w:spacing w:after="0" w:line="85"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not achieve sales growth plans, profitability objectives, and other assumptions that support the carrying value of our intangible assets.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have substantial debt, which could adversely affect our financial health and our ability to obtain financing in the future and to react to changes in our business.</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experience fluctuations in our tax obligations and effective tax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Risks</w:t>
      </w:r>
    </w:p>
    <w:p>
      <w:pPr>
        <w:spacing w:after="0" w:line="85"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Quarterly cash dividends and share repurchases are subject to a number of uncertainties, and may affect the price of our common stock.</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market price of our common stock may be volatile.</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Our amended and restated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90"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You should carefully consider each of the following risk factors as well as the other information contained in this Annual Report on Form 10-K and our other filings with the SEC in evaluating our business. The risks and uncertainties described below are not the only ones we face. Additional risks and uncertainties not presently known to us or that we currently consider immaterial may also impact our business operations. If any of the following risks actually occur, our operating results may be affected.</w:t>
      </w:r>
    </w:p>
    <w:p>
      <w:pPr>
        <w:spacing w:after="0" w:line="10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Global and Macroeconomic Conditions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sensitive to overall levels of consumer spending, particularly in the young children’s apparel market.</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Both retail consumer and wholesale customer demand for young children’s apparel and accessories, specifically brand name apparel products, is affected by the overall level of consumer spending. Overall spending in the market is affected by a number of global and macroeconomic factors, such as overall economic conditions and employment levels, gasoline and utility costs, business conditions, market volatility, bank failures, availability of consumer credit, tax rates, the availability of tax credits, interest rates, inflationary pressures and general uncertainty regarding the overall future political and economic climate, levels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14" w:name="page15"/>
    <w:bookmarkEnd w:id="14"/>
    <w:p>
      <w:pPr>
        <w:ind w:right="60"/>
        <w:spacing w:after="0" w:line="264" w:lineRule="auto"/>
        <w:rPr>
          <w:sz w:val="20"/>
          <w:szCs w:val="20"/>
          <w:color w:val="auto"/>
        </w:rPr>
      </w:pPr>
      <w:r>
        <w:rPr>
          <w:rFonts w:ascii="Times New Roman" w:cs="Times New Roman" w:eastAsia="Times New Roman" w:hAnsi="Times New Roman"/>
          <w:sz w:val="14"/>
          <w:szCs w:val="14"/>
          <w:color w:val="auto"/>
        </w:rPr>
        <w:t>of consumer indebtedness, foreign currency exchange rates, weather, and overall levels of consumer confidence. For example, in recent years, the U.S. economy has been negatively impacted by historically high inflation rates, which have negatively impacted and may continue to negatively impact consumer demand. Although birth rates have recently stabilized, birth rate fluctuations, which in turn affect the number of customers that are acquired and retained, can have a material impact on consumer spending and our business. Reductions, or lower-than-expected growth, in the level of discretionary or overall consumer spending may have a material adverse effect on our sales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negatively impacted by political or economic risks that we are exposed to as a result of our global operations.</w:t>
      </w:r>
    </w:p>
    <w:p>
      <w:pPr>
        <w:spacing w:after="0" w:line="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We are subject to general political and economic risks in connection with our global operations, including political instability (both in the United States and globally, including the ongoing conflict between Russia and Ukraine and the related economic and retaliatory measures), the ongoing war between Israel and Hamas, the conflict in the Red Sea region, terrorist attacks, and changes in diplomatic and trade relationships, any of which may have a significant adverse effect on our business, financial condition, and results of operations. In recent months, we have observed increased economic uncertainty in the United States and abroad. These developments have led to growing concerns about the systemic impact of a potential global economic recession, energy costs, geopolitical issues, or the availability and cost of credit and higher interest rates, which could further lead to increased market volatility, decreased consumer confidence, and diminished growth expectations in the U.S. economy and abroad. As our customers react to recent global economic conditions we have seen and may see customers reduce spending on our products and take additional precautionary measures to limit or delay expenditures and preserve capital and liquidity, thereby adversely affecting our customers’ ability or willingness to purchase our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health crises, such as the COVID-19 pandemic, have and may in the future have a significant adverse effect on our business, financial condition, and results of operations.</w:t>
      </w:r>
    </w:p>
    <w:p>
      <w:pPr>
        <w:spacing w:after="0" w:line="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We are subject to public health crises, such as the COVID-19 pandemic, which has had and may continue to have a significant impact on our operations, cash flow and liquidity. The response to the COVID-19 pandemic negatively affected the global economy, disrupted global supply chains, and created significant disruption in financial and retail markets, including increased unemployment rates and a disruption in consumer demand for baby and children’s clothing and accessories. Uncertainty caused by pandemics, epidemics, or similar public health crises could lead to prolonged economic downturns and reduce or delay demand for our products, in which case our revenues could be significantly impacted. The extent to which COVID-19 or another similar public health crisis impacts our business, results of operations, and financial condition will depend on future developments, which are highly uncertain and cannot be predicted, including a resurgence of COVID-19, including new variants, the timing or effectiveness of vaccine roll-outs globally, the timing of easing of preventative or mitigation measures or mandates, the impact of any variants that emerge, or any impact of a global vaccine roll-out on the global economy.</w:t>
      </w:r>
    </w:p>
    <w:p>
      <w:pPr>
        <w:spacing w:after="0" w:line="11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Brands and Product Value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acceptance of our products in the marketplace is affected by consumer tastes and preferences, along with fashion trends.</w:t>
      </w:r>
    </w:p>
    <w:p>
      <w:pPr>
        <w:spacing w:after="0" w:line="8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believe that our continued success depends on our ability to create products that provide a compelling value proposition for our consumers in all of our distribution channels. There can be no assurance that the demand for our products will not decline, or that we will be able to successfully and timely evaluate and adapt our products to changes in consumer tastes and preferences or fashion trends. If demand for our products declines, promotional pricing may be required to sell out-of-season or excess merchandise, and our profitability and results of operations could be adversely affected.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protect our intellectual property rights, which could diminish the value of our brand, weaken our competitive position, and adversely affect our reputation and results.</w:t>
      </w:r>
    </w:p>
    <w:p>
      <w:pPr>
        <w:spacing w:after="0" w:line="8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We currently rely on a combination of trademark, unfair competition, and copyright laws, as well as licensing and vendor arrangements, to establish and protect our intellectual property assets and rights. The steps taken by us or by our licensees and vendors to protect our proprietary rights may not be adequate to prevent either the counterfeit production of our products or the infringement of our trademarks or proprietary rights by others. Despite our efforts, our brands are still susceptible to counterfeiting. Such counterfeiting dilutes our brands and can cause harm to our reputation and business. In addition, intellectual property protection may be unavailable or limited in some foreign countries where laws or law enforcement practices may not protect our proprietary rights and where third parties may have rights to conflicting trademarks, and it may be more difficult for us to successfully challenge the use of our proprietary rights by other parties in those countries. If we fail to protect and maintain our intellectual property rights, the value of our brands could be diminished, and our competitive position may suffer. Further, third parties may assert intellectual property claims against us, particularly as we expand our business geographically or through acquisitions, and any such claim could be expensive and time consuming to defend, regardless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5" w:name="page16"/>
    <w:bookmarkEnd w:id="15"/>
    <w:p>
      <w:pPr>
        <w:ind w:right="120"/>
        <w:spacing w:after="0" w:line="287" w:lineRule="auto"/>
        <w:rPr>
          <w:sz w:val="20"/>
          <w:szCs w:val="20"/>
          <w:color w:val="auto"/>
        </w:rPr>
      </w:pPr>
      <w:r>
        <w:rPr>
          <w:rFonts w:ascii="Times New Roman" w:cs="Times New Roman" w:eastAsia="Times New Roman" w:hAnsi="Times New Roman"/>
          <w:sz w:val="14"/>
          <w:szCs w:val="14"/>
          <w:color w:val="auto"/>
        </w:rPr>
        <w:t>their merit. Successful infringement claims against us could result in significant monetary liability or prevent us from selling some of our products, which could have an adverse effect on our results of operations.</w:t>
      </w:r>
    </w:p>
    <w:p>
      <w:pPr>
        <w:spacing w:after="0" w:line="90"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value of our brands, and our sales, could be diminished if we are associated with negative publicity, including through actions by our employees, and our vendors, marketing partners, third-party manufacturers, and licensees, over whom we have limited control.</w:t>
      </w:r>
    </w:p>
    <w:p>
      <w:pPr>
        <w:spacing w:after="0" w:line="2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Although we maintain policies with our employees, vendors, marketing partners, third-party manufacturers, and licensees that promote ethical business practices, and our employees, agents, and third-party compliance auditors periodically visit and monitor the operations of these entities, we do not control our vendors, third-party manufacturers, or licensees, or their practices. A violation of our vendor policies, licensee agreements, health and safety standards, labor laws, anti-bribery laws, privacy laws or other policies or laws by these employees, vendors, third-party manufacturers, or licensees could damage the image and reputation of our brands and could subject us to liability. As a result, negative publicity regarding us or our brands or products, including licensed products, could adversely affect our reputation and sales. Further, while we take steps to ensure the reputations of our brands are maintained through license and vendor agreements, there can be no guarantee that our brand image will not be negatively affected through its association with products or actions of our licensees, vendors, or third-party manufacturers.</w:t>
      </w:r>
    </w:p>
    <w:p>
      <w:pPr>
        <w:spacing w:after="0" w:line="11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future growth depends significantly on our branding and marketing efforts, and if our marketing efforts are not successful or if we receive negative publicity, the value of our brands, and our sales, could be diminished.</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have invested significantly in our brands and believe that maintaining and enhancing our brands’ identities is crucial to our success. Our ability to attract customers depends in large part on the success of marketing efforts and the success of the marketing channels we use to promote our products. Our marketing channels include earned media through press, social media and search engine optimization, as well as paid advertising, such as online affiliations, search engine marketing, digital marketing, social media marketing, influencer marketing, offline partnerships, direct mail, and television advertising. While our goal remains to increase the strength, recognition and trust in our brand by increasing our customer base and expanding our products, if in the future any of our current marketing channels becomes less effective, if we are unable to continue to use any of these channels, if we receive negative publicity or fail to maintain our brand, if the cost of using these channels significantly increases or if we are not successful in generating new channels, we may not be able to attract new customers or increase the activity of our existing members on our platform in a cost-effective manner.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delays, product recalls, or loss of revenues or incur additional costs if our products do not meet our quality standards.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From time to time, we receive shipments of product from our third-party vendors that fail to conform to our quality control standards. A failure in our quality control program may result in diminished inventory levels and product quality, which in turn may result in increased order cancellations and product returns, decreased consumer demand for our products, or product recalls, any of which may have a material adverse effect on our results of operations and financial condition. In addition, products that fail to meet our standards, or other unauthorized products, may be sold by third-parties without our knowledge or consent. This could materially harm our brand and our reputation in the marketplace. Although we have not incurred any material product recalls or delays to date, we have been subject to product recalls and/or delays in the past. We cannot provide any assurances that such events will not occur and impacts therefrom will not be material in the future.</w:t>
      </w:r>
    </w:p>
    <w:p>
      <w:pPr>
        <w:spacing w:after="0" w:line="10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Operating a Global Business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and the size and resources of some of our competitors may allow them to compete more effectively than we can.</w:t>
      </w:r>
    </w:p>
    <w:p>
      <w:pPr>
        <w:spacing w:after="0" w:line="8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The global baby and young children’s apparel and accessories market is highly competitive and includes both branded and private label manufacturers. Because of the fragmented nature of the industry, we also compete with many other manufacturers and retailers including in certain instances some of our wholesale accounts. Some of our competitors have greater financial resources and larger customer bases than we have. As a result, these competitors may be able to adapt to changes in customer requirements and preferences more quickly, take advantage of acquisitions and other opportunities more readily, devote greater resources to the marketing and sale of their products, adopt more aggressive pricing strategies than we can, and more successfully utilize developing technology, including data analytics, artificial intelligence, and machine learning.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i w:val="1"/>
          <w:iCs w:val="1"/>
          <w:color w:val="auto"/>
        </w:rPr>
        <w:t>Financial difficulties for, or the loss of one or more of, our major wholesale customers could result in a material loss of revenues.</w:t>
      </w:r>
    </w:p>
    <w:p>
      <w:pPr>
        <w:spacing w:after="0" w:line="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A significant amount of our business is with our wholesale customers. For fiscal 2023, we derived approximately 34% of our consolidated net sales from our U.S. Wholesale segment, approximately 33% of our consolidated net sales from our top ten wholesale customers, and approximately 29% of consolidated net sales from our top five wholesale customers, which includes net sales from our exclusive brands sold, in alphabetical order, at Amazon, Target, and Walmart. Our largest wholesale customer accounted for approximately 10.4% of consolidated net sales in fiscal 2023.</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As of the end of fiscal 2023, approximately 80% of our gross accounts receivable were from our ten largest wholesale customers, with three of these customers having individual receivable balances in excess of 10% of our total accounts receivable. Furthermore, we do not enter into long-term sales contracts with our major wholesale customers, relying instead on product performance, long-standing relationships, and our position in the marketplace.</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we have experienced in the past, we face the risk that if one or more of these customers significantly decreases their business, does business with us on less favorable terms or terminates their relationship with us as a result of financial difficulties (including bankruptcy or insolvency), competitive forces, consolidation, reorganization, changes in merchandising strategies, or other reasons, then we may have significant levels of excess inventory that we may not be able to place elsewhere, a material decrease in our sales, or material impact on our operating results. In addition, our reserves for estimated credit losses resulting from the inability of our customers to make payments may prove not to be sufficient if any one or more of our customers are unable to meet outstanding obligations to us, which could materially adversely affect our operating results. If the financial condition or credit position of one or more of our customers were to deteriorate, or such customer fails, or is unable to pay the amounts owed to us in a timely manner, this could have a significant adverse impact on our business and results of operations. For instance, the parent company of buybuy BABY, Bed Bath &amp; Beyond, Inc., filed for Chapter 11 bankruptcy in April 2023 and closed all of its 360 stores.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retail success is dependent upon identifying locations and negotiating appropriate lease terms for retail stores.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We derive a significant portion of our revenues through our retail stores in leased retail locations across the United States, Canada, and Mexico. Successful operation of a retail store depends, in part, on the overall ability of the retail location to attract a consumer base sufficient to generate profitable store sales volumes. A significant number of our stores are located in malls and other shopping centers, and many of these malls and shopping centers have been experiencing declines in customer traffic. If we are unable to identify new retail locations with consumer traffic sufficient to support a profitable sales level, our retail growth may be limited. Some new stores may be located in areas where we have existing sales channels. Increasing the number of stores in these markets may result in inadvertent diversion of customers and sales from our existing sales channels in the same market, thereby negatively affecting our results of operations. Further, if existing stores do not maintain a sufficient customer base that provides a reasonable sales volume or we are unable to negotiate appropriate lease terms for the retail stores, there could be a material adverse impact on our sales, gross margin, and results of operations. In addition, if consumer shopping preferences transition more from brick-and-mortar stores to online retail experiences, with us or other retailers, any increase we may see in our eCommerce sales may not be sufficient to offset the decreases in sales from our brick-and-mortar stores.</w:t>
      </w:r>
    </w:p>
    <w:p>
      <w:pPr>
        <w:spacing w:after="0" w:line="12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also must be able to effectively renew our existing store leases on acceptable terms. In addition, from time to time, we may seek to renegotiate existing lease terms or downsize, consolidate, reposition, or close some of our real estate locations, which in most cases requires a modification of an existing store lease. Failure to renew existing store leases, secure adequate new lease terms, or successfully modify existing locations, or failure to effectively manage the profitability of our existing fleet of stores, including the failure to successfully identify and close underperforming stores, could have a material adverse effect on our results of operations.</w:t>
      </w:r>
    </w:p>
    <w:p>
      <w:pPr>
        <w:spacing w:after="0" w:line="10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Additionally, the economic environment may at times make it difficult to determine the fair market rent of real estate properties within the United States and internationally. This could impact the quality of our decisions to exercise lease options and renew expiring leases at negotiated rents. Any adverse effect on the quality of these decisions could impact our ability to retain real estate locations adequate to meet our profit or growth targets or efficiently manage the profitability of our existing fleet of stores and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Our eCommerce business faces distinct risks, and our failure to successfully manage it could have a negative impact on our profitability.</w:t>
      </w:r>
    </w:p>
    <w:p>
      <w:pPr>
        <w:spacing w:after="0" w:line="85"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successful operation of our eCommerce business as well as our ability to provide a positive shopping experience that will generate consumer demand and drive subsequent visits depends on efficient and uninterrupted operation of our order-taking and fulfillment operations. Risks associated with our eCommerce business in the United States, Canada, and Mexico include:</w:t>
      </w:r>
    </w:p>
    <w:p>
      <w:pPr>
        <w:spacing w:after="0" w:line="29" w:lineRule="exact"/>
        <w:rPr>
          <w:sz w:val="20"/>
          <w:szCs w:val="20"/>
          <w:color w:val="auto"/>
        </w:rPr>
      </w:pPr>
    </w:p>
    <w:p>
      <w:pPr>
        <w:ind w:left="520" w:right="60" w:hanging="260"/>
        <w:spacing w:after="0" w:line="238" w:lineRule="auto"/>
        <w:tabs>
          <w:tab w:leader="none" w:pos="516"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failure of the computer systems, including those of third-party vendors, that operate our eCommerce sites and mobile apps, including, among others, inadequate system capacity, service outages, computer viruses, human error, changes in programming, security breaches, system upgrades or migration of these services to new systems;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disruptions in telecommunications services or power outages;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reliance on third parties for computer hardware and software, as well as delivery of merchandise to our customers on-time and without damage;</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limitations of shipping volumes which may be imposed by service providers;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rapid technology changes;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failure to deliver products to customers on-time and within customers’ expectations;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credit or debit card, or other electronic payment-type, fraud, or disruptions in payment systems;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the diversion of sales from our physical stores;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natural disasters or adverse weather conditions;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applicable federal, state and international regulations;</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liability for online content; and</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7"/>
        </w:numPr>
        <w:rPr>
          <w:rFonts w:ascii="Arial" w:cs="Arial" w:eastAsia="Arial" w:hAnsi="Arial"/>
          <w:sz w:val="17"/>
          <w:szCs w:val="17"/>
          <w:color w:val="auto"/>
        </w:rPr>
      </w:pPr>
      <w:r>
        <w:rPr>
          <w:rFonts w:ascii="Times New Roman" w:cs="Times New Roman" w:eastAsia="Times New Roman" w:hAnsi="Times New Roman"/>
          <w:sz w:val="14"/>
          <w:szCs w:val="14"/>
          <w:color w:val="auto"/>
        </w:rPr>
        <w:t>consumer privacy concerns and regulation.</w:t>
      </w:r>
    </w:p>
    <w:p>
      <w:pPr>
        <w:spacing w:after="0" w:line="124" w:lineRule="exact"/>
        <w:rPr>
          <w:sz w:val="20"/>
          <w:szCs w:val="20"/>
          <w:color w:val="auto"/>
        </w:rPr>
      </w:pPr>
    </w:p>
    <w:p>
      <w:pPr>
        <w:jc w:val="both"/>
        <w:ind w:right="180"/>
        <w:spacing w:after="0" w:line="264" w:lineRule="auto"/>
        <w:rPr>
          <w:sz w:val="20"/>
          <w:szCs w:val="20"/>
          <w:color w:val="auto"/>
        </w:rPr>
      </w:pPr>
      <w:r>
        <w:rPr>
          <w:rFonts w:ascii="Times New Roman" w:cs="Times New Roman" w:eastAsia="Times New Roman" w:hAnsi="Times New Roman"/>
          <w:sz w:val="14"/>
          <w:szCs w:val="14"/>
          <w:color w:val="auto"/>
        </w:rPr>
        <w:t>Problems in any of these areas could result in a reduction in sales, increased costs and damage to our reputation and brands, which could adversely affect our business and results of operations. In addition, in fiscal 2023 we experienced a decrease in net sales in our eCommerce channel compared to fiscal 2022. Our eCommerce business may continue to be negatively impacted if we do not successfully integrate our traditional brick-and-mortar shopping experience with our eCommerce experience or if we fail to improve on our eCommerce shopping experience, and any increase we may see in net sales from the growth in brick-and-mortar retail may not be sufficient to offset the decreases in net sales from eCommerce.</w:t>
      </w:r>
    </w:p>
    <w:p>
      <w:pPr>
        <w:spacing w:after="0" w:line="117" w:lineRule="exact"/>
        <w:rPr>
          <w:sz w:val="20"/>
          <w:szCs w:val="20"/>
          <w:color w:val="auto"/>
        </w:rPr>
      </w:pPr>
    </w:p>
    <w:p>
      <w:pPr>
        <w:jc w:val="both"/>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Profitability and our reputation and relationships could be negatively affected if we do not adequately forecast the demand for our products and, as a result, create significant levels of excess inventory or insufficient levels of inventory.</w:t>
      </w:r>
    </w:p>
    <w:p>
      <w:pPr>
        <w:spacing w:after="0" w:line="1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There can be no assurance that we will be able to successfully anticipate changing consumer preferences and product trends or economic conditions and, as a result, we may not successfully manage inventory levels to meet our future order requirements. If we fail to accurately forecast consumer demand, we may experience excess inventory levels or a shortage of product required to meet the demand. Inventory levels in excess of consumer demand have resulted and may continue to result in inventory write-downs and the sale of excess inventory at discounted prices, which could have an adverse effect on the image and reputation of our brands and negatively impact profitability. On the other hand, if we underestimate demand for our products, our third-party manufacturers may not be able to produce enough products to meet consumer requirements, and this could result in delays in the shipment of products and lost revenues, as well as damage to our reputation and relationships. These risks could have a material adverse effect on our brand image, as well as our results of operations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may decline as a result of lower margins, such as through deflationary pressures on our selling prices and increases in production costs and costs to serve.</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global apparel industry is subject to pricing pressure caused by many factors, including intense competition, the promotional retail environment, and changes in consumer demand. The demand for baby and young children’s apparel and accessories in particular may also be subject to other external factors, such as general inflationary pressures, as well as the costs of our products, which are driven in part by the costs of raw materials (including cotton and other commodities), labor, fuel, transportation and duties, any increases in mandatory minimum wages, and the costs to deliver those products to our customers. If external pressures, including increased inflationary pressures on our consumers’ discretionary spending and deflation, cause us to reduce our sales prices and we fail to sufficiently reduce our product costs or operating expenses, or if we are unable to fully optimize prices or pass on increased costs to our customers, our profitability could decline. Additionally, while deflation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18" w:name="page19"/>
    <w:bookmarkEnd w:id="18"/>
    <w:p>
      <w:pPr>
        <w:ind w:right="40"/>
        <w:spacing w:after="0" w:line="287" w:lineRule="auto"/>
        <w:rPr>
          <w:sz w:val="20"/>
          <w:szCs w:val="20"/>
          <w:color w:val="auto"/>
        </w:rPr>
      </w:pPr>
      <w:r>
        <w:rPr>
          <w:rFonts w:ascii="Times New Roman" w:cs="Times New Roman" w:eastAsia="Times New Roman" w:hAnsi="Times New Roman"/>
          <w:sz w:val="14"/>
          <w:szCs w:val="14"/>
          <w:color w:val="auto"/>
        </w:rPr>
        <w:t>could positively impact our product costs, it could have an adverse effect on our average selling prices per unit, resulting in lower sales and operating results. This could have a material adverse effect on our results of operations, liquidity, and financial condition.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increase prices to fully offset inflationary pressures on costs, such as raw materials, labor, and transportation costs, which may impact our expenses and profitability.</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a large, branded marketer of apparel for babies and young children, we rely on vendors, distribution resources and transportation providers. In fiscal 2022 and 2023, the costs of raw materials, packaging materials, labor, energy, fuel, transportation, and other inputs necessary for the production and distribution of our products increased significantly. We have recently seen moderation in the costs of raw materials and ocean freight, but cannot predict the impact that increased costs will have on our expenses and profitability.</w:t>
      </w:r>
    </w:p>
    <w:p>
      <w:pPr>
        <w:spacing w:after="0" w:line="104" w:lineRule="exact"/>
        <w:rPr>
          <w:sz w:val="20"/>
          <w:szCs w:val="20"/>
          <w:color w:val="auto"/>
        </w:rPr>
      </w:pPr>
    </w:p>
    <w:p>
      <w:pPr>
        <w:ind w:right="380"/>
        <w:spacing w:after="0" w:line="264" w:lineRule="auto"/>
        <w:rPr>
          <w:sz w:val="20"/>
          <w:szCs w:val="20"/>
          <w:color w:val="auto"/>
        </w:rPr>
      </w:pPr>
      <w:r>
        <w:rPr>
          <w:rFonts w:ascii="Times New Roman" w:cs="Times New Roman" w:eastAsia="Times New Roman" w:hAnsi="Times New Roman"/>
          <w:sz w:val="14"/>
          <w:szCs w:val="14"/>
          <w:color w:val="auto"/>
        </w:rPr>
        <w:t>Our attempts to offset these cost pressures, such as through increases in the selling prices of some of our products, may not be successful. Higher product prices may result in reductions in sales volume, as consumers may choose less expensive options, or forego some purchases altogether, during an economic downturn. To the extent that price increases are not sufficient to offset these increased costs adequately or in a timely manner, and/or if they result in significant decreases in sales volume, our business, financial condition, or operating results may be adversely affected. Conversely, if competitive pressures or other factors prevent us from offsetting increased costs by price increases, our profitability may decline.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revenues, product costs, and other expenses are subject to foreign economic and currency risks due to our operations outside of the United States.</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have operations in Canada, Mexico, and Asia, and our vendors, third-party manufacturers, and licensees are located around the world. The value of the U.S. dollar against other foreign currencies has experienced significant volatility in recent years. While our business is primarily conducted in U.S. dollars, we source substantially all of our production from Asia, and we generate significant revenues in Canada. Our international wholesale customers have from time to time and may in the future be negatively impacted by inflation, the stronger U.S. dollar, and global conflicts. Cost increases caused by currency exchange rate fluctuations could make our products less competitive or have a material adverse effect on our profitability. Currency exchange rate fluctuations could also disrupt the businesses of our third-party manufacturers that produce our products by making their purchases of raw materials or products more expensive and more difficult to finance. Additionally, fluctuations in currency exchange rates impact the amount of our reported sales and expenses, which could have a material adverse effect on our financial position, results of operations, and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suffer a material adverse effect from unseasonable or extreme weather conditions, or other effects of climate change.</w:t>
      </w:r>
    </w:p>
    <w:p>
      <w:pPr>
        <w:spacing w:after="0" w:line="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business is susceptible to unseasonable weather conditions, which could influence customer demand, consumer traffic, and shopping habits. For example, extended periods of unseasonably warm temperatures during the winter season or cool temperatures during the summer season have in the past and could in the future affect the timing of and reduce or shift demand for our products, and thereby could have an adverse effect on our operating results, financial position, and cash flows. In addition, extreme weather conditions in the areas in which our stores are located could negatively affect our business, operating results, financial position, and cash flows. For example, frequent or unusually heavy or intense snowfall, flooding, hurricanes, heat stress and sea level rise, or other extreme weather conditions over an extended period have caused and could in the future cause our stores to close for a period of time or permanently, and could make it difficult for our customers and employees to travel to our stores or to receive products shipped to them, which in turn could negatively impact our operating results.</w:t>
      </w:r>
    </w:p>
    <w:p>
      <w:pPr>
        <w:spacing w:after="0" w:line="12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In addition, there is concern that climate changes could cause significant changes in weather patterns around the globe and an increase in the frequency and severity of natural disasters, which could have a long-term adverse impact on our business and results of operations. These changes may increase the effects described above, and changing weather patterns could result in decreased agricultural productivity in certain regions, which may limit availability and/or increase the cost of certain key materials, such as cotton.</w:t>
      </w:r>
    </w:p>
    <w:p>
      <w:pPr>
        <w:spacing w:after="0" w:line="10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Further, risks related to environmental and sustainability policies, laws, technologies, and negative impacts on our reputation, can impact our business in the short-, medium-, and long-term. For example, if global suppliers decide to pass additional costs from current and emerging regulation related to emissions reductions or global carbon tax schemes, we could be impacted by those additional costs. Additionally, increasing consumer awareness of environmental issues has sparked a trend in the industry of offering more sustainable products, allowing customers to make conscious decisions, which could put us at a competitive disadvantage as compared to other companies.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social, and governance matters and any related reporting obligations may adversely impact our business, financial condition and results of operations.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U.S. and international regulators, customers, and investors are increasingly focused on corporate environmental, social, and governance (“ESG”) practices and disclosures and may evaluate our business or other practices according to a variety of ESG targets, standards, and expectations. For example, new domestic and international laws and regulations relating to ESG matters are under consideration or being adopted. The SEC has proposed a rule requiring disclosure of a broad range of climate change-related information and similar laws have been enacted in the State of California and jurisdictions such as the European Union. These, and additional legislation which may be passed, may cause us to incur significant additional costs of compliance due to the need for expanded data collection, analysis, and certification with respect to greenhouse gas emissions and other climate change related risks, as well as other ESG topics.</w:t>
      </w:r>
    </w:p>
    <w:p>
      <w:pPr>
        <w:spacing w:after="0" w:line="11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Although we have announced goals with respect to certain ESG topics, including Scope 1 and 2 greenhouse gas emissions, suppliers with science-based sustainability targets, waste, plastic packaging, and water usage, as well as goals with respect to our products and our people, we may be unable to meet them or be required to revise them. As a result, we may face adverse regulatory, investor, media, or public scrutiny that may adversely affect our business, results of operations, or financial condition. 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 Relating to Litigation</w:t>
      </w:r>
    </w:p>
    <w:p>
      <w:pPr>
        <w:spacing w:after="0" w:line="8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We are and may become subject to various claims and pending or threatened lawsuits, including as a result of investigations or other proceedings related to previously disclosed investigations.</w:t>
      </w:r>
    </w:p>
    <w:p>
      <w:pPr>
        <w:spacing w:after="0" w:line="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4"/>
          <w:szCs w:val="14"/>
          <w:color w:val="auto"/>
        </w:rPr>
        <w:t>We are subject to various claims and pending or threatened lawsuits in the course of our business, including claims that our designs infringe on the intellectual property rights of third parties. We are also affected by trends in litigation, including class action litigation brought under various laws, including product liability, consumer protection, employment, and privacy and information security laws. In addition, litigation risks related to claims that technologies we use infringe intellectual property rights of third parties have been amplified by the increase in third parties whose primary business is to assert such claims. When appropriate, reserves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management devote substantial time and expense to defend the Company. In the event we are required or decide to pay amounts in connection with any such claims or lawsuits, such amounts could exceed applicable insurance coverage, if any, or contractual rights available to us. As a result, such lawsuits could be significant and have a material adverse impact on our business, financial condition, and results of operations. Product safety concerns may also require us to recall selected products at a substantial cost to us, which may lead to a lack of consumer trust and reputational harm to the affected brand. Product safety concerns, or the failure to manage recalls or defects, could also result in governmental fines, product liability litigation, lost sales and increased costs.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Cybersecurity, Data Privacy, and Information Technology</w:t>
      </w:r>
    </w:p>
    <w:p>
      <w:pPr>
        <w:spacing w:after="0" w:line="83"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systems, and those of our third-party vendors, containing personal information and payment data of our retail store and eCommerce customers, employees, and other third parties could be breached, which could subject us to adverse publicity, costly government enforcement actions or private litigation, and expenses.</w:t>
      </w:r>
    </w:p>
    <w:p>
      <w:pPr>
        <w:spacing w:after="0" w:line="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rely on the security of our networks, databases, systems, and processes to protect our proprietary information and information about our customers, employees, and vendors, including customer payment information. We have established physical, electronic, and organizational measures to safeguard and secure our systems to prevent data compromise and rely on commercially available systems, software, tools, and monitoring to provide security for our IT systems and the processing, transmission and storage of digital information. However, our IT systems are vulnerable to damage or interruption from a variety of sources, including physical damage, telecommunications or network failures or interruptions, system malfunction, natural disasters, malicious human acts, terrorism, and war, and we have experienced interruptions in the past. These systems, including our servers, are also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20" w:name="page21"/>
    <w:bookmarkEnd w:id="20"/>
    <w:p>
      <w:pPr>
        <w:jc w:val="both"/>
        <w:ind w:right="260"/>
        <w:spacing w:after="0" w:line="270" w:lineRule="auto"/>
        <w:rPr>
          <w:sz w:val="20"/>
          <w:szCs w:val="20"/>
          <w:color w:val="auto"/>
        </w:rPr>
      </w:pPr>
      <w:r>
        <w:rPr>
          <w:rFonts w:ascii="Times New Roman" w:cs="Times New Roman" w:eastAsia="Times New Roman" w:hAnsi="Times New Roman"/>
          <w:sz w:val="14"/>
          <w:szCs w:val="14"/>
          <w:color w:val="auto"/>
        </w:rPr>
        <w:t>attacks, social engineering, and other means to affect service reliability and threaten the confidentiality, integrity, and availability of information). We have outsourced elements of our IT systems, including to cloud-based solution vendors, and use third-party vendors in other aspects of our operations and, as a result, a number of third-party vendors may or could have access to confidential information. Our third-party vendors have experienced service interruptions and cyber-attacks in the past, and we expect they will continue.</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Cyber criminals are constantly devising schemes to circumvent information technology security safeguards and other retailers have suffered serious data security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due in part to cyber-attacks stemming from the Russia-Ukraine conflict.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issues, bugs, viruses, worms, malicious software programs and security vulnerabilities could be significant and, while we have implemented security measures to protect our IT and data security infrastructure, our efforts to address these issues may not be successful.</w:t>
      </w:r>
    </w:p>
    <w:p>
      <w:pPr>
        <w:spacing w:after="0" w:line="1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If unauthorized parties gain access to our networks or databases, or those of our vendors, they may be able to steal, publish, delete, modify, or block our access to our private and sensitive internal and third-party information, including payment information and personally identifiable information. In such circumstances, we could be held liable to our customers, other parties, or employees as well as be subject to regulatory or other actions for breaching privacy law (including the E.U. GDPA, CCPA, and the CPRA) or failing to adequately protect such information. This could result in costly 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 Further, if we are unable to comply with the security standards established by banks and the payment processing industry, we may be subject to fines, restrictions, and expulsion from payment acceptance programs, which could adversely affect our retail operations. In addition, we may be required to incur significant costs to protect against damage caused by these disruptions or security breaches in the future. If our IT systems fail and our redundant systems or disaster recovery plans are not adequate to address such failures, or if our business interruption insurance does not sufficiently compensate us for any losses that we may incur, our revenues and profits could be reduced and the reputation of our brand and our business could be materially and adversely affected.</w:t>
      </w:r>
    </w:p>
    <w:p>
      <w:pPr>
        <w:spacing w:after="0" w:line="1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We are also reliant on the security practices of our third-party service providers, which may be outside of our direct control. The services provided by these third parties have been, and will likely continue to be, subject to the same risk of outages, other failures and security breaches described above. If these third parties fail to adhere to adequate security practices, or experience a breach of their systems, the data of our employees and customers may be improperly accessed, used or disclosed. In addition, our third-party providers may take actions beyond our control that could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in our business, as well as delays and additional expenses in arranging for alternative cloud infrastructure services. Any loss or interruption to our systems or the services provided by third parties, and the other risks from cybersecurity threats described above, could adversely affect our business strategy, financial condition, or</w:t>
      </w:r>
    </w:p>
    <w:p>
      <w:pPr>
        <w:spacing w:after="0" w:line="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results of operations. Although the aggregate impact of cybersecurity breaches has not been material to date, we have been subject to cybersecurity incidents in the past, including within the last three years, and expect them to continue as cybersecurity threats evolve in sophistication. We cannot provide any assurances that such events will not occur and impacts therefrom will not be material in the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implement new information technology systems or needed upgrades to our systems, including operational and financial systems, could adversely affect our business.</w:t>
      </w:r>
    </w:p>
    <w:p>
      <w:pPr>
        <w:spacing w:after="0" w:line="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As our business continues to grow in size, complexity, and geographic footprint, we have enhanced and upgraded our information technology infrastructure and we expect there to be a regular need for additional enhancements and upgrades as we continue to grow. Failure to implement new systems or upgrade systems, including operational and financial systems, as needed or complications encountered in implementing new systems or upgrading existing systems could cause disruptions that may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1" w:name="page22"/>
    <w:bookmarkEnd w:id="21"/>
    <w:p>
      <w:pPr>
        <w:ind w:right="80"/>
        <w:spacing w:after="0" w:line="287" w:lineRule="auto"/>
        <w:rPr>
          <w:sz w:val="20"/>
          <w:szCs w:val="20"/>
          <w:color w:val="auto"/>
        </w:rPr>
      </w:pPr>
      <w:r>
        <w:rPr>
          <w:rFonts w:ascii="Times New Roman" w:cs="Times New Roman" w:eastAsia="Times New Roman" w:hAnsi="Times New Roman"/>
          <w:sz w:val="14"/>
          <w:szCs w:val="14"/>
          <w:color w:val="auto"/>
        </w:rPr>
        <w:t>adversely affect our business and results of operations. Further, additional investments needed to upgrade and expand our information technology infrastructure may require significant investment of additional resources and capital, which may not always be available or available on favorable terms.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Global Supply Chain and Labor Force</w:t>
      </w:r>
    </w:p>
    <w:p>
      <w:pPr>
        <w:spacing w:after="0" w:line="83"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source substantially all of our products through foreign production arrangements. Our dependence on foreign supply sources are subject to risks associated with global sourcing and manufacturing which could result in disruptions to our operations.</w:t>
      </w:r>
    </w:p>
    <w:p>
      <w:pPr>
        <w:spacing w:after="0" w:line="2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source substantially all of our products through a network of vendors primarily in Asia, principally coordinated by our Hong Kong sourcing office. Our global supply chain could be negatively affected due to a number of factors, including:</w:t>
      </w:r>
    </w:p>
    <w:p>
      <w:pPr>
        <w:spacing w:after="0" w:line="17" w:lineRule="exact"/>
        <w:rPr>
          <w:sz w:val="20"/>
          <w:szCs w:val="20"/>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political instability or other global events resulting in the disruption of operations or trade in or with foreign countries from which we source our products;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occurrence of a natural disaster, unusual weather conditions, or a disease epidemic in foreign countries from which we source our products;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financial instability, including bankruptcy or insolvency, of one or more of our major vendors, including our transportation providers and carriers;</w:t>
      </w:r>
    </w:p>
    <w:p>
      <w:pPr>
        <w:spacing w:after="0" w:line="60" w:lineRule="exact"/>
        <w:rPr>
          <w:rFonts w:ascii="Arial" w:cs="Arial" w:eastAsia="Arial" w:hAnsi="Arial"/>
          <w:sz w:val="17"/>
          <w:szCs w:val="17"/>
          <w:color w:val="auto"/>
        </w:rPr>
      </w:pPr>
    </w:p>
    <w:p>
      <w:pPr>
        <w:ind w:left="520" w:right="80" w:hanging="260"/>
        <w:spacing w:after="0" w:line="246"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imposition of new laws and regulations relating to imports, duties, taxes, and other charges on imports, including those that the U.S. government has implemented and may further implement on imports from China, such as the Uyghur Forced Labor Prevention Act and other sanctions and trade regulations issued by the U.S. government related to forced labor in the Xinjiang Uyghur Autonomous Region of China and other regions which may affect our sourcing operations and the availability of raw materials, including cotton, used by the vendors from which we purchase goods;</w:t>
      </w:r>
    </w:p>
    <w:p>
      <w:pPr>
        <w:spacing w:after="0" w:line="46"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increased costs of raw materials (including cotton and other commodities), labor, fuel, and transportation;</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interruptions in the supply of raw materials, including cotton, fabric, and trim items;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increases in the cost of labor in our sourcing locations;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U.S. customs procedures concerning the importation of apparel products, durable goods and accessories;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unforeseen delays in customs clearance of any goods;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disruptions in the global transportation network, such as a port strikes or delays, work stoppages or other labor unrest, capacity withholding, world trade restrictions, acts of terrorism, or war;</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application of adverse foreign intellectual property laws;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the ability of our vendors to secure sufficient credit to finance the manufacturing process, including the acquisition of raw materials;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potential social compliance concerns resulting from our use of international vendors, third-party manufacturers, and licensees, over whom we have limited control;</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manufacturing delays or unexpected demand for products may require the use of faster, but more expensive, transportation methods, such as air-freight services; and</w:t>
      </w:r>
    </w:p>
    <w:p>
      <w:pPr>
        <w:spacing w:after="0" w:line="60" w:lineRule="exact"/>
        <w:rPr>
          <w:rFonts w:ascii="Arial" w:cs="Arial" w:eastAsia="Arial" w:hAnsi="Arial"/>
          <w:sz w:val="17"/>
          <w:szCs w:val="17"/>
          <w:color w:val="auto"/>
        </w:rPr>
      </w:pPr>
    </w:p>
    <w:p>
      <w:pPr>
        <w:ind w:left="520" w:right="80" w:hanging="260"/>
        <w:spacing w:after="0" w:line="238" w:lineRule="auto"/>
        <w:tabs>
          <w:tab w:leader="none" w:pos="5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4"/>
          <w:szCs w:val="14"/>
          <w:color w:val="auto"/>
        </w:rPr>
        <w:t>other events beyond our control that could interrupt our supply chain and delay receipt of our products into the United States, Canada, and Mexico, as well as the ninety additional countries in which our international partners and international wholesale customers operate.</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occurrence of one or more of these events could result in disruptions to our operations, which in turn could increase our cost of goods sold, decrease our gross profit, and/or impact our ability to deliver to our customers. For example, we have recently experienced delays with respect to our shipments via ocean vessels due to attacks by a militant group at the entrance to the Red Sea region. These attacks have required us to route shipments around the Cape of Good Hope at the southern tip of Africa, which has added an additional seven to ten days of transit time. Typically, approximately 65% of our products are shipped through the Red Sea to arrive at their destination on the East Coast of the U.S. and we expect delays of approximately seven to ten days if the hostilities in the region continue. We expect that the adverse impact of the hostilities in the region,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22" w:name="page23"/>
    <w:bookmarkEnd w:id="22"/>
    <w:p>
      <w:pPr>
        <w:ind w:right="240"/>
        <w:spacing w:after="0" w:line="287" w:lineRule="auto"/>
        <w:rPr>
          <w:sz w:val="20"/>
          <w:szCs w:val="20"/>
          <w:color w:val="auto"/>
        </w:rPr>
      </w:pPr>
      <w:r>
        <w:rPr>
          <w:rFonts w:ascii="Times New Roman" w:cs="Times New Roman" w:eastAsia="Times New Roman" w:hAnsi="Times New Roman"/>
          <w:sz w:val="14"/>
          <w:szCs w:val="14"/>
          <w:color w:val="auto"/>
        </w:rPr>
        <w:t>including additional transportation fees to re-route these shipments, could be approximately $6.0 to $7.0 million through the end of June 2024. If these hostilities continue or escalate, our business and results of operations could be materially adversely affected.</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Also, the United States Treasury Department has placed sanctions on China’s Xinjiang Production and Construction Corporation (“XPCC”) for human rights violations and took other significant steps to address the forced labor concerns in the Xinjiang Uyghur Autonomous Region (the “XUAR”) of China, including withhold release orders issued by U.S. Customs and Border Protection, (“US CBP”). Additionally, on December 23, 2021, President Biden signed the Uyghur Forced Labor Prevention Act (the “UFLPA”) into law, which is intended to address the use of forced labor in China’s Xinjiang Uyghur Autonomous Region (“XUAR”). Among other things, the UFLPA imposes a presumptive ban on the import of goods to the United States that are made, wholly or in part, in the XUAR or by persons that participate in certain programs in the XUAR that entail the use of forced labor. The UFLPA took effect on June 21, 2022 and, along with US CBP withhold release orders, may in turn have an adverse effect on global supply chains, including our own supply chains for cotton and cotton-containing products, and the price of cotton in the marketplace. The XUAR is the source of large amounts of cotton and textiles for the global apparel supply chain. Although we do not knowingly source any products from the XUAR and we have no known involvement with China’s Xinjiang Production and Construction Corporation (“XPCC”) or its affiliates, we could be subject to penalties, fines or sanctions if any of the vendors from which we purchase goods is found or suspected to have dealings, directly or indirectly, with XPCC or entities with which it may be affiliated. Additionally, our products have been and, in the future, could be held or delayed by the US CBP under the withhold release orders, which would cause delays and unexpectedly affect our inventory levels. Even if we were not subject to penalties, fines, or sanctions, if products we source are associated in any way to XPCC or the XUAR, our reputation could be damaged.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relatively small number of vendors supply a significant amount of our products, and losing one or more of these vendors could have a material adverse effect on our business.</w:t>
      </w:r>
    </w:p>
    <w:p>
      <w:pPr>
        <w:spacing w:after="0" w:line="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 fiscal 2023, we purchased approximately 55% of our products from ten vendors, with three vendors representing approximately one half of the purchases made from our top ten vendors. Additionally, we estimate that approximately 66% of the fabric that is used in the manufacture of our products is sourced from China. We expect that we will continue to source a significant portion of our products from these vendors. We do not have agreements with our major vendors that would provide us with assurances on a long-term basis as to adequate supply or pricing of our products. If any of our major vendors decide to discontinue or significantly decrease the volume of products they manufacture for us, raise prices on products we purchase from them, or become unable to perform their responsibilities (e.g., if our vendors become insolvent or experience financial difficulties, manufacturing capacity constraints, significant labor disputes, or restrictions imposed by foreign governments) our business, results of operations, and financial condition may be adversely affected.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Labor or other disruptions along our supply chain may adversely affect our relationships with customers, reputation with consumers, and results of operations.</w:t>
      </w:r>
    </w:p>
    <w:p>
      <w:pPr>
        <w:spacing w:after="0" w:line="7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Our business depends on our ability to source and distribute products in a timely manner. Labor disputes at third-party factories where our goods are produced, the shipping ports we use, or within our transportation carriers create significant risks for our business, particularly if these disputes result in work slowdowns, lockouts, strikes, or other disruptions during our peak manufacturing and importing times. For example, we source a significant portion of our products through a single port on the West Coast of the United States. Work slowdowns and stoppages relating to labor agreement negotiations involving the operators of this west coast port and unions have in the past resulted in a significant backlog of cargo containers entering the United States. We, along with other companies, have also shifted a significant amount of our product deliveries to ports of entry on the East Coast of the United States, which have experienced volume increases that created, and may continue to create, delays at these ports that did not exist before we, and others, shifted significant volume to them. The ports of entry to which we deliver on the East Coast may also be subject to labor disputes, work slowdowns, lockouts, strikes, or other disruptions. Further, in the past, the insolvency of a major shipping company has also had an effect on our supply chain. As a result, we have in the past experienced delays in the shipment of our products. In the event that these slow-downs, disruptions or strikes occur in the future in connection with labor agreement negotiations or otherwise, it may have a material adverse effect on our financial position, results of operations, or cash flows.</w:t>
      </w:r>
    </w:p>
    <w:p>
      <w:pPr>
        <w:spacing w:after="0" w:line="123"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inability to effectively source and manage inventory could negatively impact our ability to timely deliver our inventory supply and disrupt our business, which may adversely affect our operating results.</w:t>
      </w:r>
    </w:p>
    <w:p>
      <w:pPr>
        <w:spacing w:after="0" w:line="1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source all of our products from a global network of third-party suppliers. If we experience significant increases in demand, or need to replace an existing vendor or shift production to vendors in new countries, there can be no assurance that additional manufacturing capacity will be available when required on terms that are acceptable to us or that any vendor would allocate sufficient capacity to us in order to meet our requirements. In addition, for any new vendors, we may encounter delays in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3" w:name="page24"/>
    <w:bookmarkEnd w:id="23"/>
    <w:p>
      <w:pPr>
        <w:spacing w:after="0" w:line="264" w:lineRule="auto"/>
        <w:rPr>
          <w:sz w:val="20"/>
          <w:szCs w:val="20"/>
          <w:color w:val="auto"/>
        </w:rPr>
      </w:pPr>
      <w:r>
        <w:rPr>
          <w:rFonts w:ascii="Times New Roman" w:cs="Times New Roman" w:eastAsia="Times New Roman" w:hAnsi="Times New Roman"/>
          <w:sz w:val="14"/>
          <w:szCs w:val="14"/>
          <w:color w:val="auto"/>
        </w:rPr>
        <w:t>production and added costs as a result of the time it takes to train our vendors in producing our products and adhering to our quality control standards. In the event of a significant disruption in the supply of the fabrics or raw materials (including cotton) used by our vendors in the manufacture of our products, such as an inability to source from a particular vendor or geographic region, our vendors might not be able to locate alternative suppliers of materials of comparable quality at an acceptable price. Any delays, interruption, or increased costs in the manufacture of our products could have a material adverse effect on our operating results or cash flows.</w:t>
      </w:r>
    </w:p>
    <w:p>
      <w:pPr>
        <w:spacing w:after="0" w:line="1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Additionally, the nature of our business requires us to carry a significant amount of inventory, especially prior to the peak holiday selling season when we increase our inventory levels, and to support our retail omni-channel strategies, including our buy on-line and pick-up in store program. Merchandise usually must be ordered well in advance of the season in which it is expected to be sold, and frequently before apparel trends are validated by customer purchases. We must enter into contracts for the purchase and manufacture of merchandise well in advance of the applicable selling season. As a result, we are vulnerable to demand and pricing shifts and to suboptimal selection and timing of merchandise purchases and allocations to our sales channels. In the past, we have not always predicted our customers’ preferences and acceptance levels of our trend items with accuracy. If sales do not meet expectations, too much inventory may cause excessive markdowns and, therefore, lower-than-planned margins, and too little inventory may result in lost sales.</w:t>
      </w:r>
    </w:p>
    <w:p>
      <w:pPr>
        <w:spacing w:after="0" w:line="123"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Braselton, Georgia distribution facility handles a large portion of our merchandise distribution. If we encounter problems with this facility, our ability to deliver our products to the market could be adversely affected.</w:t>
      </w:r>
    </w:p>
    <w:p>
      <w:pPr>
        <w:spacing w:after="0" w:line="1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We process a large portion of our merchandise distribution for our U.S. stores and our eCommerce operations from our facility in Braselton, Georgia. Our ability to meet consumer expectations, manage inventory, complete sales, and achieve objectives for operating efficiencies depends on proper operation of this facility. If we are not able to distribute merchandise to our stores or customers because we have exceeded our capacity at our distribution facility (such as a high level of demand during peak periods) or because of natural disasters, health issues, accidents, system failures, disruptions, or other events, our sales could decline, which may have a materially adverse effect on our earnings, financial position, and our reputation. Additionally, we have experienced significant competition in hiring employees for this facility, and in order to address this, we have increased wages and implemented other policies in order to retain existing employees and attract additional employees. These wage increases impacted our operating results. We are likely to continue to face challenges in hiring employees for this facility due to increased competition and we may incur additional employee-related costs, when necessary, which would impact our operating results. These staffing difficulties have caused and may in the future cause additional capacity constraints. Additionally, if we are unable to adequately staff this facility to meet demand, or if the cost of such staffing is higher than projected due to competition, mandated wage increases, regulatory changes, or other factors, our operating results may be further harmed.</w:t>
      </w:r>
    </w:p>
    <w:p>
      <w:pPr>
        <w:spacing w:after="0" w:line="12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In addition, we use automated systems that manage the order processing for our eCommerce business. In the event that one of these systems becomes inoperable for any reason, we may be unable to ship orders in a timely manner, and as a result, we could experience a reduction in our direct-to-consumer business, which could negatively impact our sales and profitability.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Relating to Our International Expansion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unsuccessful in expanding into international markets.</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cannot be sure that we can successfully complete any planned international expansion or that new international business will be profitable or meet our expectations. We do not have significant experience operating in markets outside of North America. Consumer demand, behavior, tastes, and purchasing trends may differ in international markets and, as a result, sales of our products may not be successful or meet our expectations, or the margins on those sales may not be in line with those we currently anticipate. We may encounter differences in business culture and the legal environment that may make working with commercial partners and hiring and retaining an adequate employee base more challenging. We may also face difficulties integrating foreign business operations with our current operations, including our international supply chain operations. Significant changes in foreign laws or relations, such as political uncertainty and potential trade wars between nations in which we operate, may also hinder our success in new markets. Our entry into new markets may have upfront investment costs that may not be accompanied by sufficient revenues to achieve typical or expected operational and financial performance and such costs may be greater than expected. If our international expansion plans are unsuccessful, our results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4" w:name="page25"/>
    <w:bookmarkEnd w:id="24"/>
    <w:p>
      <w:pPr>
        <w:ind w:left="394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Governmental and Regulatory Changes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the various laws and regulations as well as changes in laws and regulations could have an adverse impact on our reputation, financial condition, or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laws, regulations and standards set by various governmental authorities around the world, including in the United States, Canada, and Mexico, including:</w:t>
      </w:r>
    </w:p>
    <w:p>
      <w:pPr>
        <w:spacing w:after="0" w:line="72" w:lineRule="exact"/>
        <w:rPr>
          <w:sz w:val="20"/>
          <w:szCs w:val="20"/>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those imposed by the Sarbanes-Oxley Act of 2002, the Dodd-Frank Wall Street Reform and Consumer Protection Act, the SEC, and the NYSE;</w:t>
      </w:r>
    </w:p>
    <w:p>
      <w:pPr>
        <w:spacing w:after="0" w:line="59"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the U.S. Foreign Corrupt Practices Act, and similar world-wide anti-bribery laws;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health care, employment and labor laws;</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product and consumer safety laws, including those imposed by the U.S. Consumer Product Safety Commission and the Americans with Disabilities Act of 1990;</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data privacy laws, including the E.U. GDPA and the CCPA;</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trade, transportation and logistics related laws, including tariffs and orders issued by Customs and Border Protection; and</w:t>
      </w:r>
    </w:p>
    <w:p>
      <w:pPr>
        <w:spacing w:after="0" w:line="48" w:lineRule="exact"/>
        <w:rPr>
          <w:rFonts w:ascii="Arial" w:cs="Arial" w:eastAsia="Arial" w:hAnsi="Arial"/>
          <w:sz w:val="17"/>
          <w:szCs w:val="17"/>
          <w:color w:val="auto"/>
        </w:rPr>
      </w:pPr>
    </w:p>
    <w:p>
      <w:pPr>
        <w:ind w:left="500" w:hanging="240"/>
        <w:spacing w:after="0"/>
        <w:tabs>
          <w:tab w:leader="none" w:pos="500" w:val="left"/>
        </w:tabs>
        <w:numPr>
          <w:ilvl w:val="0"/>
          <w:numId w:val="19"/>
        </w:numPr>
        <w:rPr>
          <w:rFonts w:ascii="Arial" w:cs="Arial" w:eastAsia="Arial" w:hAnsi="Arial"/>
          <w:sz w:val="17"/>
          <w:szCs w:val="17"/>
          <w:color w:val="auto"/>
        </w:rPr>
      </w:pPr>
      <w:r>
        <w:rPr>
          <w:rFonts w:ascii="Times New Roman" w:cs="Times New Roman" w:eastAsia="Times New Roman" w:hAnsi="Times New Roman"/>
          <w:sz w:val="14"/>
          <w:szCs w:val="14"/>
          <w:color w:val="auto"/>
        </w:rPr>
        <w:t>applicable environmental laws.</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Our failure to comply with these various laws and regulations could have an adverse impact on our reputation, financial condition, or results of operations. In addition, these laws, regulations, and standards may change from time to time, and the complexity of the regulatory environment in which we operate may increase. Although we undertake to monitor changes in these laws, if these laws change without our knowledge, or are violated by importers, designers, manufacturers, distributors, or agents, we could experience delays in shipments and receipt of goods or be subject to fines or other penalties under the controlling regulations, any of which could negatively affect our business and results of operations. Also, our inability, or that of our vendors, to comply on a timely basis with regulatory requirements could result in product recalls, or significant fines or penalties, which in turn could adversely affect our reputation and sales, and could have an adverse effect on our results of operations. Issues with respect to the compliance of merchandise we sell with these regulations and standards, regardless of our culpability or customer concerns about such issues, could result in damage to our reputation, lost sales, uninsured product liability claims or losses, product recalls, and increased costs.</w:t>
      </w:r>
    </w:p>
    <w:p>
      <w:pPr>
        <w:spacing w:after="0" w:line="113" w:lineRule="exact"/>
        <w:rPr>
          <w:sz w:val="20"/>
          <w:szCs w:val="20"/>
          <w:color w:val="auto"/>
        </w:rPr>
      </w:pPr>
    </w:p>
    <w:p>
      <w:pPr>
        <w:jc w:val="right"/>
        <w:ind w:right="418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Executing Our Strategic Plan</w:t>
      </w:r>
    </w:p>
    <w:p>
      <w:pPr>
        <w:spacing w:after="0" w:line="83" w:lineRule="exact"/>
        <w:rPr>
          <w:sz w:val="20"/>
          <w:szCs w:val="20"/>
          <w:color w:val="auto"/>
        </w:rPr>
      </w:pPr>
    </w:p>
    <w:p>
      <w:pPr>
        <w:jc w:val="right"/>
        <w:ind w:right="4160"/>
        <w:spacing w:after="0"/>
        <w:rPr>
          <w:sz w:val="20"/>
          <w:szCs w:val="20"/>
          <w:color w:val="auto"/>
        </w:rPr>
      </w:pPr>
      <w:r>
        <w:rPr>
          <w:rFonts w:ascii="Times New Roman" w:cs="Times New Roman" w:eastAsia="Times New Roman" w:hAnsi="Times New Roman"/>
          <w:sz w:val="14"/>
          <w:szCs w:val="14"/>
          <w:b w:val="1"/>
          <w:bCs w:val="1"/>
          <w:i w:val="1"/>
          <w:iCs w:val="1"/>
          <w:color w:val="auto"/>
        </w:rPr>
        <w:t>Our failure to properly manage strategic initiatives in order to achieve our objectives may negatively impact our business.</w:t>
      </w:r>
    </w:p>
    <w:p>
      <w:pPr>
        <w:spacing w:after="0" w:line="85"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4"/>
          <w:szCs w:val="14"/>
          <w:color w:val="auto"/>
        </w:rPr>
        <w:t>The implementation of our business strategy periodically involves the execution of complex initiatives, such as acquisitions, which may require that we make significant estimates and assumptions about opportunities and initiatives that we may pursue. These projects could place significant demands on our accounting, financial, information technology, and other systems, and on our business overall. We are dependent on our management’s ability to oversee these projects effectively and implement them successfully. If our estimates and assumptions about a project are incorrect, or if we miscalculate the resources or time we need to complete a project or fail to implement a project effectively, our business and operating results could be adversely affected.</w:t>
      </w:r>
    </w:p>
    <w:p>
      <w:pPr>
        <w:spacing w:after="0" w:line="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4"/>
          <w:szCs w:val="14"/>
          <w:color w:val="auto"/>
        </w:rPr>
        <w:t>Given the trend of declining customer traffic in malls and shopping centers, our multichannel business model is an important pillar of our strategic plan. Our multichannel global business model, which includes retail store, eCommerce, and wholesale sales channels, enables us to reach a broad range of consumers around the world. However, to be effective, this strategy has and will continue to require significant investment in cross-functional operations and management focus, along with investment in supporting technologies. Omni-channel retailing is rapidly evolving and we must anticipate and meet changing customer expectations and address new developments and technology investments by our competitors. Our omni-channel retailing strategy includes implementing new technology, software, and processes to be able to fulfill customer orders from any point within our system of stores and distribution centers, which is extremely complex and may not meet customer expectations for timely and accurate deliveries. We have made significant investments in our direct-to-consumer capabilities in recent years, including same-day fulfillment of online purchases and radio frequency identification (RFID) technology, in order to increase the visibility and accuracy of our inventories. If we are unable to attract and retain employees or contract with third-parties having the specialized skills needed to support our multichannel efforts, implement improvements to our customer-facing technology in a timely manner, allow real-time and accurate visibility to product availability when customers are ready to purchase, quickly and efficiently fulfill our customers' orders using the fulfillment and payment methods they demand, or provide a convenient and consistent experience for our customers regardless of the ultimate sales channel, our ability to compete and our results of operations could be adversely affected. In addition, if our retail eCommerce sites or our other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87" w:right="379" w:bottom="1440" w:gutter="0" w:footer="0" w:header="0"/>
        </w:sectPr>
      </w:pPr>
    </w:p>
    <w:bookmarkStart w:id="25" w:name="page26"/>
    <w:bookmarkEnd w:id="25"/>
    <w:p>
      <w:pPr>
        <w:ind w:right="160"/>
        <w:spacing w:after="0" w:line="270" w:lineRule="auto"/>
        <w:rPr>
          <w:sz w:val="20"/>
          <w:szCs w:val="20"/>
          <w:color w:val="auto"/>
        </w:rPr>
      </w:pPr>
      <w:r>
        <w:rPr>
          <w:rFonts w:ascii="Times New Roman" w:cs="Times New Roman" w:eastAsia="Times New Roman" w:hAnsi="Times New Roman"/>
          <w:sz w:val="14"/>
          <w:szCs w:val="14"/>
          <w:color w:val="auto"/>
        </w:rPr>
        <w:t>customer-facing technology systems do not appeal to our customers, reliably function as designed, or maintain the privacy of customer data, or if we are unable to consistently meet our brand and delivery promises to our customers, we may experience a loss of customer confidence or lost sales, or be exposed to fraudulent purchases, which could adversely affect our reputation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Additionally, our pricing and other strategies for growing profitability may not achieve their objectives, may adversely affect our business, inventory units sold, results of operations, and cash flows.</w:t>
      </w:r>
    </w:p>
    <w:p>
      <w:pPr>
        <w:spacing w:after="0" w:line="157"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 failure to properly execute our plans and business strategies, delays in executing our plans and business strategies, increased costs associated with executing on our plans and business strategies, or failure to identify alternative strategies could have a material adverse effect on our business, financial position, results of operations, and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success is dependent upon retaining key individuals within the organization to execute our strategic plan.</w:t>
      </w:r>
    </w:p>
    <w:p>
      <w:pPr>
        <w:spacing w:after="0" w:line="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Our ability to attract and retain qualified executive management, marketing, merchandising, design, sourcing, technology, operations, including distribution center and retail store, and support function staffing is key to our success. We cannot be sure that we will be able to attract, retain, and motivate a sufficient number of qualified personnel in the future, or that the compensation costs of doing so will not adversely affect our operating results. We have paid special bonuses across our workforce and have increased, and may continue to increase, our employee compensation and benefits levels in response to competition, as necessary. Our inability to retain personnel could cause us to experience business disruption due to a loss of historical knowledge and a lack of business continuity and may adversely affect our results of operations, financial position, and cash 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grow through acquisitions or successfully integrate acquired businesses, and such acquisitions may fail to achieve the financial results we expected.</w:t>
      </w:r>
    </w:p>
    <w:p>
      <w:pPr>
        <w:spacing w:after="0" w:line="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From time to time we may acquire other businesses as part of our growth strategy, such as our acquisitions of the Skip Hop brand and our Mexican licensee in fiscal 2017, and we may partially or fully fund future acquisitions by taking on additional debt. We may be unable to continue to grow through acquisitions if we are not able to identify suitable acquisition candidates or acquire them on favorable terms, and potential acquisitions may be abandoned or delayed if necessary financing is not available or regulatory approvals cannot be obtained. For completed acquisitions, we may be unable to successfully integrate businesses we acquire and such acquisitions may fail to achieve the financial results we expected. Integrating completed acquisitions into our existing operations, particularly larger acquisitions, involves numerous risks, including harmonizing divergent technology platforms, diversion of our management attention, failure to retain key personnel and customers, and failure of the acquired business to be financially successful. In addition, we cannot be certain of the extent of any unknown or contingent liabilities of any acquired business, including liabilities for failure to comply with applicable laws, such as those relating to product safety, anti-bribery or anti-corruption. We may incur material liabilities for past activities of acquired businesses. Also, depending on the location of the acquired business, we may be required to comply with laws and regulations that may differ from those of the jurisdictions in which our operations are currently conducted. Our inability to successfully integrate businesses we acquire, or if such businesses do not achieve the financial results we expect, may increase our costs and have a material adverse impact on our financial condition and results of operations.</w:t>
      </w:r>
    </w:p>
    <w:p>
      <w:pPr>
        <w:spacing w:after="0" w:line="11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Financial Reporting, Our Debt, and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achieve sales growth plans, profitability objectives, and other assumptions that support the carrying value of our intangible assets.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The carrying values of our goodwill and tradename assets are subject to annual impairment reviews as of the last day of each fiscal year or more frequently, if deemed necessary, due to any significant events or changes in circumstances. Estimated future cash flows used in these impairment reviews could be negatively affected if we do not achieve our sales plans and planned profitability objectives. Other assumptions that support the carrying value of these intangible assets, including a deterioration of macroeconomic conditions which would negatively affect the cost of capital and/or discount rates, could also result in impairment of the remaining asset values. For example, in fiscal 2022, we recorded a non-cash pre-tax impairment charge of $9.0 million on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indefinite-lived tradename asset, reflecting the effect of increased discount rates and lower forecasted sales and profitability.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substantial debt, which could adversely affect our financial health and our ability to obtain financing in the future and to react to changes in our business.</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of the end of fiscal 2023, we had $500.0 million aggregate principal amount of debt outstanding (excluding $4.4 million of outstanding letters of credit), and $845.6 million of undrawn availability under our senior secured revolving credit facility after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6" w:name="page27"/>
    <w:bookmarkEnd w:id="26"/>
    <w:p>
      <w:pPr>
        <w:spacing w:after="0" w:line="287" w:lineRule="auto"/>
        <w:rPr>
          <w:sz w:val="20"/>
          <w:szCs w:val="20"/>
          <w:color w:val="auto"/>
        </w:rPr>
      </w:pPr>
      <w:r>
        <w:rPr>
          <w:rFonts w:ascii="Times New Roman" w:cs="Times New Roman" w:eastAsia="Times New Roman" w:hAnsi="Times New Roman"/>
          <w:sz w:val="14"/>
          <w:szCs w:val="14"/>
          <w:color w:val="auto"/>
        </w:rPr>
        <w:t>giving effect to $4.4 million of letters of credit issued under our senior secured revolving credit facility. As a result, our ability to obtain additional financing for working capital, capital expenditures, acquisitions, debt service requirements, or general corporate or other purposes may be limited, and we may be unable to renew or refinance our debt on terms as favorable as our existing debt or at all.</w:t>
      </w:r>
    </w:p>
    <w:p>
      <w:pPr>
        <w:spacing w:after="0" w:line="9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If our liquidity, cash flows, and capital resources are insufficient to fund our debt service obligations and other cash requirements, we could be forced to reduce or delay investments and capital expenditures or to sell assets or operations, seek additional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In the absence of such operating results and resources, we could face substantial liquidity problems and might be required to dispose of material assets or operations to meet our debt service and other obligations.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In addition, both our senior secured revolving credit facility and, in certain circumstances, the indenture that governs the senior notes contain restrictive covenants that, subject to specified exemptions, restrict our ability to incur indebtedness, grant liens, make certain investments (including business acquisitions), pay dividends or distributions on our capital stock, engage in mergers, dispose of assets and use the proceeds from any such dispositions, and raise debt or equity capital to be used to repay other indebtedness when it becomes due. These restrictions may limit our ability to engage in acts that may be in our long-term best interests, and may make it difficult for us to execute our business strategy successfully or effectively compete with companies that are not similarly restricted. In particular, we cannot guarantee that we will have sufficient cash from operations, borrowing capacity under our debt documents, or the ability to raise additional funds in the capital markets to pursue our growth strategies as a result of these restrictions or otherwise. We may also incur future debt obligations that might subject us to additional restrictive covenants that could affect our financial and operational flexibility.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tax obligations and effective tax rate.</w:t>
      </w:r>
    </w:p>
    <w:p>
      <w:pPr>
        <w:spacing w:after="0" w:line="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We are subject to income taxes in federal and applicable state and local tax jurisdictions in the United States, Canada, Hong Kong, Mexico, and other foreign jurisdictions. Our taxable income in each jurisdiction is affected by certain transfer pricing arrangements between affiliated entities. Challenges to the arms-length nature of these transfer prices could materially affect our taxable income in a taxing jurisdiction, and therefore affect our income tax expense. We record tax expense based on our estimates of current and future payments, which include reserves for estimates of uncertain tax positions. At any time, many tax years are subject to audit by various taxing jurisdictions. The results of these audits and negotiations with taxing authorities may impact the ultimate settlement of these tax positions. As a result, there could be ongoing variability in our quarterly tax rates as taxable events occur and exposures are re-evaluated. Further, our effective tax rate in any financial statement period may be materially affected by changes in the geographic mix and level of earnings.</w:t>
      </w:r>
    </w:p>
    <w:p>
      <w:pPr>
        <w:spacing w:after="0" w:line="114"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4"/>
          <w:szCs w:val="14"/>
          <w:color w:val="auto"/>
        </w:rPr>
        <w:t>During the requisite service period for compensable equity-based compensation awards that we may grant to certain employees, we recognize a deferred income tax benefit on the compensation expense we incur for these awards for all employees other than our named executive officers. At time of subsequent vesting, exercise, or expiration of an award, the difference between our actual income tax deduction, if any, and the previously accrued income tax benefit is recognized in our income tax expense/benefit during the current period and can consequently raise or lower our effective tax rate for the period. Such differences are largely dependent on changes in the market price for our common stock.</w:t>
      </w:r>
    </w:p>
    <w:p>
      <w:pPr>
        <w:spacing w:after="0" w:line="109"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We cannot predict whether quotas, duties, taxes, or other similar restrictions will be imposed by the United States or foreign countries upon the import or export of our products in the future, or what effect any of these actions would have, if any, on our business, financial condition, or results of operations.</w:t>
      </w:r>
    </w:p>
    <w:p>
      <w:pPr>
        <w:spacing w:after="0" w:line="10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Changes in regulatory, geopolitical, social or economic policies, treaties between the United States and other countries, and other factors may have a material adverse effect on our business in the future or may require us to exit a particular market or significantly modify our current business practices. For example, our taxable income may be affected by new laws, rulings, initiatives, and other events, which may affect our business, financial condition, or results of operations in future periods, including:</w:t>
      </w:r>
    </w:p>
    <w:p>
      <w:pPr>
        <w:spacing w:after="0" w:line="8" w:lineRule="exact"/>
        <w:rPr>
          <w:sz w:val="20"/>
          <w:szCs w:val="20"/>
          <w:color w:val="auto"/>
        </w:rPr>
      </w:pPr>
    </w:p>
    <w:p>
      <w:pPr>
        <w:ind w:left="520" w:right="40" w:hanging="260"/>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CARES Act, which was enacted in March 2020, and which significantly affects U.S. taxation by providing a retention credit and eases limitations on certain deductions including interest due to potential volatility in 2020 taxable income;</w:t>
      </w: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2018 U.S. Supreme Court ruling, under which states may have additional ability to tax entities operating in their state, but lacking physical presence;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7" w:name="page28"/>
    <w:bookmarkEnd w:id="27"/>
    <w:p>
      <w:pPr>
        <w:jc w:val="both"/>
        <w:ind w:left="520" w:right="400" w:hanging="260"/>
        <w:spacing w:after="0" w:line="270"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country by country reporting of revenue, employees and profits, and certain international initiatives (such as the Organisation for Economic Co-operation and Development (OECD)’s Base Erosion and Profit Shifting (BEPS)) that are focused on the equity of international taxation, which may ultimately result in a worldwide minimum tax, or more defined approach around global profit allocation between related companies operating in jurisdictions with disparate income tax rates;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revenue reductions as a result of the economic impact of the pandemic, which may lead to increases in state tax rates or the expansions of their tax base.</w:t>
      </w:r>
    </w:p>
    <w:p>
      <w:pPr>
        <w:spacing w:after="0" w:line="14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Quarterly cash dividends and share repurchases are subject to a number of uncertainties, and may affect the price of our common stock.</w:t>
      </w:r>
    </w:p>
    <w:p>
      <w:pPr>
        <w:spacing w:after="0" w:line="8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Quarterly cash dividends and share repurchases under our share repurchase program have historically been part of our capital allocation strategy. Although we reinstated our share repurchase program in August 2021 and resumed payment of a quarterly dividend in the third quarter of fiscal 2021, in the first quarter of fiscal 2020 we suspended both our quarterly cash dividends and our share repurchase program due to the effects of the COVID-19 pandemic, and we are not required to declare dividends or make any share repurchases under our share repurchase program in the future. Decisions with respect to future dividends and share repurchases are subject to the discretion of our Board of Directors and will be based on a variety of factors, including restrictions under our secured revolving credit facility, market conditions, the price of our common stock, the nature and timing of other investment opportunities, changes in our business strategy, the terms of our financing arrangements, our outlook as to the ability to obtain financing at attractive rates, the impact on our credit ratings and the availability of domestic cash. A subsequent reduction or elimination of our cash dividend, or subsequent suspension or elimination of our share repurchase program could adversely affect the market price of our common stock. Additionally, there can be no assurance that any share repurchases will enhance shareholder value because the market price of our common stock may decline below the levels at which we repurchased shares of common stock, and short-term stock price fluctuations could reduce the program’s effectiveness.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be volatile.</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market price of our common stock may fluctuate substantially. Future announcements concerning us or our competitors’, financial results, quarterly variations in operating results or comparable sales, updates on strategic initiatives, failure to meet analyst or investor expectations, failure of investors or analysts to understand our business strategies or fundamental changes in our business or sector, among other factors, could cause these fluctuations. In addition, stock markets have experienced periods of significant price or volume volatility in recent years. This volatility has had a substantial effect on the market prices of securities of many public companies for reasons frequently unrelated to the operating performance of the specific companies. Stock price volatility may also impact our decisions with respect to future dividends and share repurchases.</w:t>
      </w:r>
    </w:p>
    <w:p>
      <w:pPr>
        <w:spacing w:after="0" w:line="10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designate the Court of Chancery of the State of Delaware as the sole and exclusive forum for certain types of actions and proceedings that may be initiated by our shareholders, which could limit our shareholders’ ability to obtain a favorable judicial forum for disputes with us or our directors, officers, employees, or agents.</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Our amended and restated bylaws provide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shareholders, (iii) any action asserting a claim arising pursuant to any provision of the Delaware General Corporation Law (the “DGCL”), our certificate of incorporation or our bylaws, or (iv) any action asserting a claim against us that is governed by the internal affairs doctrine, in each such case subject to such Court of Chancery having personal jurisdiction over the indispensable parties named as defendants therein. This exclusive forum provision is not intended to apply to actions arising under the Exchange Act or the Securities Act of 1933, as amended. The Court of Chancery of the State of Delaware has held that a Delaware corporation can only use its constitutive documents to bind a plaintiff to a particular forum where the claim involves rights or relationships that were established by or under the DGCL.</w:t>
      </w:r>
    </w:p>
    <w:p>
      <w:pPr>
        <w:spacing w:after="0" w:line="11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shares of our capital stock will be deemed to have notice of, and consented to, the forum selection provision of our amended and restated bylaws. The choice of forum provision may limit a shareholder’s ability to bring a claim in a judicial forum that it finds favorable for disputes with us or our directors, officers, employees, or agents, which may discourage such lawsuits against us and such persons. Alternatively, if a court were to find this provision of our amended and restated bylaws inapplicable to, or unenforceable in respect of, one or more of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8" w:name="page29"/>
    <w:bookmarkEnd w:id="28"/>
    <w:p>
      <w:pPr>
        <w:ind w:right="40"/>
        <w:spacing w:after="0" w:line="287" w:lineRule="auto"/>
        <w:rPr>
          <w:sz w:val="20"/>
          <w:szCs w:val="20"/>
          <w:color w:val="auto"/>
        </w:rPr>
      </w:pPr>
      <w:r>
        <w:rPr>
          <w:rFonts w:ascii="Times New Roman" w:cs="Times New Roman" w:eastAsia="Times New Roman" w:hAnsi="Times New Roman"/>
          <w:sz w:val="14"/>
          <w:szCs w:val="14"/>
          <w:color w:val="auto"/>
        </w:rPr>
        <w:t>specified types of actions or proceedings, we may incur additional costs associated with resolving such matters in other jurisdictions, which could adversely affect our business, financial condition, or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To effectively assess, identify, and manage material risks from cybersecurity threats, the Company maintains a cyber risk management program, which is led by our Chief Information Security Officer and Vice President of Infrastructure Services and Supply Chain Systems (the “CISO”). The CISO reports to the Senior Vice President and Chief Information Officer (the “CIO”), who in turn reports to the CFO.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implemented the following processes to assess, identify, and manage material risks from cybersecurity threats:</w:t>
      </w:r>
    </w:p>
    <w:p>
      <w:pPr>
        <w:spacing w:after="0" w:line="51" w:lineRule="exact"/>
        <w:rPr>
          <w:sz w:val="20"/>
          <w:szCs w:val="20"/>
          <w:color w:val="auto"/>
        </w:rPr>
      </w:pPr>
    </w:p>
    <w:p>
      <w:pPr>
        <w:ind w:left="520" w:right="700" w:hanging="260"/>
        <w:spacing w:after="0" w:line="28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assessments, by an independent third party, of the Company’s cybersecurity framework under the National Institute for Standards and Technology (“NIST”) cybersecurity framework;</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tests conducted by a third-party;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Simulation of attacks on the Company’s systems by third-parties to test the Company’s systems and protections;</w:t>
      </w:r>
    </w:p>
    <w:p>
      <w:pPr>
        <w:spacing w:after="0" w:line="51" w:lineRule="exact"/>
        <w:rPr>
          <w:rFonts w:ascii="Times New Roman" w:cs="Times New Roman" w:eastAsia="Times New Roman" w:hAnsi="Times New Roman"/>
          <w:sz w:val="14"/>
          <w:szCs w:val="14"/>
          <w:color w:val="auto"/>
        </w:rPr>
      </w:pPr>
    </w:p>
    <w:p>
      <w:pPr>
        <w:ind w:left="520" w:right="60" w:hanging="260"/>
        <w:spacing w:after="0" w:line="28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“Table-top” simulation exercises involving the Company’s management and its third-party consultants and advisors to simulate a cyber incident and the Company’s response to that incident, pursuant to the Company’s Incident Response Plan; and</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card industry (“PCI”) audits to assess the Company’s processing of credit card transactions pursuant to standards adopted by the PCI.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mitigate material risks from cybersecurity threats, the Company has implemented various controls, including, but not limited to, the following:</w:t>
      </w:r>
    </w:p>
    <w:p>
      <w:pPr>
        <w:spacing w:after="0" w:line="5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Intrusion prevention controls (such as network segmentation and firewalls);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controls (such as identity and access management and multi-factor authentication on critical applications and systems);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Detection controls (such as endpoint threat detection and response, and logging and monitoring involving the use of a third-party for security information and event management, with reports and alerts provided by the third-party to the CISO’s team); and</w:t>
      </w:r>
    </w:p>
    <w:p>
      <w:pPr>
        <w:ind w:left="520" w:right="66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Threat protection controls (such as mandatory cyber-threat training and simulated phishing campaigns with employees, vendor management programs, and vulnerability and patch management).</w:t>
      </w:r>
    </w:p>
    <w:p>
      <w:pPr>
        <w:spacing w:after="0" w:line="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has integrated its processes for assessing, identifying, and managing material risks from cybersecurity threats into its overall risk management framework, including through coordination with the Company’s internal leader of Enterprise Risk Management, and through quarterly reporting to the Company’s Audit Committee. Cybersecurity threats, including as a result of any previous cybersecurity incidents, have not materially affected or are reasonably likely to materially affect the Company, including its business strategy, results of operations, or financial condition, except as disclosed in the risk factor titled “Our systems, and those of our third-party vendors, contain personal information and payment data of our retail store and eCommerce customers, and other third parties could be breached, which could subject us to adverse publicity, costly government enforcement actions or private litigation, and expenses” in Part I, Item 1A, “Risk Factors”.</w:t>
      </w:r>
    </w:p>
    <w:p>
      <w:pPr>
        <w:spacing w:after="0" w:line="12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4"/>
          <w:szCs w:val="14"/>
          <w:color w:val="auto"/>
        </w:rPr>
        <w:t>The Company has also implemented processes for overseeing and identifying risks from cybersecurity threats associated with its use of third-party service providers. For example, the Company has implemented the following:</w:t>
      </w:r>
    </w:p>
    <w:p>
      <w:pPr>
        <w:spacing w:after="0" w:line="1"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Vendor onboarding processes including a Privacy Impact Assessment and a Cyber Security and Compliance Questionnaire;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of each vendor in a third-party risk monitoring tool that alerts the CISO’s team should that vendor’s security posture change.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Audit Committee of the Board of Directors oversees risks from cybersecurity threats, including through quarterly reports to the Audit Committee by the Company’s CISO and CIO and, as needed, special reports to the Audit Committee and/or the Chairperson of the Audit Committee. The Audit Committee includes members with technology and cybersecurity experience and certifications, including a Committee member with over 28 years of experience working for Hewlett Packard Enterprise Company and a Committee member with a Computer Emergency Readiness Team (“CERT”) Certificate in Cybersecurity Oversight issued by the CERT Division of the Software Engineering Institute at Carnegie Mellon University and completion of the National Association of Corporate Directors Master Course in Cybersecurity.</w:t>
      </w:r>
    </w:p>
    <w:p>
      <w:pPr>
        <w:spacing w:after="0" w:line="11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Management plays an integral role in assessing and managing the Company’s material risk from cybersecurity risks. The assessment and management of those risks is led by the Company’s CISO, who has over 20 years of experience working in information technology, including over 10 years specifically focused on information security, infrastructure, and strategy, and the Company’s CIO, who has over 25 years of experience in Retail, Consumer Products, Merchandising, Supply Chain and IT, of which 15 years have been in leadership roles, and implemented by the CISO’s team, who are responsible for leading enterprise-wide cybersecurity strategy, policy, standards, architecture, processes and operations. The CISO and CIO lead quarterly meetings of the Company’s Security Executive Steering Committee (the “Steering Committee”), which is composed of the Company’s CFO, General Counsel, and CIO. The Steering Committee drives awareness, ownership and alignment across broad governance and risk stakeholder groups for effective cybersecurity risk management and reporting.</w:t>
      </w:r>
    </w:p>
    <w:p>
      <w:pPr>
        <w:spacing w:after="0" w:line="11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 Company’s management maintains and implements a written Incident Response Plan, which is reviewed and updated on an annual basis and includes an Incident Response Plan Executive Committee consisting of the Company’s CIO, CISO, and General Counsel. In addition, members of the CISO’s and CIO’s teams monitor the Company’s systems and processes and promptly report incidents as required under the Incident Response Plan, including, but not limited to, reporting to the appropriate members of management and, as needed, the Audit Committee.</w:t>
      </w:r>
    </w:p>
    <w:p>
      <w:pPr>
        <w:spacing w:after="0" w:line="11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Incident Response Plan has been developed to align with the four phases for the security handling lifecycle set forth in the National Institute for Standards and Technology Special Publication 800-61: (1) Preparation, (2) Detection &amp; Analysis, (3) Containment Eradication &amp; Recovery, and (4) Post-Incident Activity.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our principal owned and leased properties as of December 30, 2023.</w:t>
      </w:r>
    </w:p>
    <w:p>
      <w:pPr>
        <w:spacing w:after="0" w:line="14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corporate headquarters occupies 209,000 square feet of leased space in a building in Atlanta, Georgia. Our lease for that space expires in July 2035. In addition, we occupy leased space in a building in Mississauga, Ontario, which serves as our regional headquarters for Canada, and we occupy leased space in Hong Kong, which serves as our principal sourcing office in Asia. We also lease other space in Georgia and New York, as well as in Bangladesh, Cambodia, China, Mexico, and Vietnam that, depending on the site, serves as a sourcing, sales, or administrative office. We also own a 224,000 square foot facility in Griffin, Georgia.</w:t>
      </w:r>
    </w:p>
    <w:p>
      <w:pPr>
        <w:spacing w:after="0" w:line="109"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Our largest distribution centers, which we lease, are located in Braselton, Georgia, Stockbridge, Georgia, and Jonesboro, Georgia and are 1.1 million, 0.5 million, and 0.2 million square feet, respectively. The distribution centers in Braselton, Georgia and Stockbridge, Georgia support all of our operating segments, and the distribution center in Jonesboro, Georgia supports our U.S. Wholesale segment. We also lease additional space in or use third-party logistics providers in California, Canada, China, Mexico, and Vietnam for warehousing and distribution purposes.</w:t>
      </w:r>
    </w:p>
    <w:p>
      <w:pPr>
        <w:spacing w:after="0" w:line="11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We also operate the following number of leased retail stores: 792 in the United States, 188 in Canada, and 54 in Mexico. Our average remaining lease term for retail store leases in the United States, Canada, and Mexico is approximately 3.2 years, excluding renewal options.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We are subject to various claims and pending or threatened lawsuits in the normal course of our business. The Company is not currently a party to any legal proceedings that it believes would have a material adverse effect on its financial position, results of operations, or cash flows.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ind w:right="1200"/>
        <w:spacing w:after="0" w:line="357" w:lineRule="auto"/>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 Common Stock</w:t>
      </w:r>
    </w:p>
    <w:p>
      <w:pPr>
        <w:spacing w:after="0" w:line="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Our common stock trades on the New York Stock Exchange (NYSE) under the trading symbol CRI. As of February 20, 2024, there were 172 holders of record of our common stock. The vast majority of holders of our common stock are “street name” or beneficial holders, whose shares of record are held by banks, brokers, and other financial institutions.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shares repurchased during the fourth quarter of fiscal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Total number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Approximate</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Average price paid per</w:t>
            </w: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purchased as part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dollar value of remaining</w:t>
            </w:r>
          </w:p>
        </w:tc>
        <w:tc>
          <w:tcPr>
            <w:tcW w:w="0" w:type="dxa"/>
            <w:vAlign w:val="bottom"/>
          </w:tcPr>
          <w:p>
            <w:pPr>
              <w:spacing w:after="0"/>
              <w:rPr>
                <w:sz w:val="1"/>
                <w:szCs w:val="1"/>
                <w:color w:val="auto"/>
              </w:rPr>
            </w:pPr>
          </w:p>
        </w:tc>
      </w:tr>
      <w:tr>
        <w:trPr>
          <w:trHeight w:val="127"/>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5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publicly announced plans 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that can be purchased</w:t>
            </w:r>
          </w:p>
        </w:tc>
        <w:tc>
          <w:tcPr>
            <w:tcW w:w="0" w:type="dxa"/>
            <w:vAlign w:val="bottom"/>
          </w:tcPr>
          <w:p>
            <w:pPr>
              <w:spacing w:after="0"/>
              <w:rPr>
                <w:sz w:val="1"/>
                <w:szCs w:val="1"/>
                <w:color w:val="auto"/>
              </w:rPr>
            </w:pPr>
          </w:p>
        </w:tc>
      </w:tr>
      <w:tr>
        <w:trPr>
          <w:trHeight w:val="170"/>
        </w:trPr>
        <w:tc>
          <w:tcPr>
            <w:tcW w:w="4500" w:type="dxa"/>
            <w:vAlign w:val="bottom"/>
            <w:gridSpan w:val="2"/>
            <w:vMerge w:val="continue"/>
          </w:tcPr>
          <w:p>
            <w:pPr>
              <w:spacing w:after="0"/>
              <w:rPr>
                <w:sz w:val="14"/>
                <w:szCs w:val="14"/>
                <w:color w:val="auto"/>
              </w:rPr>
            </w:pPr>
          </w:p>
        </w:tc>
        <w:tc>
          <w:tcPr>
            <w:tcW w:w="158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3"/>
              </w:rPr>
              <w:t>purchased</w:t>
            </w:r>
            <w:r>
              <w:rPr>
                <w:rFonts w:ascii="Times New Roman" w:cs="Times New Roman" w:eastAsia="Times New Roman" w:hAnsi="Times New Roman"/>
                <w:sz w:val="16"/>
                <w:szCs w:val="16"/>
                <w:b w:val="1"/>
                <w:bCs w:val="1"/>
                <w:color w:val="auto"/>
                <w:w w:val="93"/>
                <w:vertAlign w:val="superscript"/>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20"/>
              <w:spacing w:after="0" w:line="170" w:lineRule="exact"/>
              <w:rPr>
                <w:sz w:val="20"/>
                <w:szCs w:val="20"/>
                <w:color w:val="auto"/>
              </w:rPr>
            </w:pPr>
            <w:r>
              <w:rPr>
                <w:rFonts w:ascii="Times New Roman" w:cs="Times New Roman" w:eastAsia="Times New Roman" w:hAnsi="Times New Roman"/>
                <w:sz w:val="13"/>
                <w:szCs w:val="13"/>
                <w:b w:val="1"/>
                <w:bCs w:val="1"/>
                <w:color w:val="auto"/>
                <w:w w:val="93"/>
              </w:rPr>
              <w:t>share</w:t>
            </w:r>
            <w:r>
              <w:rPr>
                <w:rFonts w:ascii="Times New Roman" w:cs="Times New Roman" w:eastAsia="Times New Roman" w:hAnsi="Times New Roman"/>
                <w:sz w:val="16"/>
                <w:szCs w:val="16"/>
                <w:b w:val="1"/>
                <w:bCs w:val="1"/>
                <w:color w:val="auto"/>
                <w:w w:val="93"/>
                <w:vertAlign w:val="superscript"/>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programs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under the plans or programs</w:t>
            </w:r>
          </w:p>
        </w:tc>
        <w:tc>
          <w:tcPr>
            <w:tcW w:w="0" w:type="dxa"/>
            <w:vAlign w:val="bottom"/>
          </w:tcPr>
          <w:p>
            <w:pPr>
              <w:spacing w:after="0"/>
              <w:rPr>
                <w:sz w:val="1"/>
                <w:szCs w:val="1"/>
                <w:color w:val="auto"/>
              </w:rPr>
            </w:pPr>
          </w:p>
        </w:tc>
      </w:tr>
      <w:tr>
        <w:trPr>
          <w:trHeight w:val="97"/>
        </w:trPr>
        <w:tc>
          <w:tcPr>
            <w:tcW w:w="44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2023 through October 28,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188,761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66.65</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188,761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669,453,093</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29, 2023 through November 25,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122,983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661,110,640</w:t>
            </w:r>
          </w:p>
        </w:tc>
        <w:tc>
          <w:tcPr>
            <w:tcW w:w="0" w:type="dxa"/>
            <w:vAlign w:val="bottom"/>
          </w:tcPr>
          <w:p>
            <w:pPr>
              <w:spacing w:after="0"/>
              <w:rPr>
                <w:sz w:val="1"/>
                <w:szCs w:val="1"/>
                <w:color w:val="auto"/>
              </w:rPr>
            </w:pPr>
          </w:p>
        </w:tc>
      </w:tr>
      <w:tr>
        <w:trPr>
          <w:trHeight w:val="85"/>
        </w:trPr>
        <w:tc>
          <w:tcPr>
            <w:tcW w:w="4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November 26, 2023 through December 30,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159,405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72.88</w:t>
            </w: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159,405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649,492,412</w:t>
            </w:r>
          </w:p>
        </w:tc>
        <w:tc>
          <w:tcPr>
            <w:tcW w:w="0" w:type="dxa"/>
            <w:vAlign w:val="bottom"/>
          </w:tcPr>
          <w:p>
            <w:pPr>
              <w:spacing w:after="0"/>
              <w:rPr>
                <w:sz w:val="1"/>
                <w:szCs w:val="1"/>
                <w:color w:val="auto"/>
              </w:rPr>
            </w:pPr>
          </w:p>
        </w:tc>
      </w:tr>
      <w:tr>
        <w:trPr>
          <w:trHeight w:val="117"/>
        </w:trPr>
        <w:tc>
          <w:tcPr>
            <w:tcW w:w="44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4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471,149</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470,911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shares of our common stock surrendered by our employees to satisfy required tax withholding upon the vesting of restricted stock awards. There were 238 shares surrendered between October 29, 2023 and November 25, 2023.</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average price paid per share excludes excise tax on share repurchases imposed as part of the Inflation Reduction Act of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74"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On February 24, 2022, our Board of Directors authorized share repurchases up to $1.00 billion, inclusive of $301.9 million remaining under previous authorizations. The total aggregate remaining capacity under outstanding repurchase authorizations as of December 30, 2023 was $649.5 million. The share repurchase authorizations have no expiration dates.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repurchased and retired shares in open market transactions in the following amounts for the fiscal periods indicated: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1"/>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0" w:type="dxa"/>
            <w:vAlign w:val="bottom"/>
          </w:tcPr>
          <w:p>
            <w:pPr>
              <w:spacing w:after="0"/>
              <w:rPr>
                <w:sz w:val="14"/>
                <w:szCs w:val="14"/>
                <w:color w:val="auto"/>
              </w:rPr>
            </w:pP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80" w:type="dxa"/>
            <w:vAlign w:val="bottom"/>
          </w:tcPr>
          <w:p>
            <w:pPr>
              <w:spacing w:after="0"/>
              <w:rPr>
                <w:sz w:val="14"/>
                <w:szCs w:val="14"/>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54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3,747,187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2,967,619</w:t>
            </w:r>
          </w:p>
        </w:tc>
      </w:tr>
      <w:tr>
        <w:trPr>
          <w:trHeight w:val="170"/>
        </w:trPr>
        <w:tc>
          <w:tcPr>
            <w:tcW w:w="55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i w:val="1"/>
                <w:iCs w:val="1"/>
                <w:color w:val="auto"/>
                <w:vertAlign w:val="superscript"/>
              </w:rPr>
              <w:t>(2)</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299,339</w:t>
            </w:r>
          </w:p>
        </w:tc>
      </w:tr>
      <w:tr>
        <w:trPr>
          <w:trHeight w:val="170"/>
        </w:trPr>
        <w:tc>
          <w:tcPr>
            <w:tcW w:w="55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100.87</w:t>
            </w:r>
          </w:p>
        </w:tc>
      </w:tr>
    </w:tbl>
    <w:p>
      <w:pPr>
        <w:spacing w:after="0" w:line="99" w:lineRule="exact"/>
        <w:rPr>
          <w:sz w:val="20"/>
          <w:szCs w:val="20"/>
          <w:color w:val="auto"/>
        </w:rPr>
      </w:pPr>
    </w:p>
    <w:p>
      <w:pPr>
        <w:ind w:left="260" w:right="220" w:hanging="255"/>
        <w:spacing w:after="0" w:line="291" w:lineRule="auto"/>
        <w:tabs>
          <w:tab w:leader="none" w:pos="254"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 repurchases were made in compliance with all applicable rules and regulations and in accordance with the share repurchase authorizations described in Item 8 “Financial Statements and Supplementary Data” under Note 11, Common Stock, to the consolidated financial statements.</w:t>
      </w:r>
    </w:p>
    <w:p>
      <w:pPr>
        <w:ind w:left="260" w:hanging="255"/>
        <w:spacing w:after="0"/>
        <w:tabs>
          <w:tab w:leader="none" w:pos="26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excludes excise tax on share repurchases imposed as part of the Inflation Reduction Act of 2022.</w:t>
      </w:r>
    </w:p>
    <w:p>
      <w:pPr>
        <w:spacing w:after="0" w:line="16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excise taxes, and other factors.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On February 26, 2024, the Company's Board of Directors declared a quarterly cash dividend payment of $0.80 per common share, payable on March 29, 2024 to shareholders of record at the close of business on March 11, 2024.</w:t>
      </w:r>
    </w:p>
    <w:p>
      <w:pPr>
        <w:spacing w:after="0" w:line="9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each quarter of fiscal 2023, the Board of Directors declared, and the Company paid, a cash dividend per common share of $0.75 (for an aggregate cash dividend per common share of $3.00 for fiscal 2023). In fiscal 2022 the Board of Directors declared, and the Company paid, a cash dividend per common share of $0.75 (for an aggregate cash dividend per common share of $3.00 for fiscal 2022). Our Board of Directors will evaluate future dividend declarations based on a number of factors, including restrictions under our secured revolving credit facility, business conditions, our financial performance, and other considerations.</w:t>
      </w:r>
    </w:p>
    <w:p>
      <w:pPr>
        <w:spacing w:after="0" w:line="10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8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following is a discussion of our results of operations and current financial condition. You should read this discussion in conjunction with our consolidated historical financial statements and notes included elsewhere in this Annual Report on Form 10-K. Our discussion of our results of operations and financial condition contains certain forward-looking statements within the meaning of the federal securities laws relating to our future performance. We based these statements on assumptions that we consider reasonable. Actual results may differ materially from those suggested by our forward-looking statements for various reasons including those discussed under “Risk Factors” in Part I, Item 1A of this Annual Report on Form 10-K. Those risk factors expressly qualify all subsequent oral and written forward-looking statements attributable to us or persons acting on our behalf. Except for any ongoing obligations to disclose material information as required by federal securities laws, we do not have any intention or obligation to update forward-looking statements after we file this Annual Report on Form 10-K.</w:t>
      </w:r>
    </w:p>
    <w:p>
      <w:pPr>
        <w:spacing w:after="0" w:line="114" w:lineRule="exact"/>
        <w:rPr>
          <w:sz w:val="20"/>
          <w:szCs w:val="20"/>
          <w:color w:val="auto"/>
        </w:rPr>
      </w:pPr>
    </w:p>
    <w:p>
      <w:pPr>
        <w:ind w:right="420"/>
        <w:spacing w:after="0" w:line="287" w:lineRule="auto"/>
        <w:rPr>
          <w:rFonts w:ascii="Times New Roman" w:cs="Times New Roman" w:eastAsia="Times New Roman" w:hAnsi="Times New Roman"/>
          <w:sz w:val="14"/>
          <w:szCs w:val="14"/>
          <w:color w:val="0000FF"/>
        </w:rPr>
      </w:pPr>
      <w:hyperlink r:id="rId43">
        <w:r>
          <w:rPr>
            <w:rFonts w:ascii="Times New Roman" w:cs="Times New Roman" w:eastAsia="Times New Roman" w:hAnsi="Times New Roman"/>
            <w:sz w:val="14"/>
            <w:szCs w:val="14"/>
            <w:color w:val="auto"/>
          </w:rPr>
          <w:t xml:space="preserve">For a comparison of our results for fiscal year 2022 to our results for fiscal year 2021 and other financial information related to fiscal year 2021, refer to </w:t>
        </w:r>
        <w:r>
          <w:rPr>
            <w:rFonts w:ascii="Times New Roman" w:cs="Times New Roman" w:eastAsia="Times New Roman" w:hAnsi="Times New Roman"/>
            <w:sz w:val="14"/>
            <w:szCs w:val="14"/>
            <w:u w:val="single" w:color="auto"/>
            <w:color w:val="0000FF"/>
          </w:rPr>
          <w:t>Item 7 “Management’s Discussion and</w:t>
        </w:r>
      </w:hyperlink>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u w:val="single" w:color="auto"/>
            <w:color w:val="0000FF"/>
          </w:rPr>
          <w:t>Analysis of Financial Condition and Results of Operations”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 our 2022 Annual Report on Form 10-K, filed with the SEC on February 24, 2023.</w:t>
        </w:r>
      </w:hyperlink>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Years</w:t>
      </w:r>
    </w:p>
    <w:p>
      <w:pPr>
        <w:spacing w:after="0" w:line="53" w:lineRule="exact"/>
        <w:rPr>
          <w:sz w:val="20"/>
          <w:szCs w:val="20"/>
          <w:color w:val="auto"/>
        </w:rPr>
      </w:pPr>
    </w:p>
    <w:p>
      <w:pPr>
        <w:ind w:right="640"/>
        <w:spacing w:after="0" w:line="223" w:lineRule="auto"/>
        <w:rPr>
          <w:sz w:val="20"/>
          <w:szCs w:val="20"/>
          <w:color w:val="auto"/>
        </w:rPr>
      </w:pPr>
      <w:r>
        <w:rPr>
          <w:rFonts w:ascii="Times New Roman" w:cs="Times New Roman" w:eastAsia="Times New Roman" w:hAnsi="Times New Roman"/>
          <w:sz w:val="14"/>
          <w:szCs w:val="14"/>
          <w:color w:val="auto"/>
        </w:rPr>
        <w:t>Our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2023 ended on December 30, 2023, fiscal 2022 ended on December 31, 2022, and fiscal 2021 ended on January 1, 2022. All three fiscal years contained 52 calendar weeks.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8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color w:val="auto"/>
        </w:rPr>
        <w:t xml:space="preserve">We are the largest branded marketer of young children’s apparel in North America. We own two of the most highly recognized and trusted brand names in the children’s apparel market,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 xml:space="preserve">OshKosh B’gosh </w:t>
      </w:r>
      <w:r>
        <w:rPr>
          <w:rFonts w:ascii="Times New Roman" w:cs="Times New Roman" w:eastAsia="Times New Roman" w:hAnsi="Times New Roman"/>
          <w:sz w:val="14"/>
          <w:szCs w:val="14"/>
          <w:color w:val="auto"/>
        </w:rPr>
        <w:t>(or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We also own</w:t>
      </w:r>
      <w:r>
        <w:rPr>
          <w:rFonts w:ascii="Times New Roman" w:cs="Times New Roman" w:eastAsia="Times New Roman" w:hAnsi="Times New Roman"/>
          <w:sz w:val="14"/>
          <w:szCs w:val="14"/>
          <w:i w:val="1"/>
          <w:iCs w:val="1"/>
          <w:color w:val="auto"/>
        </w:rPr>
        <w:t xml:space="preserve"> Skip Hop</w:t>
      </w:r>
      <w:r>
        <w:rPr>
          <w:rFonts w:ascii="Times New Roman" w:cs="Times New Roman" w:eastAsia="Times New Roman" w:hAnsi="Times New Roman"/>
          <w:sz w:val="14"/>
          <w:szCs w:val="14"/>
          <w:color w:val="auto"/>
        </w:rPr>
        <w:t>, a leading young children’s lifestyle brand,</w:t>
      </w:r>
      <w:r>
        <w:rPr>
          <w:rFonts w:ascii="Times New Roman" w:cs="Times New Roman" w:eastAsia="Times New Roman" w:hAnsi="Times New Roman"/>
          <w:sz w:val="14"/>
          <w:szCs w:val="14"/>
          <w:i w:val="1"/>
          <w:iCs w:val="1"/>
          <w:color w:val="auto"/>
        </w:rPr>
        <w:t xml:space="preserve"> Little Planet</w:t>
      </w:r>
      <w:r>
        <w:rPr>
          <w:rFonts w:ascii="Times New Roman" w:cs="Times New Roman" w:eastAsia="Times New Roman" w:hAnsi="Times New Roman"/>
          <w:sz w:val="14"/>
          <w:szCs w:val="14"/>
          <w:color w:val="auto"/>
        </w:rPr>
        <w:t>, a brand focused on organic fabrics and sustainable materials and exclusive</w:t>
      </w:r>
      <w:r>
        <w:rPr>
          <w:rFonts w:ascii="Times New Roman" w:cs="Times New Roman" w:eastAsia="Times New Roman" w:hAnsi="Times New Roman"/>
          <w:sz w:val="14"/>
          <w:szCs w:val="14"/>
          <w:i w:val="1"/>
          <w:iCs w:val="1"/>
          <w:color w:val="auto"/>
        </w:rPr>
        <w:t xml:space="preserve"> Carter’s </w:t>
      </w:r>
      <w:r>
        <w:rPr>
          <w:rFonts w:ascii="Times New Roman" w:cs="Times New Roman" w:eastAsia="Times New Roman" w:hAnsi="Times New Roman"/>
          <w:sz w:val="14"/>
          <w:szCs w:val="14"/>
          <w:color w:val="auto"/>
        </w:rPr>
        <w:t>brands developed for Amazon, Target, and Walmart.</w:t>
      </w:r>
    </w:p>
    <w:p>
      <w:pPr>
        <w:spacing w:after="0" w:line="10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Our multichannel global business model, which includes retail stores, eCommerce, and wholesale distribution channels, as well as omni-channel capabilities in the United States and Canada, enables us to reach a broad range of consumers around the world. At the end of fiscal 2023, our channels included 1,034 company-owned retail stores, eCommerce websites, approximately 19,350 wholesale locations in North America, as well as our international wholesale accounts and licensees who operate in over 1,100 locations outside of North America in over 90 countries.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Segments</w:t>
      </w:r>
    </w:p>
    <w:p>
      <w:pPr>
        <w:spacing w:after="0" w:line="7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Our three business segments are: U.S. Retail, U.S. Wholesale, and International. These segments are our operating and reporting segments. Our U.S. Retail segment consists of revenue primarily from sales of products in the United States through our retail stores and eCommerce websites. Similarly, our U.S. Wholesale segment consists of revenue primarily from sales in the United States of products to our wholesale partners. Our International segment consists of revenue primarily from sales of products outside the United States, largely through our retail stores and eCommerce websites in Canada and Mexico, and sales to our international wholesale customers and licensees. Additional financial and geographical information about our business segments is contained in Item 8 “Financial Statements and Supplementary Data” and under Note 18,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to the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7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Gross profit is calculated as consolidated net sales less cost of goods sold. Gross margin is calculated as gross profit divided by consolidated net sales. Cost of goods sold includes expenses related to the merchandising, design, and procurement of product, including inbound freight, purchasing, receiving, and inspection costs. Also included in costs of goods sold are the costs of shipping eCommerce product to end consumers. Retail store occupancy costs, distribution expenses, and generally all other expenses other than interest and income taxes are included in Selling, general, and administrative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Our gross profit and gross margin may not be comparable to other entities that define their metrics differently.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Known or Anticipated Trends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Macroeconomic Factors and Consumer Demand</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Macroeconomic factors, including inflationary pressures on families with young children, increased interest rates, the lapping of government stimulus, increased consumer debt levels, decreased savings rates, resumption of student loan repayments, geopolitical unrest, and increased risks of a recession continued to create a complex and challenging environment for our business in fiscal 2023. We believe these macroeconomic factors have resulted in lower consumer sentiment and negatively impacted demand for our products. While the impact of these macroeconomic factors is difficult to quantify, we expect continued pressure on consumer demand in fiscal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Inflationary Pressures</w:t>
      </w:r>
    </w:p>
    <w:p>
      <w:pPr>
        <w:spacing w:after="0" w:line="74"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In fiscal 2022, the cost of transportation, particularly ocean freight rates, raw materials, packaging materials, labor, energy, fuel, and other inputs necessary for the production and distribution of our products rapidly increased. As a result, we offset some of these cost pressures through increases in the selling prices of some of our products, product cost optimization, increasing and diversifying our portfolio of suppliers, renegotiating our longer-term shipping container contracts, and reductions in discretionary spending.</w:t>
      </w:r>
    </w:p>
    <w:p>
      <w:pPr>
        <w:spacing w:after="0" w:line="11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While some of these inflationary pressures, including freight input costs and product input costs, improved in fiscal 2023 and we expect further improvement in fiscal 2024, we may continue to experience inflationary pressures on our product input costs and distribution costs. Additionally, our pricing actions could have an adverse impact on demand and may not be sufficient to cover all increased costs that we may experience.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 Levels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As consumer and wholesale customer demand in the marketplace began to slow in fiscal 2022 in response to the onset of significant inflation, the Company implemented a strategy whereby inventory originally intended for sale in fiscal 2022 was packed and held (“pack and hold” inventory) for sale profitably in a future period. In fiscal 2023, the Company had profitably sold through the majority of this inventory. Additionally, in response to increased inventory levels at the end of fiscal 2022, the Company utilized its own retail channel, as well as off-price channels, to sell through excess inventory.</w:t>
      </w:r>
    </w:p>
    <w:p>
      <w:pPr>
        <w:spacing w:after="0" w:line="10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Compared to the end of fiscal 2022, our inventories decreased $207.4 million, or 27.9%, to $537.1 million, due to this decreased “pack and hold” inventory, decreased days of supply, and decreased product costs. “Pack and hold” inventory decreased $88.0 million, or 88.7% to $11.2 million. In part due to our inventory management strategies taken in fiscal 2023, inventory provisions as a percentage of sales decreased and benefited our gross margin by approximately 50 basis points (“bps”).</w:t>
      </w:r>
    </w:p>
    <w:p>
      <w:pPr>
        <w:spacing w:after="0" w:line="10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We are currently experiencing stable inventory levels, inventory transit times, and flow of seasonal product in line with our historical experience. As a result, we expect inventory levels in the first quarter of fiscal 2024 to be lower than those in the first quarter of fiscal 2023, and we expect inventory levels in the remainder of fiscal 2024 to be relatively consistent with those in the same periods in fiscal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 Sea Conflict</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have recently experienced delays with respect to our inventory shipments via ocean vessels due to attacks by a militant group at the entrance to the Red Sea region. These attacks have required our carriers to route shipments around the Cape of Good Hope at the southern tip of Africa, which has added an additional seven to ten days of transit time. Typically, approximately 65% of our products are shipped through the Red Sea to arrive at their destination on the East Coast of the U.S. and we expect delays of approximately seven to ten days if the hostilities in the region continue. We expect that the adverse impact of the hostilities in the region, including additional transportation fees to re-reroute these shipments, could be approximately $6.0 to $7.0 million through the end of June 2024. If these hostilities continue or escalate, our business and results of operations could be materially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Organizational Restructuring</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In fiscal 2023, we initiated several organizational restructuring initiatives which included a reorganization of staffing models across multiple functions to drive labor savings and increase efficiencies. In conjunction with these plans, we incurred costs of approximately $6.2 million in fiscal 2023. These costs were primarily related to severance and other termination benefits. As 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color w:val="auto"/>
        </w:rPr>
        <w:t>December 30, 2023, there is approximately $1.9 million related to these plans included in Other current liabilities on our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Office Lease Amendment</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During the first quarter of fiscal 2023, we executed an amendment to the lease of our corporate headquarters in Atlanta, Georgia which resulted in returning three floors to the landlord and extending the lease to 2035. As a result of the reduction in leased office space, we recorded a net gain of $1.8 million related to the partial termination of the lease in the first quarter of fiscal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Strategies and Outlook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believe that our growth in the years ahead will be driven by new retail store openings and omni-channel sales in North America and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in the wholesale channel.</w:t>
      </w:r>
    </w:p>
    <w:p>
      <w:pPr>
        <w:spacing w:after="0" w:line="14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During fiscal 2023, we opened 48 stores and closed 13 low-margin stores in our U.S. Retail segment. We are projecting approximately 40 new store openings and 30 store closures in fiscal 2024, with a greater number of net store openings in future years.</w:t>
      </w:r>
    </w:p>
    <w:p>
      <w:pPr>
        <w:spacing w:after="0" w:line="101"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color w:val="auto"/>
        </w:rPr>
        <w:t xml:space="preserve">In our U.S. Wholesale segment, we expect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to be the largest contributor to our sales growth, with additional growth planned across customers that sell our core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w:t>
      </w:r>
    </w:p>
    <w:p>
      <w:pPr>
        <w:spacing w:after="0" w:line="90"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In international markets, we expect our growth will be driven through new store openings and omni-channel capabilities in Mexico and Canada, expansion through our wholesale partner in Brazil, and growth with other wholesale customers.</w:t>
      </w:r>
    </w:p>
    <w:p>
      <w:pPr>
        <w:spacing w:after="0" w:line="9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We expect that our profitability in the years ahead will be driven by improved inventory management and pricing capabilities, favorable trends in product costs and ocean freight rates, productivity benefits that enable investments in growth, and continued return of capital through share repurchases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Fiscal Year 2023 Financial Highlights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stated, comparisons are to fiscal 2022.</w:t>
      </w:r>
    </w:p>
    <w:p>
      <w:pPr>
        <w:spacing w:after="0" w:line="51" w:lineRule="exact"/>
        <w:rPr>
          <w:sz w:val="20"/>
          <w:szCs w:val="20"/>
          <w:color w:val="auto"/>
        </w:rPr>
      </w:pPr>
    </w:p>
    <w:p>
      <w:pPr>
        <w:ind w:left="520" w:right="40" w:hanging="260"/>
        <w:spacing w:after="0" w:line="283"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Consolidated net sales decreased $267.1 million, or 8.3%, to $2.95 billion, due to macroeconomic factors, including inflationary pressures on families with young children, increased interest rates, increased consumer debt levels, decreased savings rates, and risk of recession, driving lower consumer demand.</w:t>
      </w:r>
    </w:p>
    <w:p>
      <w:pPr>
        <w:spacing w:after="0" w:line="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Gross margin increased 160 bps to 47.4%, due to decreased inventory provisions, decreased ocean freight rates, and improved price realization.</w:t>
      </w:r>
    </w:p>
    <w:p>
      <w:pPr>
        <w:spacing w:after="0" w:line="51" w:lineRule="exact"/>
        <w:rPr>
          <w:rFonts w:ascii="Times New Roman" w:cs="Times New Roman" w:eastAsia="Times New Roman" w:hAnsi="Times New Roman"/>
          <w:sz w:val="14"/>
          <w:szCs w:val="14"/>
          <w:b w:val="1"/>
          <w:bCs w:val="1"/>
          <w:color w:val="auto"/>
        </w:rPr>
      </w:pPr>
    </w:p>
    <w:p>
      <w:pPr>
        <w:ind w:left="520" w:right="20" w:hanging="260"/>
        <w:spacing w:after="0" w:line="261"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SG&amp;A expenses decreased $16.1 million, or 1.4%, to $1.09 billion, due to decreased eCommerce expenses on decreased sales, decreased transportation costs, and decreased marketing expenses. SG&amp;A as a percentage of consolidated net sales (“SG&amp;A rate”) increased 250 bps to 37.1%, due to fixed cost deleverage on decreased sales, increased performance-based compensation expense, and increased consulting costs. Our consulting costs were incurred as an investment in our ongoing initiatives to grow our market share, deepen our relationships with our current customers, improve productivity, and increase shareholder value. While we will continue to focus on effectively managing our variable costs, we will also look to invest in growing our business, including adding new omni-channel capabilities, opening new retail stores, and investing in more effective brand marketing.</w:t>
      </w:r>
    </w:p>
    <w:p>
      <w:pPr>
        <w:spacing w:after="0" w:line="15" w:lineRule="exact"/>
        <w:rPr>
          <w:rFonts w:ascii="Times New Roman" w:cs="Times New Roman" w:eastAsia="Times New Roman" w:hAnsi="Times New Roman"/>
          <w:sz w:val="14"/>
          <w:szCs w:val="14"/>
          <w:b w:val="1"/>
          <w:bCs w:val="1"/>
          <w:color w:val="auto"/>
        </w:rPr>
      </w:pPr>
    </w:p>
    <w:p>
      <w:pPr>
        <w:ind w:left="520" w:hanging="260"/>
        <w:spacing w:after="0" w:line="270"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xml:space="preserve">Consolidated operating income decreased $55.8 million, or 14.7%, to $323.4 million, and adjusted operating income, a non-GAAP financial measure, decreased 60.4 million, or 15.5%, to 327.8 million. The decrease in consolidated operating income is due to the factors discussed above, partially offset by the nonrecurrence of a $9.0 million non-cash pre-tax impairment charge related to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in fiscal 2022.</w:t>
      </w:r>
    </w:p>
    <w:p>
      <w:pPr>
        <w:spacing w:after="0" w:line="8" w:lineRule="exact"/>
        <w:rPr>
          <w:rFonts w:ascii="Times New Roman" w:cs="Times New Roman" w:eastAsia="Times New Roman" w:hAnsi="Times New Roman"/>
          <w:sz w:val="14"/>
          <w:szCs w:val="14"/>
          <w:b w:val="1"/>
          <w:bCs w:val="1"/>
          <w:color w:val="auto"/>
        </w:rPr>
      </w:pPr>
    </w:p>
    <w:p>
      <w:pPr>
        <w:ind w:left="520" w:right="160" w:hanging="260"/>
        <w:spacing w:after="0" w:line="283"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(income) expense, net was $8.0 million in fiscal 2023, primarily due to a $6.9 million payment received in January 2024 as a result of a court-approved settlement in December 2023 related to payment card interchange fees.</w:t>
      </w:r>
    </w:p>
    <w:p>
      <w:pPr>
        <w:spacing w:after="0" w:line="2"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Diluted net income per common share decreased $0.10, or 1.6%, to $6.24, and adjusted diluted net income per common share decreased $0.71, or 10.3%, to $6.19.</w:t>
      </w:r>
    </w:p>
    <w:p>
      <w:pPr>
        <w:spacing w:after="0" w:line="51"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Inventories decreased $207.4 million, or 27.9%, to $537.1 million, due to decreased “pack and hold” inventory, decreased days of supply, and decreased product costs.</w:t>
      </w:r>
    </w:p>
    <w:p>
      <w:pPr>
        <w:spacing w:after="0" w:line="51" w:lineRule="exact"/>
        <w:rPr>
          <w:rFonts w:ascii="Times New Roman" w:cs="Times New Roman" w:eastAsia="Times New Roman" w:hAnsi="Times New Roman"/>
          <w:sz w:val="14"/>
          <w:szCs w:val="14"/>
          <w:b w:val="1"/>
          <w:bCs w:val="1"/>
          <w:color w:val="auto"/>
        </w:rPr>
      </w:pPr>
    </w:p>
    <w:p>
      <w:pPr>
        <w:ind w:left="520" w:right="240" w:hanging="260"/>
        <w:spacing w:after="0" w:line="287" w:lineRule="auto"/>
        <w:tabs>
          <w:tab w:leader="none" w:pos="516"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As a result of our strong financial position and available liquidity, we returned $212.0 million to our shareholders, comprised of $100.0 million in share repurchases and $112.0 million in cash dividends.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FISCAL YEAR ENDED DECEMBER 30, 2023 COMPARED TO 2022 FISCAL YEAR ENDED DECEMBER 31, 2022</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60" w:type="dxa"/>
            <w:vAlign w:val="bottom"/>
            <w:gridSpan w:val="5"/>
          </w:tcPr>
          <w:p>
            <w:pPr>
              <w:ind w:left="118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64"/>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240" w:type="dxa"/>
            <w:vAlign w:val="bottom"/>
            <w:tcBorders>
              <w:top w:val="single" w:sz="8" w:color="auto"/>
            </w:tcBorders>
          </w:tcPr>
          <w:p>
            <w:pPr>
              <w:spacing w:after="0"/>
              <w:rPr>
                <w:sz w:val="14"/>
                <w:szCs w:val="14"/>
                <w:color w:val="auto"/>
              </w:rPr>
            </w:pPr>
          </w:p>
        </w:tc>
        <w:tc>
          <w:tcPr>
            <w:tcW w:w="17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4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 / bps Change</w:t>
            </w:r>
          </w:p>
        </w:tc>
      </w:tr>
      <w:tr>
        <w:trPr>
          <w:trHeight w:val="162"/>
        </w:trPr>
        <w:tc>
          <w:tcPr>
            <w:tcW w:w="41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Consolidated net sales</w:t>
            </w:r>
          </w:p>
        </w:tc>
        <w:tc>
          <w:tcPr>
            <w:tcW w:w="2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3,212,733</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(267,139)</w:t>
            </w:r>
          </w:p>
        </w:tc>
        <w:tc>
          <w:tcPr>
            <w:tcW w:w="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8"/>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1,549,659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1,740,375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(190,716)</w:t>
            </w:r>
          </w:p>
        </w:tc>
        <w:tc>
          <w:tcPr>
            <w:tcW w:w="8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163"/>
        </w:trPr>
        <w:tc>
          <w:tcPr>
            <w:tcW w:w="41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1,395,935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1,472,358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(76,423)</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Gross profit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47.4 %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45.8 %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160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21,410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25,820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Royalty income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0.7 %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0.8 %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(10)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1,093,940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1,110,007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(16,067)</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9"/>
        </w:trPr>
        <w:tc>
          <w:tcPr>
            <w:tcW w:w="4140" w:type="dxa"/>
            <w:vAlign w:val="bottom"/>
          </w:tcPr>
          <w:p>
            <w:pPr>
              <w:ind w:left="180"/>
              <w:spacing w:after="0"/>
              <w:rPr>
                <w:sz w:val="20"/>
                <w:szCs w:val="20"/>
                <w:color w:val="auto"/>
              </w:rPr>
            </w:pPr>
            <w:r>
              <w:rPr>
                <w:rFonts w:ascii="Times New Roman" w:cs="Times New Roman" w:eastAsia="Times New Roman" w:hAnsi="Times New Roman"/>
                <w:sz w:val="13"/>
                <w:szCs w:val="13"/>
                <w:i w:val="1"/>
                <w:iCs w:val="1"/>
                <w:color w:val="auto"/>
              </w:rPr>
              <w:t>SG&amp;A expenses as % of consolidated net sales</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37.1 %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34.6 %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i w:val="1"/>
                <w:iCs w:val="1"/>
                <w:color w:val="auto"/>
              </w:rPr>
              <w:t>250 bps</w:t>
            </w:r>
          </w:p>
        </w:tc>
      </w:tr>
      <w:tr>
        <w:trPr>
          <w:trHeight w:val="171"/>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58"/>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Operating income</w:t>
            </w: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323,405</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379,171</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(55,766)</w:t>
            </w:r>
          </w:p>
        </w:tc>
        <w:tc>
          <w:tcPr>
            <w:tcW w:w="80" w:type="dxa"/>
            <w:vAlign w:val="bottom"/>
          </w:tcPr>
          <w:p>
            <w:pPr>
              <w:spacing w:after="0"/>
              <w:rPr>
                <w:sz w:val="13"/>
                <w:szCs w:val="13"/>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72"/>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i w:val="1"/>
                <w:iCs w:val="1"/>
                <w:color w:val="auto"/>
              </w:rPr>
              <w:t>Operating income as % of consolidated net sales</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11.0 %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11.8 %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i w:val="1"/>
                <w:iCs w:val="1"/>
                <w:color w:val="auto"/>
              </w:rPr>
              <w:t>(80) bps</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4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33,973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42,781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(8,808)</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(4,776)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(1,261)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(3,515)</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278.7 %</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40" w:type="dxa"/>
            <w:vAlign w:val="bottom"/>
          </w:tcPr>
          <w:p>
            <w:pPr>
              <w:spacing w:after="0"/>
              <w:rPr>
                <w:sz w:val="14"/>
                <w:szCs w:val="14"/>
                <w:color w:val="auto"/>
              </w:rPr>
            </w:pPr>
          </w:p>
        </w:tc>
        <w:tc>
          <w:tcPr>
            <w:tcW w:w="16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(8,034)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975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(9,009)</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19,940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58"/>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Income before income taxes</w:t>
            </w: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302,242</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316,736</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(14,494)</w:t>
            </w:r>
          </w:p>
        </w:tc>
        <w:tc>
          <w:tcPr>
            <w:tcW w:w="80" w:type="dxa"/>
            <w:vAlign w:val="bottom"/>
          </w:tcPr>
          <w:p>
            <w:pPr>
              <w:spacing w:after="0"/>
              <w:rPr>
                <w:sz w:val="13"/>
                <w:szCs w:val="13"/>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4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69,742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66,698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w:t>
            </w:r>
          </w:p>
        </w:tc>
        <w:tc>
          <w:tcPr>
            <w:tcW w:w="80" w:type="dxa"/>
            <w:vAlign w:val="bottom"/>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4.6 %</w:t>
            </w:r>
          </w:p>
        </w:tc>
      </w:tr>
      <w:tr>
        <w:trPr>
          <w:trHeight w:val="160"/>
        </w:trPr>
        <w:tc>
          <w:tcPr>
            <w:tcW w:w="4140" w:type="dxa"/>
            <w:vAlign w:val="bottom"/>
            <w:tcBorders>
              <w:bottom w:val="single" w:sz="8" w:color="CCEEFF"/>
            </w:tcBorders>
          </w:tcPr>
          <w:p>
            <w:pPr>
              <w:ind w:left="180"/>
              <w:spacing w:after="0" w:line="161" w:lineRule="exact"/>
              <w:rPr>
                <w:sz w:val="20"/>
                <w:szCs w:val="20"/>
                <w:color w:val="auto"/>
              </w:rPr>
            </w:pPr>
            <w:r>
              <w:rPr>
                <w:rFonts w:ascii="Times New Roman" w:cs="Times New Roman" w:eastAsia="Times New Roman" w:hAnsi="Times New Roman"/>
                <w:sz w:val="13"/>
                <w:szCs w:val="13"/>
                <w:i w:val="1"/>
                <w:iCs w:val="1"/>
                <w:color w:val="auto"/>
              </w:rPr>
              <w:t>Effective tax rate</w:t>
            </w:r>
            <w:r>
              <w:rPr>
                <w:rFonts w:ascii="Times New Roman" w:cs="Times New Roman" w:eastAsia="Times New Roman" w:hAnsi="Times New Roman"/>
                <w:sz w:val="16"/>
                <w:szCs w:val="16"/>
                <w:i w:val="1"/>
                <w:iCs w:val="1"/>
                <w:color w:val="auto"/>
                <w:vertAlign w:val="superscript"/>
              </w:rPr>
              <w:t>(*)</w:t>
            </w: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23.1 %</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21.1 %</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i w:val="1"/>
                <w:iCs w:val="1"/>
                <w:color w:val="auto"/>
              </w:rPr>
              <w:t>200 bps</w:t>
            </w:r>
          </w:p>
        </w:tc>
      </w:tr>
      <w:tr>
        <w:trPr>
          <w:trHeight w:val="18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250,038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(17,537)</w:t>
            </w:r>
          </w:p>
        </w:tc>
        <w:tc>
          <w:tcPr>
            <w:tcW w:w="8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4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Pr>
          <w:p>
            <w:pPr>
              <w:spacing w:after="0"/>
              <w:rPr>
                <w:sz w:val="5"/>
                <w:szCs w:val="5"/>
                <w:color w:val="auto"/>
              </w:rPr>
            </w:pPr>
          </w:p>
        </w:tc>
      </w:tr>
      <w:tr>
        <w:trPr>
          <w:trHeight w:val="17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bl>
    <w:p>
      <w:pPr>
        <w:spacing w:after="0" w:line="99" w:lineRule="exact"/>
        <w:rPr>
          <w:sz w:val="20"/>
          <w:szCs w:val="20"/>
          <w:color w:val="auto"/>
        </w:rPr>
      </w:pPr>
    </w:p>
    <w:p>
      <w:pPr>
        <w:ind w:left="260" w:hanging="255"/>
        <w:spacing w:after="0"/>
        <w:tabs>
          <w:tab w:leader="none" w:pos="260" w:val="left"/>
        </w:tabs>
        <w:numPr>
          <w:ilvl w:val="0"/>
          <w:numId w:val="2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tax rate is calculated by dividing the provision for income taxes by income before income taxes.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Note: Results may not be additive due to rounding. Percentage changes that are considered not meaningful are denoted with “nm”.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Net Sales</w:t>
      </w:r>
    </w:p>
    <w:p>
      <w:pPr>
        <w:spacing w:after="0" w:line="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Consolidated net sales decreased $267.1 million, or 8.3%, to $2.95 billion. This decrease was driven by macroeconomic factors, including inflationary pressures on families with young children, increased interest rates, increased consumer debt levels, decreased savings rates, and risk of recession, driving lower consumer demand. This decreased demand resulted in lower traffic in our eCommerce channels and in our retail stores in the United States and Canada. These decreases were partially offset by increased average selling prices per unit due to improved price realization and growth from our Mexican retail stores. Units sold decreased in the low-teens, while average selling prices per unit increased low-single digits. Changes in foreign currency exchange rates used for translation in fiscal 2023 had an immaterial impact on our consolidated net sales.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 and Gross Margin</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 xml:space="preserve">Our consolidated gross profit decreased $76.4 million, or 5.2%, to $1.40 billion and consolidated gross margin increased 160 bps to 47.4%. The decrease in consolidated gross profit was impacted by decreased net sales. The increase in consolidated gross margin was driven by decreased inventory provisions and increased average selling prices per unit. In part due to our inventory management strategies taken in fiscal 2023, inventory provisions as a percentage of sales decreased and favorably impacted gross margin by approximately 50 bps. These factors were partially offset by an increase in the mix of U.S. Wholesale net sales, including sales of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which have a lower contribution to gross margin than our U.S. Retail segment. Average cost per unit sold remained relatively consistent as increased product input costs were offset by decreased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6" w:name="page37"/>
    <w:bookmarkEnd w:id="36"/>
    <w:p>
      <w:pPr>
        <w:ind w:right="340"/>
        <w:spacing w:after="0" w:line="411" w:lineRule="auto"/>
        <w:rPr>
          <w:sz w:val="20"/>
          <w:szCs w:val="20"/>
          <w:color w:val="auto"/>
        </w:rPr>
      </w:pPr>
      <w:r>
        <w:rPr>
          <w:rFonts w:ascii="Times New Roman" w:cs="Times New Roman" w:eastAsia="Times New Roman" w:hAnsi="Times New Roman"/>
          <w:sz w:val="14"/>
          <w:szCs w:val="14"/>
          <w:color w:val="auto"/>
        </w:rPr>
        <w:t xml:space="preserve">ocean freight rates. We expect product input costs to decrease in fiscal 2024, and we expect inbound transportation rates, including ocean freight rates, to decrease in the first half of fiscal 2024. </w:t>
      </w:r>
      <w:r>
        <w:rPr>
          <w:rFonts w:ascii="Times New Roman" w:cs="Times New Roman" w:eastAsia="Times New Roman" w:hAnsi="Times New Roman"/>
          <w:sz w:val="14"/>
          <w:szCs w:val="14"/>
          <w:b w:val="1"/>
          <w:bCs w:val="1"/>
          <w:color w:val="auto"/>
        </w:rPr>
        <w:t>Royalty Income</w:t>
      </w:r>
    </w:p>
    <w:p>
      <w:pPr>
        <w:ind w:right="240"/>
        <w:spacing w:after="0" w:line="287" w:lineRule="auto"/>
        <w:rPr>
          <w:sz w:val="20"/>
          <w:szCs w:val="20"/>
          <w:color w:val="auto"/>
        </w:rPr>
      </w:pPr>
      <w:r>
        <w:rPr>
          <w:rFonts w:ascii="Times New Roman" w:cs="Times New Roman" w:eastAsia="Times New Roman" w:hAnsi="Times New Roman"/>
          <w:sz w:val="14"/>
          <w:szCs w:val="14"/>
          <w:color w:val="auto"/>
        </w:rPr>
        <w:t>We have licensing agreements with domestic and international licensees that grant licensees the right to access certain trademarks in return for royalty payments or licensing fees. Royalty income decreased $4.4 million, or 17.1%, to $21.4 million, driven by decreased customer demand.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Selling, General, and Administrative Expenses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Consolidated SG&amp;A expenses decreased $16.1 million, or 1.4%, to $1.09 billion in fiscal 2023 while SG&amp;A rate increased approximately 250 bps to 37.1%. The increase in SG&amp;A rate was driven by fixed cost deleverage on decreased sales, increased performance-based compensation expense, increased consulting and professional fees, retail store openings, and organizational restructuring charges. Our consulting costs were incurred as an investment in our ongoing initiatives to grow our market share, deepen our relationships with our current customers, improve productivity, and increase shareholder value. These factors were partially offset by decreased transportation costs and expenses related to the relocation of inventory from an exited third-party warehouse in fiscal 2022 that did not reoccur in fiscal 2023. Performance-based compensation expense as a percentage of net sales increased 50 bps, due to a lower-than-expected financial performance in fiscal 2022.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 Impairment</w:t>
      </w:r>
    </w:p>
    <w:p>
      <w:pPr>
        <w:spacing w:after="0" w:line="83" w:lineRule="exact"/>
        <w:rPr>
          <w:sz w:val="20"/>
          <w:szCs w:val="20"/>
          <w:color w:val="auto"/>
        </w:rPr>
      </w:pPr>
    </w:p>
    <w:p>
      <w:pPr>
        <w:ind w:right="320"/>
        <w:spacing w:after="0" w:line="290" w:lineRule="auto"/>
        <w:rPr>
          <w:sz w:val="20"/>
          <w:szCs w:val="20"/>
          <w:color w:val="auto"/>
        </w:rPr>
      </w:pPr>
      <w:r>
        <w:rPr>
          <w:rFonts w:ascii="Times New Roman" w:cs="Times New Roman" w:eastAsia="Times New Roman" w:hAnsi="Times New Roman"/>
          <w:sz w:val="14"/>
          <w:szCs w:val="14"/>
          <w:color w:val="auto"/>
        </w:rPr>
        <w:t xml:space="preserve">In fiscal 2022, we recognized a non-cash pre-tax impairment charge of $9.0 million related to our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indefinite-lived tradename asset. There were no impairments recorded to goodwill or indefinite-lived intangible assets in fiscal 2023.</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Income</w:t>
      </w:r>
    </w:p>
    <w:p>
      <w:pPr>
        <w:spacing w:after="0" w:line="85"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Consolidated operating income decreased $55.8 million, or 14.7%, to $323.4 million, and consolidated operating margin decreased as a percentage of net sales by approximately 80 bps to 11.0%, due to the factors discussed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Expense</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Interest expense decreased $8.8 million, or 20.6%, to $34.0 million due to a decrease in weighted-average borrowings. Weighted-average borrowings were $545.5 million at an effective interest rate of 6.22%, compared to weighted-average borrowings for fiscal 2022 of $738.7 million at an effective interest rate of 5.84%.</w:t>
      </w:r>
    </w:p>
    <w:p>
      <w:pPr>
        <w:spacing w:after="0" w:line="9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decrease in weighted-average borrowings was attributable to the early extinguishment of our $500 million in aggregate principal amount of 5.500% senior notes due May 2025 in the second quarter of fiscal 2022 and decreased borrowings under our secured revolving credit facility for fiscal 2023. The increase in the effective interest rate was due to increased interest rates on our secured revolving credit facility, reflecting the broader rise in market interest rates.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Extinguishment of Debt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fiscal 2022, loss on extinguishment of debt was $19.9 million due to the early extinguishment of our $500 million in aggregate principal amount of 5.500% senior notes due May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(Income) Expense, Net</w:t>
      </w:r>
    </w:p>
    <w:p>
      <w:pPr>
        <w:spacing w:after="0" w:line="74"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Other (income) expense, net was $8.0 million in fiscal 2023, primarily due to a net $6.9 million payment received in January 2024 as a result of a court-approved settlement in December 2023 related to payment card interchange fees.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7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consolidated income tax provision increased $3.0 million, or 4.6%, to $69.7 million, and the effective tax rate increased approximately 200 bps to 23.1%. The increased effective tax rate relates to a higher proportion of income generated in the United States, which is a higher tax jurisdiction relative to the locations of our international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consolidated net income decreased $17.5 million, or 7.0%, to $232.5 million, due to the factors previously discussed.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Results by Segment - Fiscal Year 2023 compared to Fiscal Year 2022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net sales and operating income, by segment, for the fiscal years ended December 30, 2023 and December 31, 2022:</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72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0"/>
                <w:szCs w:val="10"/>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3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auto"/>
                <w:w w:val="98"/>
              </w:rPr>
              <w:t>% of consolidated net</w:t>
            </w:r>
          </w:p>
        </w:tc>
        <w:tc>
          <w:tcPr>
            <w:tcW w:w="200" w:type="dxa"/>
            <w:vAlign w:val="bottom"/>
          </w:tcPr>
          <w:p>
            <w:pPr>
              <w:spacing w:after="0"/>
              <w:rPr>
                <w:sz w:val="10"/>
                <w:szCs w:val="10"/>
                <w:color w:val="auto"/>
              </w:rPr>
            </w:pP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80" w:type="dxa"/>
            <w:vAlign w:val="bottom"/>
          </w:tcPr>
          <w:p>
            <w:pPr>
              <w:jc w:val="center"/>
              <w:spacing w:after="0" w:line="120" w:lineRule="exact"/>
              <w:rPr>
                <w:sz w:val="20"/>
                <w:szCs w:val="20"/>
                <w:color w:val="auto"/>
              </w:rPr>
            </w:pPr>
            <w:r>
              <w:rPr>
                <w:rFonts w:ascii="Times New Roman" w:cs="Times New Roman" w:eastAsia="Times New Roman" w:hAnsi="Times New Roman"/>
                <w:sz w:val="13"/>
                <w:szCs w:val="13"/>
                <w:b w:val="1"/>
                <w:bCs w:val="1"/>
                <w:color w:val="auto"/>
                <w:w w:val="96"/>
              </w:rPr>
              <w:t>% of consolidated net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0"/>
                <w:szCs w:val="10"/>
                <w:color w:val="auto"/>
              </w:rPr>
            </w:pPr>
          </w:p>
        </w:tc>
        <w:tc>
          <w:tcPr>
            <w:tcW w:w="112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69"/>
        </w:trPr>
        <w:tc>
          <w:tcPr>
            <w:tcW w:w="2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sales</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51.0 %</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52.3 %</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(178,379)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(65,887)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8"/>
        </w:trPr>
        <w:tc>
          <w:tcPr>
            <w:tcW w:w="2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429,230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452,103</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(22,873)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88"/>
        </w:trPr>
        <w:tc>
          <w:tcPr>
            <w:tcW w:w="2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Consolidated net sales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(267,139)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of segment net sales</w:t>
            </w: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of segment net sales</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5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Retail</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190,620</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100" w:type="dxa"/>
            <w:vAlign w:val="bottom"/>
          </w:tcPr>
          <w:p>
            <w:pPr>
              <w:spacing w:after="0"/>
              <w:rPr>
                <w:sz w:val="13"/>
                <w:szCs w:val="13"/>
                <w:color w:val="auto"/>
              </w:rPr>
            </w:pPr>
          </w:p>
        </w:tc>
        <w:tc>
          <w:tcPr>
            <w:tcW w:w="66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252,497</w:t>
            </w:r>
          </w:p>
        </w:tc>
        <w:tc>
          <w:tcPr>
            <w:tcW w:w="10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10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w w:val="98"/>
              </w:rPr>
              <w:t>(61,877)</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72"/>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U.S. Wholesale</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161,659</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156"/>
              <w:spacing w:after="0"/>
              <w:rPr>
                <w:sz w:val="20"/>
                <w:szCs w:val="20"/>
                <w:color w:val="auto"/>
              </w:rPr>
            </w:pPr>
            <w:r>
              <w:rPr>
                <w:rFonts w:ascii="Times New Roman" w:cs="Times New Roman" w:eastAsia="Times New Roman" w:hAnsi="Times New Roman"/>
                <w:sz w:val="13"/>
                <w:szCs w:val="13"/>
                <w:color w:val="auto"/>
              </w:rPr>
              <w:t>37,190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23.0 %</w:t>
            </w: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International</w:t>
            </w:r>
          </w:p>
        </w:tc>
        <w:tc>
          <w:tcPr>
            <w:tcW w:w="6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56,617</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ind w:left="136"/>
              <w:spacing w:after="0"/>
              <w:rPr>
                <w:sz w:val="20"/>
                <w:szCs w:val="20"/>
                <w:color w:val="auto"/>
              </w:rPr>
            </w:pPr>
            <w:r>
              <w:rPr>
                <w:rFonts w:ascii="Times New Roman" w:cs="Times New Roman" w:eastAsia="Times New Roman" w:hAnsi="Times New Roman"/>
                <w:sz w:val="13"/>
                <w:szCs w:val="13"/>
                <w:color w:val="auto"/>
                <w:w w:val="94"/>
              </w:rPr>
              <w:t>(11,677)</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70"/>
        </w:trPr>
        <w:tc>
          <w:tcPr>
            <w:tcW w:w="2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Unallocated corporate expenses</w:t>
            </w:r>
          </w:p>
        </w:tc>
        <w:tc>
          <w:tcPr>
            <w:tcW w:w="6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(111,004)</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(91,602)</w:t>
            </w: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n/a</w:t>
            </w: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w w:val="98"/>
              </w:rPr>
              <w:t>(19,402)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21.2 %</w:t>
            </w:r>
          </w:p>
        </w:tc>
      </w:tr>
      <w:tr>
        <w:trPr>
          <w:trHeight w:val="163"/>
        </w:trPr>
        <w:tc>
          <w:tcPr>
            <w:tcW w:w="27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323,405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379,171</w:t>
            </w:r>
          </w:p>
        </w:tc>
        <w:tc>
          <w:tcPr>
            <w:tcW w:w="10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color w:val="auto"/>
                <w:w w:val="98"/>
              </w:rPr>
              <w:t>(55,766)</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20"/>
        </w:trPr>
        <w:tc>
          <w:tcPr>
            <w:tcW w:w="2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Comparable Sales Metrics</w:t>
      </w:r>
    </w:p>
    <w:p>
      <w:pPr>
        <w:spacing w:after="0" w:line="85"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We present comparable sales metrics because we consider them an important supplemental measure of our U.S. Retail and International performance, and the Company uses such information to assess the performance of the U.S. Retail and International segments. Additionally, we believe they are frequently used by securities analysts, investors, and other interested parties in the evaluation of our business.</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Our comparable sales metrics include sales for all stores and eCommerce sites that were open and operated by us during the comparable fiscal period, including stand-alone format stores that converted to multi-branded format stores and certain remodeled or relocated stores. A store or site becomes comparable following 13 consecutive full fiscal months of operations. If a store relocates within the same center with no business interruption or material change in square footage, the sales of such store will continue to be included in the comparable store metrics. If a store relocates to another center more than five miles away, or there is a material change in square footage, such store is treated as a new store. Stores that are closed during the relevant fiscal period are included in the comparable store sales metrics up to the last full fiscal month of operations.</w:t>
      </w:r>
    </w:p>
    <w:p>
      <w:pPr>
        <w:spacing w:after="0" w:line="122" w:lineRule="exact"/>
        <w:rPr>
          <w:sz w:val="20"/>
          <w:szCs w:val="20"/>
          <w:color w:val="auto"/>
        </w:rPr>
      </w:pPr>
    </w:p>
    <w:p>
      <w:pPr>
        <w:ind w:right="2000"/>
        <w:spacing w:after="0" w:line="411" w:lineRule="auto"/>
        <w:rPr>
          <w:sz w:val="20"/>
          <w:szCs w:val="20"/>
          <w:color w:val="auto"/>
        </w:rPr>
      </w:pPr>
      <w:r>
        <w:rPr>
          <w:rFonts w:ascii="Times New Roman" w:cs="Times New Roman" w:eastAsia="Times New Roman" w:hAnsi="Times New Roman"/>
          <w:sz w:val="14"/>
          <w:szCs w:val="14"/>
          <w:color w:val="auto"/>
        </w:rPr>
        <w:t xml:space="preserve">The method of calculating sales metrics varies across the retail industry. As a result, our comparable sales metrics may not be comparable to those of other retailers. </w:t>
      </w:r>
      <w:r>
        <w:rPr>
          <w:rFonts w:ascii="Times New Roman" w:cs="Times New Roman" w:eastAsia="Times New Roman" w:hAnsi="Times New Roman"/>
          <w:sz w:val="14"/>
          <w:szCs w:val="14"/>
          <w:b w:val="1"/>
          <w:bCs w:val="1"/>
          <w:i w:val="1"/>
          <w:iCs w:val="1"/>
          <w:color w:val="auto"/>
        </w:rPr>
        <w:t>U.S. Retail</w:t>
      </w:r>
    </w:p>
    <w:p>
      <w:pPr>
        <w:ind w:right="60"/>
        <w:spacing w:after="0" w:line="264" w:lineRule="auto"/>
        <w:rPr>
          <w:sz w:val="20"/>
          <w:szCs w:val="20"/>
          <w:color w:val="auto"/>
        </w:rPr>
      </w:pPr>
      <w:r>
        <w:rPr>
          <w:rFonts w:ascii="Times New Roman" w:cs="Times New Roman" w:eastAsia="Times New Roman" w:hAnsi="Times New Roman"/>
          <w:sz w:val="14"/>
          <w:szCs w:val="14"/>
          <w:color w:val="auto"/>
        </w:rPr>
        <w:t>U.S. Retail segment net sales decreased $178.4 million, or 10.6%, to $1.50 billion. The decrease in net sales was driven by macroeconomic factors, including inflationary pressures on families with young children, increased interest rates, increased consumer debt levels, decreased savings rates, and risk of recession, driving lower consumer demand. This decreased demand resulted in lower traffic in our eCommerce channels and in our retail stores. This decrease was partially offset by increased average selling prices per unit due to improved price realization. Units sold decreased in the mid-teens, while average selling prices per unit increased mid-single digits.</w:t>
      </w:r>
    </w:p>
    <w:p>
      <w:pPr>
        <w:spacing w:after="0" w:line="10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Comparable net sales, including retail store and eCommerce, decreased 12.2% driven by the factors mentioned above. As of December 30, 2023, we operated 792 retail stores in the U.S. compared to 757 in fiscal 2022.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Retail segment operating income decreased $61.9 million, or 24.5%, to $190.6 million, due to a decrease in gross profit of $91.0 million, partially offset by a decrease in SG&amp;A expenses of</w:t>
      </w:r>
    </w:p>
    <w:p>
      <w:pPr>
        <w:spacing w:after="0" w:line="2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4"/>
          <w:szCs w:val="14"/>
          <w:color w:val="auto"/>
        </w:rPr>
        <w:t>$31.0 million. Operating margin decreased 230 bps to 12.7%. The primary drivers of the decrease in operating margin were a 320 bps increase in SG&amp;A rate, partially offset by a 90 bps increase in gross margin. The increase in gross margin was due to increased average selling prices per unit and decreased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8" w:name="page39"/>
    <w:bookmarkEnd w:id="38"/>
    <w:p>
      <w:pPr>
        <w:jc w:val="both"/>
        <w:spacing w:after="0" w:line="270" w:lineRule="auto"/>
        <w:rPr>
          <w:sz w:val="20"/>
          <w:szCs w:val="20"/>
          <w:color w:val="auto"/>
        </w:rPr>
      </w:pPr>
      <w:r>
        <w:rPr>
          <w:rFonts w:ascii="Times New Roman" w:cs="Times New Roman" w:eastAsia="Times New Roman" w:hAnsi="Times New Roman"/>
          <w:sz w:val="14"/>
          <w:szCs w:val="14"/>
          <w:color w:val="auto"/>
        </w:rPr>
        <w:t>inventory provisions, partially offset by increased average cost per unit and an increased mix of clearance sales. Average cost per unit increased low-single digits, reflecting increases to product input costs, partially offset by decreased ocean freight rates. The increase in the SG&amp;A rate was driven by fixed cost deleverage on decreased net sales, increased performance-based compensation expense, and retail store openings, partially offset by decreased marketing expense.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Wholesale</w:t>
      </w:r>
    </w:p>
    <w:p>
      <w:pPr>
        <w:spacing w:after="0" w:line="85"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U.S. Wholesale segment net sales decreased $65.9 million, or 6.1%, to $1.01 billion, driven by macroeconomic factors and reflects lower seasonal bookings and lower consumer replenishment demand as our wholesale customers executed inventory reductions during fiscal 2023. Unit sold decreased high-single digits, while average selling prices per unit increased low-single digits.</w:t>
      </w:r>
    </w:p>
    <w:p>
      <w:pPr>
        <w:spacing w:after="0" w:line="9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 xml:space="preserve">U.S. Wholesale segment operating income increased $37.2 million, or 23.0%, to $198.8 million, due to an increase of gross profit of $17.2 million and a decrease in SG&amp;A expenses of $15.7 million. Operating margin increased 460 bps to 19.6%. Operating income in fiscal 2022 included an intangible asset impairment charge of $5.6 million related to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The primary drivers of the increase in operating margin were a 330 bps increase in gross margin, an 80 bps decrease in SG&amp;A rate, and the nonrecurrence of the intangible asset impairment charge in fiscal 2022. The increase in gross margin was due to increased average selling prices per unit, decreased inventory provisions and fabric purchase commitment charges, and decreased air freight costs. Due in part to our inventory management strategies taken in fiscal 2023, inventory provisions as a percentage of sales decreased and benefited our gross margin by approximately 110 bps. These factors were partially offset by an increased mix of sales of our exclusive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brands and off-priced sales. Average cost per unit sold remained relatively consistent as increased product input costs were offset by decreased ocean freight rates. The decrease in the SG&amp;A rate was driven by decreased transportation costs and expenses related to the relocation of inventory from an exited third-party warehouse in fiscal 2022 that did not reoccur in fiscal 2023, partially offset by fixed cost deleverage on decreased sales and increased performance-based compensation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7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International segment net sales decreased $22.9 million, or 5.1%, to $429.2 million in fiscal 2023. Changes in foreign currency exchange rates, primarily between the U.S. dollar and the Canadian dollar, used for translation in fiscal 2023 had an immaterial impact on International segment net sales. The decrease in net sales was driven by decreased net sales in Canada, decreased demand from our international wholesale partners, and a strengthening of the U.S. Dollar against other foreign currencies. These decreases were partially offset by growth in sales in our Mexico retail stores and wholesale channels and increased average selling prices per unit. Units sold decreased high-single digits, while average selling prices per unit increased mid-single digits.</w:t>
      </w:r>
    </w:p>
    <w:p>
      <w:pPr>
        <w:spacing w:after="0" w:line="11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Canadian comparable net sales, including retail stores and eCommerce, decreased 7.3% driven by decreased traffic in our eCommerce channel and in our retail stores. As of December 30, 2023, we operated 188 retail stores in Canada, compared to 187 at the end of fiscal 2022. As of December 30, 2023, we operated 54 retail stores in Mexico, compared to 49 in fiscal 2022.</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International segment operating income decreased $11.7 million, or 20.6%, to $44.9 million, due to a decrease in gross profit of $2.6 million and an increase in SG&amp;A expenses of $11.3 million. Operating margin decreased 200 bps to 10.5%. Operating income in fiscal 2022 included an intangible asset impairment charge of $3.0 million related to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The primary drivers of the decrease in operating margin were a 440 bps increase in SG&amp;A rate, partially offset by a 180 bps increase in gross margin and the nonrecurrence of the intangible asset impairment charge in fiscal 2022. The increase in gross margin was due to increased average selling prices per unit and decreased inventory provisions. Average cost per unit sold remained relatively consistent as increases to product input costs were offset by decreased ocean freight rates. The increase in the SG&amp;A rate was due to fixed cost deleverage on decreased sales, increased investments in our Mexican retail stores and technology, and increased performance-based compensation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Unallocated Corporate Expenses</w:t>
      </w:r>
    </w:p>
    <w:p>
      <w:pPr>
        <w:spacing w:after="0" w:line="85"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9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Unallocated corporate expenses increased $19.4 million, or 21.2%, to $111.0 million in fiscal 2023, and unallocated corporate expenses, as a percentage of consolidated net sales, increased 90 bps to 3.8%. The increase as a percentage of consolidated net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9" w:name="page40"/>
    <w:bookmarkEnd w:id="39"/>
    <w:p>
      <w:pPr>
        <w:ind w:right="160"/>
        <w:spacing w:after="0" w:line="403" w:lineRule="auto"/>
        <w:rPr>
          <w:sz w:val="20"/>
          <w:szCs w:val="20"/>
          <w:color w:val="auto"/>
        </w:rPr>
      </w:pPr>
      <w:r>
        <w:rPr>
          <w:rFonts w:ascii="Times New Roman" w:cs="Times New Roman" w:eastAsia="Times New Roman" w:hAnsi="Times New Roman"/>
          <w:sz w:val="14"/>
          <w:szCs w:val="14"/>
          <w:color w:val="auto"/>
        </w:rPr>
        <w:t xml:space="preserve">sales was driven fixed cost deleverage on decreased sales, increased consulting and professional fees, organizational restructuring charges, and increased performance-based compensation expense. </w:t>
      </w:r>
      <w:r>
        <w:rPr>
          <w:rFonts w:ascii="Times New Roman" w:cs="Times New Roman" w:eastAsia="Times New Roman" w:hAnsi="Times New Roman"/>
          <w:sz w:val="14"/>
          <w:szCs w:val="14"/>
          <w:b w:val="1"/>
          <w:bCs w:val="1"/>
          <w:color w:val="auto"/>
        </w:rPr>
        <w:t>RECONCILIATION OF NON-GAAP FINANCIAL MEASURES TO GAAP MEASURES</w:t>
      </w:r>
    </w:p>
    <w:p>
      <w:pPr>
        <w:ind w:right="80"/>
        <w:spacing w:after="0" w:line="242" w:lineRule="auto"/>
        <w:rPr>
          <w:sz w:val="20"/>
          <w:szCs w:val="20"/>
          <w:color w:val="auto"/>
        </w:rPr>
      </w:pPr>
      <w:r>
        <w:rPr>
          <w:rFonts w:ascii="Times New Roman" w:cs="Times New Roman" w:eastAsia="Times New Roman" w:hAnsi="Times New Roman"/>
          <w:sz w:val="14"/>
          <w:szCs w:val="14"/>
          <w:color w:val="auto"/>
        </w:rPr>
        <w:t>We have provided non-GAAP adjusted operating income, income taxes, net income, and diluted net income per common share measures, which exclude certain items presented below. We believe that this information provides a meaningful comparison of our results and affords investors a view of what management considers to be our core performance, and we also, from time to time, use some of these non-GAAP measures, such as adjusted operating income, as performance metrics in awards under our annual and long-term incentive compensation plans. These measures are not in accordance with, or an alternative to, generally accepted accounting principles in the U.S. (GAAP). The most comparable GAAP measures are operating income, income tax provision, net income, and diluted net income per common share, respectively. Adjusted operating income, income taxes, net income, and diluted net income per common share should not be considered in isolation or as a substitute for analysis of our results as reported in accordance with GAAP. Other companies may calculate adjusted operating income, income taxes, net income, and diluted net income per common share differently than we do, limiting the usefulness of the measure for comparisons with other companies.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Fiscal Year Ended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left="736"/>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(In millions, except earnings</w:t>
            </w:r>
          </w:p>
        </w:tc>
        <w:tc>
          <w:tcPr>
            <w:tcW w:w="140" w:type="dxa"/>
            <w:vAlign w:val="bottom"/>
          </w:tcPr>
          <w:p>
            <w:pPr>
              <w:spacing w:after="0"/>
              <w:rPr>
                <w:sz w:val="10"/>
                <w:szCs w:val="10"/>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right w:val="single" w:sz="8" w:color="auto"/>
            </w:tcBorders>
            <w:gridSpan w:val="2"/>
          </w:tcPr>
          <w:p>
            <w:pPr>
              <w:ind w:left="40"/>
              <w:spacing w:after="0" w:line="119"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Operating</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76"/>
              <w:spacing w:after="0" w:line="119" w:lineRule="exact"/>
              <w:rPr>
                <w:sz w:val="20"/>
                <w:szCs w:val="20"/>
                <w:color w:val="auto"/>
              </w:rPr>
            </w:pPr>
            <w:r>
              <w:rPr>
                <w:rFonts w:ascii="Times New Roman" w:cs="Times New Roman" w:eastAsia="Times New Roman" w:hAnsi="Times New Roman"/>
                <w:sz w:val="13"/>
                <w:szCs w:val="13"/>
                <w:b w:val="1"/>
                <w:bCs w:val="1"/>
                <w:color w:val="auto"/>
              </w:rPr>
              <w:t>Diluted Net</w:t>
            </w:r>
          </w:p>
        </w:tc>
        <w:tc>
          <w:tcPr>
            <w:tcW w:w="0" w:type="dxa"/>
            <w:vAlign w:val="bottom"/>
          </w:tcPr>
          <w:p>
            <w:pPr>
              <w:spacing w:after="0"/>
              <w:rPr>
                <w:sz w:val="1"/>
                <w:szCs w:val="1"/>
                <w:color w:val="auto"/>
              </w:rPr>
            </w:pPr>
          </w:p>
        </w:tc>
      </w:tr>
      <w:tr>
        <w:trPr>
          <w:trHeight w:val="127"/>
        </w:trPr>
        <w:tc>
          <w:tcPr>
            <w:tcW w:w="1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8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tcPr>
          <w:p>
            <w:pPr>
              <w:spacing w:after="0"/>
              <w:rPr>
                <w:sz w:val="11"/>
                <w:szCs w:val="11"/>
                <w:color w:val="auto"/>
              </w:rPr>
            </w:pPr>
          </w:p>
        </w:tc>
        <w:tc>
          <w:tcPr>
            <w:tcW w:w="920" w:type="dxa"/>
            <w:vAlign w:val="bottom"/>
            <w:tcBorders>
              <w:right w:val="single" w:sz="8" w:color="auto"/>
            </w:tcBorders>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 Net Sales</w:t>
            </w:r>
          </w:p>
        </w:tc>
        <w:tc>
          <w:tcPr>
            <w:tcW w:w="9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Taxes</w:t>
            </w: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20" w:type="dxa"/>
            <w:vAlign w:val="bottom"/>
          </w:tcPr>
          <w:p>
            <w:pPr>
              <w:spacing w:after="0"/>
              <w:rPr>
                <w:sz w:val="11"/>
                <w:szCs w:val="11"/>
                <w:color w:val="auto"/>
              </w:rPr>
            </w:pPr>
          </w:p>
        </w:tc>
        <w:tc>
          <w:tcPr>
            <w:tcW w:w="800" w:type="dxa"/>
            <w:vAlign w:val="bottom"/>
          </w:tcPr>
          <w:p>
            <w:pPr>
              <w:jc w:val="right"/>
              <w:ind w:right="76"/>
              <w:spacing w:after="0" w:line="128" w:lineRule="exact"/>
              <w:rPr>
                <w:sz w:val="20"/>
                <w:szCs w:val="20"/>
                <w:color w:val="auto"/>
              </w:rPr>
            </w:pPr>
            <w:r>
              <w:rPr>
                <w:rFonts w:ascii="Times New Roman" w:cs="Times New Roman" w:eastAsia="Times New Roman" w:hAnsi="Times New Roman"/>
                <w:sz w:val="13"/>
                <w:szCs w:val="13"/>
                <w:b w:val="1"/>
                <w:bCs w:val="1"/>
                <w:color w:val="auto"/>
              </w:rPr>
              <w:t>Income per</w:t>
            </w:r>
          </w:p>
        </w:tc>
        <w:tc>
          <w:tcPr>
            <w:tcW w:w="0" w:type="dxa"/>
            <w:vAlign w:val="bottom"/>
          </w:tcPr>
          <w:p>
            <w:pPr>
              <w:spacing w:after="0"/>
              <w:rPr>
                <w:sz w:val="1"/>
                <w:szCs w:val="1"/>
                <w:color w:val="auto"/>
              </w:rPr>
            </w:pPr>
          </w:p>
        </w:tc>
      </w:tr>
      <w:tr>
        <w:trPr>
          <w:trHeight w:val="169"/>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per share)</w:t>
            </w:r>
          </w:p>
        </w:tc>
        <w:tc>
          <w:tcPr>
            <w:tcW w:w="140" w:type="dxa"/>
            <w:vAlign w:val="bottom"/>
          </w:tcPr>
          <w:p>
            <w:pPr>
              <w:spacing w:after="0"/>
              <w:rPr>
                <w:sz w:val="14"/>
                <w:szCs w:val="14"/>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Common 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Common Share</w:t>
            </w:r>
          </w:p>
        </w:tc>
        <w:tc>
          <w:tcPr>
            <w:tcW w:w="0" w:type="dxa"/>
            <w:vAlign w:val="bottom"/>
          </w:tcPr>
          <w:p>
            <w:pPr>
              <w:spacing w:after="0"/>
              <w:rPr>
                <w:sz w:val="1"/>
                <w:szCs w:val="1"/>
                <w:color w:val="auto"/>
              </w:rPr>
            </w:pPr>
          </w:p>
        </w:tc>
      </w:tr>
      <w:tr>
        <w:trPr>
          <w:trHeight w:val="162"/>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323.4</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6.24</w:t>
            </w:r>
          </w:p>
        </w:tc>
        <w:tc>
          <w:tcPr>
            <w:tcW w:w="120" w:type="dxa"/>
            <w:vAlign w:val="bottom"/>
            <w:tcBorders>
              <w:top w:val="single" w:sz="8" w:color="auto"/>
              <w:right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379.2</w:t>
            </w:r>
          </w:p>
        </w:tc>
        <w:tc>
          <w:tcPr>
            <w:tcW w:w="1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11.8 %</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66.7</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6.34</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Legal settlement</w:t>
            </w:r>
            <w:r>
              <w:rPr>
                <w:rFonts w:ascii="Times New Roman" w:cs="Times New Roman" w:eastAsia="Times New Roman" w:hAnsi="Times New Roman"/>
                <w:sz w:val="16"/>
                <w:szCs w:val="16"/>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16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Loss on extinguishment of</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92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0.38</w:t>
            </w:r>
          </w:p>
        </w:tc>
        <w:tc>
          <w:tcPr>
            <w:tcW w:w="0" w:type="dxa"/>
            <w:vAlign w:val="bottom"/>
          </w:tcPr>
          <w:p>
            <w:pPr>
              <w:spacing w:after="0"/>
              <w:rPr>
                <w:sz w:val="1"/>
                <w:szCs w:val="1"/>
                <w:color w:val="auto"/>
              </w:rPr>
            </w:pPr>
          </w:p>
        </w:tc>
      </w:tr>
      <w:tr>
        <w:trPr>
          <w:trHeight w:val="170"/>
        </w:trPr>
        <w:tc>
          <w:tcPr>
            <w:tcW w:w="16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debt</w:t>
            </w:r>
            <w:r>
              <w:rPr>
                <w:rFonts w:ascii="Times New Roman" w:cs="Times New Roman" w:eastAsia="Times New Roman" w:hAnsi="Times New Roman"/>
                <w:sz w:val="16"/>
                <w:szCs w:val="16"/>
                <w:color w:val="auto"/>
                <w:vertAlign w:val="superscript"/>
              </w:rPr>
              <w:t>(3)</w:t>
            </w: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6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Intangible asset impairment</w:t>
            </w:r>
            <w:r>
              <w:rPr>
                <w:rFonts w:ascii="Times New Roman" w:cs="Times New Roman" w:eastAsia="Times New Roman" w:hAnsi="Times New Roman"/>
                <w:sz w:val="16"/>
                <w:szCs w:val="16"/>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r>
        <w:trPr>
          <w:trHeight w:val="200"/>
        </w:trPr>
        <w:tc>
          <w:tcPr>
            <w:tcW w:w="1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327.8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11.1 %</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388.2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12.1 %</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6.90</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60" w:hanging="255"/>
        <w:spacing w:after="0"/>
        <w:tabs>
          <w:tab w:leader="none" w:pos="26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charges for organizational restructuring and related corporate office lease amendment actions in fiscal 2023.</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fiscal 2023, a pre-tax adjustment of approximately $6.9 million ($5.3 million net of tax, or $0.14 per diluted share) was made related to a gain on a court-approved settlement in December 2023.</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fiscal 2022, a pre-tax adjustment of approximately $19.9 million ($15.2 million net of tax, or $0.38 per diluted share) was made related to a loss on extinguishment of debt in fiscal 2022.</w:t>
      </w:r>
    </w:p>
    <w:p>
      <w:pPr>
        <w:spacing w:after="0" w:line="4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Related to the write-down of the </w:t>
      </w:r>
      <w:r>
        <w:rPr>
          <w:rFonts w:ascii="Times New Roman" w:cs="Times New Roman" w:eastAsia="Times New Roman" w:hAnsi="Times New Roman"/>
          <w:sz w:val="11"/>
          <w:szCs w:val="11"/>
          <w:i w:val="1"/>
          <w:iCs w:val="1"/>
          <w:color w:val="auto"/>
        </w:rPr>
        <w:t>Skip Hop</w:t>
      </w:r>
      <w:r>
        <w:rPr>
          <w:rFonts w:ascii="Times New Roman" w:cs="Times New Roman" w:eastAsia="Times New Roman" w:hAnsi="Times New Roman"/>
          <w:sz w:val="11"/>
          <w:szCs w:val="11"/>
          <w:color w:val="auto"/>
        </w:rPr>
        <w:t xml:space="preserve"> tradename asset in fiscal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Note: Results may not be additive due to rounding.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Our ongoing cash needs are primarily for working capital (consisting primarily of inventory), capital expenditures, employee compensation, interest on debt, the return of capital to our shareholders, and other general corporate purposes. We expect that our primary sources of liquidity will be cash and cash equivalents on hand, cash flow from operations, and available borrowing capacity under our secured revolving credit facility. We believe that our sources of liquidity are sufficient to meet our cash requirements for at least the next twelve months. However, these sources of liquidity may be affected by events described in the “Forward-Looking Statements” section, in our risk factors, as discussed under the heading “Risk Factors” in Part I, Item 1A of this Annual Report on Form 10-K, and in other reports filed with the Securities and Exchange Commission from time to time.</w:t>
      </w:r>
    </w:p>
    <w:p>
      <w:pPr>
        <w:spacing w:after="0" w:line="111"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As discussed under the heading “Known or Anticipated Trends” in Part II, Item 7 of this Annual Report on Form 10-K, we expect continued pressure on consumer sentiment in fiscal 2024, which may adversely impact our financial results in fiscal 2024. We cannot predict the timing and amount of such impact.</w:t>
      </w:r>
    </w:p>
    <w:p>
      <w:pPr>
        <w:spacing w:after="0" w:line="92"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As of December 30, 2023, we had approximately $351.2 million of cash and cash equivalents held at major financial institutions, including approximately $79.0 million held at financial institutions located outside of the United States. We maintain cash deposits with major financial institutions that exceed the insurance coverage limits provided by the Federal Deposit Insurance Corporation in the United States and by similar insurers for deposits located outside the United States. 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0" w:name="page41"/>
    <w:bookmarkEnd w:id="40"/>
    <w:p>
      <w:pPr>
        <w:ind w:right="200"/>
        <w:spacing w:after="0" w:line="411" w:lineRule="auto"/>
        <w:rPr>
          <w:sz w:val="20"/>
          <w:szCs w:val="20"/>
          <w:color w:val="auto"/>
        </w:rPr>
      </w:pPr>
      <w:r>
        <w:rPr>
          <w:rFonts w:ascii="Times New Roman" w:cs="Times New Roman" w:eastAsia="Times New Roman" w:hAnsi="Times New Roman"/>
          <w:sz w:val="14"/>
          <w:szCs w:val="14"/>
          <w:color w:val="auto"/>
        </w:rPr>
        <w:t xml:space="preserve">mitigate this risk, we utilize a policy of allocating cash deposits among major financial institutions that have been evaluated by us and third-party rating agencies as having acceptable risk profiles. </w:t>
      </w:r>
      <w:r>
        <w:rPr>
          <w:rFonts w:ascii="Times New Roman" w:cs="Times New Roman" w:eastAsia="Times New Roman" w:hAnsi="Times New Roman"/>
          <w:sz w:val="14"/>
          <w:szCs w:val="14"/>
          <w:b w:val="1"/>
          <w:bCs w:val="1"/>
          <w:color w:val="auto"/>
        </w:rPr>
        <w:t>Balance Sheet</w:t>
      </w:r>
    </w:p>
    <w:p>
      <w:pPr>
        <w:ind w:right="60"/>
        <w:spacing w:after="0" w:line="287" w:lineRule="auto"/>
        <w:rPr>
          <w:sz w:val="20"/>
          <w:szCs w:val="20"/>
          <w:color w:val="auto"/>
        </w:rPr>
      </w:pPr>
      <w:r>
        <w:rPr>
          <w:rFonts w:ascii="Times New Roman" w:cs="Times New Roman" w:eastAsia="Times New Roman" w:hAnsi="Times New Roman"/>
          <w:sz w:val="14"/>
          <w:szCs w:val="14"/>
          <w:color w:val="auto"/>
        </w:rPr>
        <w:t>Net accounts receivable at December 30, 2023 were $183.8 million compared to $198.6 million at December 31, 2022. The decrease of $14.8 million, or 7.5%, was driven by decreased net sales and the timing of wholesale customer shipments and associated payments.</w:t>
      </w:r>
    </w:p>
    <w:p>
      <w:pPr>
        <w:spacing w:after="0" w:line="9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Inventories at December 30, 2023 were $537.1 million compared to $744.6 million at December 31, 2022. The decrease of $207.4 million, or 27.9%, was due to decreased “pack and hold” inventory, decreased days of supply, and decreased product costs. We are currently experiencing stable inventory levels, inventory transit times, and flow of seasonal product in line with our historical experience. As a result, we expect inventory levels in the first quarter of fiscal 2024 to be lower than those in the first quarter of fiscal 2023, and we expect inventory levels in the remainder of fiscal 2024 to be relatively consistent with those in the same periods in fiscal 2023.</w:t>
      </w:r>
    </w:p>
    <w:p>
      <w:pPr>
        <w:spacing w:after="0" w:line="11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Accounts payable at December 30, 2023 were $242.1 million compared to $264.1 million at December 31, 2022. The decrease of $21.9 million, or 8.3%, is driven by the timing of payments to our vendors and a decrease in open capital expenditures projects at the end of the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7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increased $440.8 million, or 498.9%, to $529.1 million. Our cash flow provided by operating activities is driven by net income and changes in our net working capital. The increase in operating cash flows in fiscal 2023 was primarily due to favorable changes in working capital, including a 27.9% reduction in inventories, and lower payments of performance-based compensation, partially offset by decreased net income.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increased $19.5 million, or 48.3%, to $59.9 million. This increase in net cash used in investing activities is primarily due to increased capital expenditures. Capital expenditures in fiscal 2023 primarily included $42.2 million for our U.S. and international retail store openings and remodels, $9.0 million for information technology, and $7.2 million for our distribution facilities.</w:t>
      </w:r>
    </w:p>
    <w:p>
      <w:pPr>
        <w:spacing w:after="0" w:line="11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plan to invest approximately $80 million in capital expenditures in fiscal 2024, which primarily relates to U.S. and international retail store openings and remodels, investments in our distribution facilities, and strategic information technology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Financing Activities</w:t>
      </w:r>
    </w:p>
    <w:p>
      <w:pPr>
        <w:spacing w:after="0" w:line="85"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decreased $486.6 million, or 59.4%, to $332.6 million. This change in cash flow used in financing activities was primarily due to the early extinguishment of our $500 million in aggregate principal amount of 5.500% senior notes due May 2025 in the second quarter of fiscal 2022 and decreased commons stock share repurchases, partially offset by payments on our secured revolving credit facility.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85"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On February 24, 2022, our Board of Directors authorized share repurchases up to $1.00 billion, inclusive of $301.9 million remaining under previous authorizations. The total remaining capacity under outstanding repurchase authorizations as of December 30, 2023 was approximately $649.5 million, based on settled repurchase transactions. The share repurchase authorizations have no expiration dates.</w:t>
      </w:r>
    </w:p>
    <w:p>
      <w:pPr>
        <w:spacing w:after="0" w:line="10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fiscal 2023, we repurchased and retired 1,446,269 shares in open market transactions for approximately $100.0 million, at an average price of $69.17 per share. In fiscal 2022, we repurchased and retired 3,747,187 shares in open market transactions for approximately $299.7 million, at an average price of $79.97 per share.</w:t>
      </w:r>
    </w:p>
    <w:p>
      <w:pPr>
        <w:spacing w:after="0" w:line="9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and considerations given to market conditions, stock price, other investment priorities, excise taxes, and other factors.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On February 26, 2024, the Company's Board of Directors declared a quarterly cash dividend payment of $0.80 per common share, payable on March 29, 2024 to shareholders of record at the close of business on March 11, 2024.</w:t>
      </w:r>
    </w:p>
    <w:p>
      <w:pPr>
        <w:spacing w:after="0" w:line="9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In each quarter of fiscal 2023, the Board of Directors declared, and the Company paid, a cash dividend per common share of $0.75 (for an aggregate cash dividend per common share of $3.00 for fiscal 2023). In fiscal 2022 the Board of Directors declared, and the Company paid, a cash dividend per common share of $0.75 (for an aggregate cash dividend per common share of $3.00 for fiscal 2022). Our Board of Directors will evaluate future dividend declarations based on a number of factors, including restrictions under our secured revolving credit facility, business conditions, our financial performance, and other considerations.</w:t>
      </w:r>
    </w:p>
    <w:p>
      <w:pPr>
        <w:spacing w:after="0" w:line="10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 xml:space="preserve">Provisions in our secured revolving credit facility could have the effect of restricting our ability to pay cash dividends on, or make future repurchases of, our common stock, as further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to the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 of December 30, 2023, we had no outstanding borrowings under our secured revolving credit facility, exclusive of $4.4 million of outstanding letters of credit. As of December 31, 2022, we had $120.0 million outstanding borrowings under our secured revolving credit facility, exclusive of $3.5 million of outstanding letters of credit. As of December 30, 2023 and December 31, 2022, there was approximately $845.6 million and $726.5 million available for future borrowing, respectively. Any outstanding borrowings under our secured revolving credit facility are classified as non-current liabilities on our consolidated balance sheets due to contractual repayment terms under the credit facility. However, these repayment terms also allow us to repay some or all of the outstanding borrowings at any time.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Terms of the Secured Revolving Credit Facility</w:t>
      </w:r>
    </w:p>
    <w:p>
      <w:pPr>
        <w:spacing w:after="0" w:line="8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secured revolving credit facility provides for an aggregate credit line of $850 million which includes a $750 million U.S. dollar facility and a $100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10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 revolving credit facility from September 2023 to April 2027, and reduced the number of financial maintenance covenants from two to 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particular, Amendment No. 4 provides for the following:</w:t>
      </w:r>
    </w:p>
    <w:p>
      <w:pPr>
        <w:spacing w:after="0" w:line="72" w:lineRule="exact"/>
        <w:rPr>
          <w:sz w:val="20"/>
          <w:szCs w:val="20"/>
          <w:color w:val="auto"/>
        </w:rPr>
      </w:pPr>
    </w:p>
    <w:p>
      <w:pPr>
        <w:ind w:left="520" w:right="40" w:hanging="260"/>
        <w:spacing w:after="0" w:line="287" w:lineRule="auto"/>
        <w:tabs>
          <w:tab w:leader="none" w:pos="516"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increases the borrowing capacity of the secured revolving credit facility from $750 million to $850 million - the U.S. Dollar facility commitment increases to $750 million from $650 million and the multicurrency facility commitment remains at $100 million;</w:t>
      </w:r>
    </w:p>
    <w:p>
      <w:pPr>
        <w:spacing w:after="0" w:line="2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extends the maturity of the secured revolving credit facility from September 2023 to April 2027;</w:t>
      </w:r>
    </w:p>
    <w:p>
      <w:pPr>
        <w:spacing w:after="0" w:line="83" w:lineRule="exact"/>
        <w:rPr>
          <w:rFonts w:ascii="Times New Roman" w:cs="Times New Roman" w:eastAsia="Times New Roman" w:hAnsi="Times New Roman"/>
          <w:sz w:val="14"/>
          <w:szCs w:val="14"/>
          <w:b w:val="1"/>
          <w:bCs w:val="1"/>
          <w:color w:val="auto"/>
        </w:rPr>
      </w:pPr>
    </w:p>
    <w:p>
      <w:pPr>
        <w:ind w:left="520" w:right="40" w:hanging="260"/>
        <w:spacing w:after="0" w:line="287" w:lineRule="auto"/>
        <w:tabs>
          <w:tab w:leader="none" w:pos="516"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adds a springing maturity date component,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18" w:lineRule="exact"/>
        <w:rPr>
          <w:rFonts w:ascii="Times New Roman" w:cs="Times New Roman" w:eastAsia="Times New Roman" w:hAnsi="Times New Roman"/>
          <w:sz w:val="14"/>
          <w:szCs w:val="14"/>
          <w:b w:val="1"/>
          <w:bCs w:val="1"/>
          <w:color w:val="auto"/>
        </w:rPr>
      </w:pPr>
    </w:p>
    <w:p>
      <w:pPr>
        <w:ind w:left="520" w:right="60" w:hanging="260"/>
        <w:spacing w:after="0" w:line="270" w:lineRule="auto"/>
        <w:tabs>
          <w:tab w:leader="none" w:pos="516"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reduces the number of financial maintenance covenants from two to one -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40" w:lineRule="exact"/>
        <w:rPr>
          <w:rFonts w:ascii="Times New Roman" w:cs="Times New Roman" w:eastAsia="Times New Roman" w:hAnsi="Times New Roman"/>
          <w:sz w:val="14"/>
          <w:szCs w:val="14"/>
          <w:b w:val="1"/>
          <w:bCs w:val="1"/>
          <w:color w:val="auto"/>
        </w:rPr>
      </w:pPr>
    </w:p>
    <w:p>
      <w:pPr>
        <w:ind w:left="520" w:right="380" w:hanging="260"/>
        <w:spacing w:after="0" w:line="287" w:lineRule="auto"/>
        <w:tabs>
          <w:tab w:leader="none" w:pos="516" w:val="left"/>
        </w:tabs>
        <w:numPr>
          <w:ilvl w:val="0"/>
          <w:numId w:val="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Term Benchmark Loans bear interest at a rate determined by reference to the Adjusted Term SOFR (Secured Overnight Financing Rate), CDOR (Canadian Dollar Offered Rate), or the Adjusted EURIBOR (Euro Interbank</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42" w:name="page43"/>
    <w:bookmarkEnd w:id="42"/>
    <w:p>
      <w:pPr>
        <w:ind w:left="520" w:right="180"/>
        <w:spacing w:after="0" w:line="287" w:lineRule="auto"/>
        <w:rPr>
          <w:sz w:val="20"/>
          <w:szCs w:val="20"/>
          <w:color w:val="auto"/>
        </w:rPr>
      </w:pPr>
      <w:r>
        <w:rPr>
          <w:rFonts w:ascii="Times New Roman" w:cs="Times New Roman" w:eastAsia="Times New Roman" w:hAnsi="Times New Roman"/>
          <w:sz w:val="14"/>
          <w:szCs w:val="14"/>
          <w:color w:val="auto"/>
        </w:rPr>
        <w:t>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29" w:lineRule="exact"/>
        <w:rPr>
          <w:sz w:val="20"/>
          <w:szCs w:val="20"/>
          <w:color w:val="auto"/>
        </w:rPr>
      </w:pPr>
    </w:p>
    <w:p>
      <w:pPr>
        <w:ind w:left="520" w:right="140" w:hanging="260"/>
        <w:spacing w:after="0" w:line="264" w:lineRule="auto"/>
        <w:tabs>
          <w:tab w:leader="none" w:pos="516" w:val="left"/>
        </w:tabs>
        <w:numPr>
          <w:ilvl w:val="0"/>
          <w:numId w:val="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 respect to the average daily unused portion of the revolving loan commitments. Capitalized items are Defined Terms pursuant to Amendment No. 4, dated as of April 11, 2022.</w:t>
      </w:r>
    </w:p>
    <w:p>
      <w:pPr>
        <w:spacing w:after="0" w:line="10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Approximately $2.4 million, including both bank fees and other third-party expenses, was capitalized in fiscal 2022 in connection with Amendment No. 4 and is being amortized over the remaining term of the secured revolving credit facility.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30, 2023, the interest rate margins applicable to the amended revolving credit facility were 1.375% for adjusted term SOFR rate loans and 0.375% for base rate loans.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Weighted-average borrowings were $45.6 million and $106.6 million for fiscal 2023 and fiscal 2022, respectively. The effective interest rate for borrowings under the secured revolving credit facility during fiscal 2023 was 6.07%. As of December 30, 2023, any U.S. dollar borrowings outstanding under the secured revolving credit facility would have accrued interest at an adjusted term SOFR rate plus the applicable margin, which would have resulted in a borrowing rate of 6.82%. There were no Canadian dollar or other foreign currency borrowings outstanding on December 30,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30, 2023, the Company was in compliance with the financial and other covenants under the secured revolving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As of December 30, 2023, TWCC had $500.0 million principal amount of senior notes outstanding, bearing interest at a rate of 5.625% per annum, and maturing on March 15, 2027. On our consolidated balance sheet, the $500.0 million of outstanding senior notes as of December 30, 2023 is reported net of $2.6 million of unamortized issuance-related debt costs, and the $500.0 million of outstanding senior notes as of December 31, 2022 is reported net of $3.4 million of unamortized issuance-related debt costs.</w:t>
      </w:r>
    </w:p>
    <w:p>
      <w:pPr>
        <w:spacing w:after="0" w:line="10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senior notes mentioned above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103"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The indentures governing the senior notes provides that upon the occurrence of specific kinds of changes of control, unless a redemption notice with respect to all the outstanding senior notes has previously or concurrently been mailed or delivered, we will be required to make an offer to purchase the senior notes at 101% of their principal amount, plus accrued and unpaid interest to (but excluding) the date of purchase.</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The indentures governing the senior notes include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 of at least 25.0% in principal amount of the then total outstanding senior notes to declare all amounts owning under the notes to be due and payable. Carter’s, Inc. is not subject to these covenants.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85"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 xml:space="preserve">We enter into contractual obligations and commitments in the ordinary course of business that may require future cash payments. Such obligations include: 1) debt repayments and letters of credit (as described in Item 8 “Financial Statements and Supplementary Data” under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to the consolidated financial statements), 2) operating lease liabilities (as described in Item 8 “Financial Statements and Supplementary Data” under Note 5,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the consolidated financial statements) and 3) liabilities related to employee benefit plans (as described in Item 8 “Financial Statements and Supplementary Data” under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3" w:name="page44"/>
    <w:bookmarkEnd w:id="43"/>
    <w:p>
      <w:pPr>
        <w:ind w:right="140"/>
        <w:spacing w:after="0" w:line="287" w:lineRule="auto"/>
        <w:rPr>
          <w:sz w:val="20"/>
          <w:szCs w:val="20"/>
          <w:color w:val="auto"/>
        </w:rPr>
      </w:pPr>
      <w:r>
        <w:rPr>
          <w:rFonts w:ascii="Times New Roman" w:cs="Times New Roman" w:eastAsia="Times New Roman" w:hAnsi="Times New Roman"/>
          <w:sz w:val="14"/>
          <w:szCs w:val="14"/>
          <w:color w:val="auto"/>
        </w:rPr>
        <w:t>In addition, we have commitments to purchase inventory in the normal course of business, which are cancelable (with or without penalty, depending on the stage of production) and span a period of one year or less. Our estimate as of December 30, 2023 for commitments to purchase inventory was between $400 million and $500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unable to reasonably predict future reserves for income taxes, as these are contingent on the ultimate amount or timing of settlement.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Outlook</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Based on our current outlook, we believe that cash and cash equivalents on hand, cash flow generated from operations, and available borrowing capacity under our secured revolving credit facility, will be adequate to meet our working capital needs and capital expenditure requirements for our longer-term strategic plans, although no assurance can be given in this regard.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7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experience seasonal fluctuations in our sales and profitability due to the timing of certain holidays and key retail shopping periods, which generally has resulted in lower sales and gross profit in the first half of our fiscal year versus the second half of the fiscal year. Accordingly, our results of operations during the first half of the year may not be indicative of the results we expect for the full year.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7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expenses, and related disclosure of contingent assets and liabilities. We base our estimates on historical experience and on various other assumptions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Our significant accounting policies are described in our accompanying consolidated financial statements. The following discussion addresses our critical accounting policies and estimates, which are those policies that require management’s most difficult and subjective judgments, often as a result of the need to make estimates about the effect of matters that are inherently uncertain.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 and Accounts Receivable Allowance</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Our revenues, which are reported as Net sales, consist of sales to customers, net of returns, discounts, chargebacks, and cooperative advertising. We recognize revenue when (or as) the performance obligation is satisfied. Generally, the performance obligation is satisfied when we transfer control of the goods to the customer.</w:t>
      </w:r>
    </w:p>
    <w:p>
      <w:pPr>
        <w:spacing w:after="0" w:line="9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Our retail store revenues, also reported as Net sales, are recognized at the point of sale. Retail sales through our online channels are recognized at time of delivery to the customer. Revenue from omni-channel sales, including buy-online and pick-up in-store, buy-online, ship-to-store, and buy-online, deliver-from-store, are recognized when the product has been picked up by the customer at the store or when the product is physically delivered to the customer. We recognize retail sales returns at the time of transaction by recording adjustments to both revenue and cost of goods sold. Additionally, we maintain an asset, representing the goods we expect to receive from the customer, and a liability for estimated sales returns. There are no accounts receivable associated with our retail customers.</w:t>
      </w:r>
    </w:p>
    <w:p>
      <w:pPr>
        <w:spacing w:after="0" w:line="11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Our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Our credit and collections department reviews all past due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expenses on our consolidated statement of operations and provisions for chargebacks are reflected as a reduction in Net sales on our consolidated statement of operations.</w:t>
      </w:r>
    </w:p>
    <w:p>
      <w:pPr>
        <w:spacing w:after="0" w:line="12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Cooperative advertising arrangements reimburse customers for marketing activities for certain of our products. For arrangements in which the Company receives a distinct good or service, we record these reimbursements under cooperative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4" w:name="page45"/>
    <w:bookmarkEnd w:id="44"/>
    <w:p>
      <w:pPr>
        <w:spacing w:after="0" w:line="259" w:lineRule="auto"/>
        <w:rPr>
          <w:sz w:val="20"/>
          <w:szCs w:val="20"/>
          <w:color w:val="auto"/>
        </w:rPr>
      </w:pPr>
      <w:r>
        <w:rPr>
          <w:rFonts w:ascii="Times New Roman" w:cs="Times New Roman" w:eastAsia="Times New Roman" w:hAnsi="Times New Roman"/>
          <w:sz w:val="14"/>
          <w:szCs w:val="14"/>
          <w:color w:val="auto"/>
        </w:rPr>
        <w:t>advertising arrangements with certain of our major wholesale customers at fair value. Fair value is determined based upon, among other factors, comparable market analysis for similar advertisements when fair value is determinable. We have included the fair value of these arrangements of approximately $0.6 million for fiscal 2022 and $0.2 million for fiscal 2021 as a component of SG&amp;A expenses on the Company’s consolidated statements of operations, rather than as a reduction of Net sales. There were no amounts for cooperative advertising arrangements recorded as a component of SG&amp;A expenses for fiscal 2023. Amounts determined to be in excess of the fair value of these arrangements are recorded as a reduction of net sales. For arrangements in which the Company does not receive a distinct good or service, we record these reimbursements as a reduction of net sales. The majority of the Company’s digital cooperative advertising arrangements are recorded as a reduction of net sales as there was no distinct good or service received by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in very limited circumstances, we do not allow our wholesale customers to return goods to 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7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4"/>
          <w:szCs w:val="14"/>
          <w:color w:val="auto"/>
        </w:rPr>
        <w:t>Our inventories, which consist primarily of finished goods, are stated approximately at the lower of cost (first-in, first-out basis for wholesale inventory and average cost for retail inventories) or net realizable value. Obsolete, damaged, and excess inventory is carried at net realizable value by establishing reserves after assessing historical recovery rates, current market conditions, and future marketing and sales plans. Adjustments to bring inventory to net realizable value as a result of obsolete, damaged, and excess inventory decreased $10.3 million, or 53.3%, to $9.0 million as of December 30, 2023. This decrease is primarily due to the decrease in inventory balances, including decreased “pack and hold” inventory. Rebates, discounts and other cash consideration received from a vendor related to inventory purchases are reflected as reductions in the cost of the related inventory item and are therefore reflected in Cost of goods sold when the related inventory item is sold.</w:t>
      </w:r>
    </w:p>
    <w:p>
      <w:pPr>
        <w:spacing w:after="0" w:line="12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also has minimum inventory purchase commitments, including fabric commitments, with our suppliers which secure a portion of our raw material needs for future seasons. In the event anticipated market sales prices are lower than these committed costs or customer orders are canceled, the Company records an estimated liability reserve for these adverse inventory and fabric purchase commitments. Increases to this reserve are reflected in Costs of goods sold on our consolidated statement of operations. We have recast the consolidated statement of operations for the fiscal year ended December 31, 2022 and January 1, 2022 to conform to our current presentation of combining Adverse purchase commitments within Cost of goods sold.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Goodwill and Other Indefinite-Lived Intangible Assets</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The impairment models included in our analysis utilize significant estimates and assumptions to determine asset fair values. A deterioration of macroeconomic factors may negatively impact these estimates and assumptions and result in future impairment charges.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Under a qualitative assessment, we estimate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results of a qualitative test determine that it is “more likely than not” that the fair value of a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w:t>
      </w:r>
    </w:p>
    <w:p>
      <w:pPr>
        <w:spacing w:after="0" w:line="109"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Under a quantitative assessment for goodwill, we compare the fair value of a reporting unit to its carrying value, including goodwill. We use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 Discount rates are dependent upon interest rates and the cost of capital at a point in time. These assumptions are consistent with those we believe hypothetical marketplace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color w:val="auto"/>
        </w:rPr>
        <w:t>participants would use. An impairment is recorded for any excess carrying value above the fair value of the reporting unit, not to exceed the carrying value of goodwill.</w:t>
      </w:r>
    </w:p>
    <w:p>
      <w:pPr>
        <w:spacing w:after="0" w:line="14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In fiscal 2022, the Company performed a quantitative impairment test on the goodwill ascribed to each of the Company’s reporting units and on the value of its indefinite-lived intangible tradename assets as of December 31, 2022 due to increased discount rates, decreased actual and projected sales and profitability, and the announcement of the substantial doubt of a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wholesale customer’s ability to continue to operate as a going concern. Based upon this assessment, there were no impairments on the value of goodwill.</w:t>
      </w:r>
    </w:p>
    <w:p>
      <w:pPr>
        <w:spacing w:after="0" w:line="114" w:lineRule="exact"/>
        <w:rPr>
          <w:sz w:val="20"/>
          <w:szCs w:val="20"/>
          <w:color w:val="auto"/>
        </w:rPr>
      </w:pPr>
    </w:p>
    <w:p>
      <w:pPr>
        <w:ind w:right="1700"/>
        <w:spacing w:after="0" w:line="411" w:lineRule="auto"/>
        <w:rPr>
          <w:sz w:val="20"/>
          <w:szCs w:val="20"/>
          <w:color w:val="auto"/>
        </w:rPr>
      </w:pPr>
      <w:r>
        <w:rPr>
          <w:rFonts w:ascii="Times New Roman" w:cs="Times New Roman" w:eastAsia="Times New Roman" w:hAnsi="Times New Roman"/>
          <w:sz w:val="14"/>
          <w:szCs w:val="14"/>
          <w:color w:val="auto"/>
        </w:rPr>
        <w:t xml:space="preserve">Based upon our most recent annual assessment, performed as of December 30, 2023, using a qualitative assessment, there were no impairments to the value of goodwill. </w:t>
      </w:r>
      <w:r>
        <w:rPr>
          <w:rFonts w:ascii="Times New Roman" w:cs="Times New Roman" w:eastAsia="Times New Roman" w:hAnsi="Times New Roman"/>
          <w:sz w:val="14"/>
          <w:szCs w:val="14"/>
          <w:b w:val="1"/>
          <w:bCs w:val="1"/>
          <w:i w:val="1"/>
          <w:iCs w:val="1"/>
          <w:color w:val="auto"/>
        </w:rPr>
        <w:t>Indefinite-Lived Intangible Assets</w:t>
      </w:r>
    </w:p>
    <w:p>
      <w:pPr>
        <w:ind w:right="200"/>
        <w:spacing w:after="0" w:line="264" w:lineRule="auto"/>
        <w:rPr>
          <w:sz w:val="20"/>
          <w:szCs w:val="20"/>
          <w:color w:val="auto"/>
        </w:rPr>
      </w:pPr>
      <w:r>
        <w:rPr>
          <w:rFonts w:ascii="Times New Roman" w:cs="Times New Roman" w:eastAsia="Times New Roman" w:hAnsi="Times New Roman"/>
          <w:sz w:val="14"/>
          <w:szCs w:val="14"/>
          <w:color w:val="auto"/>
        </w:rPr>
        <w:t>A tradename is considered impaired if the estimated fair value of the tradename is less than the carrying amount. Impairment reviews for an indefinite-lived tradename can be conducted using qualitative analysis, and if necessary, by a quantitative impairment test. If a tradename is considered impaired, we recognize a loss equal to the difference between the carrying amount and the estimated fair value of the tradename. The process of estimating the fair value of a tradename incorporates the relief-from-royalty valuation method, which requires us to make assumptions and to apply judgment, including forecasting revenue growth and profitability and selecting the appropriate terminal growth rate, discount rate, and royalty rate.</w:t>
      </w:r>
    </w:p>
    <w:p>
      <w:pPr>
        <w:spacing w:after="0" w:line="10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 xml:space="preserve">As discussed above, the Company performed quantitative impairment assessments on the value of the Company’s indefinite-lived intangible tradename assets as of December 31, 2022. Based on these assessments, a non-cash pre-tax impairment charge of $9.0 million was recorded during the fourth quarter of fiscal 2022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to write-down the carrying value to $6.0 million. The charge recorded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Sensitivity tests on the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indefinite-lived tradename asset showed that a 100 basis point increase in the discount rate or a 10% decrease in forecasted revenues would result in further impairment charges of approximately $1.0 million, and a 25 basis point decrease in the royalty rate would result in further impairment charges of approximately $3.0 million.</w:t>
      </w:r>
    </w:p>
    <w:p>
      <w:pPr>
        <w:spacing w:after="0" w:line="11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 xml:space="preserve">The assessment in fiscal 2022 also indicated that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asset’s fair value exceeded its carrying value by approximately 27%. Sensitivity tests on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indefinite-lived tradename asset showed that a 100 basis point increase in the discount rate, a 10% decrease in forecasted revenues, or a 25 basis point decrease in the royalty rate would not change the conclusion and would not result in an impairment charge.</w:t>
      </w:r>
    </w:p>
    <w:p>
      <w:pPr>
        <w:spacing w:after="0" w:line="114"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 xml:space="preserve">Due to favorable changes in certain of our key assumptions, we elected to utilize a qualitative assessment to perform our most recent annual assessment, as of December 30, 2023. Based on these assessments, there were no impairments in the value of our indefinite-lived tradenames. Although the Company determined that no impairment exists for the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indefinite-lived tradename assets, these assets could be at risk for impairment should macroeconomic factors, including declining consumer sentiment, adversely affect the Company’s financial results.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Long-Lived Assets</w:t>
      </w:r>
    </w:p>
    <w:p>
      <w:pPr>
        <w:spacing w:after="0" w:line="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We review other long-lived assets, including right of use (“ROU”) lease assets, property, plant, and equipment, definite-lived tradename assets, and customer relationship assets, for impairment whenever events or changes in circumstances indicate that the carrying amount of such an asset may not be recoverable. To determine whether there has been a permanent impairment on such assets, a recoverability test is performed by comparing anticipated undiscounted future cash flows from the use and eventual disposition of the asset or asset group to the carrying value of the asset. If the undiscounted cash flows are less than the related carrying value of the other long-lived asset, they are written down to their fair value. The process of estimating the fair value requires us to make assumptions and to apply judgement including forecasting revenue growth and profitability, utilizing external market participant assumptions, including estimated market rents, and selecting the appropriate discount rate. Long-lived assets that meet the definition of held for sale will be valued at the lower of carrying amount or fair value, less costs to sell.</w:t>
      </w:r>
    </w:p>
    <w:p>
      <w:pPr>
        <w:spacing w:after="0" w:line="11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review all stores leases that have been opened for greater than 14 months for impairment on at least an annual basis, or sooner if circumstances so dictate. In determining undiscounted future cash flows for the recoverability test of store leases, we take various factors into account, including the continued market acceptance of our current products, the development of new products, changes in merchandising strategy, retail store cost controls, store traffic, competition, and the effects 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89" w:right="359" w:bottom="1440" w:gutter="0" w:footer="0" w:header="0"/>
        </w:sectPr>
      </w:pPr>
    </w:p>
    <w:bookmarkStart w:id="46" w:name="page47"/>
    <w:bookmarkEnd w:id="46"/>
    <w:p>
      <w:pPr>
        <w:ind w:right="20"/>
        <w:spacing w:after="0" w:line="287" w:lineRule="auto"/>
        <w:rPr>
          <w:sz w:val="20"/>
          <w:szCs w:val="20"/>
          <w:color w:val="auto"/>
        </w:rPr>
      </w:pPr>
      <w:r>
        <w:rPr>
          <w:rFonts w:ascii="Times New Roman" w:cs="Times New Roman" w:eastAsia="Times New Roman" w:hAnsi="Times New Roman"/>
          <w:sz w:val="14"/>
          <w:szCs w:val="14"/>
          <w:color w:val="auto"/>
        </w:rPr>
        <w:t>macroeconomic factors such as consumer spending. In determining the fair value of store leases, we utilize external market participant assumptions, including market rents per square foot and market rent growth rates.</w:t>
      </w:r>
    </w:p>
    <w:p>
      <w:pPr>
        <w:spacing w:after="0" w:line="9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A deterioration of macroeconomic factors may not only negatively impact the estimated future cash flows used in our cash flow models but may also negatively impact other assumptions used in our analysis, including, but not limited to, the estimated discount rates. Changes in these estimates and assumptions may have a significant impact on our assessment of fair value and result in future impairment charges.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Accrued Expenses</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Accrued expenses for workers’ compensation, incentive compensation, health insurance, 401(k), and other outstanding obligations are assessed based on actual commitments, statistical trends, and/or estimates based on projections and current expectations, and these estimates are updated periodically as additional information becomes available.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Contingencies</w:t>
      </w:r>
    </w:p>
    <w:p>
      <w:pPr>
        <w:spacing w:after="0" w:line="74"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We record accruals for various contingencies including legal exposures as they arise in the normal course of business. We determine whether to disclose and accrue for loss contingencies based on an assessment of whether the risk of loss is remote, reasonably possible, or probable and whether the loss can be reasonably estimated. Our assessment is developed in consultation with our internal and external counsel and other advisers and is based on an analysis of possible outcomes under various strategies. Loss contingency assumptions involve judgments that are inherently subjective and can involve matters that are in litigation, which, by their nature are unpredictable. We believe that our assessment of the probability of loss contingencies is reasonable.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Income Taxes</w:t>
      </w:r>
    </w:p>
    <w:p>
      <w:pPr>
        <w:spacing w:after="0" w:line="7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As part of the process of preparing the accompanying consolidated financial statements, we are required to estimate our actual current tax exposure (state, federal, and foreign). We assess our income tax positions and record tax benefits for all years subject to examination based upon management’s evaluation of the facts, circumstances, and information available at the reporting dates. We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related to unrecognized tax benefits is recognized as a component of interest expense and associated penalties related to unrecognized tax benefits are recognized as a component of income tax expense.</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We also assess permanent and temporary differences resulting from differing basis and treatment of items for tax and accounting purposes, such as the carrying value of intangibles, deductibility of expenses, depreciation of property, plant, and equipment, stock-based compensation expense, and valuation of inventories. Temporary differences result in deferred tax assets and liabilities, which are included within our consolidated balance sheets. We must then assess the likelihood that our deferred tax assets will be recovered from future taxable income. Actual results could differ from this assessment if sufficient taxable income is not generated in future periods. To the extent we determine the need to establish a valuation allowance or increase such allowance in a period, we must include an expense within the tax provision in the accompanying consolidated statements of operations.</w:t>
      </w:r>
    </w:p>
    <w:p>
      <w:pPr>
        <w:spacing w:after="0" w:line="111" w:lineRule="exact"/>
        <w:rPr>
          <w:sz w:val="20"/>
          <w:szCs w:val="20"/>
          <w:color w:val="auto"/>
        </w:rPr>
      </w:pPr>
    </w:p>
    <w:p>
      <w:pPr>
        <w:ind w:right="1880"/>
        <w:spacing w:after="0" w:line="411" w:lineRule="auto"/>
        <w:rPr>
          <w:sz w:val="20"/>
          <w:szCs w:val="20"/>
          <w:color w:val="auto"/>
        </w:rPr>
      </w:pPr>
      <w:r>
        <w:rPr>
          <w:rFonts w:ascii="Times New Roman" w:cs="Times New Roman" w:eastAsia="Times New Roman" w:hAnsi="Times New Roman"/>
          <w:sz w:val="14"/>
          <w:szCs w:val="14"/>
          <w:color w:val="auto"/>
        </w:rPr>
        <w:t xml:space="preserve">Based on our results for fiscal 2023, a hypothetical 1% increase in our effective tax rate would have resulted in an increase in our income tax expense of $3.0 million. </w:t>
      </w:r>
      <w:r>
        <w:rPr>
          <w:rFonts w:ascii="Times New Roman" w:cs="Times New Roman" w:eastAsia="Times New Roman" w:hAnsi="Times New Roman"/>
          <w:sz w:val="14"/>
          <w:szCs w:val="14"/>
          <w:b w:val="1"/>
          <w:bCs w:val="1"/>
          <w:color w:val="auto"/>
        </w:rPr>
        <w:t>Employee Benefit Plans</w:t>
      </w:r>
    </w:p>
    <w:p>
      <w:pPr>
        <w:ind w:right="40"/>
        <w:spacing w:after="0" w:line="249" w:lineRule="auto"/>
        <w:rPr>
          <w:sz w:val="20"/>
          <w:szCs w:val="20"/>
          <w:color w:val="auto"/>
        </w:rPr>
      </w:pPr>
      <w:r>
        <w:rPr>
          <w:rFonts w:ascii="Times New Roman" w:cs="Times New Roman" w:eastAsia="Times New Roman" w:hAnsi="Times New Roman"/>
          <w:sz w:val="14"/>
          <w:szCs w:val="14"/>
          <w:color w:val="auto"/>
        </w:rPr>
        <w:t>We sponsor a frozen defined benefit pension plan and other unfunded post-retirement plans. The defined benefit pension and post-retirement plans require an actuarial valuation to determine plan obligations and related periodic costs. Plan valuations require economic assumptions, including expected rates of return on plan assets, discount rates to value plan obligations and employee demographic assumptions including mortality rates. Plan valuations based on the actuarial assumptions used may differ materially from actual results due to changing market and economic conditions. Actual results that differ from the plan valuations are reflected as deferred gains and losses in Accumulated other comprehensive income (loss) within shareholder’s equity. Deferred gains and losses that exceed 10% of the greater of the plan’s projected benefit obligations or market value of assets are amortized to earnings over the average remaining life of inactive plan participants.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future obligation under our pension plan not funded from returns on plan assets is expected to be funded from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89" w:right="339" w:bottom="1440" w:gutter="0" w:footer="0" w:header="0"/>
        </w:sectPr>
      </w:pPr>
    </w:p>
    <w:bookmarkStart w:id="47" w:name="page48"/>
    <w:bookmarkEnd w:id="47"/>
    <w:p>
      <w:pPr>
        <w:ind w:right="260"/>
        <w:spacing w:after="0" w:line="287" w:lineRule="auto"/>
        <w:rPr>
          <w:sz w:val="20"/>
          <w:szCs w:val="20"/>
          <w:color w:val="auto"/>
        </w:rPr>
      </w:pPr>
      <w:r>
        <w:rPr>
          <w:rFonts w:ascii="Times New Roman" w:cs="Times New Roman" w:eastAsia="Times New Roman" w:hAnsi="Times New Roman"/>
          <w:sz w:val="14"/>
          <w:szCs w:val="14"/>
          <w:color w:val="auto"/>
        </w:rPr>
        <w:t xml:space="preserve">The most significant assumption used to determine the Company’s projected benefit obligation under its defined benefit plans is the discount rate. For further details on rates and assumptions, see Item 8 “Financial Statements and Supplementary Data” under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to the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Arrangements</w:t>
      </w:r>
    </w:p>
    <w:p>
      <w:pPr>
        <w:spacing w:after="0" w:line="8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recognize the cost resulting from all stock-based compensation arrangements in the financial statements at grant date fair value. The fair value of stock awards is determined based on the quoted closing price of our common stock on the date of grant. The fair value of stock options is determined based on the Black-Scholes option pricing model, which requires the use of subjective assumptions. There have been no issuances of stock options since 2018, and there are no unrecognized compensation costs remaining on outstanding stock options.</w:t>
      </w:r>
    </w:p>
    <w:p>
      <w:pPr>
        <w:spacing w:after="0" w:line="4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Subjective assumptions include a forfeiture rate assumption for all restricted stock awards and an estimate for the probability that the performance criteria will be achieved for performance awards. We estimate forfeitures of restricted stock awards based on historical experience and expected future activity. We account for performance-based awards over the vesting term of the awards that are expected to vest based on whether it is probable that the performance criteria will be achieved. We reassess the probability of vesting at each reporting period for awards with performance criteria and adjust stock-based compensation expense based on the probability assessments.</w:t>
      </w:r>
    </w:p>
    <w:p>
      <w:pPr>
        <w:spacing w:after="0" w:line="34" w:lineRule="exact"/>
        <w:rPr>
          <w:sz w:val="20"/>
          <w:szCs w:val="20"/>
          <w:color w:val="auto"/>
        </w:rPr>
      </w:pPr>
    </w:p>
    <w:p>
      <w:pPr>
        <w:ind w:right="740"/>
        <w:spacing w:after="0" w:line="287" w:lineRule="auto"/>
        <w:rPr>
          <w:sz w:val="20"/>
          <w:szCs w:val="20"/>
          <w:color w:val="auto"/>
        </w:rPr>
      </w:pPr>
      <w:r>
        <w:rPr>
          <w:rFonts w:ascii="Times New Roman" w:cs="Times New Roman" w:eastAsia="Times New Roman" w:hAnsi="Times New Roman"/>
          <w:sz w:val="14"/>
          <w:szCs w:val="14"/>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0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During the requisite service period, we recognize a deferred income tax benefit for the expense recognized for U.S. GAAP. At time of subsequent vesting, exercise, forfeiture, or expiration of an award, the difference between our actual income tax deduction, if any, and the previously accrued income tax benefit is recognized in our income tax expense/benefit during the current period.</w:t>
      </w:r>
    </w:p>
    <w:p>
      <w:pPr>
        <w:spacing w:after="0" w:line="90" w:lineRule="exact"/>
        <w:rPr>
          <w:sz w:val="20"/>
          <w:szCs w:val="20"/>
          <w:color w:val="auto"/>
        </w:rPr>
      </w:pPr>
    </w:p>
    <w:p>
      <w:pPr>
        <w:ind w:right="5440"/>
        <w:spacing w:after="0" w:line="357" w:lineRule="auto"/>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 Currency and Interest Rate Risks</w:t>
      </w:r>
    </w:p>
    <w:p>
      <w:pPr>
        <w:spacing w:after="0" w:line="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the operation of our business, we have market risk exposures including those related to foreign currency risk and interest rates. These risks, and our strategies to manage our exposure to them, are discussed below.</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Currency Risk</w:t>
      </w:r>
    </w:p>
    <w:p>
      <w:pPr>
        <w:spacing w:after="0" w:line="7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We contract to purchase product from third parties, primarily in Asia. While these contracts are stated in U.S. dollars, there can be no assurance that the cost for the future production of our products will not be affected by exchange rate fluctuations between the U.S. dollar and the local currencies of these contracted manufacturers. Due to the number of currencies involved, we cannot quantify the potential impact that future currency fluctuations may have on our results of operations in future periods.</w:t>
      </w:r>
    </w:p>
    <w:p>
      <w:pPr>
        <w:spacing w:after="0" w:line="11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financial statements of our foreign subsidiaries that are denominated in functional currencies other than the U.S. dollar are translated into U.S. dollars using period-end exchange rates for assets and liabilities and weighted-average exchange rates for revenues and expenses. Gains and losses resulting from translating assets and liabilities from the functional currency to U.S. dollars are included in Accumulated other comprehensive income (loss).</w:t>
      </w:r>
    </w:p>
    <w:p>
      <w:pPr>
        <w:spacing w:after="0" w:line="104"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Our foreign subsidiaries typically record sales denominated in currencies other than the U.S. dollar, which are then translated into U.S. dollars using weighted-average exchange rates. The changes in foreign currency exchange rates used for translation in fiscal 2023 had an immaterial impact on our consolidated net sales.</w:t>
      </w:r>
    </w:p>
    <w:p>
      <w:pPr>
        <w:spacing w:after="0" w:line="9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Fluctuations in exchange rates between the U.S. dollar and other currencies may affect our results of operations, financial position, and cash flows. Transactions by our foreign subsidiaries may be denominated in a currency other than the entity's functional currency. Foreign currency transaction gains and losses also include the impact of intercompany loans with foreign subsidiaries that are marked to market. In our consolidated statement of operations, these gains and losses are recorded within Other (income) expense, net. Foreign currency transaction gains and losses related to intercompany loans with foreign subsidiaries that are of a long-term nature are accounted for as translation adjustments and are included in Accumulated other comprehensive income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Our operating results are subject to risk from interest rate fluctuations on our secured revolving credit facility, which carries variable interest rates. As of December 30, 2023, there were no variable rate borrowings outstanding under the secured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8" w:name="page49"/>
    <w:bookmarkEnd w:id="48"/>
    <w:p>
      <w:pPr>
        <w:spacing w:after="0" w:line="287" w:lineRule="auto"/>
        <w:rPr>
          <w:sz w:val="20"/>
          <w:szCs w:val="20"/>
          <w:color w:val="auto"/>
        </w:rPr>
      </w:pPr>
      <w:r>
        <w:rPr>
          <w:rFonts w:ascii="Times New Roman" w:cs="Times New Roman" w:eastAsia="Times New Roman" w:hAnsi="Times New Roman"/>
          <w:sz w:val="14"/>
          <w:szCs w:val="14"/>
          <w:color w:val="auto"/>
        </w:rPr>
        <w:t>revolving credit facility. As a result, the impact of a hypothetical 100 bps increase in the effective interest rate would not result in a material amount of additional interest expense over a 12-month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Risks</w:t>
      </w:r>
    </w:p>
    <w:p>
      <w:pPr>
        <w:spacing w:after="0" w:line="8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enter into various purchase order commitments with our suppliers. We can cancel these arrangements, although in some instances, we may be subject to a termination charge reflecting a percentage of work performed prior to cancellation.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300" w:top="889" w:right="5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238 ID )</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30, 2023 and December 31, 2022</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50</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2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December 30, 2023, December 31, 2022, and January 1, 2022</w:t>
            </w:r>
          </w:p>
        </w:tc>
        <w:tc>
          <w:tcPr>
            <w:tcW w:w="1600" w:type="dxa"/>
            <w:vAlign w:val="bottom"/>
            <w:gridSpan w:val="4"/>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51</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7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fiscal years ended December 30, 2023, December 31, 2022, and January 1, 2022</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52</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2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December 30, 2023, December 31, 2022, and January 1, 2022</w:t>
            </w:r>
          </w:p>
        </w:tc>
        <w:tc>
          <w:tcPr>
            <w:tcW w:w="880" w:type="dxa"/>
            <w:vAlign w:val="bottom"/>
            <w:gridSpan w:val="2"/>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53</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fiscal years ended December 30, 2023, December 31, 2022, and January 1,</w:t>
            </w:r>
          </w:p>
        </w:tc>
        <w:tc>
          <w:tcPr>
            <w:tcW w:w="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54</w:t>
            </w:r>
          </w:p>
        </w:tc>
        <w:tc>
          <w:tcPr>
            <w:tcW w:w="0" w:type="dxa"/>
            <w:vAlign w:val="bottom"/>
          </w:tcPr>
          <w:p>
            <w:pPr>
              <w:spacing w:after="0"/>
              <w:rPr>
                <w:sz w:val="1"/>
                <w:szCs w:val="1"/>
                <w:color w:val="auto"/>
              </w:rPr>
            </w:pPr>
          </w:p>
        </w:tc>
      </w:tr>
      <w:tr>
        <w:trPr>
          <w:trHeight w:val="118"/>
        </w:trPr>
        <w:tc>
          <w:tcPr>
            <w:tcW w:w="280" w:type="dxa"/>
            <w:vAlign w:val="bottom"/>
            <w:tcBorders>
              <w:top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2022</w:t>
            </w:r>
          </w:p>
        </w:tc>
        <w:tc>
          <w:tcPr>
            <w:tcW w:w="218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960" w:type="dxa"/>
            <w:vAlign w:val="bottom"/>
            <w:tcBorders>
              <w:top w:val="single" w:sz="8" w:color="0000FF"/>
            </w:tcBorders>
          </w:tcPr>
          <w:p>
            <w:pPr>
              <w:spacing w:after="0"/>
              <w:rPr>
                <w:sz w:val="10"/>
                <w:szCs w:val="10"/>
                <w:color w:val="auto"/>
              </w:rPr>
            </w:pPr>
          </w:p>
        </w:tc>
        <w:tc>
          <w:tcPr>
            <w:tcW w:w="29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460" w:type="dxa"/>
            <w:vAlign w:val="bottom"/>
            <w:gridSpan w:val="2"/>
            <w:shd w:val="clear" w:color="auto" w:fill="0000FF"/>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8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c>
          <w:tcPr>
            <w:tcW w:w="0" w:type="dxa"/>
            <w:vAlign w:val="bottom"/>
          </w:tcPr>
          <w:p>
            <w:pPr>
              <w:spacing w:after="0"/>
              <w:rPr>
                <w:sz w:val="1"/>
                <w:szCs w:val="1"/>
                <w:color w:val="auto"/>
              </w:rPr>
            </w:pPr>
          </w:p>
        </w:tc>
      </w:tr>
      <w:tr>
        <w:trPr>
          <w:trHeight w:val="20"/>
        </w:trPr>
        <w:tc>
          <w:tcPr>
            <w:tcW w:w="28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82"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Board of Directors and Shareholders of Carter’s,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Opinions on the Financial Statements and Internal Control over Financial Reporting</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Carter's, Inc. and its subsidiaries (the “Company”) as of December 30, 2023 and December 31, 2022, and the related consolidated statements of operations, of comprehensive income, of changes in shareholders' equity and of cash flows for each of the three years in the period ended December 30, 2023, including the related notes (collectively referred to as the “consolidated financial statements”). We also have audited the Company's internal control over financial reporting as of December 30, 2023,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(COSO).</w:t>
      </w:r>
    </w:p>
    <w:p>
      <w:pPr>
        <w:spacing w:after="0" w:line="10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30, 2023 and December 31, 2022, and the results of its operations and its cash flows for each of the three years in the period ended December 30, 2023 in conformity with accounting principles generally accepted in the United States of America. Also in our opinion, the Company maintained, in all material respects, effective internal control over financial reporting as of December 30, 2023, based on criteria established in </w:t>
      </w:r>
      <w:r>
        <w:rPr>
          <w:rFonts w:ascii="Times New Roman" w:cs="Times New Roman" w:eastAsia="Times New Roman" w:hAnsi="Times New Roman"/>
          <w:sz w:val="14"/>
          <w:szCs w:val="14"/>
          <w:i w:val="1"/>
          <w:iCs w:val="1"/>
          <w:color w:val="auto"/>
        </w:rPr>
        <w:t>Internal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Control - Integrated Framework </w:t>
      </w:r>
      <w:r>
        <w:rPr>
          <w:rFonts w:ascii="Times New Roman" w:cs="Times New Roman" w:eastAsia="Times New Roman" w:hAnsi="Times New Roman"/>
          <w:sz w:val="14"/>
          <w:szCs w:val="14"/>
          <w:color w:val="auto"/>
        </w:rPr>
        <w:t>(2013) issued by the COSO.</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Definition and Limitations of Internal Control over Financial Reporting</w:t>
      </w:r>
    </w:p>
    <w:p>
      <w:pPr>
        <w:spacing w:after="0" w:line="8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i w:val="1"/>
          <w:iCs w:val="1"/>
          <w:color w:val="auto"/>
        </w:rPr>
        <w:t>Critical Audit Matters</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Recognition - U.S. Wholesale</w:t>
      </w:r>
    </w:p>
    <w:p>
      <w:pPr>
        <w:spacing w:after="0" w:line="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As described in Notes 2 and 3 to the consolidated financial statements, the Company’s U.S. wholesale revenue was $1,014,584 thousand for the year ended December 30, 2023. The Company relies on shipping terms to determine when performance obligations are satisfied. The Company recognizes the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customers including discounts.</w:t>
      </w:r>
    </w:p>
    <w:p>
      <w:pPr>
        <w:spacing w:after="0" w:line="28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principal consideration for our determination that performing procedures relating to U.S. wholesale revenue recognition is a critical audit matter is a high degree of auditor effort in performing procedures related to the Company’s revenue recognition.</w:t>
      </w:r>
    </w:p>
    <w:p>
      <w:pPr>
        <w:spacing w:after="0" w:line="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U.S. wholesale revenue at the transaction price once control passes to the customer. These procedures also included, among others (i) testing U.S. wholesale revenue transactions by evaluating the issuance and settlement of invoices and credit memos, tracing transactions not settled to a detailed listing of accounts receivable, and testing the completeness and accuracy of data provided by management; (ii) testing the completeness, accuracy, and occurrence of a sample of sales incentive transactions by obtaining and inspecting source documents, including support for the nature of the incentive, amount, and agreement with the customer; and (iii) confirming a sample of outstanding customer invoice balances as of December 30, 2023, and for confirmations not returned, obtaining and inspecting source documents, such as invoices, proof of shipment, and subsequent cash receipts.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2024</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at least 1968.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i w:val="1"/>
          <w:iCs w:val="1"/>
          <w:color w:val="auto"/>
        </w:rPr>
        <w:t>(dollars in thousands, except for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60" w:type="dxa"/>
            <w:vAlign w:val="bottom"/>
          </w:tcPr>
          <w:p>
            <w:pPr>
              <w:spacing w:after="0"/>
              <w:rPr>
                <w:sz w:val="14"/>
                <w:szCs w:val="14"/>
                <w:color w:val="auto"/>
              </w:rPr>
            </w:pPr>
          </w:p>
        </w:tc>
        <w:tc>
          <w:tcPr>
            <w:tcW w:w="160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52"/>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auto"/>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351,213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211,748</w:t>
            </w:r>
          </w:p>
        </w:tc>
        <w:tc>
          <w:tcPr>
            <w:tcW w:w="0" w:type="dxa"/>
            <w:vAlign w:val="bottom"/>
          </w:tcPr>
          <w:p>
            <w:pPr>
              <w:spacing w:after="0"/>
              <w:rPr>
                <w:sz w:val="1"/>
                <w:szCs w:val="1"/>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$4,754 and $7,189, respectively</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183,774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198,587</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744,573</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29,131</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33,812</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1,101,243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1,188,720</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183,111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189,822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528,407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492,335</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Tradenames,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298,186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298,393</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210,537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209,333</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Customer relationships,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30,564</w:t>
            </w:r>
          </w:p>
        </w:tc>
        <w:tc>
          <w:tcPr>
            <w:tcW w:w="0" w:type="dxa"/>
            <w:vAlign w:val="bottom"/>
          </w:tcPr>
          <w:p>
            <w:pPr>
              <w:spacing w:after="0"/>
              <w:rPr>
                <w:sz w:val="1"/>
                <w:szCs w:val="1"/>
                <w:color w:val="auto"/>
              </w:rPr>
            </w:pPr>
          </w:p>
        </w:tc>
      </w:tr>
      <w:tr>
        <w:trPr>
          <w:trHeight w:val="17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29,891</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30,548</w:t>
            </w:r>
          </w:p>
        </w:tc>
        <w:tc>
          <w:tcPr>
            <w:tcW w:w="0" w:type="dxa"/>
            <w:vAlign w:val="bottom"/>
          </w:tcPr>
          <w:p>
            <w:pPr>
              <w:spacing w:after="0"/>
              <w:rPr>
                <w:sz w:val="1"/>
                <w:szCs w:val="1"/>
                <w:color w:val="auto"/>
              </w:rPr>
            </w:pPr>
          </w:p>
        </w:tc>
      </w:tr>
      <w:tr>
        <w:trPr>
          <w:trHeight w:val="163"/>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2,378,613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2,439,715</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242,149</w:t>
            </w:r>
          </w:p>
        </w:tc>
        <w:tc>
          <w:tcPr>
            <w:tcW w:w="8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264,078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135,369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142,432</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134,344</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122,439</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511,862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528,949</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 net</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497,354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616,624</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41,470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41,235</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448,810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421,741</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34,757</w:t>
            </w:r>
          </w:p>
        </w:tc>
        <w:tc>
          <w:tcPr>
            <w:tcW w:w="0" w:type="dxa"/>
            <w:vAlign w:val="bottom"/>
          </w:tcPr>
          <w:p>
            <w:pPr>
              <w:spacing w:after="0"/>
              <w:rPr>
                <w:sz w:val="1"/>
                <w:szCs w:val="1"/>
                <w:color w:val="auto"/>
              </w:rPr>
            </w:pPr>
          </w:p>
        </w:tc>
      </w:tr>
      <w:tr>
        <w:trPr>
          <w:trHeight w:val="158"/>
        </w:trPr>
        <w:tc>
          <w:tcPr>
            <w:tcW w:w="7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1,533,363</w:t>
            </w:r>
          </w:p>
        </w:tc>
        <w:tc>
          <w:tcPr>
            <w:tcW w:w="8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1,643,306</w:t>
            </w:r>
          </w:p>
        </w:tc>
        <w:tc>
          <w:tcPr>
            <w:tcW w:w="0" w:type="dxa"/>
            <w:vAlign w:val="bottom"/>
          </w:tcPr>
          <w:p>
            <w:pPr>
              <w:spacing w:after="0"/>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 Note 19</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 par value $0.01 per share; 100,000 shares authorized; none issued or outstanding</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7"/>
        </w:trPr>
        <w:tc>
          <w:tcPr>
            <w:tcW w:w="74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Common stock, voting; par value $0.01 per share; 150,000,000 shares authorized; 36,551,221 and 37,692,132 shares issued and outstanding,</w:t>
            </w:r>
          </w:p>
        </w:tc>
        <w:tc>
          <w:tcPr>
            <w:tcW w:w="24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respectively</w:t>
            </w:r>
          </w:p>
        </w:tc>
        <w:tc>
          <w:tcPr>
            <w:tcW w:w="2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4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(34,338)</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868,799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830,370</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845,250</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796,409</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liabilities and shareholders’ equity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2,378,613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2,439,715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0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320" w:type="dxa"/>
            <w:vAlign w:val="bottom"/>
          </w:tcPr>
          <w:p>
            <w:pPr>
              <w:spacing w:after="0"/>
              <w:rPr>
                <w:sz w:val="14"/>
                <w:szCs w:val="14"/>
                <w:color w:val="auto"/>
              </w:rPr>
            </w:pPr>
          </w:p>
        </w:tc>
        <w:tc>
          <w:tcPr>
            <w:tcW w:w="168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sales</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3,486,440</w:t>
            </w:r>
          </w:p>
        </w:tc>
      </w:tr>
      <w:tr>
        <w:trPr>
          <w:trHeight w:val="16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goods sold</w:t>
            </w: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1,549,659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1,740,375</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1,824,166</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1,395,935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1,472,358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1,662,274</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Royalty income, net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25,820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28,681</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1,093,940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1,110,007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1,193,876</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80" w:type="dxa"/>
            <w:vAlign w:val="bottom"/>
          </w:tcPr>
          <w:p>
            <w:pPr>
              <w:spacing w:after="0"/>
              <w:rPr>
                <w:sz w:val="14"/>
                <w:szCs w:val="14"/>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28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379,171</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497,079</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60,294</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2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w:t>
            </w: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8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19,940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28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302,242</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316,736</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438,290</w:t>
            </w:r>
          </w:p>
        </w:tc>
      </w:tr>
      <w:tr>
        <w:trPr>
          <w:trHeight w:val="17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provision</w:t>
            </w:r>
          </w:p>
        </w:tc>
        <w:tc>
          <w:tcPr>
            <w:tcW w:w="28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69,742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66,698</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98,542</w:t>
            </w:r>
          </w:p>
        </w:tc>
      </w:tr>
      <w:tr>
        <w:trPr>
          <w:trHeight w:val="163"/>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339,748</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89"/>
        </w:trPr>
        <w:tc>
          <w:tcPr>
            <w:tcW w:w="5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7.83</w:t>
            </w: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165"/>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 declared and paid per common share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300" w:type="dxa"/>
            <w:vAlign w:val="bottom"/>
          </w:tcPr>
          <w:p>
            <w:pPr>
              <w:spacing w:after="0"/>
              <w:rPr>
                <w:sz w:val="14"/>
                <w:szCs w:val="14"/>
                <w:color w:val="auto"/>
              </w:rPr>
            </w:pPr>
          </w:p>
        </w:tc>
        <w:tc>
          <w:tcPr>
            <w:tcW w:w="15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0" w:type="dxa"/>
            <w:vAlign w:val="bottom"/>
          </w:tcPr>
          <w:p>
            <w:pPr>
              <w:spacing w:after="0"/>
              <w:rPr>
                <w:sz w:val="1"/>
                <w:szCs w:val="1"/>
                <w:color w:val="auto"/>
              </w:rPr>
            </w:pPr>
          </w:p>
        </w:tc>
      </w:tr>
      <w:tr>
        <w:trPr>
          <w:trHeight w:val="162"/>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339,748</w:t>
            </w:r>
          </w:p>
        </w:tc>
        <w:tc>
          <w:tcPr>
            <w:tcW w:w="0" w:type="dxa"/>
            <w:vAlign w:val="bottom"/>
          </w:tcPr>
          <w:p>
            <w:pPr>
              <w:spacing w:after="0"/>
              <w:rPr>
                <w:sz w:val="1"/>
                <w:szCs w:val="1"/>
                <w:color w:val="auto"/>
              </w:rPr>
            </w:pP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8"/>
              </w:rPr>
              <w:t>Unrealized gain on OshKosh defined benefit plan, net of tax of $(50), $(540), and $(1,220) for the fiscal</w:t>
            </w:r>
          </w:p>
        </w:tc>
        <w:tc>
          <w:tcPr>
            <w:tcW w:w="240" w:type="dxa"/>
            <w:vAlign w:val="bottom"/>
            <w:shd w:val="clear" w:color="auto" w:fill="CCEEFF"/>
          </w:tcPr>
          <w:p>
            <w:pPr>
              <w:spacing w:after="0"/>
              <w:rPr>
                <w:sz w:val="11"/>
                <w:szCs w:val="11"/>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0" w:type="dxa"/>
            <w:vAlign w:val="bottom"/>
          </w:tcPr>
          <w:p>
            <w:pPr>
              <w:spacing w:after="0"/>
              <w:rPr>
                <w:sz w:val="1"/>
                <w:szCs w:val="1"/>
                <w:color w:val="auto"/>
              </w:rPr>
            </w:pPr>
          </w:p>
        </w:tc>
      </w:tr>
      <w:tr>
        <w:trPr>
          <w:trHeight w:val="17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years 2023, 2022, and 2021, respectively</w:t>
            </w:r>
          </w:p>
        </w:tc>
        <w:tc>
          <w:tcPr>
            <w:tcW w:w="240" w:type="dxa"/>
            <w:vAlign w:val="bottom"/>
            <w:shd w:val="clear" w:color="auto" w:fill="CCEEFF"/>
          </w:tcPr>
          <w:p>
            <w:pPr>
              <w:spacing w:after="0"/>
              <w:rPr>
                <w:sz w:val="14"/>
                <w:szCs w:val="14"/>
                <w:color w:val="auto"/>
              </w:rPr>
            </w:pPr>
          </w:p>
        </w:tc>
        <w:tc>
          <w:tcPr>
            <w:tcW w:w="1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52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auto"/>
                <w:w w:val="98"/>
              </w:rPr>
              <w:t>Unrealized (loss) gain on Carter’s post-retirement benefit obligation, net of tax of $100, $(100), and $40</w:t>
            </w:r>
          </w:p>
        </w:tc>
        <w:tc>
          <w:tcPr>
            <w:tcW w:w="240" w:type="dxa"/>
            <w:vAlign w:val="bottom"/>
          </w:tcPr>
          <w:p>
            <w:pPr>
              <w:spacing w:after="0"/>
              <w:rPr>
                <w:sz w:val="11"/>
                <w:szCs w:val="1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r>
        <w:trPr>
          <w:trHeight w:val="168"/>
        </w:trPr>
        <w:tc>
          <w:tcPr>
            <w:tcW w:w="5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 fiscal years 2023, 2022, and 2021, respectively</w:t>
            </w:r>
          </w:p>
        </w:tc>
        <w:tc>
          <w:tcPr>
            <w:tcW w:w="2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24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other comprehensive income (loss)</w:t>
            </w:r>
          </w:p>
        </w:tc>
        <w:tc>
          <w:tcPr>
            <w:tcW w:w="2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0" w:type="dxa"/>
            <w:vAlign w:val="bottom"/>
          </w:tcPr>
          <w:p>
            <w:pPr>
              <w:spacing w:after="0"/>
              <w:rPr>
                <w:sz w:val="1"/>
                <w:szCs w:val="1"/>
                <w:color w:val="auto"/>
              </w:rPr>
            </w:pPr>
          </w:p>
        </w:tc>
      </w:tr>
      <w:tr>
        <w:trPr>
          <w:trHeight w:val="18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242,923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244,597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343,611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80" w:type="dxa"/>
            <w:vAlign w:val="bottom"/>
          </w:tcPr>
          <w:p>
            <w:pPr>
              <w:spacing w:after="0"/>
              <w:rPr>
                <w:sz w:val="14"/>
                <w:szCs w:val="14"/>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51"/>
        </w:trPr>
        <w:tc>
          <w:tcPr>
            <w:tcW w:w="56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4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339,748</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of property, plant, and equipment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90,378</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3,730</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(Recoveries of) provisions for excess and obsolete inventory, net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4,042</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Intangible asset impairment</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Gain on partial termination of corporate lease</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asset impairments and loss on disposal of property, plant and equipment, net of recoveries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21,029</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Unrealized foreign currency exchange (gain) loss, net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Provisions for doubtful accounts receivable from customers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Loss on extinguishment of debt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Unrealized (gain) loss on investments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Deferred income tax benefit</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(13,532)</w:t>
            </w:r>
          </w:p>
        </w:tc>
      </w:tr>
      <w:tr>
        <w:trPr>
          <w:trHeight w:val="172"/>
        </w:trPr>
        <w:tc>
          <w:tcPr>
            <w:tcW w:w="5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Effect of changes in operating assets and liabilities:</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32,683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(46,480)</w:t>
            </w:r>
          </w:p>
        </w:tc>
      </w:tr>
      <w:tr>
        <w:trPr>
          <w:trHeight w:val="168"/>
        </w:trPr>
        <w:tc>
          <w:tcPr>
            <w:tcW w:w="5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Finished goods inventories</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(106,763)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(52,914)</w:t>
            </w:r>
          </w:p>
        </w:tc>
      </w:tr>
      <w:tr>
        <w:trPr>
          <w:trHeight w:val="172"/>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20,665</w:t>
            </w:r>
          </w:p>
        </w:tc>
      </w:tr>
      <w:tr>
        <w:trPr>
          <w:trHeight w:val="168"/>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Accounts payable and other liabilities</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(16,946)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(228,601)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(101,110)</w:t>
            </w:r>
          </w:p>
        </w:tc>
      </w:tr>
      <w:tr>
        <w:trPr>
          <w:trHeight w:val="160"/>
        </w:trPr>
        <w:tc>
          <w:tcPr>
            <w:tcW w:w="5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529,132</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88,361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268,258</w:t>
            </w:r>
          </w:p>
        </w:tc>
      </w:tr>
      <w:tr>
        <w:trPr>
          <w:trHeight w:val="109"/>
        </w:trPr>
        <w:tc>
          <w:tcPr>
            <w:tcW w:w="5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expenditures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(59,860)</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(40,364)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(37,442)</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investments</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r>
      <w:tr>
        <w:trPr>
          <w:trHeight w:val="158"/>
        </w:trPr>
        <w:tc>
          <w:tcPr>
            <w:tcW w:w="5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(59,860)</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(40,364)</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(32,442)</w:t>
            </w:r>
          </w:p>
        </w:tc>
      </w:tr>
      <w:tr>
        <w:trPr>
          <w:trHeight w:val="109"/>
        </w:trPr>
        <w:tc>
          <w:tcPr>
            <w:tcW w:w="56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r>
      <w:tr>
        <w:trPr>
          <w:trHeight w:val="16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 of senior notes due 2025</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Premiums paid to extinguish debt</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Borrowings under secured revolving credit facility</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Payments on secured revolving credit facility</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(299,339)</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Dividends paid</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(60,124)</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(4,019)</w:t>
            </w:r>
          </w:p>
        </w:tc>
      </w:tr>
      <w:tr>
        <w:trPr>
          <w:trHeight w:val="172"/>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10,995</w:t>
            </w:r>
          </w:p>
        </w:tc>
      </w:tr>
      <w:tr>
        <w:trPr>
          <w:trHeight w:val="168"/>
        </w:trPr>
        <w:tc>
          <w:tcPr>
            <w:tcW w:w="56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Pr>
          <w:p>
            <w:pPr>
              <w:spacing w:after="0"/>
              <w:rPr>
                <w:sz w:val="14"/>
                <w:szCs w:val="14"/>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6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(332,645)</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(819,270)</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(352,710)</w:t>
            </w:r>
          </w:p>
        </w:tc>
      </w:tr>
      <w:tr>
        <w:trPr>
          <w:trHeight w:val="194"/>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effect of exchange rate changes on cash and cash equivalents</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w:t>
            </w:r>
          </w:p>
        </w:tc>
      </w:tr>
      <w:tr>
        <w:trPr>
          <w:trHeight w:val="158"/>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139,465</w:t>
            </w:r>
          </w:p>
        </w:tc>
        <w:tc>
          <w:tcPr>
            <w:tcW w:w="100" w:type="dxa"/>
            <w:vAlign w:val="bottom"/>
          </w:tcPr>
          <w:p>
            <w:pPr>
              <w:spacing w:after="0"/>
              <w:rPr>
                <w:sz w:val="13"/>
                <w:szCs w:val="13"/>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(772,546)</w:t>
            </w:r>
          </w:p>
        </w:tc>
        <w:tc>
          <w:tcPr>
            <w:tcW w:w="10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(118,029)</w:t>
            </w:r>
          </w:p>
        </w:tc>
      </w:tr>
      <w:tr>
        <w:trPr>
          <w:trHeight w:val="1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beginning of fiscal year</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211,748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984,294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1,102,323</w:t>
            </w:r>
          </w:p>
        </w:tc>
      </w:tr>
      <w:tr>
        <w:trPr>
          <w:trHeight w:val="163"/>
        </w:trPr>
        <w:tc>
          <w:tcPr>
            <w:tcW w:w="5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end of fiscal year</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351,213</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211,748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984,294</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537" w:right="319" w:bottom="1440" w:gutter="0" w:footer="0" w:header="0"/>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(dollars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200" w:type="dxa"/>
            <w:vAlign w:val="bottom"/>
          </w:tcPr>
          <w:p>
            <w:pPr>
              <w:spacing w:after="0"/>
              <w:rPr>
                <w:sz w:val="12"/>
                <w:szCs w:val="12"/>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2"/>
                <w:szCs w:val="12"/>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86"/>
        </w:trPr>
        <w:tc>
          <w:tcPr>
            <w:tcW w:w="306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Common stock - 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stock - $</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20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6"/>
                <w:szCs w:val="16"/>
                <w:color w:val="auto"/>
              </w:rPr>
            </w:pPr>
          </w:p>
        </w:tc>
        <w:tc>
          <w:tcPr>
            <w:tcW w:w="11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68"/>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January 2, 2021</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43,780,075</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17,752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952,603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938,033</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178,803</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10,995</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(41,523)</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(4,019)</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199,134</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21,029</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(2,967,619)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(299,339)</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declared and paid of $1.40 per common</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(60,124)</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(60,124)</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343,611</w:t>
            </w:r>
          </w:p>
        </w:tc>
        <w:tc>
          <w:tcPr>
            <w:tcW w:w="0" w:type="dxa"/>
            <w:vAlign w:val="bottom"/>
          </w:tcPr>
          <w:p>
            <w:pPr>
              <w:spacing w:after="0"/>
              <w:rPr>
                <w:sz w:val="1"/>
                <w:szCs w:val="1"/>
                <w:color w:val="auto"/>
              </w:rPr>
            </w:pPr>
          </w:p>
        </w:tc>
      </w:tr>
      <w:tr>
        <w:trPr>
          <w:trHeight w:val="163"/>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41,148,870</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978,672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950,186</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76,550</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(74,307)</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288,206</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(3,747,187)</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(280,227)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declared and paid of $3.00 per common</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(118,113)</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244,597</w:t>
            </w:r>
          </w:p>
        </w:tc>
        <w:tc>
          <w:tcPr>
            <w:tcW w:w="0" w:type="dxa"/>
            <w:vAlign w:val="bottom"/>
          </w:tcPr>
          <w:p>
            <w:pPr>
              <w:spacing w:after="0"/>
              <w:rPr>
                <w:sz w:val="1"/>
                <w:szCs w:val="1"/>
                <w:color w:val="auto"/>
              </w:rPr>
            </w:pPr>
          </w:p>
        </w:tc>
      </w:tr>
      <w:tr>
        <w:trPr>
          <w:trHeight w:val="163"/>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37,692,132</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830,370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796,409</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64,700</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4,418</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Withholdings from vesting of restricted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(64,952)</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(5,024)</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activity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305,610</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0" w:type="dxa"/>
            <w:vAlign w:val="bottom"/>
          </w:tcPr>
          <w:p>
            <w:pPr>
              <w:spacing w:after="0"/>
              <w:rPr>
                <w:sz w:val="1"/>
                <w:szCs w:val="1"/>
                <w:color w:val="auto"/>
              </w:rPr>
            </w:pPr>
          </w:p>
        </w:tc>
      </w:tr>
      <w:tr>
        <w:trPr>
          <w:trHeight w:val="129"/>
        </w:trPr>
        <w:tc>
          <w:tcPr>
            <w:tcW w:w="30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declared and paid of $3.00 per common</w:t>
            </w:r>
          </w:p>
        </w:tc>
        <w:tc>
          <w:tcPr>
            <w:tcW w:w="16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(112,005)</w:t>
            </w: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1660" w:type="dxa"/>
            <w:vAlign w:val="bottom"/>
            <w:gridSpan w:val="2"/>
            <w:vMerge w:val="continue"/>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6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242,923</w:t>
            </w:r>
          </w:p>
        </w:tc>
        <w:tc>
          <w:tcPr>
            <w:tcW w:w="0" w:type="dxa"/>
            <w:vAlign w:val="bottom"/>
          </w:tcPr>
          <w:p>
            <w:pPr>
              <w:spacing w:after="0"/>
              <w:rPr>
                <w:sz w:val="1"/>
                <w:szCs w:val="1"/>
                <w:color w:val="auto"/>
              </w:rPr>
            </w:pPr>
          </w:p>
        </w:tc>
      </w:tr>
      <w:tr>
        <w:trPr>
          <w:trHeight w:val="17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60"/>
        </w:trPr>
        <w:tc>
          <w:tcPr>
            <w:tcW w:w="3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36,551,221</w:t>
            </w:r>
          </w:p>
        </w:tc>
        <w:tc>
          <w:tcPr>
            <w:tcW w:w="1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868,799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845,250</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537" w:right="3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THE COMPANY</w:t>
      </w:r>
    </w:p>
    <w:p>
      <w:pPr>
        <w:spacing w:after="0" w:line="8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 xml:space="preserve">Carter’s, Inc. and its wholly owned subsidiaries (collectively, the “Company”) design, source, and market branded childrenswear under the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 B’gosh</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Just One You</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Simple Joys, Little Planet, </w:t>
      </w:r>
      <w:r>
        <w:rPr>
          <w:rFonts w:ascii="Times New Roman" w:cs="Times New Roman" w:eastAsia="Times New Roman" w:hAnsi="Times New Roman"/>
          <w:sz w:val="14"/>
          <w:szCs w:val="14"/>
          <w:color w:val="auto"/>
        </w:rPr>
        <w:t>and other brands. The Company’s products are sourced through contractual arrangements with manufacturers worldwide for wholesale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distribution to leading department stores, national chains, and specialty retailers domestically and internationally and for sale in the Company’s retail stores and on its eCommerce sites that market its brand name merchandise and other licensed products manufactured by other companies.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74"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Carter’s, Inc. and its wholly owned subsidiaries. All intercompany transactions and balances have been eliminated in consolidation.</w:t>
      </w:r>
    </w:p>
    <w:p>
      <w:pPr>
        <w:spacing w:after="0" w:line="103"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have recast the consolidated statement of operations for the fiscal year ended December 31, 2022 and January 1, 2022 to conform to our current presentation of combining Adverse purchase commitments within Cost of goods sold.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Year</w:t>
      </w:r>
    </w:p>
    <w:p>
      <w:pPr>
        <w:spacing w:after="0" w:line="53"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4"/>
          <w:szCs w:val="14"/>
          <w:color w:val="auto"/>
        </w:rPr>
        <w:t>The Company’s fiscal year ends on the Saturday in December or January nearest December 31. Every five or six years, our fiscal year includes an additional 53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4"/>
          <w:szCs w:val="14"/>
          <w:color w:val="auto"/>
        </w:rPr>
        <w:t xml:space="preserve"> week of results. Fiscal 2023 ended on December 30, 2023, fiscal 2022 ended on December 31, 2022, and fiscal 2021 ended on January 1, 2022. All three fiscal years contained 52 calendar weeks.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in the Preparation of the Consolidated Financial Statements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in conformity with accounting principles generally accepted in the United States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 and Transactions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Translation Adjustments</w:t>
      </w:r>
    </w:p>
    <w:p>
      <w:pPr>
        <w:spacing w:after="0" w:line="74"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The functional currency of substantially all of the Company’s foreign operations is the local currency in each foreign country. Assets and liabilities are translated into U.S. dollars using the current exchange rates in effect at the balance sheet date, while revenues and expenses are translated at the average exchange rates for the period. The resulting translation adjustments are recorded as a component of Accumulated other comprehensive income (loss) within the accompanying consolidated balance sheets.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Transaction Adjustments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also recognizes gains and losses on transactions that are denominated in a currency other than the respective entity’s functional currency. Foreign currency transaction gains and losses also include the impact of intercompany loans with foreign subsidiaries. Foreign currency transaction gains and losses are recognized in earnings, as a separate component of Other expense (income), net, within the consolidated statements of operations. Foreign currency transaction gains and losses related to intercompany loans with foreign subsidiaries that are of a long-term nature are accounted for as translation adjustments and are included in Accumulated other comprehensive income (loss) within the accompanying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7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considers all highly liquid investments that have original maturities of three months or less to be cash equivalents. Cash and cash equivalents consist of deposit accounts and cash management funds invested in U.S. government instruments. These investments are stated at cost, which approximates fair value. Cash equivalents also include amounts due from third-party financial institutions for credit and debit card transactions; these amounts typically settle in less than five days. Money market funds held in a rabbi trust that are being used as investments to satisfy the Company’s obligations under its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58" w:name="page59"/>
    <w:bookmarkEnd w:id="5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compensation plans are treated as investments and recorded in Other assets on the accompanying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Cash Deposits Risk</w:t>
      </w:r>
    </w:p>
    <w:p>
      <w:pPr>
        <w:spacing w:after="0" w:line="85" w:lineRule="exact"/>
        <w:rPr>
          <w:sz w:val="20"/>
          <w:szCs w:val="20"/>
          <w:color w:val="auto"/>
        </w:rPr>
      </w:pPr>
    </w:p>
    <w:p>
      <w:pPr>
        <w:jc w:val="both"/>
        <w:ind w:right="40"/>
        <w:spacing w:after="0" w:line="264" w:lineRule="auto"/>
        <w:rPr>
          <w:sz w:val="20"/>
          <w:szCs w:val="20"/>
          <w:color w:val="auto"/>
        </w:rPr>
      </w:pPr>
      <w:r>
        <w:rPr>
          <w:rFonts w:ascii="Times New Roman" w:cs="Times New Roman" w:eastAsia="Times New Roman" w:hAnsi="Times New Roman"/>
          <w:sz w:val="14"/>
          <w:szCs w:val="14"/>
          <w:color w:val="auto"/>
        </w:rPr>
        <w:t>As of December 30, 2023, the Company had approximately $351.2 million of cash and cash equivalents in major financial institutions, including approximately $79.0 million in financial institutions located outside of the U.S. The Company maintains cash deposits with major financial institutions that exceed the insurance coverage limits provided by the Federal Deposit Insurance Corporation in the U.S. and by similar insurers for deposits located outside the U.S. To mitigate this risk, the Company utilizes a policy of allocating cash deposits among major financial institutions that have been evaluated by the Company and third-party rating agencies as having acceptable risk profiles.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85"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In fiscal 2023, our largest wholesale customer accounted for approximately 10.4% of the Company’s consolidated net sales. No other customer accounted for 10% or more of the Company’s consolidated net sales in fiscal 2023. In fiscal 2022 and 2021, no customer accounted for 10% or more of the Company’s consolidated net sales.</w:t>
      </w:r>
    </w:p>
    <w:p>
      <w:pPr>
        <w:spacing w:after="0" w:line="9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At December 30, 2023, three wholesale customers each had individual receivable balances in excess of 10% of gross accounts receivable, and the total receivable balances due from these three wholesale customers in the aggregate equaled approximately 56% of total gross trade receivables outstanding. At December 31, 2022, three wholesale customers each had individual receivable balances in excess of 10% of gross accounts receivable, and the total receivable balances due from these three wholesale customers in the aggregate equaled approximately 56% of total gross trade receivables outstanding.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Accounts for Wholesale Accounts Receivable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Reserves</w:t>
      </w:r>
    </w:p>
    <w:p>
      <w:pPr>
        <w:spacing w:after="0" w:line="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The Company’s accounts receivable reserves for wholesale customers include an allowance for expected credit losses and an allowance for chargebacks. The allowance for expected credit losses includes estimated losses resulting from the inability of our customers to make payments. If the financial condition of a customer were to deteriorate, resulting in an impairment of its ability to make payments, an additional allowance could be required. Past due balances over 90 days are reviewed individually for collectability. The Company’s credit and collections department reviews all other balances regularly. Account balances are charged off against the allowance when it is probable that the receivable will not be recovered. The allowance for chargebacks is based on historical experience and includes estimated losses resulting from pricing adjustments, short shipments, handling charges, returns, and freight. Provisions for the allowance for expected credit losses are reflected in Selling, general, and administrative (“SG&amp;A”) expenses on the consolidated statement of operations and provisions for chargebacks are reflected as a reduction in Net sales on the consolidated statement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Sales Returns Reserves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in very limited instances, the Company does not allow its wholesale customers to return goods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Inventories, which consist primarily of finished goods, are stated approximately at the lower of cost (using first-in, first-out basis for wholesale inventory and average cost for retail inventory) or net realizable value. Costs of finished goods inventories include all costs incurred to bring inventory to its current condition, including inbound freight, duties, and other costs. Obsolete, damaged, and excess inventory is carried at net realizable value by establishing reserves after assessing method of cost determination, historical recovery rates, current market conditions, and future marketing and sales plans. Rebates, discounts, and other cash consideration received from a vendor related to inventory purchases are reflected as reductions in the cost of the related inventory item and are therefore reflected in cost of sales when the related inventory item is sold.</w:t>
      </w:r>
    </w:p>
    <w:p>
      <w:pPr>
        <w:spacing w:after="0" w:line="111"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Adjustments to bring inventory to net realizable value as a result of obsolete, damaged, and excess inventory decreased $10.3 million, or 53.3%, to $9.0 million as of December 30, 2023. This decrease is primarily due to the decrease in inventory balances, including decreased “pack and hold” inventory.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operating leases for retail stores, distribution centers, corporate offices, data centers, and certain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Presentation</w:t>
      </w:r>
    </w:p>
    <w:p>
      <w:pPr>
        <w:spacing w:after="0" w:line="85"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Company determines if an arrangement is a lease at its inception. Operating leases are included in operating lease assets, current operating lease liabilities, and long-term operating lease liabilities in our consolidated balance sheets.</w:t>
      </w:r>
    </w:p>
    <w:p>
      <w:pPr>
        <w:spacing w:after="0" w:line="92"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Right of use (“ROU”)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Our lease terms may include options to extend or terminate the lease when it is reasonably certain that we will exercise that option.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operating lease ROU asset also includes initial direct costs and excludes lease incentives. Lease expense is recognized on a straight-line basis over the lease term.</w:t>
      </w:r>
    </w:p>
    <w:p>
      <w:pPr>
        <w:spacing w:after="0" w:line="157"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Certain of our lease agreements include variable rental payments based on a percentage of retail sales over contractual levels and others include variable rental payments adjusted periodically for inflation. Our lease agreements do not contain any material residual value guarantees or material restrictive covenants.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Elections</w:t>
      </w:r>
    </w:p>
    <w:p>
      <w:pPr>
        <w:spacing w:after="0" w:line="85"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Portfolio approach - In general, the Company accounts for the underlying leased asset and applies a discount rate at the lease level. However, there are certain non-real estate leases for which the Company utilizes the portfolio method by aggregating similar leased assets based on the underlying lease term.</w:t>
      </w:r>
    </w:p>
    <w:p>
      <w:pPr>
        <w:spacing w:after="0" w:line="92"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Non-lease component - The Company has lease agreements with lease and non-lease components. The Company has elected a policy to account for lease and non-lease components as a single component for all asset classes.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Short-term lease - Leases with an initial term of 12 months or less are not recorded on the balance sheets.</w:t>
      </w:r>
    </w:p>
    <w:p>
      <w:pPr>
        <w:spacing w:after="0" w:line="157"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Discount rate - As most of the Company’s leases do not provide an implicit rate, the Company uses the incremental borrowing rate based on the information available at commencement date in determining the present value of lease payments.</w:t>
      </w:r>
    </w:p>
    <w:p>
      <w:pPr>
        <w:spacing w:after="0" w:line="9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Renewal options - The Company evaluates the inclusion of renewal options on a lease by lease basis. In general, for leased retail real estate, the Company does not include renewal options in the underlying lease term. In fiscal 2023, the Company determined that it was reasonably certain to exercise the lease renewal options associated with the Braselton, Georgia distribution center. As a result, the Company remeasured the operating lease liability to include the impact of the renewal option, which increased both the operation lease liability and operating lease assets by approximately $21.5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Property, plant, and equipment are stated at cost, less accumulated depreciation and amortization. When fixed assets are sold or otherwise disposed of, the accounts are relieved of the original cost of the assets and the related accumulated depreciation or amortization and any resulting gain or loss is credited or charged to income. For financial reporting purposes, depreciation and amortization are computed on the straight-line method over the estimated useful lives of the assets as follows: buildings and improvements from 15 to 26 years, retail store fixtures, equipment, and computers from 3 to 10 years. Leasehold improvements and fixed assets purchased under capital leases are amortized over the lesser of the asset life or the related lease term. The Company capitalizes the cost of its fixtures designed and purchased for use at major wholesale accounts. The cost of these fixtures is amortized over 3 years.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Internal-Use Software</w:t>
      </w:r>
    </w:p>
    <w:p>
      <w:pPr>
        <w:spacing w:after="0" w:line="85" w:lineRule="exact"/>
        <w:rPr>
          <w:sz w:val="20"/>
          <w:szCs w:val="20"/>
          <w:color w:val="auto"/>
        </w:rPr>
      </w:pPr>
    </w:p>
    <w:p>
      <w:pPr>
        <w:jc w:val="both"/>
        <w:ind w:right="200"/>
        <w:spacing w:after="0" w:line="264" w:lineRule="auto"/>
        <w:rPr>
          <w:sz w:val="20"/>
          <w:szCs w:val="20"/>
          <w:color w:val="auto"/>
        </w:rPr>
      </w:pPr>
      <w:r>
        <w:rPr>
          <w:rFonts w:ascii="Times New Roman" w:cs="Times New Roman" w:eastAsia="Times New Roman" w:hAnsi="Times New Roman"/>
          <w:sz w:val="14"/>
          <w:szCs w:val="14"/>
          <w:color w:val="auto"/>
        </w:rPr>
        <w:t>The Company purchases software licenses from external vendors and also develops software internally using Company employees and consultants. Software license costs, as well as development-stage costs for internally-developed software, are capitalized within Property, plant, and equipment, net on the consolidated balance sheets. All other costs, including preliminary project costs and post-implementation costs for internally-developed software, are expensed as incurred. Capitalized software is depreciated or amortized on the straight-line method over its estimated useful lives, from 3 to 10 years.</w:t>
      </w:r>
    </w:p>
    <w:p>
      <w:pPr>
        <w:spacing w:after="0" w:line="10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a software application does not include a purchased license for the software, such as a cloud-based software application, the arrangement is accounted for as a service contract. Implementation costs incurred in the development stage of such software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applications are capitalized and reported in Prepaid expenses and other current assets on the consolidated balances sheets. All other costs, including preliminary project costs and post-implementation costs for these software applications, are expensed as incurred. Any capitalized costs are amortized over the term of the hosting arrangement, and the expense is presented in the same line item within the consolidated statements of operations as the expense for the service contract’s fees.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Other Indefinite-Lived Intangible Assets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Annual Impairment Reviews</w:t>
      </w:r>
    </w:p>
    <w:p>
      <w:pPr>
        <w:spacing w:after="0" w:line="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The carrying values of the goodwill and indefinite-lived tradename assets are subject to annual impairment reviews, which are performed as of the last day of each fiscal year. Additionally, a review for potential impairment is performed whenever significant events or changes in circumstances indicate that the carrying value of the assets may not be recoverable. These impairment reviews are performed in accordance with ASC 350, “</w:t>
      </w:r>
      <w:r>
        <w:rPr>
          <w:rFonts w:ascii="Times New Roman" w:cs="Times New Roman" w:eastAsia="Times New Roman" w:hAnsi="Times New Roman"/>
          <w:sz w:val="14"/>
          <w:szCs w:val="14"/>
          <w:i w:val="1"/>
          <w:iCs w:val="1"/>
          <w:color w:val="auto"/>
        </w:rPr>
        <w:t>Intangibles--Goodwill and Other”</w:t>
      </w:r>
      <w:r>
        <w:rPr>
          <w:rFonts w:ascii="Times New Roman" w:cs="Times New Roman" w:eastAsia="Times New Roman" w:hAnsi="Times New Roman"/>
          <w:sz w:val="14"/>
          <w:szCs w:val="14"/>
          <w:color w:val="auto"/>
        </w:rPr>
        <w:t xml:space="preserve"> (“ASC 350”). Significant assumptions in the impairment models include estimates of revenue growth and profitability, terminal growth rates, discount rates, market multiples, an implied control premium, and, in the case of tradenames, royalty rates. Discount rates are dependent upon interest rates and the cost of capital at a point in time.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performs impairment tests of its goodwill at the reporting unit level. Qualitative and quantitative methods are used to assess for impairment, including the use of discounted cash flows (“income approach”) and relevant data from guideline public companies (“market approach”).</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Under a qualitative assessment, the Company determines if it is “more likely than not” that the fair value of the reporting unit is less than its carrying value. Qualitative factors may include but are not limited to: macroeconomic conditions, industry and market considerations, cost factors that may have a negative effect on earnings, overall financial performance, and other relevant entity-specific events. If the Company determines that it is “more likely than not” that the fair value of the reporting unit is less than its carrying value, then a goodwill impairment test using quantitative assessments must be performed. If it is determined that it is “not more likely than not” that the fair value of the reporting unit is less than its carrying value, then no further testing is required and the Company documents the relevant qualitative factors that support the strength in the fair value.</w:t>
      </w:r>
    </w:p>
    <w:p>
      <w:pPr>
        <w:spacing w:after="0" w:line="11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Under a quantitative assessment for goodwill, the Company compares the fair value of a reporting unit to its carrying value, including goodwill. The Company uses a 50% weighting of the income approach and a 50% weighting of the market approach to determine the fair value of a reporting unit. The assumptions used in these approaches include revenue growth and profitability, terminal growth rates, discount rates, market multiples and an implied control premium. These assumptions are consistent with those of hypothetical marketplace participants. An impairment is recorded for any excess carrying value above the fair value of the reporting unit, not to exceed the carrying value of goodwill.</w:t>
      </w:r>
    </w:p>
    <w:p>
      <w:pPr>
        <w:spacing w:after="0" w:line="11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 xml:space="preserve">In fiscal 2022, the Company performed a quantitative impairment test on the goodwill ascribed to each of the Company’s reporting units and on the value of its indefinite-lived intangible tradename assets as of December 31, 2022 due to increased discount rates, decreased actual and projected sales and profitability, and the announcement of the substantial doubt of a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wholesale customer’s ability to continue to operate as a going concern. Based upon this assessment, there were no impairments to the value of goodwill.</w:t>
      </w:r>
    </w:p>
    <w:p>
      <w:pPr>
        <w:spacing w:after="0" w:line="104" w:lineRule="exact"/>
        <w:rPr>
          <w:sz w:val="20"/>
          <w:szCs w:val="20"/>
          <w:color w:val="auto"/>
        </w:rPr>
      </w:pPr>
    </w:p>
    <w:p>
      <w:pPr>
        <w:ind w:right="1500"/>
        <w:spacing w:after="0" w:line="411" w:lineRule="auto"/>
        <w:rPr>
          <w:sz w:val="20"/>
          <w:szCs w:val="20"/>
          <w:color w:val="auto"/>
        </w:rPr>
      </w:pPr>
      <w:r>
        <w:rPr>
          <w:rFonts w:ascii="Times New Roman" w:cs="Times New Roman" w:eastAsia="Times New Roman" w:hAnsi="Times New Roman"/>
          <w:sz w:val="14"/>
          <w:szCs w:val="14"/>
          <w:color w:val="auto"/>
        </w:rPr>
        <w:t xml:space="preserve">Based upon our most recent annual assessment, performed as of December 30, 2023, using a qualitative assessment, there were no impairments to the value of our goodwill. </w:t>
      </w:r>
      <w:r>
        <w:rPr>
          <w:rFonts w:ascii="Times New Roman" w:cs="Times New Roman" w:eastAsia="Times New Roman" w:hAnsi="Times New Roman"/>
          <w:sz w:val="14"/>
          <w:szCs w:val="14"/>
          <w:b w:val="1"/>
          <w:bCs w:val="1"/>
          <w:i w:val="1"/>
          <w:iCs w:val="1"/>
          <w:color w:val="auto"/>
        </w:rPr>
        <w:t>Indefinite-Lived Intangible Assets</w:t>
      </w:r>
    </w:p>
    <w:p>
      <w:pPr>
        <w:ind w:right="40"/>
        <w:spacing w:after="0" w:line="261" w:lineRule="auto"/>
        <w:rPr>
          <w:sz w:val="20"/>
          <w:szCs w:val="20"/>
          <w:color w:val="auto"/>
        </w:rPr>
      </w:pPr>
      <w:r>
        <w:rPr>
          <w:rFonts w:ascii="Times New Roman" w:cs="Times New Roman" w:eastAsia="Times New Roman" w:hAnsi="Times New Roman"/>
          <w:sz w:val="14"/>
          <w:szCs w:val="14"/>
          <w:color w:val="auto"/>
        </w:rPr>
        <w:t>For indefinite-lived tradenames, the Company may utilize a qualitative assessment, as described above, to determine whether the fair value of an indefinite-lived asset is less than its carrying value. If a quantitative assessment is necessary, the Company determines fair value using the relief-from-royalty valuation method, which examines the hypothetical cost savings that accrue as a result of not having to license the tradename from another owner. The relief-from-royalty valuation method involves two steps: (1) estimation of reasonable royalty rates for the tradename assets and (2) the application of these royalty rates to a forecasted net revenue stream and discounting the resulting cash flows to determine a fair value. If the carrying amount exceeds the fair value of the tradename, an impairment charge is recognized in the amount of the excess.</w:t>
      </w:r>
    </w:p>
    <w:p>
      <w:pPr>
        <w:spacing w:after="0" w:line="11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 xml:space="preserve">As discussed above, the Company performed quantitative impairment assessments on the value of the Company’s indefinite-lived intangible tradename assets as of December 31, 2022. Based upon this assessment, a non-cash pre-tax impairment charge of $9.0 million was recorded during the fourth quarter of fiscal 2022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to write-down the carrying value to $6.0 million. The charge recorded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included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 xml:space="preserve">charges of $5.6 million, $3.0 million, and $0.4 million in the U.S. Wholesale, International, and U.S. Retail segments, respectively, to reflect the impairment of the value ascribed to the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upon our most recent annual assessment, performed as of December 30, 2023, using a qualitative assessment, there were no impairments to the value of our indefinite-lived tradenames.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Other Long-Lived Assets</w:t>
      </w:r>
    </w:p>
    <w:p>
      <w:pPr>
        <w:spacing w:after="0" w:line="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The Company reviews other long-lived assets, including right of use (“ROU”) lease assets, property, plant, and equipment, definite-lived tradename assets, and customer relationship assets, for impairment whenever events or changes in circumstances indicate that the carrying amount of such an asset may not be recoverable. To determine whether there has been a permanent impairment on such assets, a recoverability test is performed by comparing anticipated undiscounted future cash flows from the use and eventual disposition of the asset or asset group to the carrying value of the asset. If the undiscounted cash flows are less than the related carrying value of the other long-lived asset, they are written down to their fair value. The process of estimating the fair value requires us to make assumptions and to apply judgement including forecasting revenue growth and profitability, utilizing external market participant assumptions, including estimated market rents, and selecting the appropriate discount rate. Long-lived assets that meet the definition of held for sale will be valued at the lower of carrying amount or fair value, less costs to sell.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Debt Issuance Costs</w:t>
      </w:r>
    </w:p>
    <w:p>
      <w:pPr>
        <w:spacing w:after="0" w:line="7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Debt issuance costs associated with the Company’s secured revolving credit facility and senior notes are deferred and amortized to interest expense over the term of the related debt using the effective interest method. Debt issuance costs associated with Company’s senior notes are presented on the Company’s consolidated balance sheet as a direct reduction in the carrying value of the associated debt liability. Fees paid to lenders by the Company to obtain its secured revolving credit facility are included within Other assets on the Company’s consolidated balance sheets and classified as either current or non-current based on the expiration date of the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7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fair value framework requires the Company to categorize certain assets and liabilities into three levels, based upon the assumptions used to price those assets or liabilities. The three levels are defined as follows:</w:t>
      </w:r>
    </w:p>
    <w:p>
      <w:pPr>
        <w:spacing w:after="0" w:line="5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1:</w:t>
      </w:r>
      <w:r>
        <w:rPr>
          <w:sz w:val="20"/>
          <w:szCs w:val="20"/>
          <w:color w:val="auto"/>
        </w:rPr>
        <w:tab/>
      </w:r>
      <w:r>
        <w:rPr>
          <w:rFonts w:ascii="Times New Roman" w:cs="Times New Roman" w:eastAsia="Times New Roman" w:hAnsi="Times New Roman"/>
          <w:sz w:val="14"/>
          <w:szCs w:val="14"/>
          <w:color w:val="auto"/>
        </w:rPr>
        <w:t>Quoted prices in active markets for identical assets or liabilities.</w:t>
      </w:r>
    </w:p>
    <w:p>
      <w:pPr>
        <w:spacing w:after="0" w:line="2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2:</w:t>
      </w:r>
      <w:r>
        <w:rPr>
          <w:sz w:val="20"/>
          <w:szCs w:val="20"/>
          <w:color w:val="auto"/>
        </w:rPr>
        <w:tab/>
      </w:r>
      <w:r>
        <w:rPr>
          <w:rFonts w:ascii="Times New Roman" w:cs="Times New Roman" w:eastAsia="Times New Roman" w:hAnsi="Times New Roman"/>
          <w:sz w:val="14"/>
          <w:szCs w:val="14"/>
          <w:color w:val="auto"/>
        </w:rPr>
        <w:t>Quoted prices for similar assets and liabilities in active markets or inputs that are observable.</w:t>
      </w:r>
    </w:p>
    <w:p>
      <w:pPr>
        <w:spacing w:after="0" w:line="19"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Level 3:</w:t>
      </w:r>
      <w:r>
        <w:rPr>
          <w:sz w:val="20"/>
          <w:szCs w:val="20"/>
          <w:color w:val="auto"/>
        </w:rPr>
        <w:tab/>
      </w:r>
      <w:r>
        <w:rPr>
          <w:rFonts w:ascii="Times New Roman" w:cs="Times New Roman" w:eastAsia="Times New Roman" w:hAnsi="Times New Roman"/>
          <w:sz w:val="14"/>
          <w:szCs w:val="14"/>
          <w:color w:val="auto"/>
        </w:rPr>
        <w:t>Unobservable inputs reflecting management’s own assumptions about the inputs used in pricing the asset or liability.</w:t>
      </w:r>
    </w:p>
    <w:p>
      <w:pPr>
        <w:spacing w:after="0" w:line="217"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The Company measures its pension assets, deferred compensation plan investment assets, and any unsettled foreign currency forward contracts at fair value. The Company’s cash and cash equivalents, accounts receivable, and accounts payable are short-term in nature. As such, their carrying value approximates fair value.</w:t>
      </w:r>
    </w:p>
    <w:p>
      <w:pPr>
        <w:spacing w:after="0" w:line="9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 xml:space="preserve">The carrying values of the Company’s outstanding borrowings are not required to be remeasured and adjusted to the then-current fair values at the end of each reporting period. Instead, the fair values of the Company’s outstanding borrowings are disclosed at the end of each reporting period in Note 14,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to the consolidated financial statements. Had the Company been required to remeasure and adjust the carrying values of its outstanding borrowings to fair value at the end of each reporting period, such fair value measurements would have been disclosed as a Level 2 liability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the Company uses the five-step model to recognize revenue:</w:t>
      </w:r>
    </w:p>
    <w:p>
      <w:pPr>
        <w:spacing w:after="0" w:line="74" w:lineRule="exact"/>
        <w:rPr>
          <w:sz w:val="20"/>
          <w:szCs w:val="20"/>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the contract with the customer;</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the performance obligation(s);</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the transaction price;</w:t>
      </w:r>
    </w:p>
    <w:p>
      <w:pPr>
        <w:spacing w:after="0" w:line="72"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Allocate the transaction price to each performance obligation if multiple obligations exist; and</w:t>
      </w:r>
    </w:p>
    <w:p>
      <w:pPr>
        <w:spacing w:after="0" w:line="8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 the revenue when (or as) the performance obligations are satisfied.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Obligations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 xml:space="preserve">The Company identifies each distinct performance obligation to transfer goods (or bundle of goods). Revenue transactions associated with the sale of products to customers through wholesale and international channels and to retail customers that are not members of the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xml:space="preserve"> loyalty program comprise of a single performance obligation. Revenue transactions associated with the sale of products to retail customers that are members of the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xml:space="preserve"> loyalty program comprise of two performance obligations: the transfer of control of the goods to the customer and the option for members to earn loyalty points that accumulate towards earning reward certificates. Other than inbound and outbound freight and shipping arrangements, the Company does not use third parties to satisfy its performance obligations in revenue arrangements with customers.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When Performance Obligations Are Satisfied</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Wholesale Revenues - The Company has a single performance obligation in its wholesale arrangements, including replenishment orders. The Company typically satisfies its performance obligation when it transfers control of the goods to the customer upon shipment. However, in certain arrangements where the Company retains the risk of loss during shipment, satisfaction of the performance obligation occurs when the goods reach the customer. To ensure proper timing of revenue recognition, the Company defers the recognition of revenue for shipments that originated at the end of the reporting period in which the Company retains the risk of loss during shipment. “Pack and hold” inventories are not yet associated with any purchase order or purchase commitment. Therefore, these inventories are treated consistently with the rest of our wholesale inventory, and no deferral of revenue has been recognized.</w:t>
      </w:r>
    </w:p>
    <w:p>
      <w:pPr>
        <w:spacing w:after="0" w:line="11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Retail Revenues - For transactions in stores, the Company satisfies its performance obligation at point of sale when the customer takes possession of the goods and tenders payment. For purchases made through the Company’s eCommerce channel, revenue is recognized when the goods are physically delivered to the customer or picked up in store. To ensure proper timing of revenue recognition, the Company defers the recognition of revenue for eCommerce channel shipments that originated at the end of the reporting period.</w:t>
      </w:r>
    </w:p>
    <w:p>
      <w:pPr>
        <w:spacing w:after="0" w:line="1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 xml:space="preserve">Loyalty Program - U.S. retail customers can earn loyalty points that accumulate towards earning reward certificates that are redeemable for a specified amount off of future purchases. Loyalty points expire six months from the day they were earned, and reward certificates expire 45 days after issuance. Points and reward certificates earned by retail customers under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the Company’s loyalty program, represent a separate performance obligation. For transactions where a customer earns loyalty points, the Company allocates revenue between the goods sold and the loyalty points expected to be earned towards a reward certificate based upon the relative standalone selling price. The revenue that is deferred is recorded within Other current liabilities on the Company’s consolidated balance sheets and then recognized as revenue upon redemption of the reward certificate. Loyalty program breakage is recognized as revenue based on the customer redemption pattern.</w:t>
      </w:r>
    </w:p>
    <w:p>
      <w:pPr>
        <w:spacing w:after="0" w:line="11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Gift Cards - Customer purchases of gift cards are not recognized as revenue until the gift card is redeemed. The revenue that is deferred is recorded within Other current liabilities on the Company’s consolidated balance sheets. Gifts cards do not have an expiration date however, gift card breakage is recognized as revenue based upon the historical customer redemption pattern.</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Credit Card Revenues - The Company’s private label credit card is issued to customers for use exclusively at the Company’s U.S. stores and U.S. eCommerce sites. Credit is extended to such customers by a third-party financial institution without recourse to the Company. The Company’s performance obligations under the private label credit card agreement include providing program marketing and intellectual property to the third-party financial institution in support of the private label credit card program, as well as operating a loyalty program. The upfront bonus paid to the Company is recognized as revenue on a straight-line basis over the term of the agreement. Usage-based royalties are primarily recognized as revenue in the period of usage and an amount is recognized on a point-in-time basis as redemptions under the loyalty program occur. Revenue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associated with the establishment of new credit accounts is recognized in the period the activity occurred. Revenues related to the Company’s private label credit card program are recorded as Net sales on the Company’s consolidated statement of operations.</w:t>
      </w:r>
    </w:p>
    <w:p>
      <w:pPr>
        <w:spacing w:after="0" w:line="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Royalty Revenues - The Company has a single performance obligation in its licensing agreements with domestic and international licensees: to grant licensees the right to access certain trademarks in return for royalty payments or licensing fees. The Company satisfies its performance obligations with licensees over time as customers have the right to use the intellectual property over the contract period. Royalty revenues are included within Royalty income, net on the Company’s consolidated statements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Payment Terms</w:t>
      </w:r>
    </w:p>
    <w:p>
      <w:pPr>
        <w:spacing w:after="0" w:line="74"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Retail customers tender a form of payment, such as cash or a credit/debit card, at point of sale. For wholesale customers and licensees, payment is due based on established terms, which is generally sixty days or less from date of shipment.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Returns and Refunds</w:t>
      </w:r>
    </w:p>
    <w:p>
      <w:pPr>
        <w:spacing w:after="0" w:line="7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The Company establishes return provisions for retail customers in the period the sales occur. Return provisions are calculated based on historical return data and are recorded within Accounts receivable, net on the Company’s consolidated balance sheets. Except in very limited instances, the Company does not allow its wholesale customers to return goods to the Company.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Significant Judgments</w:t>
      </w:r>
    </w:p>
    <w:p>
      <w:pPr>
        <w:spacing w:after="0" w:line="7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Sale of Goods - The Company relies on shipping terms to determine when performance obligations are satisfied. The Company recognizes the revenue once control passes to the customer. When goods are shipped to wholesale customers “FOB Shipping Point,” control of the goods is transferred to the customer at the time of shipment. When goods are shipped to wholesale customers “FOB Destination,” control of the goods is transferred to the customer when the goods reach the customer. For most retail transactions in stores, no significant judgments are involved since revenue is recognized at the point of sale when tender is exchanged and the customer receives the goods. For retail transactions made through the Company's eCommerce channel, revenue is recognized when the goods are physically delivered to the customer. The Company recognizes revenue from omni-channel sales, including buy-online and pick-up in-store, buy-online, ship-to-store, and buy-online, deliver-from-store, when the product has been picked up by the customer at the store or when the product is physically delivered to the customer.</w:t>
      </w:r>
    </w:p>
    <w:p>
      <w:pPr>
        <w:spacing w:after="0" w:line="12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Royalty Revenues - The Company transfers the right-to-use benefit to the licensee for the contract term and therefore the Company satisfies its performance obligation over time. Revenue recognized for each reporting period is based on the greater of: 1) the royalties owed on actual net sales by the licensee and 2) a minimum royalty guarantee, if applicable.</w:t>
      </w:r>
    </w:p>
    <w:p>
      <w:pPr>
        <w:spacing w:after="0" w:line="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Transaction Price - The transaction price is the amount of consideration the Company expects to receive under the arrangement. The Company is required to estimate variable consideration (if any) and to factor that estimation into the determination of the transaction price. The Company may offer sales incentives to wholesale and retail customers, including discounts. Additionally, the Company recognizes an allowance for chargebacks for wholesale customers that is based on historical experience and includes estimated losses resulting from pricing adjustments, short shipments, handling charges, returns, and freight. For retail transactions, the Company has significant experience with return patterns and relies on this experience to estimate expected returns when determining the transaction price.</w:t>
      </w:r>
    </w:p>
    <w:p>
      <w:pPr>
        <w:spacing w:after="0" w:line="109" w:lineRule="exact"/>
        <w:rPr>
          <w:sz w:val="20"/>
          <w:szCs w:val="20"/>
          <w:color w:val="auto"/>
        </w:rPr>
      </w:pPr>
    </w:p>
    <w:p>
      <w:pPr>
        <w:ind w:right="540"/>
        <w:spacing w:after="0" w:line="290" w:lineRule="auto"/>
        <w:rPr>
          <w:sz w:val="20"/>
          <w:szCs w:val="20"/>
          <w:color w:val="auto"/>
        </w:rPr>
      </w:pPr>
      <w:r>
        <w:rPr>
          <w:rFonts w:ascii="Times New Roman" w:cs="Times New Roman" w:eastAsia="Times New Roman" w:hAnsi="Times New Roman"/>
          <w:sz w:val="14"/>
          <w:szCs w:val="14"/>
          <w:color w:val="auto"/>
        </w:rPr>
        <w:t xml:space="preserve">Standalone Selling Prices - For arrangements that contain multiple performance obligations, including sales through our </w:t>
      </w:r>
      <w:r>
        <w:rPr>
          <w:rFonts w:ascii="Times New Roman" w:cs="Times New Roman" w:eastAsia="Times New Roman" w:hAnsi="Times New Roman"/>
          <w:sz w:val="14"/>
          <w:szCs w:val="14"/>
          <w:i w:val="1"/>
          <w:iCs w:val="1"/>
          <w:color w:val="auto"/>
        </w:rPr>
        <w:t>My Rewarding Moments</w:t>
      </w:r>
      <w:r>
        <w:rPr>
          <w:rFonts w:ascii="Times New Roman" w:cs="Times New Roman" w:eastAsia="Times New Roman" w:hAnsi="Times New Roman"/>
          <w:sz w:val="14"/>
          <w:szCs w:val="14"/>
          <w:color w:val="auto"/>
        </w:rPr>
        <w:t xml:space="preserve"> loyalty program, the Company allocates the transaction price to each performance obligation on a relative standalone selling price basis.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Incurred to Obtain a Contract - Incremental costs to obtain contracts are not material to the Company.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Elections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those previously disclosed, the Company has made the following accounting policy elections and practical expedients:</w:t>
      </w:r>
    </w:p>
    <w:p>
      <w:pPr>
        <w:spacing w:after="0" w:line="72" w:lineRule="exact"/>
        <w:rPr>
          <w:sz w:val="20"/>
          <w:szCs w:val="20"/>
          <w:color w:val="auto"/>
        </w:rPr>
      </w:pPr>
    </w:p>
    <w:p>
      <w:pPr>
        <w:ind w:left="520" w:right="100" w:hanging="260"/>
        <w:spacing w:after="0" w:line="287" w:lineRule="auto"/>
        <w:tabs>
          <w:tab w:leader="none" w:pos="516"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Portfolio Approach - The Company uses the portfolio approach when multiple contracts or performance obligations are involved in the determination of revenue recognition. This approach is primarily used to estimate the redemption of loyalty points, loyalty point breakage, and gift card breakage.</w:t>
      </w:r>
    </w:p>
    <w:p>
      <w:pPr>
        <w:spacing w:after="0" w:line="2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Taxes - The Company excludes from the transaction price any taxes collected from customers that are remitted to taxing authorities.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4" w:name="page65"/>
    <w:bookmarkEnd w:id="6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left="520" w:right="120" w:hanging="260"/>
        <w:spacing w:after="0" w:line="287" w:lineRule="auto"/>
        <w:tabs>
          <w:tab w:leader="none" w:pos="516"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Shipping and Handling Charges - Charges that are incurred before and after the customer obtains control of goods are deemed to be fulfillment costs and are included in Cost of goods sold when the related revenues are recognized.</w:t>
      </w:r>
    </w:p>
    <w:p>
      <w:pPr>
        <w:spacing w:after="0" w:line="28" w:lineRule="exact"/>
        <w:rPr>
          <w:rFonts w:ascii="Times New Roman" w:cs="Times New Roman" w:eastAsia="Times New Roman" w:hAnsi="Times New Roman"/>
          <w:sz w:val="14"/>
          <w:szCs w:val="14"/>
          <w:b w:val="1"/>
          <w:bCs w:val="1"/>
          <w:color w:val="auto"/>
        </w:rPr>
      </w:pPr>
    </w:p>
    <w:p>
      <w:pPr>
        <w:ind w:left="520" w:right="60" w:hanging="260"/>
        <w:spacing w:after="0" w:line="287" w:lineRule="auto"/>
        <w:tabs>
          <w:tab w:leader="none" w:pos="516"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Time Value of Money - The Company’s payment terms are less than one year from the transfer of goods. Therefore, the Company does not adjust promised amounts of consideration for the effects of the time value of money.</w:t>
      </w:r>
    </w:p>
    <w:p>
      <w:pPr>
        <w:spacing w:after="0" w:line="18" w:lineRule="exact"/>
        <w:rPr>
          <w:rFonts w:ascii="Times New Roman" w:cs="Times New Roman" w:eastAsia="Times New Roman" w:hAnsi="Times New Roman"/>
          <w:sz w:val="14"/>
          <w:szCs w:val="14"/>
          <w:b w:val="1"/>
          <w:bCs w:val="1"/>
          <w:color w:val="auto"/>
        </w:rPr>
      </w:pPr>
    </w:p>
    <w:p>
      <w:pPr>
        <w:ind w:left="520" w:right="440" w:hanging="260"/>
        <w:spacing w:after="0" w:line="287" w:lineRule="auto"/>
        <w:tabs>
          <w:tab w:leader="none" w:pos="516"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Disclosure of Remaining Performance Obligations - The Company does not disclose the aggregate amount of the transaction price allocated to remaining performance obligations for contracts that are one year or less in term.</w:t>
      </w:r>
    </w:p>
    <w:p>
      <w:pPr>
        <w:spacing w:after="0" w:line="1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Cooperative advertising arrangements reimburse customers for marketing activities for certain of our products. The Company records these reimbursements under cooperative advertising arrangements with certain of its major wholesale customers at fair value. Fair value is determined based upon, among other factors, comparable market analysis for similar advertisements. The Company has included the fair value of these arrangements of approximately $0.6 million for fiscal 2022 and $0.2 million for fiscal 2021 as a component of SG&amp;A expenses on the Company’s consolidated statements of operations, rather than as a reduction of Net sales. There were no amounts for cooperative advertising arrangements recorded as a component of SG&amp;A expenses for fiscal 2023. Amounts determined to be in excess of the fair value of these arrangements are recorded as a reduction of Net sales. For arrangements in which the Company does not receive a distinct good or service, we record these reimbursements as a reduction of net sales. The majority of the Company’s digital cooperative advertising arrangements are recorded as a reduction of net sales as there was no distinct good or service received by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Costs of Goods Sold and Selling, General and Administrative Expenses</w:t>
      </w:r>
    </w:p>
    <w:p>
      <w:pPr>
        <w:spacing w:after="0" w:line="85"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4"/>
          <w:szCs w:val="14"/>
          <w:color w:val="auto"/>
        </w:rPr>
        <w:t>In addition to the cost of product, cost of goods sold include changes to our inventory reserve and expenses related to the merchandising, design, and procurement of product, including inbound freight costs, purchasing and receiving costs, and inspection costs. Also included in costs of goods sold are the costs of shipping eCommerce product to end consumers. For omni-channel transactions, costs of goods sold include the costs of shipping product to end customers or to retail stores.</w:t>
      </w:r>
    </w:p>
    <w:p>
      <w:pPr>
        <w:spacing w:after="0" w:line="10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Retail store occupancy costs, distribution expenses, and generally all expenses other than interest and income taxes are included in SG&amp;A expenses. Distribution expenses that are included in SG&amp;A primarily consist of payments to third-party shippers and handling costs to process product through our distribution facilities, including eCommerce fulfillment costs, and delivery to our wholesale customers and to our retail stores. Distribution expenses included in SG&amp;A totaled $183.4 million, $216.2 million, and $206.6 million for fiscal years 2023, 2022, and 2021,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Gross Profit</w:t>
      </w:r>
    </w:p>
    <w:p>
      <w:pPr>
        <w:spacing w:after="0" w:line="8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Gross profit is calculated as consolidated net sales less cost of goods sold. Gross margin is calculated as gross profit divided by consolidated net sales. Our gross profit and gross margin may not be comparable to other entities that define their metrics differently.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from Royalties and License Fees</w:t>
      </w:r>
    </w:p>
    <w:p>
      <w:pPr>
        <w:spacing w:after="0" w:line="8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 xml:space="preserve">We license our </w:t>
      </w:r>
      <w:r>
        <w:rPr>
          <w:rFonts w:ascii="Times New Roman" w:cs="Times New Roman" w:eastAsia="Times New Roman" w:hAnsi="Times New Roman"/>
          <w:sz w:val="14"/>
          <w:szCs w:val="14"/>
          <w:i w:val="1"/>
          <w:iCs w:val="1"/>
          <w:color w:val="auto"/>
        </w:rPr>
        <w:t>Carter’s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OshKosh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Child of Mine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Just One You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Simple Joys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Little Planet</w:t>
      </w:r>
      <w:r>
        <w:rPr>
          <w:rFonts w:ascii="Times New Roman" w:cs="Times New Roman" w:eastAsia="Times New Roman" w:hAnsi="Times New Roman"/>
          <w:sz w:val="14"/>
          <w:szCs w:val="14"/>
          <w:color w:val="auto"/>
        </w:rPr>
        <w:t xml:space="preserve"> brands to various license partners in order to expand our product offerings into footwear, outerwear, accessories (such as hair accessories and jewelry), toys, paper goods, home décor, cribs and baby furniture, and bedding. These royalties are recorded as earned, based upon the sales of licensed products by licensees and reported as royalty income on the Company’s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Expenses</w:t>
      </w:r>
    </w:p>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Advertising production costs and costs associated with communicating advertising that has been produced are expensed when the advertising event takes place. Certain other advertising costs where it is uncertain when the expected benefits would occur are expensed in the period incurred. Advertising expenses were $74.1 million, $96.0 million, and $102.8 million for fiscal years 2023, 2022, and 2021, respectively, and are included in SG&amp;A expenses on the Company’s consolidated statement of operations. Deferred advertising costs for advertisements that have not yet occurred or for advertising services that have not yet been received were $1.2 million and $1.9 million at December 30, 2023 and December 31, 2022, respectively, and are included in Prepaid expenses and other current assets on the Company’s consolidated balance sheets.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Arrangements</w:t>
      </w:r>
    </w:p>
    <w:p>
      <w:pPr>
        <w:spacing w:after="0" w:line="8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Company recognizes the cost resulting from all stock-based compensation arrangements in the financial statements at grant date fair value. Stock-based compensation expense is recognized over the requisite service period, net of estimated forfeitures. Subjective assumptions include a forfeiture rate assumption for all restricted stock awards and an estimate for the probability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65" w:name="page66"/>
    <w:bookmarkEnd w:id="6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the performance criteria will be achieved for performance awards. We estimate forfeitures of restricted stock awards based on historical experience and expected future activity.</w:t>
      </w:r>
    </w:p>
    <w:p>
      <w:pPr>
        <w:spacing w:after="0" w:line="1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Changes in the subjective assumptions can materially affect the estimate of fair value of stock-based compensation and consequently, the related amount recognized in the accompanying consolidated statements of operations.</w:t>
      </w:r>
    </w:p>
    <w:p>
      <w:pPr>
        <w:spacing w:after="0" w:line="103"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During the requisite service period, the Company also recognizes a deferred income tax benefit for the expense recognized for U.S. GAAP. At time of subsequent vesting, exercise, forfeiture, or expiration of an award, the difference between the Company’s actual income tax deduction, if any, and the previously accrued income tax benefit is recognized in income tax expense/benefit during the current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fair value of stock options is determined based on the Black-Scholes option pricing model, which requires the use of subjective assumptions. There has been no issuances of stock options since 2018, and there are no unrecognized compensation costs remaining related to stock options.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Awards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fair value of time-based restricted stock awards is determined based on the quoted closing price of the Company’s common stock on the date of grant and is recognized as compensation expense over the vesting term of the awards, net of estimated forfeitures.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Awards</w:t>
      </w:r>
    </w:p>
    <w:p>
      <w:pPr>
        <w:spacing w:after="0" w:line="8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Company accounts for its performance-based restricted stock awards based on the quoted closing price of the Company’s common stock on the date of grant and records stock-based compensation expense over the vesting term of the awards based on the probability that the performance criteria will be achieved, net of estimated forfeitures. The Company reassesses the probability of vesting at each reporting period and adjusts stock-based compensation expense based on its probability assessment.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p>
      <w:pPr>
        <w:spacing w:after="0" w:line="8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The fair value of stock granted to non-management board members is determined based on the quoted closing price of the Company’s common stock on the date of grant. The Company records the stock-based compensation expense immediately as there are no vesting terms.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The accompanying consolidated financial statements reflect current and deferred tax provisions,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deferred tax provision is determined under the liability method. Deferred tax assets and liabilities are recognized based on differences between the book and tax basis of assets and liabilities using presently enacted tax rates. Deferred tax assets are a component of non-current Other assets in the Company’s consolidated balance sheet. Valuation allowances are established when it is “more likely than not” that a deferred tax asset will not be recovered. The provision for income taxes is the sum of the amount of income taxes paid or payable for the year as determined by applying the provisions of enacted tax laws to the taxable income for that year, the net change during the year in deferred tax assets and liabilities, and the net change during the year in any valuation allowances.</w:t>
      </w:r>
    </w:p>
    <w:p>
      <w:pPr>
        <w:spacing w:after="0" w:line="1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assesses its income tax positions and records tax benefits for all years subject to examination based upon management’s evaluation of the facts, circumstances, and information available at the reporting dates. A company may recognize the tax benefit from an uncertain tax position only if it is more likely than not that the tax position will be sustained on examination by the taxing authorities, based on the technical merits of the position. If it is more likely than not that a tax position would not be sustained, then no tax benefit would be recognized. Where applicable, associated interest and penalties are also recorded. Interest is recorded as a component of Interest expense and penalties, if any, are recorded within the provision for incomes taxes in the consolidated statements of operations and are classified on the consolidated balance sheets with the related liability for uncertain tax contingency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Interest paid in cash approximated $32.3 million, $41.2 million, and $59.0 million for fiscal years 2023, 2022, and 2021, respectively. Income taxes paid in cash approximated $76.5 million, $64.0 million, and $115.3 million for fiscal years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6" w:name="page67"/>
    <w:bookmarkEnd w:id="6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Additions to property, plant and equipment of approximately $1.6 million, $10.1 million, and $15.4 million were excluded from capital expenditures on the Company’s consolidated statements of cash flows for fiscal years 2023, 2022, and 2021, respectively, since these amounts were accrued and unpaid at the end of each respective fiscal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p>
      <w:pPr>
        <w:spacing w:after="0" w:line="8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The Company calculates basic and diluted net income per common share under the two-class method for unvested share-based payment awards that contain participating rights to dividends or dividend equivalents (whether paid or unpaid).</w:t>
      </w:r>
    </w:p>
    <w:p>
      <w:pPr>
        <w:spacing w:after="0" w:line="9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Basic net income per share is calculated by dividing net income for the period by the weighted-average common shares outstanding for the period. Diluted net income per share includes the effect of dilutive instruments (primarily stock options) and uses the average share price for the period in determining the number of shares that are to be added to the weighted-average number of shares outstanding.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Repurchases of Common Stock</w:t>
      </w:r>
    </w:p>
    <w:p>
      <w:pPr>
        <w:spacing w:after="0" w:line="7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Shares of the Company’s common stock that are repurchased by the Company through open market transactions are retired. Through the end of fiscal 2023, all such open market repurchases have been at prices that exceeded the par value of the repurchased common stock, and the amounts of the purchase prices that exceeded par value were charged to additional paid-in capital or to retained earnings if the balance in additional paid-in capital was not sufficient.</w:t>
      </w:r>
    </w:p>
    <w:p>
      <w:pPr>
        <w:spacing w:after="0" w:line="11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Inflation Reduction Act of 2022 imposed a nondeductible 1% excise tax on the net value of certain share repurchases made after December 31, 2022. Beginning in fiscal 2023, the Company reflected the applicable excise tax in Additional paid-in capital on the Company’s consolidated balance sheets as part of the cost basis of the shares repurchased. The corresponding liability for the excise tax payable is recorded in Other current liabilities on the Company’s consolidated balance sheets.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8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 xml:space="preserve">The Company has several defined benefit plans. Various actuarial methods and assumptions are used in determining net pension and post-retirement costs and obligations. Key assumptions include the discount rate used to determine the present value of future benefits and the expected long-term rate of return on plan assets. The over-funded or under-funded status of the defined benefit plans is recorded as an asset or liability on the consolidated balance sheet. Any service costs that arise during the period are presented in the same statement line item as other employee compensation on the consolidated statement of operations. All other components of current period costs related to defined benefit plans, such as prior service costs and actuarial gains and losses, are presented in Other (income) expense, net on the consolidated statement of operations. The actuarial gains or losses that arise during the period are recognized as a component of comprehensive income or loss, net of tax. These costs or income are then subsequently recognized as components of net periodic benefit cost in the consolidated statements of operations. Under the provisions of ASU No. 2015-04, </w:t>
      </w:r>
      <w:r>
        <w:rPr>
          <w:rFonts w:ascii="Times New Roman" w:cs="Times New Roman" w:eastAsia="Times New Roman" w:hAnsi="Times New Roman"/>
          <w:sz w:val="14"/>
          <w:szCs w:val="14"/>
          <w:i w:val="1"/>
          <w:iCs w:val="1"/>
          <w:color w:val="auto"/>
        </w:rPr>
        <w:t>Practical Expedient for the Measurement Date of an Employer’s Defined Benefit Obligation and Plan Assets</w:t>
      </w:r>
      <w:r>
        <w:rPr>
          <w:rFonts w:ascii="Times New Roman" w:cs="Times New Roman" w:eastAsia="Times New Roman" w:hAnsi="Times New Roman"/>
          <w:sz w:val="14"/>
          <w:szCs w:val="14"/>
          <w:color w:val="auto"/>
        </w:rPr>
        <w:t>, the Company is permitted to use December 31 of each year, as opposed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last day of each fiscal year, as an alternate measurement date for its defined benefit plans.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Facility Closure and Severance Costs</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records severance costs when the appropriate notifications have been made to affected employees or when the decision is made, if the one-time benefits are contractual. When employees are required to work for a period before termination, the severance costs are recognized over the required service period. For operating leases, lease termination costs are recognized at fair value at the date the Company ceases to use the leased property. Useful lives assigned to fixed assets at the facility to be closed are revised based on the specifics of the exit plan, resulting in accelerated depreciation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 experiences seasonal fluctuations in its sales and profitability due to the timing of certain holidays and key retail shopping periods, typically resulting in lower sales and gross profit in the first half of its fiscal year. Accordingly, the Company’s results of operations during the first half of the year may not be indicative of the results for the full year.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Adopted in Fiscal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Supplier Finance Programs (ASU 2022-04)</w:t>
      </w:r>
    </w:p>
    <w:p>
      <w:pPr>
        <w:spacing w:after="0" w:line="83"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color w:val="auto"/>
        </w:rPr>
        <w:t xml:space="preserve">In September 2022, the FASB issued </w:t>
      </w:r>
      <w:r>
        <w:rPr>
          <w:rFonts w:ascii="Times New Roman" w:cs="Times New Roman" w:eastAsia="Times New Roman" w:hAnsi="Times New Roman"/>
          <w:sz w:val="14"/>
          <w:szCs w:val="14"/>
          <w:i w:val="1"/>
          <w:iCs w:val="1"/>
          <w:color w:val="auto"/>
        </w:rPr>
        <w:t>Accounting Standards Update No. 2022-04, Liabilities - Supplier Finance Programs (Subtopic 405-50): Disclosure of Supplier Finance Program Obligations</w:t>
      </w:r>
      <w:r>
        <w:rPr>
          <w:rFonts w:ascii="Times New Roman" w:cs="Times New Roman" w:eastAsia="Times New Roman" w:hAnsi="Times New Roman"/>
          <w:sz w:val="14"/>
          <w:szCs w:val="14"/>
          <w:color w:val="auto"/>
        </w:rPr>
        <w:t xml:space="preserve"> (“ASU 2022-04”)</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This new guidance is designed to</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7" w:name="page68"/>
    <w:bookmarkEnd w:id="6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enhance transparency around supplier finance programs by requiring new disclosures that would allow a user of the financial statements to understand the program’s nature, activity during the period, changes from period to period, and potential magnitude. ASU 2022-04 is effective for fiscal years beginning after December 15, 2022, including interim periods within those fiscal years, except for the disclosure of the rollforward of annual activity, which is effective for fiscal years beginning after December 15, 2023. The Company adopted the annual disclosure requirements, except for the rollforward of annual activity, in fiscal 2023. The Company expects to adopt the rollforward of annual activity requirement in fiscal 2024. The effect of the adoption of ASU 2022-04 was not material to the Company’s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 Be Adopted After Fiscal 2023</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 - Improvements to Reportable Segment Disclosures (ASU 2023-07)</w:t>
      </w:r>
    </w:p>
    <w:p>
      <w:pPr>
        <w:spacing w:after="0" w:line="8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w:t>
      </w:r>
      <w:r>
        <w:rPr>
          <w:rFonts w:ascii="Times New Roman" w:cs="Times New Roman" w:eastAsia="Times New Roman" w:hAnsi="Times New Roman"/>
          <w:sz w:val="14"/>
          <w:szCs w:val="14"/>
          <w:i w:val="1"/>
          <w:iCs w:val="1"/>
          <w:color w:val="auto"/>
        </w:rPr>
        <w:t>ASU No. 2023-07, Segment Reporting - Improvements to Reportable Segment Disclosures.</w:t>
      </w:r>
      <w:r>
        <w:rPr>
          <w:rFonts w:ascii="Times New Roman" w:cs="Times New Roman" w:eastAsia="Times New Roman" w:hAnsi="Times New Roman"/>
          <w:sz w:val="14"/>
          <w:szCs w:val="14"/>
          <w:color w:val="auto"/>
        </w:rPr>
        <w:t xml:space="preserve"> This new guidance is designed to improve the disclosures about a public entity’s reportable segments and address requests from investors for more detailed information about a reportable segment’s expenses in an interim and annual basis. ASU 2023-07 is effective for fiscal years beginning after December 15, 2023, and interim periods within fiscal years beginning after December 15, 2024. Public entities must adopt the changes to the segment reporting guidance on a retrospective basis. Early adoption is permitted. The Company is currently evaluating the impact of this amendment on its consolidated financial statements but does not expect the effect of the adoption of ASU 2023-07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 Improvements to Income Tax Disclosures (ASU 2023-09)</w:t>
      </w:r>
    </w:p>
    <w:p>
      <w:pPr>
        <w:spacing w:after="0" w:line="8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w:t>
      </w:r>
      <w:r>
        <w:rPr>
          <w:rFonts w:ascii="Times New Roman" w:cs="Times New Roman" w:eastAsia="Times New Roman" w:hAnsi="Times New Roman"/>
          <w:sz w:val="14"/>
          <w:szCs w:val="14"/>
          <w:i w:val="1"/>
          <w:iCs w:val="1"/>
          <w:color w:val="auto"/>
        </w:rPr>
        <w:t>ASU No. 2023-09, Income Taxes - Improvements to Income Tax Disclosures.</w:t>
      </w:r>
      <w:r>
        <w:rPr>
          <w:rFonts w:ascii="Times New Roman" w:cs="Times New Roman" w:eastAsia="Times New Roman" w:hAnsi="Times New Roman"/>
          <w:sz w:val="14"/>
          <w:szCs w:val="14"/>
          <w:color w:val="auto"/>
        </w:rPr>
        <w:t xml:space="preserve"> This new guidance requires consistent categories and greater disaggregation of information in the rate reconciliation and greater disaggregation of income taxes paid by jurisdiction. ASU 2023-09 is effective for fiscal years beginning after December 15, 2024. Early adoption is permitted. The Company is currently evaluating the impact of this amendment on its consolidated financial statements but does not expect the effect of the adoption of ASU 2023-09 to be material.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REVENUE RECOGNITION</w:t>
      </w:r>
    </w:p>
    <w:p>
      <w:pPr>
        <w:spacing w:after="0" w:line="85"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Company’s revenues are earned from contracts or arrangements with retail and wholesale customers and licensees. Contracts include written agreements, as well as arrangements that are implied by customary practices or law.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Disaggregation of Revenue</w:t>
      </w:r>
    </w:p>
    <w:p>
      <w:pPr>
        <w:spacing w:after="0" w:line="8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Company sells its products directly to consumers (“direct-to-consumer”) and to other retail companies and partners that subsequently sell the products directly to their own retail customers. The Company also earns royalties from certain of its licensees. Disaggregated revenues from these sources for the fiscal years presented were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3"/>
                <w:szCs w:val="13"/>
                <w:b w:val="1"/>
                <w:bCs w:val="1"/>
                <w:color w:val="auto"/>
              </w:rPr>
              <w:t>Fiscal year ended December 30, 2023</w:t>
            </w: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3"/>
        </w:trPr>
        <w:tc>
          <w:tcPr>
            <w:tcW w:w="438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320" w:type="dxa"/>
            <w:vAlign w:val="bottom"/>
          </w:tcPr>
          <w:p>
            <w:pPr>
              <w:spacing w:after="0"/>
              <w:rPr>
                <w:sz w:val="11"/>
                <w:szCs w:val="11"/>
                <w:color w:val="auto"/>
              </w:rPr>
            </w:pPr>
          </w:p>
        </w:tc>
        <w:tc>
          <w:tcPr>
            <w:tcW w:w="1420" w:type="dxa"/>
            <w:vAlign w:val="bottom"/>
            <w:gridSpan w:val="4"/>
          </w:tcPr>
          <w:p>
            <w:pPr>
              <w:ind w:left="220"/>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420" w:type="dxa"/>
            <w:vAlign w:val="bottom"/>
          </w:tcPr>
          <w:p>
            <w:pPr>
              <w:spacing w:after="0"/>
              <w:rPr>
                <w:sz w:val="11"/>
                <w:szCs w:val="11"/>
                <w:color w:val="auto"/>
              </w:rPr>
            </w:pPr>
          </w:p>
        </w:tc>
        <w:tc>
          <w:tcPr>
            <w:tcW w:w="13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700" w:type="dxa"/>
            <w:vAlign w:val="bottom"/>
          </w:tcPr>
          <w:p>
            <w:pPr>
              <w:spacing w:after="0"/>
              <w:rPr>
                <w:sz w:val="11"/>
                <w:szCs w:val="11"/>
                <w:color w:val="auto"/>
              </w:rPr>
            </w:pPr>
          </w:p>
        </w:tc>
        <w:tc>
          <w:tcPr>
            <w:tcW w:w="960" w:type="dxa"/>
            <w:vAlign w:val="bottom"/>
            <w:gridSpan w:val="2"/>
          </w:tcPr>
          <w:p>
            <w:pPr>
              <w:jc w:val="right"/>
              <w:ind w:right="700"/>
              <w:spacing w:after="0" w:line="133" w:lineRule="exact"/>
              <w:rPr>
                <w:sz w:val="20"/>
                <w:szCs w:val="20"/>
                <w:color w:val="auto"/>
              </w:rPr>
            </w:pPr>
            <w:r>
              <w:rPr>
                <w:rFonts w:ascii="Times New Roman" w:cs="Times New Roman" w:eastAsia="Times New Roman" w:hAnsi="Times New Roman"/>
                <w:sz w:val="13"/>
                <w:szCs w:val="13"/>
                <w:b w:val="1"/>
                <w:bCs w:val="1"/>
                <w:color w:val="auto"/>
                <w:w w:val="80"/>
              </w:rPr>
              <w:t>Total</w:t>
            </w:r>
          </w:p>
        </w:tc>
      </w:tr>
      <w:tr>
        <w:trPr>
          <w:trHeight w:val="26"/>
        </w:trPr>
        <w:tc>
          <w:tcPr>
            <w:tcW w:w="4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r>
      <w:tr>
        <w:trPr>
          <w:trHeight w:val="17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Direct-to-consumer</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268,596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1,770,376</w:t>
            </w:r>
          </w:p>
        </w:tc>
      </w:tr>
      <w:tr>
        <w:trPr>
          <w:trHeight w:val="168"/>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160,634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1,175,218</w:t>
            </w:r>
          </w:p>
        </w:tc>
      </w:tr>
      <w:tr>
        <w:trPr>
          <w:trHeight w:val="185"/>
        </w:trPr>
        <w:tc>
          <w:tcPr>
            <w:tcW w:w="43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429,230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2,945,594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7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3,201</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21,410</w:t>
            </w:r>
          </w:p>
        </w:tc>
      </w:tr>
    </w:tbl>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3"/>
                <w:szCs w:val="13"/>
                <w:b w:val="1"/>
                <w:bCs w:val="1"/>
                <w:color w:val="auto"/>
              </w:rPr>
              <w:t>Fiscal year ended December 31, 2022</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3"/>
        </w:trPr>
        <w:tc>
          <w:tcPr>
            <w:tcW w:w="436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1"/>
                <w:szCs w:val="11"/>
                <w:color w:val="auto"/>
              </w:rPr>
            </w:pPr>
          </w:p>
        </w:tc>
        <w:tc>
          <w:tcPr>
            <w:tcW w:w="12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40" w:type="dxa"/>
            <w:vAlign w:val="bottom"/>
          </w:tcPr>
          <w:p>
            <w:pPr>
              <w:spacing w:after="0"/>
              <w:rPr>
                <w:sz w:val="11"/>
                <w:szCs w:val="11"/>
                <w:color w:val="auto"/>
              </w:rPr>
            </w:pPr>
          </w:p>
        </w:tc>
        <w:tc>
          <w:tcPr>
            <w:tcW w:w="1500" w:type="dxa"/>
            <w:vAlign w:val="bottom"/>
            <w:gridSpan w:val="4"/>
          </w:tcPr>
          <w:p>
            <w:pPr>
              <w:ind w:left="16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tcPr>
          <w:p>
            <w:pPr>
              <w:spacing w:after="0"/>
              <w:rPr>
                <w:sz w:val="11"/>
                <w:szCs w:val="11"/>
                <w:color w:val="auto"/>
              </w:rPr>
            </w:pPr>
          </w:p>
        </w:tc>
        <w:tc>
          <w:tcPr>
            <w:tcW w:w="1260" w:type="dxa"/>
            <w:vAlign w:val="bottom"/>
            <w:gridSpan w:val="3"/>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4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Direct-to-consumer</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279,903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1,960,062</w:t>
            </w:r>
          </w:p>
        </w:tc>
      </w:tr>
      <w:tr>
        <w:trPr>
          <w:trHeight w:val="168"/>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172,200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1,252,671</w:t>
            </w:r>
          </w:p>
        </w:tc>
      </w:tr>
      <w:tr>
        <w:trPr>
          <w:trHeight w:val="185"/>
        </w:trPr>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452,103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3,212,733</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4,090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25,820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3"/>
                <w:szCs w:val="13"/>
                <w:b w:val="1"/>
                <w:bCs w:val="1"/>
                <w:color w:val="auto"/>
              </w:rPr>
              <w:t>Fiscal year ended January 1, 2022</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3"/>
        </w:trPr>
        <w:tc>
          <w:tcPr>
            <w:tcW w:w="4360" w:type="dxa"/>
            <w:vAlign w:val="bottom"/>
          </w:tcPr>
          <w:p>
            <w:pPr>
              <w:spacing w:after="0" w:line="133" w:lineRule="exact"/>
              <w:rPr>
                <w:sz w:val="20"/>
                <w:szCs w:val="20"/>
                <w:color w:val="auto"/>
              </w:rPr>
            </w:pPr>
            <w:r>
              <w:rPr>
                <w:rFonts w:ascii="Times New Roman" w:cs="Times New Roman" w:eastAsia="Times New Roman" w:hAnsi="Times New Roman"/>
                <w:sz w:val="13"/>
                <w:szCs w:val="13"/>
                <w:i w:val="1"/>
                <w:iCs w:val="1"/>
                <w:color w:val="auto"/>
              </w:rPr>
              <w:t>(dollars in thousands)</w:t>
            </w:r>
          </w:p>
        </w:tc>
        <w:tc>
          <w:tcPr>
            <w:tcW w:w="520" w:type="dxa"/>
            <w:vAlign w:val="bottom"/>
          </w:tcPr>
          <w:p>
            <w:pPr>
              <w:spacing w:after="0"/>
              <w:rPr>
                <w:sz w:val="11"/>
                <w:szCs w:val="11"/>
                <w:color w:val="auto"/>
              </w:rPr>
            </w:pPr>
          </w:p>
        </w:tc>
        <w:tc>
          <w:tcPr>
            <w:tcW w:w="122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U.S. Retail</w:t>
            </w:r>
          </w:p>
        </w:tc>
        <w:tc>
          <w:tcPr>
            <w:tcW w:w="240" w:type="dxa"/>
            <w:vAlign w:val="bottom"/>
          </w:tcPr>
          <w:p>
            <w:pPr>
              <w:spacing w:after="0"/>
              <w:rPr>
                <w:sz w:val="11"/>
                <w:szCs w:val="11"/>
                <w:color w:val="auto"/>
              </w:rPr>
            </w:pPr>
          </w:p>
        </w:tc>
        <w:tc>
          <w:tcPr>
            <w:tcW w:w="1500" w:type="dxa"/>
            <w:vAlign w:val="bottom"/>
            <w:gridSpan w:val="4"/>
          </w:tcPr>
          <w:p>
            <w:pPr>
              <w:ind w:left="160"/>
              <w:spacing w:after="0" w:line="133" w:lineRule="exact"/>
              <w:rPr>
                <w:sz w:val="20"/>
                <w:szCs w:val="20"/>
                <w:color w:val="auto"/>
              </w:rPr>
            </w:pPr>
            <w:r>
              <w:rPr>
                <w:rFonts w:ascii="Times New Roman" w:cs="Times New Roman" w:eastAsia="Times New Roman" w:hAnsi="Times New Roman"/>
                <w:sz w:val="13"/>
                <w:szCs w:val="13"/>
                <w:b w:val="1"/>
                <w:bCs w:val="1"/>
                <w:color w:val="auto"/>
              </w:rPr>
              <w:t>U.S. Wholesale</w:t>
            </w:r>
          </w:p>
        </w:tc>
        <w:tc>
          <w:tcPr>
            <w:tcW w:w="460" w:type="dxa"/>
            <w:vAlign w:val="bottom"/>
          </w:tcPr>
          <w:p>
            <w:pPr>
              <w:spacing w:after="0"/>
              <w:rPr>
                <w:sz w:val="11"/>
                <w:szCs w:val="11"/>
                <w:color w:val="auto"/>
              </w:rPr>
            </w:pPr>
          </w:p>
        </w:tc>
        <w:tc>
          <w:tcPr>
            <w:tcW w:w="128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380" w:type="dxa"/>
            <w:vAlign w:val="bottom"/>
          </w:tcPr>
          <w:p>
            <w:pPr>
              <w:spacing w:after="0"/>
              <w:rPr>
                <w:sz w:val="11"/>
                <w:szCs w:val="11"/>
                <w:color w:val="auto"/>
              </w:rPr>
            </w:pPr>
          </w:p>
        </w:tc>
        <w:tc>
          <w:tcPr>
            <w:tcW w:w="1260" w:type="dxa"/>
            <w:vAlign w:val="bottom"/>
            <w:gridSpan w:val="3"/>
          </w:tcPr>
          <w:p>
            <w:pPr>
              <w:jc w:val="right"/>
              <w:ind w:right="680"/>
              <w:spacing w:after="0" w:line="133"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26"/>
        </w:trPr>
        <w:tc>
          <w:tcPr>
            <w:tcW w:w="4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r>
      <w:tr>
        <w:trPr>
          <w:trHeight w:val="17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Direct-to-consumer</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1,899,262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289,060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2,188,322</w:t>
            </w:r>
          </w:p>
        </w:tc>
      </w:tr>
      <w:tr>
        <w:trPr>
          <w:trHeight w:val="168"/>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Wholesale channel</w:t>
            </w: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1,126,415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171,703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1,298,118</w:t>
            </w:r>
          </w:p>
        </w:tc>
      </w:tr>
      <w:tr>
        <w:trPr>
          <w:trHeight w:val="185"/>
        </w:trPr>
        <w:tc>
          <w:tcPr>
            <w:tcW w:w="436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1,899,262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1,126,415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460,763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3,486,440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71"/>
        </w:trPr>
        <w:tc>
          <w:tcPr>
            <w:tcW w:w="4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r>
      <w:tr>
        <w:trPr>
          <w:trHeight w:val="1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Royalty income, net</w:t>
            </w:r>
          </w:p>
        </w:tc>
        <w:tc>
          <w:tcPr>
            <w:tcW w:w="520" w:type="dxa"/>
            <w:vAlign w:val="bottom"/>
            <w:shd w:val="clear" w:color="auto" w:fill="CCEEFF"/>
          </w:tcPr>
          <w:p>
            <w:pPr>
              <w:jc w:val="right"/>
              <w:ind w:right="40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4,332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28,681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from Customers and Licensees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Accounts receivable, net,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60" w:type="dxa"/>
            <w:vAlign w:val="bottom"/>
          </w:tcPr>
          <w:p>
            <w:pPr>
              <w:spacing w:after="0"/>
              <w:rPr>
                <w:sz w:val="14"/>
                <w:szCs w:val="14"/>
                <w:color w:val="auto"/>
              </w:rPr>
            </w:pPr>
          </w:p>
        </w:tc>
        <w:tc>
          <w:tcPr>
            <w:tcW w:w="168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3"/>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 receivables from wholesale customers, net</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172,106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195,078</w:t>
            </w:r>
          </w:p>
        </w:tc>
      </w:tr>
      <w:tr>
        <w:trPr>
          <w:trHeight w:val="16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Royalties receivable, net</w:t>
            </w:r>
          </w:p>
        </w:tc>
        <w:tc>
          <w:tcPr>
            <w:tcW w:w="26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5,386</w:t>
            </w:r>
          </w:p>
        </w:tc>
      </w:tr>
      <w:tr>
        <w:trPr>
          <w:trHeight w:val="172"/>
        </w:trPr>
        <w:tc>
          <w:tcPr>
            <w:tcW w:w="7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Other receivables</w:t>
            </w:r>
            <w:r>
              <w:rPr>
                <w:rFonts w:ascii="Times New Roman" w:cs="Times New Roman" w:eastAsia="Times New Roman" w:hAnsi="Times New Roman"/>
                <w:sz w:val="16"/>
                <w:szCs w:val="16"/>
                <w:color w:val="auto"/>
                <w:vertAlign w:val="superscript"/>
              </w:rPr>
              <w:t>(1)</w:t>
            </w:r>
          </w:p>
        </w:tc>
        <w:tc>
          <w:tcPr>
            <w:tcW w:w="2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14,571</w:t>
            </w:r>
          </w:p>
        </w:tc>
      </w:tr>
      <w:tr>
        <w:trPr>
          <w:trHeight w:val="158"/>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Total receivables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196,891</w:t>
            </w:r>
          </w:p>
        </w:tc>
        <w:tc>
          <w:tcPr>
            <w:tcW w:w="10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215,035</w:t>
            </w:r>
          </w:p>
        </w:tc>
      </w:tr>
      <w:tr>
        <w:trPr>
          <w:trHeight w:val="172"/>
        </w:trPr>
        <w:tc>
          <w:tcPr>
            <w:tcW w:w="726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Less: Wholesale accounts receivable reserves</w:t>
            </w:r>
            <w:r>
              <w:rPr>
                <w:rFonts w:ascii="Times New Roman" w:cs="Times New Roman" w:eastAsia="Times New Roman" w:hAnsi="Times New Roman"/>
                <w:sz w:val="16"/>
                <w:szCs w:val="16"/>
                <w:color w:val="auto"/>
                <w:vertAlign w:val="superscript"/>
              </w:rPr>
              <w:t>(2)(3)</w:t>
            </w:r>
          </w:p>
        </w:tc>
        <w:tc>
          <w:tcPr>
            <w:tcW w:w="26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(16,448)</w:t>
            </w:r>
          </w:p>
        </w:tc>
      </w:tr>
      <w:tr>
        <w:trPr>
          <w:trHeight w:val="160"/>
        </w:trPr>
        <w:tc>
          <w:tcPr>
            <w:tcW w:w="726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net</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183,774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198,587</w:t>
            </w:r>
          </w:p>
        </w:tc>
      </w:tr>
      <w:tr>
        <w:trPr>
          <w:trHeight w:val="20"/>
        </w:trPr>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11280"/>
          </w:cols>
          <w:pgMar w:left="300" w:top="123" w:right="319" w:bottom="1440" w:gutter="0" w:footer="0" w:header="0"/>
        </w:sect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tax, payroll, gift card and other receivables. Increase primarily relates to receivable for a $6.9 million court approved settlement in December 2023 related to payment card interchange fees.</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chargebacks of $8.4 million and $9.3 million for the periods ended December 30, 2023 and December 31, 2022, respectively.</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allowance for credit losses of $4.8 million and $7.2 million for the periods ended December 30, 2023 and December 31, 2022,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Wholesale accounts receivable reserves is as follows: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14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2, 2021</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14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p>
      <w:pPr>
        <w:spacing w:after="0" w:line="2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Additional provisions</w:t>
      </w:r>
    </w:p>
    <w:p>
      <w:pPr>
        <w:spacing w:after="0" w:line="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Charges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07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Wholesale accounts receivable</w:t>
      </w:r>
    </w:p>
    <w:p>
      <w:pPr>
        <w:jc w:val="center"/>
        <w:spacing w:after="0"/>
        <w:rPr>
          <w:sz w:val="20"/>
          <w:szCs w:val="20"/>
          <w:color w:val="auto"/>
        </w:rPr>
      </w:pPr>
      <w:r>
        <w:rPr>
          <w:rFonts w:ascii="Times New Roman" w:cs="Times New Roman" w:eastAsia="Times New Roman" w:hAnsi="Times New Roman"/>
          <w:sz w:val="13"/>
          <w:szCs w:val="13"/>
          <w:b w:val="1"/>
          <w:bCs w:val="1"/>
          <w:color w:val="auto"/>
        </w:rPr>
        <w:t>reserves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Borders>
              <w:top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12,366</w:t>
            </w:r>
          </w:p>
        </w:tc>
      </w:tr>
      <w:tr>
        <w:trPr>
          <w:trHeight w:val="165"/>
        </w:trPr>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13,282</w:t>
            </w:r>
          </w:p>
        </w:tc>
      </w:tr>
      <w:tr>
        <w:trPr>
          <w:trHeight w:val="172"/>
        </w:trPr>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(6,953)</w:t>
            </w:r>
          </w:p>
        </w:tc>
      </w:tr>
      <w:tr>
        <w:trPr>
          <w:trHeight w:val="158"/>
        </w:trPr>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18,695</w:t>
            </w:r>
          </w:p>
        </w:tc>
      </w:tr>
      <w:tr>
        <w:trPr>
          <w:trHeight w:val="170"/>
        </w:trPr>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9,280</w:t>
            </w:r>
          </w:p>
        </w:tc>
      </w:tr>
      <w:tr>
        <w:trPr>
          <w:trHeight w:val="172"/>
        </w:trPr>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(11,527)</w:t>
            </w:r>
          </w:p>
        </w:tc>
      </w:tr>
      <w:tr>
        <w:trPr>
          <w:trHeight w:val="158"/>
        </w:trPr>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16,448</w:t>
            </w:r>
          </w:p>
        </w:tc>
      </w:tr>
      <w:tr>
        <w:trPr>
          <w:trHeight w:val="170"/>
        </w:trPr>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w:t>
            </w:r>
          </w:p>
        </w:tc>
      </w:tr>
      <w:tr>
        <w:trPr>
          <w:trHeight w:val="172"/>
        </w:trPr>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(8,551)</w:t>
            </w:r>
          </w:p>
        </w:tc>
      </w:tr>
      <w:tr>
        <w:trPr>
          <w:trHeight w:val="160"/>
        </w:trPr>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13,117</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9200" w:space="280"/>
            <w:col w:w="180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 assets are not material.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9" w:name="page70"/>
    <w:bookmarkEnd w:id="6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85"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The Company recognizes a contract liability when it has received consideration from a customer and has a future obligation to transfer goods to the customer. Total contract liabilities consisted of the following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80" w:type="dxa"/>
            <w:vAlign w:val="bottom"/>
          </w:tcPr>
          <w:p>
            <w:pPr>
              <w:spacing w:after="0"/>
              <w:rPr>
                <w:sz w:val="14"/>
                <w:szCs w:val="14"/>
                <w:color w:val="auto"/>
              </w:rPr>
            </w:pPr>
          </w:p>
        </w:tc>
        <w:tc>
          <w:tcPr>
            <w:tcW w:w="17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2"/>
        </w:trPr>
        <w:tc>
          <w:tcPr>
            <w:tcW w:w="724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Contract liabilities - current:</w:t>
            </w: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r>
      <w:tr>
        <w:trPr>
          <w:trHeight w:val="168"/>
        </w:trPr>
        <w:tc>
          <w:tcPr>
            <w:tcW w:w="7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Unredeemed gift cards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25,162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23,303</w:t>
            </w:r>
          </w:p>
        </w:tc>
      </w:tr>
      <w:tr>
        <w:trPr>
          <w:trHeight w:val="172"/>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Unredeemed customer loyalty rewards</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5,276</w:t>
            </w:r>
          </w:p>
        </w:tc>
      </w:tr>
      <w:tr>
        <w:trPr>
          <w:trHeight w:val="170"/>
        </w:trPr>
        <w:tc>
          <w:tcPr>
            <w:tcW w:w="7240" w:type="dxa"/>
            <w:vAlign w:val="bottom"/>
            <w:tcBorders>
              <w:bottom w:val="single" w:sz="8" w:color="CCEEFF"/>
            </w:tcBorders>
          </w:tcPr>
          <w:p>
            <w:pPr>
              <w:ind w:left="120"/>
              <w:spacing w:after="0" w:line="170" w:lineRule="exact"/>
              <w:rPr>
                <w:sz w:val="20"/>
                <w:szCs w:val="20"/>
                <w:color w:val="auto"/>
              </w:rPr>
            </w:pPr>
            <w:r>
              <w:rPr>
                <w:rFonts w:ascii="Times New Roman" w:cs="Times New Roman" w:eastAsia="Times New Roman" w:hAnsi="Times New Roman"/>
                <w:sz w:val="13"/>
                <w:szCs w:val="13"/>
                <w:color w:val="auto"/>
              </w:rPr>
              <w:t>Carter’s credit card - upfront bonus</w:t>
            </w:r>
            <w:r>
              <w:rPr>
                <w:rFonts w:ascii="Times New Roman" w:cs="Times New Roman" w:eastAsia="Times New Roman" w:hAnsi="Times New Roman"/>
                <w:sz w:val="16"/>
                <w:szCs w:val="16"/>
                <w:color w:val="auto"/>
                <w:vertAlign w:val="superscript"/>
              </w:rPr>
              <w:t>(1)</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714</w:t>
            </w:r>
          </w:p>
        </w:tc>
      </w:tr>
      <w:tr>
        <w:trPr>
          <w:trHeight w:val="185"/>
        </w:trPr>
        <w:tc>
          <w:tcPr>
            <w:tcW w:w="7240" w:type="dxa"/>
            <w:vAlign w:val="bottom"/>
            <w:tcBorders>
              <w:bottom w:val="single" w:sz="8" w:color="CCEEFF"/>
            </w:tcBorders>
            <w:shd w:val="clear" w:color="auto" w:fill="CCEEFF"/>
          </w:tcPr>
          <w:p>
            <w:pPr>
              <w:ind w:left="360"/>
              <w:spacing w:after="0" w:line="161" w:lineRule="exact"/>
              <w:rPr>
                <w:sz w:val="20"/>
                <w:szCs w:val="20"/>
                <w:color w:val="auto"/>
              </w:rPr>
            </w:pPr>
            <w:r>
              <w:rPr>
                <w:rFonts w:ascii="Times New Roman" w:cs="Times New Roman" w:eastAsia="Times New Roman" w:hAnsi="Times New Roman"/>
                <w:sz w:val="13"/>
                <w:szCs w:val="13"/>
                <w:color w:val="auto"/>
              </w:rPr>
              <w:t>Total contract liabilities - current</w:t>
            </w:r>
            <w:r>
              <w:rPr>
                <w:rFonts w:ascii="Times New Roman" w:cs="Times New Roman" w:eastAsia="Times New Roman" w:hAnsi="Times New Roman"/>
                <w:sz w:val="16"/>
                <w:szCs w:val="16"/>
                <w:color w:val="auto"/>
                <w:vertAlign w:val="superscript"/>
              </w:rPr>
              <w:t>(2)</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29,293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24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3"/>
                <w:szCs w:val="13"/>
                <w:color w:val="auto"/>
              </w:rPr>
              <w:t>Contract liabilities - non-current</w:t>
            </w:r>
            <w:r>
              <w:rPr>
                <w:rFonts w:ascii="Times New Roman" w:cs="Times New Roman" w:eastAsia="Times New Roman" w:hAnsi="Times New Roman"/>
                <w:sz w:val="16"/>
                <w:szCs w:val="16"/>
                <w:color w:val="auto"/>
                <w:vertAlign w:val="superscript"/>
              </w:rPr>
              <w:t>(3)</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r>
      <w:tr>
        <w:trPr>
          <w:trHeight w:val="160"/>
        </w:trPr>
        <w:tc>
          <w:tcPr>
            <w:tcW w:w="724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contract liabilities</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29,945</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30,722</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260" w:right="180" w:hanging="255"/>
        <w:spacing w:after="0" w:line="300" w:lineRule="auto"/>
        <w:tabs>
          <w:tab w:leader="none" w:pos="254"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received an upfront signing bonus from a third-party financial institution, which will be recognized as revenue on a straight-line basis over the term of the agreement. This amount reflects the current portion of this bonus to be recognized as revenue over the next twelve months.</w:t>
      </w:r>
    </w:p>
    <w:p>
      <w:pPr>
        <w:spacing w:after="0" w:line="2"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within Other current liabilities on the Company’s consolidated balance sheet.</w:t>
      </w:r>
    </w:p>
    <w:p>
      <w:pPr>
        <w:spacing w:after="0" w:line="4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reflects the non-current portion of the Carter’s credit card upfront bonus and is included within Other long-term liabilities on the Company’s consolidated balance sheet.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Composition of Contract Liabilities</w:t>
      </w:r>
    </w:p>
    <w:p>
      <w:pPr>
        <w:spacing w:after="0" w:line="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Unredeemed gift cards - the Company is obligated to transfer goods in the future to customers who have purchased gift cards. Periodic changes in the gift card contract liability result from the purchase of gift cards, the redemption of gift cards by customers and the recognition of estimated breakage revenue for those gift card balances that are not expected to be redeemed. The majority of our gift cards do not have an expiration date; however, all outstanding gift card balances are classified by the Company as current liabilities since gift cards are redeemable on demand by the valid holder. The majority of the Company’s gift cards are redeemed within one year of issuance. During fiscal 2023 and fiscal 2022, the Company recognized revenue of $9.4 million and $8.5 million related to the gift card liability balance that existed at December 31, 2022 and January 1, 2022, respectively.</w:t>
      </w:r>
    </w:p>
    <w:p>
      <w:pPr>
        <w:spacing w:after="0" w:line="11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Unredeemed loyalty rewards - points and reward certificates earned by customers under the Company’s loyalty program represent obligations of the Company to transfer goods to the customer upon redemption. Periodic changes in the loyalty program contract liability result from new rewards earned, reward certificate redemptions and expirations. The earning and redemption cycles for our loyalty program are under one year in duration.</w:t>
      </w:r>
    </w:p>
    <w:p>
      <w:pPr>
        <w:spacing w:after="0" w:line="1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Carter’s credit card - upfront bonus - the Company received an upfront bonus from a third-party financial institution, which will be recognized as revenue on a straight-line basis over the term of the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PROPERTY, PLANT, AND EQUIPMENT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net consists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7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16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3"/>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Land, building, and leasehold improvements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357,029</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332,971</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Fixtures, equipment, and computer hardware</w:t>
            </w: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302,747</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281,830</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Computer software</w:t>
            </w: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129,685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115,706</w:t>
            </w:r>
          </w:p>
        </w:tc>
      </w:tr>
      <w:tr>
        <w:trPr>
          <w:trHeight w:val="170"/>
        </w:trPr>
        <w:tc>
          <w:tcPr>
            <w:tcW w:w="746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Construction in progress</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9,557</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28,843</w:t>
            </w:r>
          </w:p>
        </w:tc>
      </w:tr>
      <w:tr>
        <w:trPr>
          <w:trHeight w:val="160"/>
        </w:trPr>
        <w:tc>
          <w:tcPr>
            <w:tcW w:w="7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799,018</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759,350</w:t>
            </w:r>
          </w:p>
        </w:tc>
      </w:tr>
      <w:tr>
        <w:trPr>
          <w:trHeight w:val="168"/>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 and amortization</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(615,907)</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(569,528)</w:t>
            </w:r>
          </w:p>
        </w:tc>
      </w:tr>
      <w:tr>
        <w:trPr>
          <w:trHeight w:val="18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183,111</w:t>
            </w:r>
          </w:p>
        </w:tc>
        <w:tc>
          <w:tcPr>
            <w:tcW w:w="1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189,822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Decrease relates primarily to retail store openings and remodels placed in service during fiscal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expense related to property, plant, and equipment was approximately $60.4 million, $61.5 million, and $90.4 million for fiscal years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LEASES</w:t>
      </w:r>
    </w:p>
    <w:p>
      <w:pPr>
        <w:spacing w:after="0" w:line="8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Company has operating leases for retail stores, distribution centers, corporate offices, data centers, and certain equipment. The Company’s leases generally have initial terms ranging from 3 year to 10 years, some of which may include options to extend the leases for up to 5 years, and some of which may include options to early terminate the lease.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periods presented, the Company’s finance leases were not material to the consolidated balance sheets, consolidated statements of operations, or statement of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components of lease expense are included in Selling, general, and administrative expenses on the Company’s consolidated statements of operations for the fiscal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For the fiscal year ended</w:t>
            </w: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r>
      <w:tr>
        <w:trPr>
          <w:trHeight w:val="164"/>
        </w:trPr>
        <w:tc>
          <w:tcPr>
            <w:tcW w:w="52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8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320" w:type="dxa"/>
            <w:vAlign w:val="bottom"/>
          </w:tcPr>
          <w:p>
            <w:pPr>
              <w:spacing w:after="0"/>
              <w:rPr>
                <w:sz w:val="14"/>
                <w:szCs w:val="14"/>
                <w:color w:val="auto"/>
              </w:rPr>
            </w:pPr>
          </w:p>
        </w:tc>
        <w:tc>
          <w:tcPr>
            <w:tcW w:w="166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cost</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171,072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160,210</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166,481</w:t>
            </w:r>
          </w:p>
        </w:tc>
      </w:tr>
      <w:tr>
        <w:trPr>
          <w:trHeight w:val="170"/>
        </w:trPr>
        <w:tc>
          <w:tcPr>
            <w:tcW w:w="520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Variable lease cost</w:t>
            </w:r>
            <w:r>
              <w:rPr>
                <w:rFonts w:ascii="Times New Roman" w:cs="Times New Roman" w:eastAsia="Times New Roman" w:hAnsi="Times New Roman"/>
                <w:sz w:val="16"/>
                <w:szCs w:val="16"/>
                <w:color w:val="auto"/>
                <w:vertAlign w:val="superscript"/>
              </w:rPr>
              <w:t>(*)</w:t>
            </w: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56,089</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66,400</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64,410</w:t>
            </w:r>
          </w:p>
        </w:tc>
      </w:tr>
      <w:tr>
        <w:trPr>
          <w:trHeight w:val="185"/>
        </w:trPr>
        <w:tc>
          <w:tcPr>
            <w:tcW w:w="5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lease cost</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227,161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226,610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230,891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short-term leases, which are not material, and any operating lease impairment charges.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40" w:type="dxa"/>
            <w:vAlign w:val="bottom"/>
          </w:tcPr>
          <w:p>
            <w:pPr>
              <w:spacing w:after="0"/>
              <w:rPr>
                <w:sz w:val="14"/>
                <w:szCs w:val="14"/>
                <w:color w:val="auto"/>
              </w:rPr>
            </w:pPr>
          </w:p>
        </w:tc>
        <w:tc>
          <w:tcPr>
            <w:tcW w:w="206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98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remaining operating lease term (years)</w:t>
            </w:r>
          </w:p>
        </w:tc>
        <w:tc>
          <w:tcPr>
            <w:tcW w:w="198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top w:val="single" w:sz="8" w:color="CCEEFF"/>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3"/>
                <w:szCs w:val="13"/>
                <w:color w:val="auto"/>
              </w:rPr>
              <w:t>4.7</w:t>
            </w:r>
          </w:p>
        </w:tc>
      </w:tr>
      <w:tr>
        <w:trPr>
          <w:trHeight w:val="165"/>
        </w:trPr>
        <w:tc>
          <w:tcPr>
            <w:tcW w:w="7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 for operating leases</w:t>
            </w:r>
          </w:p>
        </w:tc>
        <w:tc>
          <w:tcPr>
            <w:tcW w:w="198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4.63%</w:t>
            </w:r>
          </w:p>
        </w:tc>
        <w:tc>
          <w:tcPr>
            <w:tcW w:w="80" w:type="dxa"/>
            <w:vAlign w:val="bottom"/>
          </w:tcPr>
          <w:p>
            <w:pPr>
              <w:spacing w:after="0"/>
              <w:rPr>
                <w:sz w:val="14"/>
                <w:szCs w:val="14"/>
                <w:color w:val="auto"/>
              </w:rPr>
            </w:pPr>
          </w:p>
        </w:tc>
        <w:tc>
          <w:tcPr>
            <w:tcW w:w="1980" w:type="dxa"/>
            <w:vAlign w:val="bottom"/>
          </w:tcPr>
          <w:p>
            <w:pPr>
              <w:jc w:val="right"/>
              <w:ind w:right="756"/>
              <w:spacing w:after="0"/>
              <w:rPr>
                <w:sz w:val="20"/>
                <w:szCs w:val="20"/>
                <w:color w:val="auto"/>
              </w:rPr>
            </w:pPr>
            <w:r>
              <w:rPr>
                <w:rFonts w:ascii="Times New Roman" w:cs="Times New Roman" w:eastAsia="Times New Roman" w:hAnsi="Times New Roman"/>
                <w:sz w:val="13"/>
                <w:szCs w:val="13"/>
                <w:color w:val="auto"/>
              </w:rPr>
              <w:t>3.72%</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in fiscal 2023 and fiscal 2022 was $177.8 million and $172.9 million, respectively.</w:t>
      </w:r>
    </w:p>
    <w:p>
      <w:pPr>
        <w:spacing w:after="0" w:line="15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 in fiscal 2023 and fiscal 2022 were $184.6 million and $144.9 million, respectively. Operating lease assets obtained primarily consist of new or modified leases. In December 2023, the Company determined that it was reasonably certain to exercise the lease renewal options associated with the Braselton distribution center. As a result, the Company remeasured the operating lease to include the impact of renewal lease options, which increased both the operation lease liability and operating lease assets by approximately $21.5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30, 2023, the maturities of lease liabilities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151,446</w:t>
            </w:r>
          </w:p>
        </w:tc>
      </w:tr>
      <w:tr>
        <w:trPr>
          <w:trHeight w:val="168"/>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140,412</w:t>
            </w:r>
          </w:p>
        </w:tc>
      </w:tr>
      <w:tr>
        <w:trPr>
          <w:trHeight w:val="17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103,389</w:t>
            </w:r>
          </w:p>
        </w:tc>
      </w:tr>
      <w:tr>
        <w:trPr>
          <w:trHeight w:val="168"/>
        </w:trPr>
        <w:tc>
          <w:tcPr>
            <w:tcW w:w="9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75,562</w:t>
            </w:r>
          </w:p>
        </w:tc>
      </w:tr>
      <w:tr>
        <w:trPr>
          <w:trHeight w:val="17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55,867</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After 2028</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155,003</w:t>
            </w:r>
          </w:p>
        </w:tc>
      </w:tr>
      <w:tr>
        <w:trPr>
          <w:trHeight w:val="163"/>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lease payments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681,679</w:t>
            </w:r>
          </w:p>
        </w:tc>
      </w:tr>
      <w:tr>
        <w:trPr>
          <w:trHeight w:val="168"/>
        </w:trPr>
        <w:tc>
          <w:tcPr>
            <w:tcW w:w="9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Interest</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(97,500)</w:t>
            </w:r>
          </w:p>
        </w:tc>
      </w:tr>
      <w:tr>
        <w:trPr>
          <w:trHeight w:val="188"/>
        </w:trPr>
        <w:tc>
          <w:tcPr>
            <w:tcW w:w="9620" w:type="dxa"/>
            <w:vAlign w:val="bottom"/>
            <w:tcBorders>
              <w:bottom w:val="single" w:sz="8" w:color="CCEEFF"/>
            </w:tcBorders>
            <w:shd w:val="clear" w:color="auto" w:fill="CCEEFF"/>
          </w:tcPr>
          <w:p>
            <w:pPr>
              <w:ind w:left="100"/>
              <w:spacing w:after="0" w:line="163" w:lineRule="exact"/>
              <w:rPr>
                <w:sz w:val="20"/>
                <w:szCs w:val="20"/>
                <w:color w:val="auto"/>
              </w:rPr>
            </w:pPr>
            <w:r>
              <w:rPr>
                <w:rFonts w:ascii="Times New Roman" w:cs="Times New Roman" w:eastAsia="Times New Roman" w:hAnsi="Times New Roman"/>
                <w:sz w:val="13"/>
                <w:szCs w:val="13"/>
                <w:color w:val="auto"/>
              </w:rPr>
              <w:t>Present value of lease liabilities</w:t>
            </w:r>
            <w:r>
              <w:rPr>
                <w:rFonts w:ascii="Times New Roman" w:cs="Times New Roman" w:eastAsia="Times New Roman" w:hAnsi="Times New Roman"/>
                <w:sz w:val="16"/>
                <w:szCs w:val="16"/>
                <w:color w:val="auto"/>
                <w:vertAlign w:val="superscript"/>
              </w:rPr>
              <w:t>(*)</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584,179</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most of our leases do not provide an implicit rate, we use our incremental borrowing rate based on the information available at commencement date to determine the present value of lease payments.</w:t>
      </w:r>
    </w:p>
    <w:p>
      <w:pPr>
        <w:spacing w:after="0" w:line="152"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December 30, 2023, the minimum rental commitments for additional operating lease contracts, primarily for retail stores, that have not yet commenced are $15.5 million. These operating leases will commence in fiscal year 2024 with lease terms of 10 years.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GOODWILL AND OTHER INTANGIBLE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balances and changes in the carrying amount of Goodwill attributable to each segment were as follows: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340" w:type="dxa"/>
            <w:vAlign w:val="bottom"/>
          </w:tcPr>
          <w:p>
            <w:pPr>
              <w:spacing w:after="0"/>
              <w:rPr>
                <w:sz w:val="14"/>
                <w:szCs w:val="14"/>
                <w:color w:val="auto"/>
              </w:rPr>
            </w:pPr>
          </w:p>
        </w:tc>
        <w:tc>
          <w:tcPr>
            <w:tcW w:w="110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3"/>
        </w:trPr>
        <w:tc>
          <w:tcPr>
            <w:tcW w:w="5320" w:type="dxa"/>
            <w:vAlign w:val="bottom"/>
            <w:tcBorders>
              <w:top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3"/>
                <w:szCs w:val="13"/>
                <w:b w:val="1"/>
                <w:bCs w:val="1"/>
                <w:color w:val="auto"/>
              </w:rPr>
              <w:t>Balance at January 1 2022</w:t>
            </w:r>
            <w:r>
              <w:rPr>
                <w:rFonts w:ascii="Times New Roman" w:cs="Times New Roman" w:eastAsia="Times New Roman" w:hAnsi="Times New Roman"/>
                <w:sz w:val="16"/>
                <w:szCs w:val="16"/>
                <w:b w:val="1"/>
                <w:bCs w:val="1"/>
                <w:color w:val="auto"/>
                <w:vertAlign w:val="superscript"/>
              </w:rPr>
              <w:t>(*)</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53,635</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212,023</w:t>
            </w:r>
          </w:p>
        </w:tc>
        <w:tc>
          <w:tcPr>
            <w:tcW w:w="0" w:type="dxa"/>
            <w:vAlign w:val="bottom"/>
          </w:tcPr>
          <w:p>
            <w:pPr>
              <w:spacing w:after="0"/>
              <w:rPr>
                <w:sz w:val="1"/>
                <w:szCs w:val="1"/>
                <w:color w:val="auto"/>
              </w:rPr>
            </w:pPr>
          </w:p>
        </w:tc>
      </w:tr>
      <w:tr>
        <w:trPr>
          <w:trHeight w:val="168"/>
        </w:trPr>
        <w:tc>
          <w:tcPr>
            <w:tcW w:w="5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impact</w:t>
            </w:r>
          </w:p>
        </w:tc>
        <w:tc>
          <w:tcPr>
            <w:tcW w:w="24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w:t>
            </w:r>
          </w:p>
        </w:tc>
        <w:tc>
          <w:tcPr>
            <w:tcW w:w="0" w:type="dxa"/>
            <w:vAlign w:val="bottom"/>
          </w:tcPr>
          <w:p>
            <w:pPr>
              <w:spacing w:after="0"/>
              <w:rPr>
                <w:sz w:val="1"/>
                <w:szCs w:val="1"/>
                <w:color w:val="auto"/>
              </w:rPr>
            </w:pPr>
          </w:p>
        </w:tc>
      </w:tr>
      <w:tr>
        <w:trPr>
          <w:trHeight w:val="166"/>
        </w:trPr>
        <w:tc>
          <w:tcPr>
            <w:tcW w:w="5320" w:type="dxa"/>
            <w:vAlign w:val="bottom"/>
            <w:tcBorders>
              <w:top w:val="single" w:sz="8" w:color="CCEEFF"/>
              <w:bottom w:val="single" w:sz="8" w:color="CCEEFF"/>
            </w:tcBorders>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240" w:type="dxa"/>
            <w:vAlign w:val="bottom"/>
            <w:tcBorders>
              <w:top w:val="single" w:sz="8" w:color="auto"/>
              <w:bottom w:val="single" w:sz="8" w:color="auto"/>
            </w:tcBorders>
            <w:shd w:val="clear" w:color="auto" w:fill="CCEEFF"/>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50,945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209,333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Foreign currency impact</w:t>
            </w: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5320" w:type="dxa"/>
            <w:vAlign w:val="bottom"/>
            <w:tcBorders>
              <w:top w:val="single" w:sz="8" w:color="CCEEFF"/>
              <w:bottom w:val="single" w:sz="8" w:color="CCEEFF"/>
            </w:tcBorders>
            <w:vMerge w:val="continue"/>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1,204</w:t>
            </w:r>
          </w:p>
        </w:tc>
        <w:tc>
          <w:tcPr>
            <w:tcW w:w="80" w:type="dxa"/>
            <w:vAlign w:val="bottom"/>
            <w:tcBorders>
              <w:bottom w:val="single" w:sz="8" w:color="CCEEFF"/>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1,204</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52,149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210,537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Goodwill for the International reporting unit is net of accumulated impairment losses of $17.7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carrying value of the Company’s intangible assets were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28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00" w:type="dxa"/>
            <w:vAlign w:val="bottom"/>
          </w:tcPr>
          <w:p>
            <w:pPr>
              <w:spacing w:after="0"/>
              <w:rPr>
                <w:sz w:val="10"/>
                <w:szCs w:val="10"/>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00" w:type="dxa"/>
            <w:vAlign w:val="bottom"/>
          </w:tcPr>
          <w:p>
            <w:pPr>
              <w:spacing w:after="0"/>
              <w:rPr>
                <w:sz w:val="10"/>
                <w:szCs w:val="10"/>
                <w:color w:val="auto"/>
              </w:rPr>
            </w:pPr>
          </w:p>
        </w:tc>
        <w:tc>
          <w:tcPr>
            <w:tcW w:w="1300" w:type="dxa"/>
            <w:vAlign w:val="bottom"/>
            <w:gridSpan w:val="2"/>
          </w:tcPr>
          <w:p>
            <w:pPr>
              <w:jc w:val="center"/>
              <w:ind w:right="18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100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Gross amount</w:t>
            </w:r>
          </w:p>
        </w:tc>
        <w:tc>
          <w:tcPr>
            <w:tcW w:w="100" w:type="dxa"/>
            <w:vAlign w:val="bottom"/>
          </w:tcPr>
          <w:p>
            <w:pPr>
              <w:spacing w:after="0"/>
              <w:rPr>
                <w:sz w:val="10"/>
                <w:szCs w:val="10"/>
                <w:color w:val="auto"/>
              </w:rPr>
            </w:pPr>
          </w:p>
        </w:tc>
        <w:tc>
          <w:tcPr>
            <w:tcW w:w="1320" w:type="dxa"/>
            <w:vAlign w:val="bottom"/>
            <w:gridSpan w:val="2"/>
          </w:tcPr>
          <w:p>
            <w:pPr>
              <w:jc w:val="center"/>
              <w:ind w:right="200"/>
              <w:spacing w:after="0" w:line="123"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88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Net amount</w:t>
            </w:r>
          </w:p>
        </w:tc>
        <w:tc>
          <w:tcPr>
            <w:tcW w:w="0" w:type="dxa"/>
            <w:vAlign w:val="bottom"/>
          </w:tcPr>
          <w:p>
            <w:pPr>
              <w:spacing w:after="0"/>
              <w:rPr>
                <w:sz w:val="1"/>
                <w:szCs w:val="1"/>
                <w:color w:val="auto"/>
              </w:rPr>
            </w:pPr>
          </w:p>
        </w:tc>
      </w:tr>
      <w:tr>
        <w:trPr>
          <w:trHeight w:val="169"/>
        </w:trPr>
        <w:tc>
          <w:tcPr>
            <w:tcW w:w="2660" w:type="dxa"/>
            <w:vAlign w:val="bottom"/>
            <w:vMerge w:val="continue"/>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40" w:type="dxa"/>
            <w:vAlign w:val="bottom"/>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amortization</w:t>
            </w: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 xml:space="preserve">Carter’s </w:t>
            </w:r>
            <w:r>
              <w:rPr>
                <w:rFonts w:ascii="Times New Roman" w:cs="Times New Roman" w:eastAsia="Times New Roman" w:hAnsi="Times New Roman"/>
                <w:sz w:val="13"/>
                <w:szCs w:val="13"/>
                <w:color w:val="auto"/>
              </w:rPr>
              <w:t>tradename</w:t>
            </w: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0" w:type="dxa"/>
            <w:vAlign w:val="bottom"/>
          </w:tcPr>
          <w:p>
            <w:pPr>
              <w:spacing w:after="0"/>
              <w:rPr>
                <w:sz w:val="1"/>
                <w:szCs w:val="1"/>
                <w:color w:val="auto"/>
              </w:rPr>
            </w:pPr>
          </w:p>
        </w:tc>
      </w:tr>
      <w:tr>
        <w:trPr>
          <w:trHeight w:val="169"/>
        </w:trPr>
        <w:tc>
          <w:tcPr>
            <w:tcW w:w="26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 xml:space="preserve">OshKosh </w:t>
            </w:r>
            <w:r>
              <w:rPr>
                <w:rFonts w:ascii="Times New Roman" w:cs="Times New Roman" w:eastAsia="Times New Roman" w:hAnsi="Times New Roman"/>
                <w:sz w:val="13"/>
                <w:szCs w:val="13"/>
                <w:color w:val="auto"/>
              </w:rPr>
              <w:t>tradename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71"/>
        </w:trPr>
        <w:tc>
          <w:tcPr>
            <w:tcW w:w="26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3"/>
                <w:szCs w:val="13"/>
                <w:i w:val="1"/>
                <w:iCs w:val="1"/>
                <w:color w:val="auto"/>
              </w:rPr>
              <w:t xml:space="preserve">Skip Hop </w:t>
            </w:r>
            <w:r>
              <w:rPr>
                <w:rFonts w:ascii="Times New Roman" w:cs="Times New Roman" w:eastAsia="Times New Roman" w:hAnsi="Times New Roman"/>
                <w:sz w:val="13"/>
                <w:szCs w:val="13"/>
                <w:color w:val="auto"/>
              </w:rPr>
              <w:t>tradename</w:t>
            </w:r>
            <w:r>
              <w:rPr>
                <w:rFonts w:ascii="Times New Roman" w:cs="Times New Roman" w:eastAsia="Times New Roman" w:hAnsi="Times New Roman"/>
                <w:sz w:val="16"/>
                <w:szCs w:val="16"/>
                <w:color w:val="auto"/>
                <w:vertAlign w:val="superscript"/>
              </w:rPr>
              <w:t>(1)</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Indefinite</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0" w:type="dxa"/>
            <w:vAlign w:val="bottom"/>
          </w:tcPr>
          <w:p>
            <w:pPr>
              <w:spacing w:after="0"/>
              <w:rPr>
                <w:sz w:val="1"/>
                <w:szCs w:val="1"/>
                <w:color w:val="auto"/>
              </w:rPr>
            </w:pPr>
          </w:p>
        </w:tc>
      </w:tr>
      <w:tr>
        <w:trPr>
          <w:trHeight w:val="170"/>
        </w:trPr>
        <w:tc>
          <w:tcPr>
            <w:tcW w:w="2660" w:type="dxa"/>
            <w:vAlign w:val="bottom"/>
            <w:tcBorders>
              <w:bottom w:val="single" w:sz="8" w:color="CCEEFF"/>
            </w:tcBorders>
          </w:tcPr>
          <w:p>
            <w:pPr>
              <w:spacing w:after="0" w:line="170" w:lineRule="exact"/>
              <w:rPr>
                <w:sz w:val="20"/>
                <w:szCs w:val="20"/>
                <w:color w:val="auto"/>
              </w:rPr>
            </w:pPr>
            <w:r>
              <w:rPr>
                <w:rFonts w:ascii="Times New Roman" w:cs="Times New Roman" w:eastAsia="Times New Roman" w:hAnsi="Times New Roman"/>
                <w:sz w:val="13"/>
                <w:szCs w:val="13"/>
                <w:color w:val="auto"/>
              </w:rPr>
              <w:t>Finite-life tradenames</w:t>
            </w:r>
            <w:r>
              <w:rPr>
                <w:rFonts w:ascii="Times New Roman" w:cs="Times New Roman" w:eastAsia="Times New Roman" w:hAnsi="Times New Roman"/>
                <w:sz w:val="16"/>
                <w:szCs w:val="16"/>
                <w:color w:val="auto"/>
                <w:vertAlign w:val="superscript"/>
              </w:rPr>
              <w:t>(2)</w:t>
            </w:r>
          </w:p>
        </w:tc>
        <w:tc>
          <w:tcPr>
            <w:tcW w:w="12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5 - 20 years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1,953</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0" w:type="dxa"/>
            <w:vAlign w:val="bottom"/>
          </w:tcPr>
          <w:p>
            <w:pPr>
              <w:spacing w:after="0"/>
              <w:rPr>
                <w:sz w:val="1"/>
                <w:szCs w:val="1"/>
                <w:color w:val="auto"/>
              </w:rPr>
            </w:pPr>
          </w:p>
        </w:tc>
      </w:tr>
      <w:tr>
        <w:trPr>
          <w:trHeight w:val="185"/>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tradenames, net</w:t>
            </w: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300,144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298,186</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300,144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298,393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2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Skip Hop customer relationships</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15 years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25,937</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29,113</w:t>
            </w:r>
          </w:p>
        </w:tc>
        <w:tc>
          <w:tcPr>
            <w:tcW w:w="0" w:type="dxa"/>
            <w:vAlign w:val="bottom"/>
          </w:tcPr>
          <w:p>
            <w:pPr>
              <w:spacing w:after="0"/>
              <w:rPr>
                <w:sz w:val="1"/>
                <w:szCs w:val="1"/>
                <w:color w:val="auto"/>
              </w:rPr>
            </w:pPr>
          </w:p>
        </w:tc>
      </w:tr>
      <w:tr>
        <w:trPr>
          <w:trHeight w:val="168"/>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Carter’s Mexico customer relationships</w:t>
            </w:r>
          </w:p>
        </w:tc>
        <w:tc>
          <w:tcPr>
            <w:tcW w:w="12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 years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3,324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120" w:type="dxa"/>
            <w:vAlign w:val="bottom"/>
            <w:tcBorders>
              <w:bottom w:val="single" w:sz="8" w:color="CCEEFF"/>
              <w:right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1,451</w:t>
            </w: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customer relationships, net</w:t>
            </w: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50,624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27,238</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50,425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19,861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30,564</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260" w:right="360" w:hanging="255"/>
        <w:spacing w:after="0" w:line="303" w:lineRule="auto"/>
        <w:tabs>
          <w:tab w:leader="none" w:pos="254"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In fiscal 2022, impairment charges of $5.6 million, $3.0 million, and $0.4 million were recorded on our indefinite-lived </w:t>
      </w:r>
      <w:r>
        <w:rPr>
          <w:rFonts w:ascii="Times New Roman" w:cs="Times New Roman" w:eastAsia="Times New Roman" w:hAnsi="Times New Roman"/>
          <w:sz w:val="11"/>
          <w:szCs w:val="11"/>
          <w:i w:val="1"/>
          <w:iCs w:val="1"/>
          <w:color w:val="auto"/>
        </w:rPr>
        <w:t>Skip Hop</w:t>
      </w:r>
      <w:r>
        <w:rPr>
          <w:rFonts w:ascii="Times New Roman" w:cs="Times New Roman" w:eastAsia="Times New Roman" w:hAnsi="Times New Roman"/>
          <w:sz w:val="11"/>
          <w:szCs w:val="11"/>
          <w:color w:val="auto"/>
        </w:rPr>
        <w:t xml:space="preserve"> tradename asset in the U.S. Wholesale, International, and U.S. Retail segments, respectively, to reflect the impairment of the value ascribed to the indefinite-lived </w:t>
      </w:r>
      <w:r>
        <w:rPr>
          <w:rFonts w:ascii="Times New Roman" w:cs="Times New Roman" w:eastAsia="Times New Roman" w:hAnsi="Times New Roman"/>
          <w:sz w:val="11"/>
          <w:szCs w:val="11"/>
          <w:i w:val="1"/>
          <w:iCs w:val="1"/>
          <w:color w:val="auto"/>
        </w:rPr>
        <w:t>Skip Hop</w:t>
      </w:r>
      <w:r>
        <w:rPr>
          <w:rFonts w:ascii="Times New Roman" w:cs="Times New Roman" w:eastAsia="Times New Roman" w:hAnsi="Times New Roman"/>
          <w:sz w:val="11"/>
          <w:szCs w:val="11"/>
          <w:color w:val="auto"/>
        </w:rPr>
        <w:t xml:space="preserve"> tradename asset.</w:t>
      </w:r>
    </w:p>
    <w:p>
      <w:pPr>
        <w:ind w:left="260" w:hanging="255"/>
        <w:spacing w:after="0"/>
        <w:tabs>
          <w:tab w:leader="none" w:pos="260"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Relates to the acquisition of rights to the Carter’s brand in Chile in December 2014 and the acquisition of the Skip Hop brand in February 2017.</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values of goodwill and indefinite-lived tradename assets are subject to annual impairment reviews as of the last day of each fiscal year. Between annual assessments, impairment reviews may also be triggered by any significant events or changes in circumstances affecting our business. These impairment reviews are performed in accordance with ASC 350, “</w:t>
      </w:r>
      <w:r>
        <w:rPr>
          <w:rFonts w:ascii="Times New Roman" w:cs="Times New Roman" w:eastAsia="Times New Roman" w:hAnsi="Times New Roman"/>
          <w:sz w:val="14"/>
          <w:szCs w:val="14"/>
          <w:i w:val="1"/>
          <w:iCs w:val="1"/>
          <w:color w:val="auto"/>
        </w:rPr>
        <w:t>Intangibles--Goodwill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Other” </w:t>
      </w:r>
      <w:r>
        <w:rPr>
          <w:rFonts w:ascii="Times New Roman" w:cs="Times New Roman" w:eastAsia="Times New Roman" w:hAnsi="Times New Roman"/>
          <w:sz w:val="14"/>
          <w:szCs w:val="14"/>
          <w:color w:val="auto"/>
        </w:rPr>
        <w:t>(“ASC 350”).</w:t>
      </w:r>
    </w:p>
    <w:p>
      <w:pPr>
        <w:spacing w:after="0" w:line="104"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 xml:space="preserve">In fiscal 2022, the Company performed a quantitative impairment test on the goodwill ascribed to each of the Company’s reporting units and on the value of its indefinite-lived intangible tradename assets as of December 31, 2022 due to increased discount rates, decreased actual and projected sales and profitability, and the announcement of the substantial doubt of a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wholesale customer’s ability to continue to operate as a going concern.</w:t>
      </w:r>
    </w:p>
    <w:p>
      <w:pPr>
        <w:spacing w:after="0" w:line="11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Based upon this assessment, there were no impairments on the value of goodwill.</w:t>
      </w:r>
    </w:p>
    <w:p>
      <w:pPr>
        <w:spacing w:after="0" w:line="10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 xml:space="preserve">The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a non-cash pre-tax impairment charge of $9.0 million was recorded during the fourth quarter of fiscal 2022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to write-down the carrying value to $6.0 million. The charge recorded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w:t>
      </w:r>
    </w:p>
    <w:p>
      <w:pPr>
        <w:spacing w:after="0" w:line="11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Based upon our most recent annual assessment, performed as of December 30, 2023, using a qualitative assessment, there were no impairments to the value of goodwill or our indefinite-lived tradename assets.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Changes in the carrying values between comparative periods for goodwill related to the International segment were due to fluctuations in the foreign currency exchange rates between the Canadian and U.S. dollar that were used in the remeasurement process for preparing the Company’s consolidated financial statements. The changes in the carrying value of customer relationships for Carter’s Mexico, including the related accumulated amortization, that were not attributable to amortization expense was also impacted by foreign currency exchange rate fluctuations.</w:t>
      </w:r>
    </w:p>
    <w:p>
      <w:pPr>
        <w:spacing w:after="0" w:line="10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Amortization expense for intangible assets subject to amortization was approximately $3.7 million for each of fiscal years 2023, 2022, and 2021. Amortization expense is included in SG&amp;A expenses on the Company’s consolidated statements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estimated amortization expense for the next five fiscal years is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Amortization expense</w:t>
            </w:r>
          </w:p>
        </w:tc>
      </w:tr>
      <w:tr>
        <w:trPr>
          <w:trHeight w:val="16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3,717</w:t>
            </w:r>
          </w:p>
        </w:tc>
      </w:tr>
      <w:tr>
        <w:trPr>
          <w:trHeight w:val="17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w:t>
            </w:r>
          </w:p>
        </w:tc>
      </w:tr>
      <w:tr>
        <w:trPr>
          <w:trHeight w:val="168"/>
        </w:trPr>
        <w:tc>
          <w:tcPr>
            <w:tcW w:w="9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w:t>
            </w:r>
          </w:p>
        </w:tc>
      </w:tr>
      <w:tr>
        <w:trPr>
          <w:trHeight w:val="172"/>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PREPAID EXPENSES AND OTHER CURRENT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expenses and other current assets at the end of any comparable period,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0" w:type="dxa"/>
            <w:vAlign w:val="bottom"/>
          </w:tcPr>
          <w:p>
            <w:pPr>
              <w:spacing w:after="0"/>
              <w:rPr>
                <w:sz w:val="1"/>
                <w:szCs w:val="1"/>
                <w:color w:val="auto"/>
              </w:rPr>
            </w:pPr>
          </w:p>
        </w:tc>
      </w:tr>
      <w:tr>
        <w:trPr>
          <w:trHeight w:val="16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information technology-related contracts(*)</w:t>
            </w: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11,504</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12,652</w:t>
            </w:r>
          </w:p>
        </w:tc>
        <w:tc>
          <w:tcPr>
            <w:tcW w:w="0" w:type="dxa"/>
            <w:vAlign w:val="bottom"/>
          </w:tcPr>
          <w:p>
            <w:pPr>
              <w:spacing w:after="0"/>
              <w:rPr>
                <w:sz w:val="1"/>
                <w:szCs w:val="1"/>
                <w:color w:val="auto"/>
              </w:rPr>
            </w:pP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income taxes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0" w:type="dxa"/>
            <w:vAlign w:val="bottom"/>
          </w:tcPr>
          <w:p>
            <w:pPr>
              <w:spacing w:after="0"/>
              <w:rPr>
                <w:sz w:val="1"/>
                <w:szCs w:val="1"/>
                <w:color w:val="auto"/>
              </w:rPr>
            </w:pPr>
          </w:p>
        </w:tc>
      </w:tr>
      <w:tr>
        <w:trPr>
          <w:trHeight w:val="1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insurance</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w:t>
            </w:r>
          </w:p>
        </w:tc>
        <w:tc>
          <w:tcPr>
            <w:tcW w:w="0" w:type="dxa"/>
            <w:vAlign w:val="bottom"/>
          </w:tcPr>
          <w:p>
            <w:pPr>
              <w:spacing w:after="0"/>
              <w:rPr>
                <w:sz w:val="1"/>
                <w:szCs w:val="1"/>
                <w:color w:val="auto"/>
              </w:rPr>
            </w:pPr>
          </w:p>
        </w:tc>
      </w:tr>
      <w:tr>
        <w:trPr>
          <w:trHeight w:val="168"/>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13,102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17,917</w:t>
            </w:r>
          </w:p>
        </w:tc>
        <w:tc>
          <w:tcPr>
            <w:tcW w:w="0" w:type="dxa"/>
            <w:vAlign w:val="bottom"/>
          </w:tcPr>
          <w:p>
            <w:pPr>
              <w:spacing w:after="0"/>
              <w:rPr>
                <w:sz w:val="1"/>
                <w:szCs w:val="1"/>
                <w:color w:val="auto"/>
              </w:rPr>
            </w:pPr>
          </w:p>
        </w:tc>
      </w:tr>
      <w:tr>
        <w:trPr>
          <w:trHeight w:val="188"/>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29,131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33,812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  Primarily related to cloud computing arrangements and software maintenance contracts.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7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OTHER CURRENT LIABILITIES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current liabilities at the end of any comparable period,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3"/>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Unredeemed gift cards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25,162</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23,303</w:t>
            </w:r>
          </w:p>
        </w:tc>
      </w:tr>
      <w:tr>
        <w:trPr>
          <w:trHeight w:val="170"/>
        </w:trPr>
        <w:tc>
          <w:tcPr>
            <w:tcW w:w="75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Accrued bonuses and incentive compensation</w:t>
            </w:r>
            <w:r>
              <w:rPr>
                <w:rFonts w:ascii="Times New Roman" w:cs="Times New Roman" w:eastAsia="Times New Roman" w:hAnsi="Times New Roman"/>
                <w:sz w:val="16"/>
                <w:szCs w:val="16"/>
                <w:color w:val="auto"/>
                <w:vertAlign w:val="superscript"/>
              </w:rPr>
              <w:t>(*)</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7,244</w:t>
            </w:r>
          </w:p>
        </w:tc>
      </w:tr>
      <w:tr>
        <w:trPr>
          <w:trHeight w:val="17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employee benefits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16,356</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taxes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10,445</w:t>
            </w:r>
          </w:p>
        </w:tc>
      </w:tr>
      <w:tr>
        <w:trPr>
          <w:trHeight w:val="17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payable</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17,484</w:t>
            </w:r>
          </w:p>
        </w:tc>
      </w:tr>
      <w:tr>
        <w:trPr>
          <w:trHeight w:val="168"/>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salaries and wages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12,458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w:t>
            </w:r>
          </w:p>
        </w:tc>
      </w:tr>
      <w:tr>
        <w:trPr>
          <w:trHeight w:val="17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other</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32,373</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36,088</w:t>
            </w:r>
          </w:p>
        </w:tc>
      </w:tr>
      <w:tr>
        <w:trPr>
          <w:trHeight w:val="163"/>
        </w:trPr>
        <w:tc>
          <w:tcPr>
            <w:tcW w:w="75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134,344</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122,439</w:t>
            </w: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1"/>
          <w:szCs w:val="11"/>
          <w:color w:val="auto"/>
        </w:rPr>
        <w:t>(*)</w:t>
        <w:tab/>
        <w:t>Increase primarily related to lower than forecasted financial performance in fiscal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SUPPLIER FINANCE PROGRAM</w:t>
      </w:r>
    </w:p>
    <w:p>
      <w:pPr>
        <w:spacing w:after="0" w:line="85"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4"/>
          <w:szCs w:val="14"/>
          <w:color w:val="auto"/>
        </w:rPr>
        <w:t>We have established a voluntary supply chain finance (“SCF”) program through participating financial institutions. This SCF program enables participating suppliers to accelerate payments for receivables due from the Company by selling them directly to the participating financial institutions at their discretion. As of December 30, 2023, the SCF program has a $70.0 million revolving capacity. We are not a party to the agreements between the participating financial institutions and the suppliers in connection with the SCF program. Payment terms for most of our suppliers are 60 days, regardless of participation in the SCF program. The Company does not provide any guarantees under the SCF program.</w:t>
      </w:r>
    </w:p>
    <w:p>
      <w:pPr>
        <w:spacing w:after="0" w:line="109"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The Company’s liability related to amounts payable to the participating financial institution for suppliers who voluntarily participate in the SCF program are included in Accounts payable on our consolidated balance sheets. As of December 30,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and December 31, 2022, amounts under the SCF program included in Accounts payable were $14.8 million and $16.5 million, respectively. Payments made in connection with the SCF program, like payments of other accounts payable, are reflected as a reduction to our operating cash flow.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Long-term debt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20" w:type="dxa"/>
            <w:vAlign w:val="bottom"/>
          </w:tcPr>
          <w:p>
            <w:pPr>
              <w:spacing w:after="0"/>
              <w:rPr>
                <w:sz w:val="14"/>
                <w:szCs w:val="14"/>
                <w:color w:val="auto"/>
              </w:rPr>
            </w:pPr>
          </w:p>
        </w:tc>
        <w:tc>
          <w:tcPr>
            <w:tcW w:w="150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3"/>
        </w:trPr>
        <w:tc>
          <w:tcPr>
            <w:tcW w:w="77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$500 million, 5.625% Senior Notes due 2027</w:t>
            </w: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500,000</w:t>
            </w:r>
          </w:p>
        </w:tc>
      </w:tr>
      <w:tr>
        <w:trPr>
          <w:trHeight w:val="168"/>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Less: unamortized issuance-related costs for senior notes</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(2,646)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(3,376)</w:t>
            </w:r>
          </w:p>
        </w:tc>
      </w:tr>
      <w:tr>
        <w:trPr>
          <w:trHeight w:val="163"/>
        </w:trPr>
        <w:tc>
          <w:tcPr>
            <w:tcW w:w="77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Senior notes, net</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496,624</w:t>
            </w:r>
          </w:p>
        </w:tc>
      </w:tr>
      <w:tr>
        <w:trPr>
          <w:trHeight w:val="168"/>
        </w:trPr>
        <w:tc>
          <w:tcPr>
            <w:tcW w:w="7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Secured revolving credit facility</w:t>
            </w:r>
          </w:p>
        </w:tc>
        <w:tc>
          <w:tcPr>
            <w:tcW w:w="200" w:type="dxa"/>
            <w:vAlign w:val="bottom"/>
          </w:tcPr>
          <w:p>
            <w:pPr>
              <w:spacing w:after="0"/>
              <w:rPr>
                <w:sz w:val="14"/>
                <w:szCs w:val="14"/>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w:t>
            </w:r>
          </w:p>
        </w:tc>
      </w:tr>
      <w:tr>
        <w:trPr>
          <w:trHeight w:val="185"/>
        </w:trPr>
        <w:tc>
          <w:tcPr>
            <w:tcW w:w="7760" w:type="dxa"/>
            <w:vAlign w:val="bottom"/>
            <w:tcBorders>
              <w:top w:val="single" w:sz="8" w:color="CCEEFF"/>
              <w:bottom w:val="single" w:sz="8" w:color="CCEEFF"/>
            </w:tcBorders>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rPr>
              <w:t>Total long-term debt, net</w:t>
            </w: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616,624</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Secured Revolving Credit Facility</w:t>
      </w:r>
    </w:p>
    <w:p>
      <w:pPr>
        <w:spacing w:after="0" w:line="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of December 30, 2023, the Company had no outstanding borrowings under its secured revolving credit facility, exclusive of $4.4 million of outstanding letters of credit. As of December 31, 2022, the Company had $120.0 million outstanding borrowings under its secured revolving credit facility, exclusive of $3.5 million of outstanding letters of credit. As of December 30, 2023 and December 31, 2022, there was approximately $845.6 million and $726.5 million available for future borrowing, respectively. All outstanding borrowings under the Company’s secured revolving credit facility are classified as non-current liabilities on the Company’s consolidated balance sheets due to contractual repayment terms under the credit facility.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17, 2023, Carter’s Holdings B.V., a subsidiary of the Company, was released from its obligations under the secured revolving credit facility.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of the Secured Revolving Credit Facility</w:t>
      </w:r>
    </w:p>
    <w:p>
      <w:pPr>
        <w:spacing w:after="0" w:line="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secured revolving credit facility provides for an aggregate credit line of $850.0 million which includes a $750.0 million U.S. dollar facility and a $100.0 million multicurrency facility. The credit facility matures in April 2027. The facility contains covenants that restrict the Company’s ability to, among other things: (i) create or incur liens, debt, guarantees or other investments, (ii) engage in mergers and consolidations, (iii) pay dividends or other distributions to, and redemptions and repurchases from, equity holders, (iv) prepay, redeem or repurchase subordinated or junior debt, (v) amend organizational documents, and (vi) engage in certain transactions with affiliates.</w:t>
      </w:r>
    </w:p>
    <w:p>
      <w:pPr>
        <w:spacing w:after="0" w:line="45"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On April 11, 2022, the Company, through TWCC entered into Amendment No. 4 to its fourth amended and restated credit agreement (“Amendment No. 4”) that, among other things, increased the borrowing capacity of the secured revolving credit facility to $850.0 million (combined U.S. dollar and multicurrency facility borrowings), extended the maturity of the secured revolving credit facility from September 2023 to April 2027, and reduced the number of financial maintenance covenants from two to one.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particular, Amendment No. 4 provides for the following:</w:t>
      </w:r>
    </w:p>
    <w:p>
      <w:pPr>
        <w:spacing w:after="0" w:line="83" w:lineRule="exact"/>
        <w:rPr>
          <w:sz w:val="20"/>
          <w:szCs w:val="20"/>
          <w:color w:val="auto"/>
        </w:rPr>
      </w:pPr>
    </w:p>
    <w:p>
      <w:pPr>
        <w:ind w:left="520" w:right="8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increases the borrowing capacity of the secured revolving credit facility from $750 million to $850 million (the U.S. Dollar facility commitment increases to $750 million from $650 million and the multicurrency facility commitment remains at $100 million);</w:t>
      </w:r>
    </w:p>
    <w:p>
      <w:pPr>
        <w:spacing w:after="0" w:line="28" w:lineRule="exact"/>
        <w:rPr>
          <w:rFonts w:ascii="Times New Roman" w:cs="Times New Roman" w:eastAsia="Times New Roman" w:hAnsi="Times New Roman"/>
          <w:sz w:val="14"/>
          <w:szCs w:val="14"/>
          <w:b w:val="1"/>
          <w:bCs w:val="1"/>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extends the maturity of the secured revolving credit facility from September 2023 to April 2027;</w:t>
      </w:r>
    </w:p>
    <w:p>
      <w:pPr>
        <w:spacing w:after="0" w:line="72" w:lineRule="exact"/>
        <w:rPr>
          <w:rFonts w:ascii="Times New Roman" w:cs="Times New Roman" w:eastAsia="Times New Roman" w:hAnsi="Times New Roman"/>
          <w:sz w:val="14"/>
          <w:szCs w:val="14"/>
          <w:b w:val="1"/>
          <w:bCs w:val="1"/>
          <w:color w:val="auto"/>
        </w:rPr>
      </w:pPr>
    </w:p>
    <w:p>
      <w:pPr>
        <w:ind w:left="520" w:right="4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adds a springing maturity date component, which states that if the Company has not redeemed or refinanced at least $250 million of the senior notes due 2027 prior to the 91st day before the maturity of the senior notes due March 15, 2027, then the maturity date of the secured revolving credit facility will be the 91st day before the original maturity of the senior notes due 2027;</w:t>
      </w:r>
    </w:p>
    <w:p>
      <w:pPr>
        <w:spacing w:after="0" w:line="28" w:lineRule="exact"/>
        <w:rPr>
          <w:rFonts w:ascii="Times New Roman" w:cs="Times New Roman" w:eastAsia="Times New Roman" w:hAnsi="Times New Roman"/>
          <w:sz w:val="14"/>
          <w:szCs w:val="14"/>
          <w:b w:val="1"/>
          <w:bCs w:val="1"/>
          <w:color w:val="auto"/>
        </w:rPr>
      </w:pPr>
    </w:p>
    <w:p>
      <w:pPr>
        <w:ind w:left="520" w:right="60" w:hanging="260"/>
        <w:spacing w:after="0" w:line="270"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reduces the number of financial maintenance covenants from two to one. The Lease Adjusted Leverage Ratio has been simplified to a Consolidated Total Leverage Ratio and the Consolidated Fixed Charge Coverage Ratio has been eliminated. The Consolidated Total Leverage Ratio maximum permitted shall be 3.50:1.00 and temporarily increases to 4.00:1:00 in the event of a Material Acquisition;</w:t>
      </w:r>
    </w:p>
    <w:p>
      <w:pPr>
        <w:spacing w:after="0" w:line="40" w:lineRule="exact"/>
        <w:rPr>
          <w:rFonts w:ascii="Times New Roman" w:cs="Times New Roman" w:eastAsia="Times New Roman" w:hAnsi="Times New Roman"/>
          <w:sz w:val="14"/>
          <w:szCs w:val="14"/>
          <w:b w:val="1"/>
          <w:bCs w:val="1"/>
          <w:color w:val="auto"/>
        </w:rPr>
      </w:pPr>
    </w:p>
    <w:p>
      <w:pPr>
        <w:ind w:left="520" w:right="380" w:hanging="260"/>
        <w:spacing w:after="0" w:line="287" w:lineRule="auto"/>
        <w:tabs>
          <w:tab w:leader="none" w:pos="516" w:val="left"/>
        </w:tabs>
        <w:numPr>
          <w:ilvl w:val="0"/>
          <w:numId w:val="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Term Benchmark Loans bear interest at a rate determined by reference to the Adjusted Term SOFR (Secured Overnight Financing Rate), CDOR (Canadian Dollar Offered Rate), or the Adjusted EURIBOR (Euro Interbank</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left="520" w:right="180"/>
        <w:spacing w:after="0" w:line="287" w:lineRule="auto"/>
        <w:rPr>
          <w:sz w:val="20"/>
          <w:szCs w:val="20"/>
          <w:color w:val="auto"/>
        </w:rPr>
      </w:pPr>
      <w:r>
        <w:rPr>
          <w:rFonts w:ascii="Times New Roman" w:cs="Times New Roman" w:eastAsia="Times New Roman" w:hAnsi="Times New Roman"/>
          <w:sz w:val="14"/>
          <w:szCs w:val="14"/>
          <w:color w:val="auto"/>
        </w:rPr>
        <w:t>Offered Rate). Each Term Benchmark Loan is subject to interest charges equal to the per annum respective benchmark rate plus an initial applicable rate of 1.375% which may be adjusted from 1.125% to 1.625% based upon a leverage-based pricing schedule; and</w:t>
      </w:r>
    </w:p>
    <w:p>
      <w:pPr>
        <w:spacing w:after="0" w:line="29" w:lineRule="exact"/>
        <w:rPr>
          <w:sz w:val="20"/>
          <w:szCs w:val="20"/>
          <w:color w:val="auto"/>
        </w:rPr>
      </w:pPr>
    </w:p>
    <w:p>
      <w:pPr>
        <w:ind w:left="520" w:right="140" w:hanging="260"/>
        <w:spacing w:after="0" w:line="264" w:lineRule="auto"/>
        <w:tabs>
          <w:tab w:leader="none" w:pos="516" w:val="left"/>
        </w:tabs>
        <w:numPr>
          <w:ilvl w:val="0"/>
          <w:numId w:val="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Base, Prime, and Overnight Rate Loans are subject to interest charges equal to the per annum, respective, benchmark rate plus an initial applicable rate of 0.375% which may be adjusted from 0.125% to 0.625% based upon a leverage-based pricing schedule. An Applicable Commitment Fee initially equal to 0.20% per annum and ranging from 0.15% per annum to 0.25% per annum, based upon a leverage-based pricing grid, is payable quarterly in arrears with respect to the average daily unused portion of the revolving loan commitments. Capitalized items are Defined Terms pursuant to Amendment No. 4, dated as of April 11, 2022.</w:t>
      </w:r>
    </w:p>
    <w:p>
      <w:pPr>
        <w:spacing w:after="0" w:line="109"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Approximately $2.4 million, including both bank fees and other third-party expenses, was capitalized in fiscal 2022 in connection with Amendment No. 4 and is being amortized over the remaining term of the secured revolving credit facility.</w:t>
      </w:r>
    </w:p>
    <w:p>
      <w:pPr>
        <w:spacing w:after="0" w:line="9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As of December 30, 2023, the interest rate margins applicable to the amended revolving credit facility were 1.375% for adjusted term SOFR rate loans and 0.375% for base rate loans. As of December 30, 2023, any U.S. dollar borrowings outstanding under the secured revolving credit facility would have accrued interest at an adjusted term SOFR rate plus the applicable margin, which would have resulted in a borrowing rate of 6.82%. There were no foreign currency borrowings outstanding on December 30, 2023 or December 31,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30, 2023, the Company was in compliance with its financial and other covenants under the secured revolving credit facility.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2022 Redemption of Senior Notes due 2025</w:t>
      </w:r>
    </w:p>
    <w:p>
      <w:pPr>
        <w:spacing w:after="0" w:line="7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On April 4, 2022, the Company, through its wholly-owned subsidiary, TWCC redeemed $500 million principal amount of senior notes, bearing interest at a rate of 5.500% per annum, and originally maturing on May 15, 2025. Pursuant to the optional redemption provisions described in the Indenture dated as of May 11, 2020, TWCC paid the outstanding principal plus accrued interest and an Applicable Premium as defined in the Indenture. This debt redemption resulted in a loss on extinguishment of debt of approximately $19.9 million, primarily consisting of $15.7 million of the Applicable Premium and $4.3 million related to the write-off of unamortized 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Notes due 2027</w:t>
      </w:r>
    </w:p>
    <w:p>
      <w:pPr>
        <w:spacing w:after="0" w:line="7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On March 14, 2019, TWCC issued $500 million principal amount of senior notes at par, bearing interest at a rate of 5.625% per annum, and maturing on March 15, 2027. On and after March 15, 2022, TWCC may redeem all or part of the senior notes at the redemption prices (expressed as percentages of principal amount of the senior notes to be redeemed) set forth below, plus accrued and unpaid interest. The redemption price is applicable when the redemption occurs during the twelve-month period beginning on March 15 of each of the years indicated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Year</w:t>
            </w:r>
          </w:p>
        </w:tc>
        <w:tc>
          <w:tcPr>
            <w:tcW w:w="57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Percentage</w:t>
            </w:r>
          </w:p>
        </w:tc>
      </w:tr>
      <w:tr>
        <w:trPr>
          <w:trHeight w:val="1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5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101.406 %</w:t>
            </w:r>
          </w:p>
        </w:tc>
      </w:tr>
      <w:tr>
        <w:trPr>
          <w:trHeight w:val="165"/>
        </w:trPr>
        <w:tc>
          <w:tcPr>
            <w:tcW w:w="5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 and thereafter</w:t>
            </w:r>
          </w:p>
        </w:tc>
        <w:tc>
          <w:tcPr>
            <w:tcW w:w="5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100.000 %</w:t>
            </w:r>
          </w:p>
        </w:tc>
      </w:tr>
    </w:tbl>
    <w:p>
      <w:pPr>
        <w:spacing w:after="0" w:line="202"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senior notes mentioned above are unsecured and are fully and unconditionally guaranteed by Carter’s, Inc. and certain domestic subsidiaries of TWCC. The guarantor subsidiaries are 100% owned directly or indirectly by Carter’s, Inc. and all guarantees are joint, several and unconditional.</w:t>
      </w:r>
    </w:p>
    <w:p>
      <w:pPr>
        <w:spacing w:after="0" w:line="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The indenture governing the senior notes provides that upon the occurrence of specific kinds of changes of control, unless a redemption notice with respect to all the outstanding senior notes has previously or concurrently been mailed or delivered, TWCC will be required to make an offer to purchase the senior notes at 101% of their principal amount, plus accrued and unpaid interest to (but excluding) the date of purchase.</w:t>
      </w:r>
    </w:p>
    <w:p>
      <w:pPr>
        <w:spacing w:after="0" w:line="11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indenture governing the senior notes includes a number of covenants, that, among other things and subject to certain exceptions, restrict TWCC’s ability and the ability of certain of its subsidiaries to: (a) incur certain types of indebtedness that is secured by a lien; (b) enter into certain sale and leaseback transactions; and (c) consolidate or merge with or into, or sell substantially all of the issuer’s assets to, another person, under certain circumstances. Terms of the notes contain customary affirmative covenants and provide for events of default which, if certain of them occur, would permit the trustee or the holders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5" w:name="page76"/>
    <w:bookmarkEnd w:id="7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at least 25.0% in principal amount of the then total outstanding senior notes to declare all amounts owning under the notes to be due and payable. Carter’s, Inc. is not subject to these covenants.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COMMON STOCK</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Open Market Share Repurchases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repurchased and retired shares in open market transactions in the following amounts for the fiscal periods indicated: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20" w:type="dxa"/>
            <w:vAlign w:val="bottom"/>
          </w:tcPr>
          <w:p>
            <w:pPr>
              <w:spacing w:after="0"/>
              <w:rPr>
                <w:sz w:val="14"/>
                <w:szCs w:val="14"/>
                <w:color w:val="auto"/>
              </w:rPr>
            </w:pPr>
          </w:p>
        </w:tc>
        <w:tc>
          <w:tcPr>
            <w:tcW w:w="18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80" w:type="dxa"/>
            <w:vAlign w:val="bottom"/>
          </w:tcPr>
          <w:p>
            <w:pPr>
              <w:spacing w:after="0"/>
              <w:rPr>
                <w:sz w:val="14"/>
                <w:szCs w:val="14"/>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46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Number of shares repurchased</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1,446,269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3,747,187</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2,967,619</w:t>
            </w:r>
          </w:p>
        </w:tc>
      </w:tr>
      <w:tr>
        <w:trPr>
          <w:trHeight w:val="170"/>
        </w:trPr>
        <w:tc>
          <w:tcPr>
            <w:tcW w:w="5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Aggregate cost of shares repurchased </w:t>
            </w:r>
            <w:r>
              <w:rPr>
                <w:rFonts w:ascii="Times New Roman" w:cs="Times New Roman" w:eastAsia="Times New Roman" w:hAnsi="Times New Roman"/>
                <w:sz w:val="13"/>
                <w:szCs w:val="13"/>
                <w:i w:val="1"/>
                <w:iCs w:val="1"/>
                <w:color w:val="auto"/>
              </w:rPr>
              <w:t>(dollars in thousands)</w:t>
            </w:r>
            <w:r>
              <w:rPr>
                <w:rFonts w:ascii="Times New Roman" w:cs="Times New Roman" w:eastAsia="Times New Roman" w:hAnsi="Times New Roman"/>
                <w:sz w:val="16"/>
                <w:szCs w:val="16"/>
                <w:i w:val="1"/>
                <w:iCs w:val="1"/>
                <w:color w:val="auto"/>
                <w:vertAlign w:val="superscript"/>
              </w:rPr>
              <w:t>(2)</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299,667</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299,339</w:t>
            </w:r>
          </w:p>
        </w:tc>
      </w:tr>
      <w:tr>
        <w:trPr>
          <w:trHeight w:val="170"/>
        </w:trPr>
        <w:tc>
          <w:tcPr>
            <w:tcW w:w="54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Average price per share</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100.87</w:t>
            </w:r>
          </w:p>
        </w:tc>
      </w:tr>
    </w:tbl>
    <w:p>
      <w:pPr>
        <w:spacing w:after="0" w:line="99"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 repurchases were made in compliance with all applicable rules and regulations and in accordance with the share repurchase authorizations.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aggregate cost of share repurchases and average price paid per share excludes excise tax on share repurchases imposed as part of the Inflation Reduction Act of 2022.</w:t>
      </w:r>
    </w:p>
    <w:p>
      <w:pPr>
        <w:spacing w:after="0" w:line="152"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On February 24, 2022, the Company’s Board of Directors authorized share repurchases up to $1.00 billion, inclusive of $301.9 million remaining under previous authorizations. The total remaining capacity under outstanding repurchase authorizations as of December 30, 2023 was approximately $649.5 million, based on settled repurchase transactions. The share repurchase authorizations have no expiration dates.</w:t>
      </w:r>
    </w:p>
    <w:p>
      <w:pPr>
        <w:spacing w:after="0" w:line="104"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Future repurchases may occur from time to time in the open market, in privately negotiated transactions, or otherwise. The timing and amount of any repurchases will be at the discretion of the Company subject to restrictions under the Company’s secured revolving credit facility, market conditions, stock price, other investment priorities, excise taxes, and other factors.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7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On February 26, 2024, the Company’s Board of Directors declared a quarterly cash dividend payment of $0.80 per common share, payable on March 29, 2024 to shareholders of record at the close of business on March 11, 2024.</w:t>
      </w:r>
    </w:p>
    <w:p>
      <w:pPr>
        <w:spacing w:after="0" w:line="1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each quarter of fiscal 2023, the Board of Directors declared, and the Company paid, a cash dividend per common share of $0.75 (for an aggregate cash dividend per common share of $3.00 for fiscal 2023). In fiscal 2022 the Board of Directors declared, and the Company paid, a cash dividend per common share of $0.75 (for an aggregate cash dividend per common share of $3.00 for fiscal 2022). In fiscal 2021, the Board of Directors declared and the Company paid, a cash dividend per common share of $0.40 in each of the second and third quarters of fiscal 2021 and $0.60 in the fourth quarter of fiscal 2021 (for an aggregate cash dividend per common share of $1.40 for fiscal 2021). As a result of actions taken in connection with the COVID-19 pandemic, the Board of Directors did not declare and the Company did not pay cash dividends for the first quarter of 2021.</w:t>
      </w:r>
    </w:p>
    <w:p>
      <w:pPr>
        <w:spacing w:after="0" w:line="111"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14"/>
          <w:szCs w:val="14"/>
          <w:color w:val="auto"/>
        </w:rPr>
        <w:t>Our Board of Directors will evaluate future dividend declarations based on a number of factors, including restrictions under the Company’s revolving credit facility, business conditions, the Company’s financial performance, and other considerations.</w:t>
      </w:r>
    </w:p>
    <w:p>
      <w:pPr>
        <w:spacing w:after="0" w:line="92"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Provisions in the Company’s secured revolving credit facility could have the effect of restricting the Company’s ability to pay cash dividends on, or make future repurchases of its common stock, as further described in Note 10</w:t>
      </w:r>
      <w:r>
        <w:rPr>
          <w:rFonts w:ascii="Times New Roman" w:cs="Times New Roman" w:eastAsia="Times New Roman" w:hAnsi="Times New Roman"/>
          <w:sz w:val="14"/>
          <w:szCs w:val="14"/>
          <w:i w:val="1"/>
          <w:iCs w:val="1"/>
          <w:color w:val="auto"/>
        </w:rPr>
        <w:t>, Long-Term Debt,</w:t>
      </w:r>
      <w:r>
        <w:rPr>
          <w:rFonts w:ascii="Times New Roman" w:cs="Times New Roman" w:eastAsia="Times New Roman" w:hAnsi="Times New Roman"/>
          <w:sz w:val="14"/>
          <w:szCs w:val="14"/>
          <w:color w:val="auto"/>
        </w:rPr>
        <w:t xml:space="preserve"> to the consolidated financial statements.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STOCK-BASED COMPENSATION</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Under the Company’s Amended and Restated Equity Incentive Plan (the “Plan”), the Compensation Committee of the Board of Directors may award incentive stock options, stock appreciation rights, restricted stock, unrestricted stock, stock deliverable on a deferred basis (including restricted stock units), and performance-based stock awards.</w:t>
      </w:r>
    </w:p>
    <w:p>
      <w:pPr>
        <w:spacing w:after="0" w:line="9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As of December 30, 2023, the maximum number of shares of stock available under the Plan was 18,778,392, and there were 2,221,612 remaining shares available for grant under the Plan. The Plan makes a provision for the treatment of awards upon termination of service or in the case of a merger or similar corporate transaction. Participation in the Plan is limited to members of the Company’s Board of Directors, executive officers and other key employees.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6" w:name="page77"/>
    <w:bookmarkEnd w:id="7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limit on shares available under the Plan, the individual limits, and other award terms are subject to adjustment to reflect stock splits or stock dividends, combinations, and certain other events. All stock options issued under the Plan expire no later than ten years from the date of grant. The Company believes that the current level of authorized shares is sufficient to satisfy future grants for the foreseeable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recorded stock-based compensation cost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For the fiscal years ended</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6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0" w:type="dxa"/>
            <w:vAlign w:val="bottom"/>
          </w:tcPr>
          <w:p>
            <w:pPr>
              <w:spacing w:after="0"/>
              <w:rPr>
                <w:sz w:val="14"/>
                <w:szCs w:val="14"/>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80" w:type="dxa"/>
            <w:vAlign w:val="bottom"/>
          </w:tcPr>
          <w:p>
            <w:pPr>
              <w:spacing w:after="0"/>
              <w:rPr>
                <w:sz w:val="14"/>
                <w:szCs w:val="14"/>
                <w:color w:val="auto"/>
              </w:rPr>
            </w:pPr>
          </w:p>
        </w:tc>
        <w:tc>
          <w:tcPr>
            <w:tcW w:w="152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w:t>
            </w: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w:t>
            </w:r>
          </w:p>
        </w:tc>
      </w:tr>
      <w:tr>
        <w:trPr>
          <w:trHeight w:val="168"/>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w:t>
            </w: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Time-based awards</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17,893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14,756</w:t>
            </w:r>
          </w:p>
        </w:tc>
      </w:tr>
      <w:tr>
        <w:trPr>
          <w:trHeight w:val="170"/>
        </w:trPr>
        <w:tc>
          <w:tcPr>
            <w:tcW w:w="56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Performance-based awards</w:t>
            </w:r>
            <w:r>
              <w:rPr>
                <w:rFonts w:ascii="Times New Roman" w:cs="Times New Roman" w:eastAsia="Times New Roman" w:hAnsi="Times New Roman"/>
                <w:sz w:val="16"/>
                <w:szCs w:val="16"/>
                <w:color w:val="auto"/>
                <w:vertAlign w:val="superscript"/>
              </w:rPr>
              <w:t>(*)</w:t>
            </w: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3,608</w:t>
            </w:r>
          </w:p>
        </w:tc>
      </w:tr>
      <w:tr>
        <w:trPr>
          <w:trHeight w:val="168"/>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awards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r>
      <w:tr>
        <w:trPr>
          <w:trHeight w:val="163"/>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19,463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21,879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21,029</w:t>
            </w:r>
          </w:p>
        </w:tc>
      </w:tr>
      <w:tr>
        <w:trPr>
          <w:trHeight w:val="20"/>
        </w:trPr>
        <w:tc>
          <w:tcPr>
            <w:tcW w:w="5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Decrease in fiscal 2023 relates to the downward revision of estimates for the achievement of performance targets related to certain performance-based grants.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30, 2023, and December 31, 2022, there was no unrecognized compensation costs remaining related to stock options.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85"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Stock options vest in equal annual installments over a four-year period. The Company issues new shares to satisfy stock option exercises. There were no stock options granted in fiscal 2023, 2022, and 2021.</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Company’s stock options for the fiscal year ended December 30, 2023 were as follows: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Weighted- average exercise</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Weighted-average</w:t>
            </w: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Aggregate intrinsic value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40" w:type="dxa"/>
            <w:vAlign w:val="bottom"/>
            <w:vMerge w:val="restart"/>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8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6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remaining contractual</w:t>
            </w:r>
          </w:p>
        </w:tc>
        <w:tc>
          <w:tcPr>
            <w:tcW w:w="1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ind w:left="6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terms (years)</w:t>
            </w:r>
          </w:p>
        </w:tc>
        <w:tc>
          <w:tcPr>
            <w:tcW w:w="220" w:type="dxa"/>
            <w:vAlign w:val="bottom"/>
          </w:tcPr>
          <w:p>
            <w:pPr>
              <w:spacing w:after="0"/>
              <w:rPr>
                <w:sz w:val="14"/>
                <w:szCs w:val="14"/>
                <w:color w:val="auto"/>
              </w:rPr>
            </w:pPr>
          </w:p>
        </w:tc>
        <w:tc>
          <w:tcPr>
            <w:tcW w:w="130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0" w:type="dxa"/>
            <w:vAlign w:val="bottom"/>
          </w:tcPr>
          <w:p>
            <w:pPr>
              <w:spacing w:after="0"/>
              <w:rPr>
                <w:sz w:val="1"/>
                <w:szCs w:val="1"/>
                <w:color w:val="auto"/>
              </w:rPr>
            </w:pPr>
          </w:p>
        </w:tc>
      </w:tr>
      <w:tr>
        <w:trPr>
          <w:trHeight w:val="162"/>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31, 2022</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563,048</w:t>
            </w:r>
          </w:p>
        </w:tc>
        <w:tc>
          <w:tcPr>
            <w:tcW w:w="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92.99</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Granted</w:t>
            </w:r>
            <w:r>
              <w:rPr>
                <w:rFonts w:ascii="Times New Roman" w:cs="Times New Roman" w:eastAsia="Times New Roman" w:hAnsi="Times New Roman"/>
                <w:sz w:val="16"/>
                <w:szCs w:val="16"/>
                <w:color w:val="auto"/>
                <w:vertAlign w:val="superscript"/>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(64,700)</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68.29</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Expired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(51,517)</w:t>
            </w:r>
          </w:p>
        </w:tc>
        <w:tc>
          <w:tcPr>
            <w:tcW w:w="11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96.18</w:t>
            </w:r>
          </w:p>
        </w:tc>
        <w:tc>
          <w:tcPr>
            <w:tcW w:w="10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30, 2023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446,831</w:t>
            </w:r>
          </w:p>
        </w:tc>
        <w:tc>
          <w:tcPr>
            <w:tcW w:w="11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1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8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Vested and expected to vest, December 30,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446,831</w:t>
            </w: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48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Exercisable, December 30,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446,831</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1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60" w:hanging="255"/>
        <w:spacing w:after="0"/>
        <w:tabs>
          <w:tab w:leader="none" w:pos="26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did not grant any stock options in fiscal 2023.</w:t>
      </w:r>
    </w:p>
    <w:p>
      <w:pPr>
        <w:spacing w:after="0" w:line="16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intrinsic value of stock options exercised during the fiscal years ended December 30, 2023, December 31, 2022, and January 1, 2022 was approximately $0.3 million, $1.4 million, and $7.8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Awards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Restricted stock awards issued under the Plan vest based upon: 1) continued service (time-based) or 2) a combination of continued service and performance targets (performance-based).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7" w:name="page78"/>
    <w:bookmarkEnd w:id="7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activity related to all restricted stock awards during the fiscal year ended December 30, 2023:</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1460" w:type="dxa"/>
            <w:vAlign w:val="bottom"/>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Weighted-average grant-date</w:t>
            </w:r>
          </w:p>
        </w:tc>
        <w:tc>
          <w:tcPr>
            <w:tcW w:w="0" w:type="dxa"/>
            <w:vAlign w:val="bottom"/>
          </w:tcPr>
          <w:p>
            <w:pPr>
              <w:spacing w:after="0"/>
              <w:rPr>
                <w:sz w:val="1"/>
                <w:szCs w:val="1"/>
                <w:color w:val="auto"/>
              </w:rPr>
            </w:pPr>
          </w:p>
        </w:tc>
      </w:tr>
      <w:tr>
        <w:trPr>
          <w:trHeight w:val="127"/>
        </w:trPr>
        <w:tc>
          <w:tcPr>
            <w:tcW w:w="6960" w:type="dxa"/>
            <w:vAlign w:val="bottom"/>
          </w:tcPr>
          <w:p>
            <w:pPr>
              <w:spacing w:after="0"/>
              <w:rPr>
                <w:sz w:val="11"/>
                <w:szCs w:val="11"/>
                <w:color w:val="auto"/>
              </w:rPr>
            </w:pPr>
          </w:p>
        </w:tc>
        <w:tc>
          <w:tcPr>
            <w:tcW w:w="1460" w:type="dxa"/>
            <w:vAlign w:val="bottom"/>
          </w:tcPr>
          <w:p>
            <w:pPr>
              <w:jc w:val="center"/>
              <w:ind w:left="596"/>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96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62"/>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31, 2022</w:t>
            </w:r>
          </w:p>
        </w:tc>
        <w:tc>
          <w:tcPr>
            <w:tcW w:w="14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629,686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94.71</w:t>
            </w:r>
          </w:p>
        </w:tc>
        <w:tc>
          <w:tcPr>
            <w:tcW w:w="0" w:type="dxa"/>
            <w:vAlign w:val="bottom"/>
          </w:tcPr>
          <w:p>
            <w:pPr>
              <w:spacing w:after="0"/>
              <w:rPr>
                <w:sz w:val="1"/>
                <w:szCs w:val="1"/>
                <w:color w:val="auto"/>
              </w:rPr>
            </w:pPr>
          </w:p>
        </w:tc>
      </w:tr>
      <w:tr>
        <w:trPr>
          <w:trHeight w:val="168"/>
        </w:trPr>
        <w:tc>
          <w:tcPr>
            <w:tcW w:w="8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408,643</w:t>
            </w:r>
          </w:p>
        </w:tc>
        <w:tc>
          <w:tcPr>
            <w:tcW w:w="26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73.33</w:t>
            </w:r>
          </w:p>
        </w:tc>
        <w:tc>
          <w:tcPr>
            <w:tcW w:w="0" w:type="dxa"/>
            <w:vAlign w:val="bottom"/>
          </w:tcPr>
          <w:p>
            <w:pPr>
              <w:spacing w:after="0"/>
              <w:rPr>
                <w:sz w:val="1"/>
                <w:szCs w:val="1"/>
                <w:color w:val="auto"/>
              </w:rPr>
            </w:pPr>
          </w:p>
        </w:tc>
      </w:tr>
      <w:tr>
        <w:trPr>
          <w:trHeight w:val="172"/>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(184,803)</w:t>
            </w:r>
          </w:p>
        </w:tc>
        <w:tc>
          <w:tcPr>
            <w:tcW w:w="2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91.84</w:t>
            </w:r>
          </w:p>
        </w:tc>
        <w:tc>
          <w:tcPr>
            <w:tcW w:w="0" w:type="dxa"/>
            <w:vAlign w:val="bottom"/>
          </w:tcPr>
          <w:p>
            <w:pPr>
              <w:spacing w:after="0"/>
              <w:rPr>
                <w:sz w:val="1"/>
                <w:szCs w:val="1"/>
                <w:color w:val="auto"/>
              </w:rPr>
            </w:pPr>
          </w:p>
        </w:tc>
      </w:tr>
      <w:tr>
        <w:trPr>
          <w:trHeight w:val="168"/>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(98,237)</w:t>
            </w:r>
          </w:p>
        </w:tc>
        <w:tc>
          <w:tcPr>
            <w:tcW w:w="260" w:type="dxa"/>
            <w:vAlign w:val="bottom"/>
            <w:tcBorders>
              <w:bottom w:val="single" w:sz="8" w:color="CCEEFF"/>
            </w:tcBorders>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88.70</w:t>
            </w:r>
          </w:p>
        </w:tc>
        <w:tc>
          <w:tcPr>
            <w:tcW w:w="0" w:type="dxa"/>
            <w:vAlign w:val="bottom"/>
          </w:tcPr>
          <w:p>
            <w:pPr>
              <w:spacing w:after="0"/>
              <w:rPr>
                <w:sz w:val="1"/>
                <w:szCs w:val="1"/>
                <w:color w:val="auto"/>
              </w:rPr>
            </w:pPr>
          </w:p>
        </w:tc>
      </w:tr>
      <w:tr>
        <w:trPr>
          <w:trHeight w:val="183"/>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30,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755,289</w:t>
            </w:r>
          </w:p>
        </w:tc>
        <w:tc>
          <w:tcPr>
            <w:tcW w:w="2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84.63</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fiscal 2022, a total of 205,120 shares of restricted stock vested with a weighted-average fair value of $95.54 per share. During fiscal 2021, a total of 116,238 shares of restricted stock vested with a weighted-average fair value of $99.32 per share.</w:t>
      </w:r>
    </w:p>
    <w:p>
      <w:pPr>
        <w:spacing w:after="0" w:line="92"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At December 30, 2023, there was approximately $31.1 million of unrecognized compensation cost (net of estimated forfeitures) related to all restricted stock awards which is expected to be recognized over a weighted-average period of approximately 2.3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Time-based Restricted Stock Awards</w:t>
      </w:r>
    </w:p>
    <w:p>
      <w:pPr>
        <w:spacing w:after="0" w:line="85"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Time-based restricted stock awards vest in equal annual installments or cliff vest after a three-year or four-year period. During fiscal years 2023, 2022, and 2021, a total of 184,803 shares, 162,508 shares, and 116,238 shares, respectively, of time-based restricted stock vested with a weighted-average fair value of $91.84 per share, $97.29 per share, and $99.32 per share, respectively. At December 30, 2023, there was approximately $26.7 million of unrecognized compensation cost (net of estimated forfeitures) related to time-based restricted stock which is expected to be recognized over a weighted-average period of approximately 2.4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Awards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780" w:type="dxa"/>
            <w:vAlign w:val="bottom"/>
            <w:gridSpan w:val="2"/>
          </w:tcPr>
          <w:p>
            <w:pPr>
              <w:ind w:left="304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28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Number of shares granted</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Weighted-average fair value per share</w:t>
            </w:r>
          </w:p>
        </w:tc>
      </w:tr>
      <w:tr>
        <w:trPr>
          <w:trHeight w:val="163"/>
        </w:trPr>
        <w:tc>
          <w:tcPr>
            <w:tcW w:w="6700" w:type="dxa"/>
            <w:vAlign w:val="bottom"/>
            <w:tcBorders>
              <w:top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3"/>
                <w:szCs w:val="13"/>
                <w:color w:val="auto"/>
              </w:rPr>
              <w:t>2021</w:t>
            </w:r>
            <w:r>
              <w:rPr>
                <w:rFonts w:ascii="Times New Roman" w:cs="Times New Roman" w:eastAsia="Times New Roman" w:hAnsi="Times New Roman"/>
                <w:sz w:val="16"/>
                <w:szCs w:val="16"/>
                <w:color w:val="auto"/>
                <w:vertAlign w:val="superscript"/>
              </w:rPr>
              <w:t>(*)</w:t>
            </w:r>
          </w:p>
        </w:tc>
        <w:tc>
          <w:tcPr>
            <w:tcW w:w="80" w:type="dxa"/>
            <w:vAlign w:val="bottom"/>
            <w:tcBorders>
              <w:top w:val="single" w:sz="8" w:color="CCEEFF"/>
            </w:tcBorders>
            <w:shd w:val="clear" w:color="auto" w:fill="CCEEFF"/>
          </w:tcPr>
          <w:p>
            <w:pPr>
              <w:spacing w:after="0"/>
              <w:rPr>
                <w:sz w:val="14"/>
                <w:szCs w:val="14"/>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70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89,760</w:t>
            </w:r>
          </w:p>
        </w:tc>
        <w:tc>
          <w:tcPr>
            <w:tcW w:w="80" w:type="dxa"/>
            <w:vAlign w:val="bottom"/>
          </w:tcPr>
          <w:p>
            <w:pPr>
              <w:spacing w:after="0"/>
              <w:rPr>
                <w:sz w:val="14"/>
                <w:szCs w:val="14"/>
                <w:color w:val="auto"/>
              </w:rPr>
            </w:pP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91.12</w:t>
            </w:r>
          </w:p>
        </w:tc>
      </w:tr>
      <w:tr>
        <w:trPr>
          <w:trHeight w:val="172"/>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shd w:val="clear" w:color="auto" w:fill="CCEEFF"/>
          </w:tcPr>
          <w:p>
            <w:pPr>
              <w:spacing w:after="0"/>
              <w:rPr>
                <w:sz w:val="14"/>
                <w:szCs w:val="14"/>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112,284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74.06</w:t>
            </w:r>
          </w:p>
        </w:tc>
      </w:tr>
    </w:tbl>
    <w:p>
      <w:pPr>
        <w:spacing w:after="0" w:line="99" w:lineRule="exact"/>
        <w:rPr>
          <w:sz w:val="20"/>
          <w:szCs w:val="20"/>
          <w:color w:val="auto"/>
        </w:rPr>
      </w:pPr>
    </w:p>
    <w:p>
      <w:pPr>
        <w:ind w:left="260" w:hanging="255"/>
        <w:spacing w:after="0"/>
        <w:tabs>
          <w:tab w:leader="none" w:pos="26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did not grant any performance-based restricted stock awards in fiscal 2021.</w:t>
      </w:r>
    </w:p>
    <w:p>
      <w:pPr>
        <w:spacing w:after="0" w:line="1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Performance-based restricted stock awards cliff vest after a three-year period, subject to the achievement of the performance target. During the fiscal year ended December 30, 2023, no performance shares vested. As of December 30, 2023, a total of 184,008 performance shares were unvested with a weighted-average fair value of $81.21 per share. Vesting of these 184,008 performance shares is based on the performance targets for the shares granted in fiscal 2023 and 2022. As of December 30, 2023, there was $4.4 million unrecognized compensation cost (net of estimated forfeitures) related to the unvested performance-based restricted stock awards based which is expected to be recognized over a weighted-average period of approximately 2.0 years. The Company recognizes compensation cost ratably over the applicable performance periods based on the estimated probability of achievement of its performance targets at the end of each period.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Awards</w:t>
      </w:r>
    </w:p>
    <w:p>
      <w:pPr>
        <w:spacing w:after="0" w:line="85"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Included in restricted stock awards are grants to non-management members of the Company’s Board of Directors. At issuance, these awards were fully vested and issued as shares of the Company’s common stock. The Company records the stock-based compensation expense immediately as there are no vesting terms. During fiscal years 2023, 2022, and 2021, such awards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gridSpan w:val="2"/>
            <w:vMerge w:val="restart"/>
          </w:tcPr>
          <w:p>
            <w:pPr>
              <w:ind w:left="1900"/>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2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Number of shares issued</w:t>
            </w:r>
          </w:p>
        </w:tc>
        <w:tc>
          <w:tcPr>
            <w:tcW w:w="300" w:type="dxa"/>
            <w:vAlign w:val="bottom"/>
          </w:tcPr>
          <w:p>
            <w:pPr>
              <w:spacing w:after="0"/>
              <w:rPr>
                <w:sz w:val="12"/>
                <w:szCs w:val="12"/>
                <w:color w:val="auto"/>
              </w:rPr>
            </w:pPr>
          </w:p>
        </w:tc>
        <w:tc>
          <w:tcPr>
            <w:tcW w:w="1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Fair value per share</w:t>
            </w:r>
          </w:p>
        </w:tc>
        <w:tc>
          <w:tcPr>
            <w:tcW w:w="360" w:type="dxa"/>
            <w:vAlign w:val="bottom"/>
          </w:tcPr>
          <w:p>
            <w:pPr>
              <w:spacing w:after="0"/>
              <w:rPr>
                <w:sz w:val="12"/>
                <w:szCs w:val="12"/>
                <w:color w:val="auto"/>
              </w:rPr>
            </w:pPr>
          </w:p>
        </w:tc>
        <w:tc>
          <w:tcPr>
            <w:tcW w:w="18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Aggregate value</w:t>
            </w:r>
          </w:p>
        </w:tc>
        <w:tc>
          <w:tcPr>
            <w:tcW w:w="0" w:type="dxa"/>
            <w:vAlign w:val="bottom"/>
          </w:tcPr>
          <w:p>
            <w:pPr>
              <w:spacing w:after="0"/>
              <w:rPr>
                <w:sz w:val="1"/>
                <w:szCs w:val="1"/>
                <w:color w:val="auto"/>
              </w:rPr>
            </w:pPr>
          </w:p>
        </w:tc>
      </w:tr>
      <w:tr>
        <w:trPr>
          <w:trHeight w:val="169"/>
        </w:trPr>
        <w:tc>
          <w:tcPr>
            <w:tcW w:w="450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62"/>
        </w:trPr>
        <w:tc>
          <w:tcPr>
            <w:tcW w:w="4400" w:type="dxa"/>
            <w:vAlign w:val="bottom"/>
            <w:tcBorders>
              <w:top w:val="single" w:sz="8" w:color="auto"/>
            </w:tcBorders>
            <w:shd w:val="clear" w:color="auto" w:fill="CCEEFF"/>
          </w:tcPr>
          <w:p>
            <w:pPr>
              <w:jc w:val="right"/>
              <w:ind w:right="4056"/>
              <w:spacing w:after="0"/>
              <w:rPr>
                <w:sz w:val="20"/>
                <w:szCs w:val="20"/>
                <w:color w:val="auto"/>
              </w:rPr>
            </w:pPr>
            <w:r>
              <w:rPr>
                <w:rFonts w:ascii="Times New Roman" w:cs="Times New Roman" w:eastAsia="Times New Roman" w:hAnsi="Times New Roman"/>
                <w:sz w:val="13"/>
                <w:szCs w:val="13"/>
                <w:color w:val="auto"/>
                <w:w w:val="99"/>
              </w:rPr>
              <w:t>2021</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13,037</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w:t>
            </w:r>
          </w:p>
        </w:tc>
        <w:tc>
          <w:tcPr>
            <w:tcW w:w="0" w:type="dxa"/>
            <w:vAlign w:val="bottom"/>
          </w:tcPr>
          <w:p>
            <w:pPr>
              <w:spacing w:after="0"/>
              <w:rPr>
                <w:sz w:val="1"/>
                <w:szCs w:val="1"/>
                <w:color w:val="auto"/>
              </w:rPr>
            </w:pPr>
          </w:p>
        </w:tc>
      </w:tr>
      <w:tr>
        <w:trPr>
          <w:trHeight w:val="168"/>
        </w:trPr>
        <w:tc>
          <w:tcPr>
            <w:tcW w:w="4400" w:type="dxa"/>
            <w:vAlign w:val="bottom"/>
          </w:tcPr>
          <w:p>
            <w:pPr>
              <w:jc w:val="right"/>
              <w:ind w:right="4056"/>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21,725</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1,706</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jc w:val="right"/>
              <w:ind w:right="4056"/>
              <w:spacing w:after="0"/>
              <w:rPr>
                <w:sz w:val="20"/>
                <w:szCs w:val="20"/>
                <w:color w:val="auto"/>
              </w:rPr>
            </w:pPr>
            <w:r>
              <w:rPr>
                <w:rFonts w:ascii="Times New Roman" w:cs="Times New Roman" w:eastAsia="Times New Roman" w:hAnsi="Times New Roman"/>
                <w:sz w:val="13"/>
                <w:szCs w:val="13"/>
                <w:color w:val="auto"/>
                <w:w w:val="99"/>
              </w:rPr>
              <w:t>2023</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received no proceeds from the issuance of these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ACCUMULATED OTHER COMPREHENSIVE (LOSS)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Accumulated other comprehensive (loss) income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Pension liability</w:t>
            </w:r>
          </w:p>
        </w:tc>
        <w:tc>
          <w:tcPr>
            <w:tcW w:w="100" w:type="dxa"/>
            <w:vAlign w:val="bottom"/>
          </w:tcPr>
          <w:p>
            <w:pPr>
              <w:spacing w:after="0"/>
              <w:rPr>
                <w:sz w:val="12"/>
                <w:szCs w:val="12"/>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Post-retirement liability</w:t>
            </w:r>
          </w:p>
        </w:tc>
        <w:tc>
          <w:tcPr>
            <w:tcW w:w="100" w:type="dxa"/>
            <w:vAlign w:val="bottom"/>
          </w:tcPr>
          <w:p>
            <w:pPr>
              <w:spacing w:after="0"/>
              <w:rPr>
                <w:sz w:val="12"/>
                <w:szCs w:val="12"/>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Cumulative translation</w:t>
            </w:r>
          </w:p>
        </w:tc>
        <w:tc>
          <w:tcPr>
            <w:tcW w:w="140" w:type="dxa"/>
            <w:vAlign w:val="bottom"/>
          </w:tcPr>
          <w:p>
            <w:pPr>
              <w:spacing w:after="0"/>
              <w:rPr>
                <w:sz w:val="12"/>
                <w:szCs w:val="12"/>
                <w:color w:val="auto"/>
              </w:rPr>
            </w:pPr>
          </w:p>
        </w:tc>
        <w:tc>
          <w:tcPr>
            <w:tcW w:w="136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Accumulated other</w:t>
            </w:r>
          </w:p>
        </w:tc>
        <w:tc>
          <w:tcPr>
            <w:tcW w:w="0" w:type="dxa"/>
            <w:vAlign w:val="bottom"/>
          </w:tcPr>
          <w:p>
            <w:pPr>
              <w:spacing w:after="0"/>
              <w:rPr>
                <w:sz w:val="1"/>
                <w:szCs w:val="1"/>
                <w:color w:val="auto"/>
              </w:rPr>
            </w:pPr>
          </w:p>
        </w:tc>
      </w:tr>
      <w:tr>
        <w:trPr>
          <w:trHeight w:val="1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56"/>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comprehensive (loss)</w:t>
            </w:r>
          </w:p>
        </w:tc>
        <w:tc>
          <w:tcPr>
            <w:tcW w:w="0" w:type="dxa"/>
            <w:vAlign w:val="bottom"/>
          </w:tcPr>
          <w:p>
            <w:pPr>
              <w:spacing w:after="0"/>
              <w:rPr>
                <w:sz w:val="1"/>
                <w:szCs w:val="1"/>
                <w:color w:val="auto"/>
              </w:rPr>
            </w:pPr>
          </w:p>
        </w:tc>
      </w:tr>
      <w:tr>
        <w:trPr>
          <w:trHeight w:val="169"/>
        </w:trPr>
        <w:tc>
          <w:tcPr>
            <w:tcW w:w="5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adjustments</w:t>
            </w:r>
          </w:p>
        </w:tc>
        <w:tc>
          <w:tcPr>
            <w:tcW w:w="140" w:type="dxa"/>
            <w:vAlign w:val="bottom"/>
          </w:tcPr>
          <w:p>
            <w:pPr>
              <w:spacing w:after="0"/>
              <w:rPr>
                <w:sz w:val="14"/>
                <w:szCs w:val="14"/>
                <w:color w:val="auto"/>
              </w:rPr>
            </w:pPr>
          </w:p>
        </w:tc>
        <w:tc>
          <w:tcPr>
            <w:tcW w:w="1360" w:type="dxa"/>
            <w:vAlign w:val="bottom"/>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0" w:type="dxa"/>
            <w:vAlign w:val="bottom"/>
          </w:tcPr>
          <w:p>
            <w:pPr>
              <w:spacing w:after="0"/>
              <w:rPr>
                <w:sz w:val="1"/>
                <w:szCs w:val="1"/>
                <w:color w:val="auto"/>
              </w:rPr>
            </w:pPr>
          </w:p>
        </w:tc>
      </w:tr>
      <w:tr>
        <w:trPr>
          <w:trHeight w:val="162"/>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2, 2021</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(12,893)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(32,760)</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2021 change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3,863</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(28,897)</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2022 change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(5,441)</w:t>
            </w:r>
          </w:p>
        </w:tc>
        <w:tc>
          <w:tcPr>
            <w:tcW w:w="0" w:type="dxa"/>
            <w:vAlign w:val="bottom"/>
          </w:tcPr>
          <w:p>
            <w:pPr>
              <w:spacing w:after="0"/>
              <w:rPr>
                <w:sz w:val="1"/>
                <w:szCs w:val="1"/>
                <w:color w:val="auto"/>
              </w:rPr>
            </w:pPr>
          </w:p>
        </w:tc>
      </w:tr>
      <w:tr>
        <w:trPr>
          <w:trHeight w:val="1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(28,826)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(34,338)</w:t>
            </w:r>
          </w:p>
        </w:tc>
        <w:tc>
          <w:tcPr>
            <w:tcW w:w="0" w:type="dxa"/>
            <w:vAlign w:val="bottom"/>
          </w:tcPr>
          <w:p>
            <w:pPr>
              <w:spacing w:after="0"/>
              <w:rPr>
                <w:sz w:val="1"/>
                <w:szCs w:val="1"/>
                <w:color w:val="auto"/>
              </w:rPr>
            </w:pPr>
          </w:p>
        </w:tc>
      </w:tr>
      <w:tr>
        <w:trPr>
          <w:trHeight w:val="168"/>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Fiscal year 2023 change</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10,593</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10,423</w:t>
            </w:r>
          </w:p>
        </w:tc>
        <w:tc>
          <w:tcPr>
            <w:tcW w:w="0" w:type="dxa"/>
            <w:vAlign w:val="bottom"/>
          </w:tcPr>
          <w:p>
            <w:pPr>
              <w:spacing w:after="0"/>
              <w:rPr>
                <w:sz w:val="1"/>
                <w:szCs w:val="1"/>
                <w:color w:val="auto"/>
              </w:rPr>
            </w:pPr>
          </w:p>
        </w:tc>
      </w:tr>
      <w:tr>
        <w:trPr>
          <w:trHeight w:val="1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(18,233)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As of December 30, 2023 and December 31, 2022, the cumulative tax effect on the pension liability adjustments were each $2.2 million. As of December 30, 2023 and December 31, 2022, the cumulative tax effect on the post-retirement liability adjustments were approximately $0.4 million and $0.5 million, respectively.</w:t>
      </w:r>
    </w:p>
    <w:p>
      <w:pPr>
        <w:spacing w:after="0" w:line="9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For the fiscal years ended December 30, 2023 and December 31, 2022, amounts reclassified from Accumulated other comprehensive loss to the consolidated statements of operations consisted of amortization of actuarial gains and losses related to the Company’s defined benefit pension plan and defined benefit post-retirement plans. Such amortization amounts are included in the net periodic cost or benefit recognized for these plans during the respective fiscal year. For additional information, see Note 17</w:t>
      </w:r>
      <w:r>
        <w:rPr>
          <w:rFonts w:ascii="Times New Roman" w:cs="Times New Roman" w:eastAsia="Times New Roman" w:hAnsi="Times New Roman"/>
          <w:sz w:val="14"/>
          <w:szCs w:val="14"/>
          <w:i w:val="1"/>
          <w:iCs w:val="1"/>
          <w:color w:val="auto"/>
        </w:rPr>
        <w:t>, Employee Benefit Plans</w:t>
      </w:r>
      <w:r>
        <w:rPr>
          <w:rFonts w:ascii="Times New Roman" w:cs="Times New Roman" w:eastAsia="Times New Roman" w:hAnsi="Times New Roman"/>
          <w:sz w:val="14"/>
          <w:szCs w:val="14"/>
          <w:color w:val="auto"/>
        </w:rPr>
        <w:t>, to the consolidated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FAIR VALUE MEASUREMENTS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Investments</w:t>
      </w:r>
    </w:p>
    <w:p>
      <w:pPr>
        <w:spacing w:after="0" w:line="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Company invests comparable amounts in marketable securities, principally equity-based mutual funds, to approximate the participant’s investment return on employee deferrals of compensation. All of the marketable securities are included in Other assets on the accompanying consolidated balance sheets, and their aggregate fair values were approximately $17.3 million and $15.1 million at the end of fiscal 2023 and fiscal 2022, respectively. These investments are classified as Level 1 within the fair value hierarchy. The change in the aggregate fair values of marketable securities is due to the net activity of gains and losses and any contributions and distributions during the period. Gains on the investments in marketable securities were $2.2 million for fiscal 2023. Losses on the investments in marketable securities were $2.5 million for fiscal 2022. These amounts are included in Other expense (income), net on the Company’s consolidated statement of operations.</w:t>
      </w:r>
    </w:p>
    <w:p>
      <w:pPr>
        <w:spacing w:after="0" w:line="109"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auto"/>
        </w:rPr>
        <w:t xml:space="preserve">The fair value of the Company’s pension plan assets at December 30, 2023 and December 31, 2022, by asset category, are disclosed in Note 17, </w:t>
      </w:r>
      <w:r>
        <w:rPr>
          <w:rFonts w:ascii="Times New Roman" w:cs="Times New Roman" w:eastAsia="Times New Roman" w:hAnsi="Times New Roman"/>
          <w:sz w:val="14"/>
          <w:szCs w:val="14"/>
          <w:i w:val="1"/>
          <w:iCs w:val="1"/>
          <w:color w:val="auto"/>
        </w:rPr>
        <w:t>Employee Benefits Plans</w:t>
      </w:r>
      <w:r>
        <w:rPr>
          <w:rFonts w:ascii="Times New Roman" w:cs="Times New Roman" w:eastAsia="Times New Roman" w:hAnsi="Times New Roman"/>
          <w:sz w:val="14"/>
          <w:szCs w:val="14"/>
          <w:color w:val="auto"/>
        </w:rPr>
        <w: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Borrowings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30, 2023, the Company had no outstanding borrowings under its secured revolving credit facility.</w:t>
      </w:r>
    </w:p>
    <w:p>
      <w:pPr>
        <w:spacing w:after="0" w:line="147"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fair value of the Company’s senior notes at December 30, 2023 was approximately $493.7 million. The fair value of these senior notes with a notional value and carrying value (gross of debt issuance costs) of $500.0 million was estimated using a quoted price as provided in the secondary market, which considers the Company’s credit risk and market related conditions, and is therefore within Level 2 of the fair value hierarchy.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Intangible, and Other Long-Lived Assets</w:t>
      </w:r>
    </w:p>
    <w:p>
      <w:pPr>
        <w:spacing w:after="0" w:line="85"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Some assets are not measured at fair value on a recurring basis but are subject to fair value adjustments only in certain circumstances. These assets can include goodwill, indefinite-lived intangible assets, and other long-lived assets that have been reduced to fair value when impaired. Assets that are written down to fair value when impaired are not subsequently adjusted to fair value unless further impairment occurs.</w:t>
      </w:r>
    </w:p>
    <w:p>
      <w:pPr>
        <w:spacing w:after="0" w:line="10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 xml:space="preserve">In fiscal 2022, the Company performed a quantitative impairment test on the goodwill ascribed to each of the Company’s reporting units and on the value of its indefinite-lived intangible tradename assets as of December 31, 2022 due to increased discount rates, decreased actual and projected sales and profitability, and the announcement of the substantial doubt of a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wholesale customer’s ability to continue to operate as a going concern.</w:t>
      </w:r>
    </w:p>
    <w:p>
      <w:pPr>
        <w:spacing w:after="0" w:line="11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goodwill impairment assessment for each reporting unit was performed in accordance with ASC 350 and compares the carrying value of each reporting unit to its fair value. Consistent with prior practice, the Company uses a 50% weighting of the income approach and a 50% weighting of the market approach to determine the fair value of a reporting unit. Based upon this assessment, there were no impairments on the value of goodwill.</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 xml:space="preserve">The indefinite-lived tradename asset assessments were performed in accordance with ASC 350 and were determined using a discounted cash flow analysis which examined the hypothetical cost savings that accrue as a result of not having to license the tradename from another owner. Based on these assessments, a non-cash pre-tax impairment charge of $9.0 million was recorded during the fourth quarter of fiscal 2022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to write-down the carrying value to $6.0 million. The charge recorded on our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 included charges of $5.6 million, $3.0 million, and $0.4 million in the U.S. Wholesale, International, and U.S. Retail segments, respectively, to reflect the impairment of the value ascribed to the indefinite-lived </w:t>
      </w:r>
      <w:r>
        <w:rPr>
          <w:rFonts w:ascii="Times New Roman" w:cs="Times New Roman" w:eastAsia="Times New Roman" w:hAnsi="Times New Roman"/>
          <w:sz w:val="14"/>
          <w:szCs w:val="14"/>
          <w:i w:val="1"/>
          <w:iCs w:val="1"/>
          <w:color w:val="auto"/>
        </w:rPr>
        <w:t>Skip Hop</w:t>
      </w:r>
      <w:r>
        <w:rPr>
          <w:rFonts w:ascii="Times New Roman" w:cs="Times New Roman" w:eastAsia="Times New Roman" w:hAnsi="Times New Roman"/>
          <w:sz w:val="14"/>
          <w:szCs w:val="14"/>
          <w:color w:val="auto"/>
        </w:rPr>
        <w:t xml:space="preserve"> tradename asset.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INCOME TAXES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taxes consisted of the following: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80" w:type="dxa"/>
            <w:vAlign w:val="bottom"/>
          </w:tcPr>
          <w:p>
            <w:pPr>
              <w:spacing w:after="0"/>
              <w:rPr>
                <w:sz w:val="14"/>
                <w:szCs w:val="14"/>
                <w:color w:val="auto"/>
              </w:rPr>
            </w:pPr>
          </w:p>
        </w:tc>
        <w:tc>
          <w:tcPr>
            <w:tcW w:w="152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5660" w:type="dxa"/>
            <w:vAlign w:val="bottom"/>
            <w:tcBorders>
              <w:top w:val="single" w:sz="8" w:color="CCEEFF"/>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Current tax provision:</w:t>
            </w:r>
          </w:p>
        </w:tc>
        <w:tc>
          <w:tcPr>
            <w:tcW w:w="220" w:type="dxa"/>
            <w:vAlign w:val="bottom"/>
            <w:tcBorders>
              <w:top w:val="single" w:sz="8" w:color="auto"/>
            </w:tcBorders>
            <w:shd w:val="clear" w:color="auto" w:fill="CCEEFF"/>
          </w:tcPr>
          <w:p>
            <w:pPr>
              <w:spacing w:after="0"/>
              <w:rPr>
                <w:sz w:val="11"/>
                <w:szCs w:val="11"/>
                <w:color w:val="auto"/>
              </w:rPr>
            </w:pPr>
          </w:p>
        </w:tc>
        <w:tc>
          <w:tcPr>
            <w:tcW w:w="1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Federal</w:t>
            </w:r>
          </w:p>
        </w:tc>
        <w:tc>
          <w:tcPr>
            <w:tcW w:w="4440" w:type="dxa"/>
            <w:vAlign w:val="bottom"/>
            <w:tcBorders>
              <w:top w:val="single" w:sz="8" w:color="CCEEFF"/>
            </w:tcBorders>
            <w:gridSpan w:val="2"/>
          </w:tcPr>
          <w:p>
            <w:pPr>
              <w:spacing w:after="0"/>
              <w:rPr>
                <w:sz w:val="14"/>
                <w:szCs w:val="14"/>
                <w:color w:val="auto"/>
              </w:rPr>
            </w:pPr>
          </w:p>
        </w:tc>
        <w:tc>
          <w:tcPr>
            <w:tcW w:w="220" w:type="dxa"/>
            <w:vAlign w:val="bottom"/>
            <w:tcBorders>
              <w:top w:val="single" w:sz="8" w:color="CCEEFF"/>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47,643</w:t>
            </w: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43,569</w:t>
            </w:r>
          </w:p>
        </w:tc>
        <w:tc>
          <w:tcPr>
            <w:tcW w:w="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75,408</w:t>
            </w:r>
          </w:p>
        </w:tc>
      </w:tr>
      <w:tr>
        <w:trPr>
          <w:trHeight w:val="172"/>
        </w:trPr>
        <w:tc>
          <w:tcPr>
            <w:tcW w:w="20" w:type="dxa"/>
            <w:vAlign w:val="bottom"/>
            <w:shd w:val="clear" w:color="auto" w:fill="CCEEFF"/>
          </w:tcPr>
          <w:p>
            <w:pPr>
              <w:spacing w:after="0"/>
              <w:rPr>
                <w:sz w:val="14"/>
                <w:szCs w:val="14"/>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16,905</w:t>
            </w:r>
          </w:p>
        </w:tc>
      </w:tr>
      <w:tr>
        <w:trPr>
          <w:trHeight w:val="168"/>
        </w:trPr>
        <w:tc>
          <w:tcPr>
            <w:tcW w:w="2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Foreign</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13,756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15,562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19,761</w:t>
            </w: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provision</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67,438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176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6"/>
              </w:rPr>
              <w:t>Deferred tax (benefit) provision:</w:t>
            </w:r>
          </w:p>
        </w:tc>
        <w:tc>
          <w:tcPr>
            <w:tcW w:w="39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5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Federal</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(10,541)</w:t>
            </w:r>
          </w:p>
        </w:tc>
      </w:tr>
      <w:tr>
        <w:trPr>
          <w:trHeight w:val="172"/>
        </w:trPr>
        <w:tc>
          <w:tcPr>
            <w:tcW w:w="20" w:type="dxa"/>
            <w:vAlign w:val="bottom"/>
            <w:shd w:val="clear" w:color="auto" w:fill="CCEEFF"/>
          </w:tcPr>
          <w:p>
            <w:pPr>
              <w:spacing w:after="0"/>
              <w:rPr>
                <w:sz w:val="14"/>
                <w:szCs w:val="14"/>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State</w:t>
            </w: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w:t>
            </w:r>
          </w:p>
        </w:tc>
      </w:tr>
      <w:tr>
        <w:trPr>
          <w:trHeight w:val="168"/>
        </w:trPr>
        <w:tc>
          <w:tcPr>
            <w:tcW w:w="20" w:type="dxa"/>
            <w:vAlign w:val="bottom"/>
            <w:tcBorders>
              <w:bottom w:val="single" w:sz="8" w:color="CCEEFF"/>
            </w:tcBorders>
          </w:tcPr>
          <w:p>
            <w:pPr>
              <w:spacing w:after="0"/>
              <w:rPr>
                <w:sz w:val="14"/>
                <w:szCs w:val="14"/>
                <w:color w:val="auto"/>
              </w:rPr>
            </w:pPr>
          </w:p>
        </w:tc>
        <w:tc>
          <w:tcPr>
            <w:tcW w:w="5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Foreign</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w:t>
            </w: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(benefit) provision</w:t>
            </w:r>
          </w:p>
        </w:tc>
        <w:tc>
          <w:tcPr>
            <w:tcW w:w="22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(13,532)</w:t>
            </w:r>
          </w:p>
        </w:tc>
      </w:tr>
      <w:tr>
        <w:trPr>
          <w:trHeight w:val="163"/>
        </w:trPr>
        <w:tc>
          <w:tcPr>
            <w:tcW w:w="20" w:type="dxa"/>
            <w:vAlign w:val="bottom"/>
          </w:tcPr>
          <w:p>
            <w:pPr>
              <w:spacing w:after="0"/>
              <w:rPr>
                <w:sz w:val="14"/>
                <w:szCs w:val="1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provision</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69,742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66,698</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98,542</w:t>
            </w: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14"/>
          <w:szCs w:val="14"/>
          <w:color w:val="auto"/>
        </w:rPr>
        <w:t>The foreign portion of the tax position substantially relates to the Company’s international operations in Canada, Hong Kong and Mexico, in addition to foreign tax withholdings related to the Company’s foreign royalty income.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80" w:name="page81"/>
    <w:bookmarkEnd w:id="80"/>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The Company plans to repatriate undistributed earnings from Hong Kong and has provided for deferred income taxes related to these earnings. Since the current U.S. tax regime taxes foreign earnings in the year earned, taxes associated with repatriation are not material. Deferred income taxes have not been provided for undistributed foreign earnings from Canada or Mexico, or any additional outside basis difference inherent in all foreign entities, as these amounts continue to be indefinitely reinvested in foreign operations. Total undistributed earnings from the Company’s subsidiaries in Canada and Mexico amounted to approximately $106.9 million. Unrecognized deferred tax liability related to undistributed earnings from the Company’s subsidiaries in Canada and Mexico is estimated to be approximately $4.9 million, based on applicable withholding taxes, levels of foreign income previously taxed in the U.S. and applicable foreign tax credit limitations. The company accounts for the additional U.S. income tax on its foreign earnings under Global Intangible Low-Taxed Income (“GILTI”) as a period expense in the period in which additional tax is due.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before income taxes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164"/>
        </w:trPr>
        <w:tc>
          <w:tcPr>
            <w:tcW w:w="56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80" w:type="dxa"/>
            <w:vAlign w:val="bottom"/>
          </w:tcPr>
          <w:p>
            <w:pPr>
              <w:spacing w:after="0"/>
              <w:rPr>
                <w:sz w:val="14"/>
                <w:szCs w:val="14"/>
                <w:color w:val="auto"/>
              </w:rPr>
            </w:pPr>
          </w:p>
        </w:tc>
        <w:tc>
          <w:tcPr>
            <w:tcW w:w="152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Domestic</w:t>
            </w: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240,627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227,929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333,900</w:t>
            </w:r>
          </w:p>
        </w:tc>
      </w:tr>
      <w:tr>
        <w:trPr>
          <w:trHeight w:val="168"/>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61,615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88,807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104,390</w:t>
            </w: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302,242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316,736</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438,290</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Effective Rate Reconciliation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difference between the Company’s effective income tax rate and the federal statutory tax rate is reconciled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For the fiscal year ended</w:t>
            </w:r>
          </w:p>
        </w:tc>
        <w:tc>
          <w:tcPr>
            <w:tcW w:w="1860" w:type="dxa"/>
            <w:vAlign w:val="bottom"/>
            <w:tcBorders>
              <w:bottom w:val="single" w:sz="8" w:color="auto"/>
            </w:tcBorders>
          </w:tcPr>
          <w:p>
            <w:pPr>
              <w:spacing w:after="0"/>
              <w:rPr>
                <w:sz w:val="14"/>
                <w:szCs w:val="14"/>
                <w:color w:val="auto"/>
              </w:rPr>
            </w:pPr>
          </w:p>
        </w:tc>
      </w:tr>
      <w:tr>
        <w:trPr>
          <w:trHeight w:val="161"/>
        </w:trPr>
        <w:tc>
          <w:tcPr>
            <w:tcW w:w="5480" w:type="dxa"/>
            <w:vAlign w:val="bottom"/>
          </w:tcPr>
          <w:p>
            <w:pPr>
              <w:spacing w:after="0"/>
              <w:rPr>
                <w:sz w:val="14"/>
                <w:szCs w:val="14"/>
                <w:color w:val="auto"/>
              </w:rPr>
            </w:pPr>
          </w:p>
        </w:tc>
        <w:tc>
          <w:tcPr>
            <w:tcW w:w="146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w w:val="97"/>
              </w:rPr>
              <w:t>December 30, 2023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186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62"/>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Statutory federal income tax rate</w:t>
            </w:r>
          </w:p>
        </w:tc>
        <w:tc>
          <w:tcPr>
            <w:tcW w:w="14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21.0 %</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21.0 %</w:t>
            </w:r>
          </w:p>
        </w:tc>
      </w:tr>
      <w:tr>
        <w:trPr>
          <w:trHeight w:val="16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State income taxes, net of federal income tax benefit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72"/>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foreign operations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Settlement of uncertain tax positions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72"/>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from stock-based compensation</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68"/>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Goodwill impairments and other</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10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83"/>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23.1 %</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21.1 %</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file a consolidated United States federal income tax return, as well as separate and combined income tax returns in numerous state and foreign jurisdictions. In most cases, the Company is no longer subject to U.S. tax authority examinations for years prior to fiscal 2020.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1" w:name="page82"/>
    <w:bookmarkEnd w:id="81"/>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reflects the Company’s calculation of the components of deferred tax assets and liabilities as of December 30, 2023 and December 31, 2022.</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43"/>
        </w:trPr>
        <w:tc>
          <w:tcPr>
            <w:tcW w:w="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Deferred tax assets:</w:t>
            </w:r>
          </w:p>
        </w:tc>
        <w:tc>
          <w:tcPr>
            <w:tcW w:w="6480" w:type="dxa"/>
            <w:vAlign w:val="bottom"/>
            <w:tcBorders>
              <w:bottom w:val="single" w:sz="8" w:color="CCEEFF"/>
            </w:tcBorders>
            <w:gridSpan w:val="2"/>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440" w:type="dxa"/>
            <w:vAlign w:val="bottom"/>
            <w:tcBorders>
              <w:bottom w:val="single" w:sz="8" w:color="CCEEFF"/>
            </w:tcBorders>
            <w:gridSpan w:val="4"/>
            <w:shd w:val="clear" w:color="auto" w:fill="CCEEFF"/>
          </w:tcPr>
          <w:p>
            <w:pPr>
              <w:jc w:val="right"/>
              <w:ind w:right="1296"/>
              <w:spacing w:after="0" w:line="107" w:lineRule="exact"/>
              <w:rPr>
                <w:sz w:val="20"/>
                <w:szCs w:val="20"/>
                <w:color w:val="auto"/>
              </w:rPr>
            </w:pPr>
            <w:r>
              <w:rPr>
                <w:rFonts w:ascii="Times New Roman" w:cs="Times New Roman" w:eastAsia="Times New Roman" w:hAnsi="Times New Roman"/>
                <w:sz w:val="12"/>
                <w:szCs w:val="12"/>
                <w:color w:val="auto"/>
              </w:rPr>
              <w:t>Assets (Liabilities)</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Accounts receivable allowance</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5,263</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6,715</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Inventory</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16,902</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Accrued liabilities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8,230</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Equity-based compensation</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4,397</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Deferred employee benefits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Leasing liabilities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105,756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83,886</w:t>
            </w:r>
          </w:p>
        </w:tc>
      </w:tr>
      <w:tr>
        <w:trPr>
          <w:trHeight w:val="168"/>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4,771</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3,724</w:t>
            </w:r>
          </w:p>
        </w:tc>
      </w:tr>
      <w:tr>
        <w:trPr>
          <w:trHeight w:val="163"/>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tax assets</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148,177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127,101</w:t>
            </w:r>
          </w:p>
        </w:tc>
      </w:tr>
      <w:tr>
        <w:trPr>
          <w:trHeight w:val="124"/>
        </w:trPr>
        <w:tc>
          <w:tcPr>
            <w:tcW w:w="20" w:type="dxa"/>
            <w:vAlign w:val="bottom"/>
          </w:tcPr>
          <w:p>
            <w:pPr>
              <w:spacing w:after="0"/>
              <w:rPr>
                <w:sz w:val="10"/>
                <w:szCs w:val="10"/>
                <w:color w:val="auto"/>
              </w:rPr>
            </w:pPr>
          </w:p>
        </w:tc>
        <w:tc>
          <w:tcPr>
            <w:tcW w:w="1260" w:type="dxa"/>
            <w:vAlign w:val="bottom"/>
            <w:tcBorders>
              <w:bottom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6"/>
              </w:rPr>
              <w:t>Deferred tax liabilities:</w:t>
            </w:r>
          </w:p>
        </w:tc>
        <w:tc>
          <w:tcPr>
            <w:tcW w:w="6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176"/>
        </w:trPr>
        <w:tc>
          <w:tcPr>
            <w:tcW w:w="20" w:type="dxa"/>
            <w:vAlign w:val="bottom"/>
            <w:shd w:val="clear" w:color="auto" w:fill="CCEEFF"/>
          </w:tcPr>
          <w:p>
            <w:pPr>
              <w:spacing w:after="0"/>
              <w:rPr>
                <w:sz w:val="15"/>
                <w:szCs w:val="15"/>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(18,560)</w:t>
            </w:r>
          </w:p>
        </w:tc>
      </w:tr>
      <w:tr>
        <w:trPr>
          <w:trHeight w:val="168"/>
        </w:trPr>
        <w:tc>
          <w:tcPr>
            <w:tcW w:w="20" w:type="dxa"/>
            <w:vAlign w:val="bottom"/>
          </w:tcPr>
          <w:p>
            <w:pPr>
              <w:spacing w:after="0"/>
              <w:rPr>
                <w:sz w:val="14"/>
                <w:szCs w:val="14"/>
                <w:color w:val="auto"/>
              </w:rPr>
            </w:pPr>
          </w:p>
        </w:tc>
        <w:tc>
          <w:tcPr>
            <w:tcW w:w="7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Leasing assets</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(72,162)</w:t>
            </w:r>
          </w:p>
        </w:tc>
      </w:tr>
      <w:tr>
        <w:trPr>
          <w:trHeight w:val="172"/>
        </w:trPr>
        <w:tc>
          <w:tcPr>
            <w:tcW w:w="20" w:type="dxa"/>
            <w:vAlign w:val="bottom"/>
            <w:shd w:val="clear" w:color="auto" w:fill="CCEEFF"/>
          </w:tcPr>
          <w:p>
            <w:pPr>
              <w:spacing w:after="0"/>
              <w:rPr>
                <w:sz w:val="14"/>
                <w:szCs w:val="14"/>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Tradename and licensing agreements</w:t>
            </w: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(73,534)</w:t>
            </w:r>
          </w:p>
        </w:tc>
      </w:tr>
      <w:tr>
        <w:trPr>
          <w:trHeight w:val="168"/>
        </w:trPr>
        <w:tc>
          <w:tcPr>
            <w:tcW w:w="20" w:type="dxa"/>
            <w:vAlign w:val="bottom"/>
            <w:tcBorders>
              <w:bottom w:val="single" w:sz="8" w:color="CCEEFF"/>
            </w:tcBorders>
          </w:tcPr>
          <w:p>
            <w:pPr>
              <w:spacing w:after="0"/>
              <w:rPr>
                <w:sz w:val="14"/>
                <w:szCs w:val="14"/>
                <w:color w:val="auto"/>
              </w:rPr>
            </w:pPr>
          </w:p>
        </w:tc>
        <w:tc>
          <w:tcPr>
            <w:tcW w:w="75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Other</w:t>
            </w: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(2,516)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w:t>
            </w:r>
          </w:p>
        </w:tc>
      </w:tr>
      <w:tr>
        <w:trPr>
          <w:trHeight w:val="160"/>
        </w:trPr>
        <w:tc>
          <w:tcPr>
            <w:tcW w:w="20" w:type="dxa"/>
            <w:vAlign w:val="bottom"/>
            <w:shd w:val="clear" w:color="auto" w:fill="CCEEFF"/>
          </w:tcPr>
          <w:p>
            <w:pPr>
              <w:spacing w:after="0"/>
              <w:rPr>
                <w:sz w:val="13"/>
                <w:szCs w:val="13"/>
                <w:color w:val="auto"/>
              </w:rPr>
            </w:pPr>
          </w:p>
        </w:tc>
        <w:tc>
          <w:tcPr>
            <w:tcW w:w="7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(187,474)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(165,870)</w:t>
            </w:r>
          </w:p>
        </w:tc>
      </w:tr>
      <w:tr>
        <w:trPr>
          <w:trHeight w:val="109"/>
        </w:trPr>
        <w:tc>
          <w:tcPr>
            <w:tcW w:w="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75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(39,297)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recognized in the consolidated balance sheets: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3"/>
        </w:trPr>
        <w:tc>
          <w:tcPr>
            <w:tcW w:w="7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60" w:type="dxa"/>
            <w:vAlign w:val="bottom"/>
            <w:gridSpan w:val="4"/>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rPr>
              <w:t>Assets (Liabilities)</w:t>
            </w:r>
          </w:p>
        </w:tc>
      </w:tr>
      <w:tr>
        <w:trPr>
          <w:trHeight w:val="168"/>
        </w:trPr>
        <w:tc>
          <w:tcPr>
            <w:tcW w:w="7580" w:type="dxa"/>
            <w:vAlign w:val="bottom"/>
          </w:tcPr>
          <w:p>
            <w:pPr>
              <w:spacing w:after="0"/>
              <w:rPr>
                <w:sz w:val="20"/>
                <w:szCs w:val="20"/>
                <w:color w:val="auto"/>
              </w:rPr>
            </w:pPr>
            <w:r>
              <w:rPr>
                <w:rFonts w:ascii="Times New Roman" w:cs="Times New Roman" w:eastAsia="Times New Roman" w:hAnsi="Times New Roman"/>
                <w:sz w:val="13"/>
                <w:szCs w:val="13"/>
                <w:color w:val="auto"/>
              </w:rPr>
              <w:t>Deferred tax assets</w:t>
            </w:r>
          </w:p>
        </w:tc>
        <w:tc>
          <w:tcPr>
            <w:tcW w:w="220" w:type="dxa"/>
            <w:vAlign w:val="bottom"/>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w:t>
            </w:r>
          </w:p>
        </w:tc>
        <w:tc>
          <w:tcPr>
            <w:tcW w:w="10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2,466</w:t>
            </w:r>
          </w:p>
        </w:tc>
      </w:tr>
      <w:tr>
        <w:trPr>
          <w:trHeight w:val="17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(41,470)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(41,235)</w:t>
            </w:r>
          </w:p>
        </w:tc>
      </w:tr>
      <w:tr>
        <w:trPr>
          <w:trHeight w:val="163"/>
        </w:trPr>
        <w:tc>
          <w:tcPr>
            <w:tcW w:w="7580" w:type="dxa"/>
            <w:vAlign w:val="bottom"/>
          </w:tcPr>
          <w:p>
            <w:pPr>
              <w:spacing w:after="0"/>
              <w:rPr>
                <w:sz w:val="20"/>
                <w:szCs w:val="20"/>
                <w:color w:val="auto"/>
              </w:rPr>
            </w:pPr>
            <w:r>
              <w:rPr>
                <w:rFonts w:ascii="Times New Roman" w:cs="Times New Roman" w:eastAsia="Times New Roman" w:hAnsi="Times New Roman"/>
                <w:sz w:val="13"/>
                <w:szCs w:val="13"/>
                <w:color w:val="auto"/>
              </w:rPr>
              <w:t>Net deferred tax liability</w:t>
            </w: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(39,297)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(38,769)</w:t>
            </w:r>
          </w:p>
        </w:tc>
      </w:tr>
      <w:tr>
        <w:trPr>
          <w:trHeight w:val="20"/>
        </w:trPr>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Uncertain Tax Positions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beginning and ending amount of unrecognized tax benefits: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2, 2021</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12,523</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2021</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(2,207)</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(2,270)</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2022</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8,856</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2022</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(2,803)</w:t>
            </w:r>
          </w:p>
        </w:tc>
      </w:tr>
      <w:tr>
        <w:trPr>
          <w:trHeight w:val="16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74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7,093</w:t>
            </w:r>
          </w:p>
        </w:tc>
      </w:tr>
      <w:tr>
        <w:trPr>
          <w:trHeight w:val="168"/>
        </w:trPr>
        <w:tc>
          <w:tcPr>
            <w:tcW w:w="9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based on tax positions related to fiscal 2023</w:t>
            </w:r>
          </w:p>
        </w:tc>
        <w:tc>
          <w:tcPr>
            <w:tcW w:w="7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r>
      <w:tr>
        <w:trPr>
          <w:trHeight w:val="17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Reductions for prior year tax positions</w:t>
            </w:r>
          </w:p>
        </w:tc>
        <w:tc>
          <w:tcPr>
            <w:tcW w:w="7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Reductions for lapse of statute of limitations</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(2,373)</w:t>
            </w:r>
          </w:p>
        </w:tc>
      </w:tr>
      <w:tr>
        <w:trPr>
          <w:trHeight w:val="18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30, 2023</w:t>
            </w:r>
          </w:p>
        </w:tc>
        <w:tc>
          <w:tcPr>
            <w:tcW w:w="74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As of December 30, 2023, the Company had gross unrecognized tax benefits of approximately $6.3 million, of which $5.6 million, if ultimately recognized, will affect the Company’s effective tax rate in the period settled. The Company has recorded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tax positions for which the ultimate deductibility is more likely than not, but for which there is uncertainty about the timing of such deductions. Because of deferred tax accounting, changes in the timing of these deductions would not affect the annual effective tax rate but would accelerate the payment of cash to the taxing authorities.</w:t>
      </w:r>
    </w:p>
    <w:p>
      <w:pPr>
        <w:spacing w:after="0" w:line="9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Included in the reserves for unrecognized tax benefits are approximately $1.7 million of reserves for which the statute of limitations is expected to expire within the next fiscal year. If these tax benefits are ultimately recognized, such recognition, net of federal income taxes, may affect the annual effective tax rate for fiscal 2024 and the effective tax rate in the quarter in which the benefits are recognized.</w:t>
      </w:r>
    </w:p>
    <w:p>
      <w:pPr>
        <w:spacing w:after="0" w:line="11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The Company recognizes interest related to unrecognized tax benefits as a component of interest expense and penalties related to unrecognized tax benefits as a component of income tax expense. During fiscal 2023, expense recorded on uncertain tax positions was not material. Expense recorded on uncertain tax positions was approximately $0.4 million for each of the fiscal years 2022 and 2021. The Company had accrued interest on uncertain tax positions of approximately $1.5 million and $1.5 million as of December 30, 2023 and December 31, 2022, 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EARNINGS PER SHARE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basic common shares outstanding to diluted common and common equivalent shares outstanding:</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61"/>
        </w:trPr>
        <w:tc>
          <w:tcPr>
            <w:tcW w:w="10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80" w:type="dxa"/>
            <w:vAlign w:val="bottom"/>
          </w:tcPr>
          <w:p>
            <w:pPr>
              <w:spacing w:after="0"/>
              <w:rPr>
                <w:sz w:val="14"/>
                <w:szCs w:val="14"/>
                <w:color w:val="auto"/>
              </w:rPr>
            </w:pP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31"/>
        </w:trPr>
        <w:tc>
          <w:tcPr>
            <w:tcW w:w="6920" w:type="dxa"/>
            <w:vAlign w:val="bottom"/>
            <w:tcBorders>
              <w:top w:val="single" w:sz="8" w:color="CCEEFF"/>
              <w:left w:val="single" w:sz="8" w:color="CCEEFF"/>
            </w:tcBorders>
            <w:gridSpan w:val="3"/>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Weighted-average number of common and common equivalent shares outstanding:</w:t>
            </w:r>
          </w:p>
        </w:tc>
        <w:tc>
          <w:tcPr>
            <w:tcW w:w="1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r>
      <w:tr>
        <w:trPr>
          <w:trHeight w:val="168"/>
        </w:trPr>
        <w:tc>
          <w:tcPr>
            <w:tcW w:w="42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color w:val="auto"/>
              </w:rPr>
              <w:t>Basic number of common shares outstanding</w:t>
            </w:r>
          </w:p>
        </w:tc>
        <w:tc>
          <w:tcPr>
            <w:tcW w:w="268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36,589,922</w:t>
            </w: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38,822,737</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42,853,009</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Dilutive effect of equity awards</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27,908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149,619</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Diluted number of common and common equivalent shares outstanding</w:t>
            </w: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36,593,266</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38,850,645</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43,002,628</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01"/>
        </w:trPr>
        <w:tc>
          <w:tcPr>
            <w:tcW w:w="6920" w:type="dxa"/>
            <w:vAlign w:val="bottom"/>
            <w:tcBorders>
              <w:left w:val="single" w:sz="8" w:color="CCEEFF"/>
            </w:tcBorders>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1"/>
                <w:szCs w:val="11"/>
                <w:color w:val="auto"/>
              </w:rPr>
              <w:t>Earnings per share:</w:t>
            </w:r>
          </w:p>
        </w:tc>
        <w:tc>
          <w:tcPr>
            <w:tcW w:w="1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r>
      <w:tr>
        <w:trPr>
          <w:trHeight w:val="32"/>
        </w:trPr>
        <w:tc>
          <w:tcPr>
            <w:tcW w:w="1000" w:type="dxa"/>
            <w:vAlign w:val="bottom"/>
            <w:tcBorders>
              <w:left w:val="single" w:sz="8" w:color="CCEEFF"/>
            </w:tcBorders>
            <w:shd w:val="clear" w:color="auto" w:fill="000000"/>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r>
        <w:trPr>
          <w:trHeight w:val="169"/>
        </w:trPr>
        <w:tc>
          <w:tcPr>
            <w:tcW w:w="69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data)</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1"/>
        </w:trPr>
        <w:tc>
          <w:tcPr>
            <w:tcW w:w="69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Basic net income per common share:</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8"/>
        </w:trPr>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339,748</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(4,113)</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228,215</w:t>
            </w:r>
          </w:p>
        </w:tc>
        <w:tc>
          <w:tcPr>
            <w:tcW w:w="80" w:type="dxa"/>
            <w:vAlign w:val="bottom"/>
          </w:tcPr>
          <w:p>
            <w:pPr>
              <w:spacing w:after="0"/>
              <w:rPr>
                <w:sz w:val="13"/>
                <w:szCs w:val="1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246,324</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335,635</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4"/>
        </w:trPr>
        <w:tc>
          <w:tcPr>
            <w:tcW w:w="6920" w:type="dxa"/>
            <w:vAlign w:val="bottom"/>
            <w:tcBorders>
              <w:left w:val="single" w:sz="8" w:color="CCEEFF"/>
            </w:tcBorders>
            <w:gridSpan w:val="3"/>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Basic net income per common share</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w:t>
            </w:r>
          </w:p>
        </w:tc>
      </w:tr>
      <w:tr>
        <w:trPr>
          <w:trHeight w:val="127"/>
        </w:trPr>
        <w:tc>
          <w:tcPr>
            <w:tcW w:w="1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0"/>
        </w:trPr>
        <w:tc>
          <w:tcPr>
            <w:tcW w:w="6920" w:type="dxa"/>
            <w:vAlign w:val="bottom"/>
            <w:tcBorders>
              <w:lef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Diluted net income per common share:</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8"/>
        </w:trPr>
        <w:tc>
          <w:tcPr>
            <w:tcW w:w="69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232,500</w:t>
            </w:r>
          </w:p>
        </w:tc>
        <w:tc>
          <w:tcPr>
            <w:tcW w:w="8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250,038</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339,748</w:t>
            </w:r>
          </w:p>
        </w:tc>
      </w:tr>
      <w:tr>
        <w:trPr>
          <w:trHeight w:val="172"/>
        </w:trPr>
        <w:tc>
          <w:tcPr>
            <w:tcW w:w="6920" w:type="dxa"/>
            <w:vAlign w:val="bottom"/>
            <w:tcBorders>
              <w:left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allocated to participating securities</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(4,102)</w:t>
            </w:r>
          </w:p>
        </w:tc>
      </w:tr>
      <w:tr>
        <w:trPr>
          <w:trHeight w:val="158"/>
        </w:trPr>
        <w:tc>
          <w:tcPr>
            <w:tcW w:w="6920" w:type="dxa"/>
            <w:vAlign w:val="bottom"/>
            <w:gridSpan w:val="3"/>
          </w:tcPr>
          <w:p>
            <w:pPr>
              <w:ind w:left="280"/>
              <w:spacing w:after="0" w:line="146" w:lineRule="exact"/>
              <w:rPr>
                <w:sz w:val="20"/>
                <w:szCs w:val="20"/>
                <w:color w:val="auto"/>
              </w:rPr>
            </w:pPr>
            <w:r>
              <w:rPr>
                <w:rFonts w:ascii="Times New Roman" w:cs="Times New Roman" w:eastAsia="Times New Roman" w:hAnsi="Times New Roman"/>
                <w:sz w:val="13"/>
                <w:szCs w:val="13"/>
                <w:color w:val="auto"/>
              </w:rPr>
              <w:t>Net income available to common shareholders</w:t>
            </w: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228,215</w:t>
            </w:r>
          </w:p>
        </w:tc>
        <w:tc>
          <w:tcPr>
            <w:tcW w:w="80" w:type="dxa"/>
            <w:vAlign w:val="bottom"/>
          </w:tcPr>
          <w:p>
            <w:pPr>
              <w:spacing w:after="0"/>
              <w:rPr>
                <w:sz w:val="13"/>
                <w:szCs w:val="1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246,326</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335,646</w:t>
            </w: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54"/>
        </w:trPr>
        <w:tc>
          <w:tcPr>
            <w:tcW w:w="6920" w:type="dxa"/>
            <w:vAlign w:val="bottom"/>
            <w:tcBorders>
              <w:left w:val="single" w:sz="8" w:color="CCEEFF"/>
            </w:tcBorders>
            <w:gridSpan w:val="3"/>
            <w:shd w:val="clear" w:color="auto" w:fill="CCEEFF"/>
          </w:tcPr>
          <w:p>
            <w:pPr>
              <w:ind w:left="280"/>
              <w:spacing w:after="0" w:line="146" w:lineRule="exact"/>
              <w:rPr>
                <w:sz w:val="20"/>
                <w:szCs w:val="20"/>
                <w:color w:val="auto"/>
              </w:rPr>
            </w:pPr>
            <w:r>
              <w:rPr>
                <w:rFonts w:ascii="Times New Roman" w:cs="Times New Roman" w:eastAsia="Times New Roman" w:hAnsi="Times New Roman"/>
                <w:sz w:val="13"/>
                <w:szCs w:val="13"/>
                <w:color w:val="auto"/>
              </w:rPr>
              <w:t>Diluted net income per common share</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127"/>
        </w:trPr>
        <w:tc>
          <w:tcPr>
            <w:tcW w:w="100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70"/>
        </w:trPr>
        <w:tc>
          <w:tcPr>
            <w:tcW w:w="6920" w:type="dxa"/>
            <w:vAlign w:val="bottom"/>
            <w:tcBorders>
              <w:left w:val="single" w:sz="8" w:color="CCEEFF"/>
            </w:tcBorders>
            <w:gridSpan w:val="3"/>
            <w:shd w:val="clear" w:color="auto" w:fill="CCEEFF"/>
          </w:tcPr>
          <w:p>
            <w:pPr>
              <w:ind w:left="280"/>
              <w:spacing w:after="0" w:line="170" w:lineRule="exact"/>
              <w:rPr>
                <w:sz w:val="20"/>
                <w:szCs w:val="20"/>
                <w:color w:val="auto"/>
              </w:rPr>
            </w:pPr>
            <w:r>
              <w:rPr>
                <w:rFonts w:ascii="Times New Roman" w:cs="Times New Roman" w:eastAsia="Times New Roman" w:hAnsi="Times New Roman"/>
                <w:sz w:val="13"/>
                <w:szCs w:val="13"/>
                <w:color w:val="auto"/>
              </w:rPr>
              <w:t xml:space="preserve">Anti-dilutive shares excluded from dilutive earnings per share calculations </w:t>
            </w:r>
            <w:r>
              <w:rPr>
                <w:rFonts w:ascii="Times New Roman" w:cs="Times New Roman" w:eastAsia="Times New Roman" w:hAnsi="Times New Roman"/>
                <w:sz w:val="16"/>
                <w:szCs w:val="16"/>
                <w:color w:val="auto"/>
                <w:vertAlign w:val="superscript"/>
              </w:rPr>
              <w:t>(*)</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477,373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526,618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176,475</w:t>
            </w:r>
          </w:p>
        </w:tc>
      </w:tr>
    </w:tbl>
    <w:p>
      <w:pPr>
        <w:spacing w:after="0" w:line="99"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volume of antidilutive shares is, in part, due to the related unamortized compensation costs.</w:t>
      </w:r>
    </w:p>
    <w:p>
      <w:pPr>
        <w:spacing w:after="0" w:line="1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 xml:space="preserve">The Company grants shares of its common stock in the form of restricted stock awards to certain key employees under the Company’s Amended and Restated Equity Incentive Plan (see Note 12,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to the consolidated financial statements). Prior to vesting of the restricted stock awards, the grant recipients are entitled to receive non-forfeitable cash dividends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declares and pays dividends on the Company’s common stock. Accordingly, unvested shares of the Company’s restricted stock awards are deemed to be participating securities for purposes of computing diluted earnings per share (EPS), and therefore the Company’s diluted EPS represents the lower of the amounts calculated under the treasury stock method or the two-class method of calculating diluted EPS.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EMPLOYEE BENEFIT PLANS</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maintains defined contribution plans, a deferred compensation plan, and two defined benefit plans. The two defined benefit plans include the OshKosh B’Gosh pension plan and a post-retirement life and medical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OshKosh B’Gosh Pension Plan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Funded Status</w:t>
      </w:r>
    </w:p>
    <w:p>
      <w:pPr>
        <w:spacing w:after="0" w:line="74"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retirement benefits under the OshKosh B’Gosh pension plan were frozen as of December 31, 2005. A reconciliation of changes in the projected pension benefit obligation and plan assets is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1720" w:type="dxa"/>
            <w:vAlign w:val="bottom"/>
            <w:tcBorders>
              <w:bottom w:val="single" w:sz="8" w:color="auto"/>
            </w:tcBorders>
          </w:tcPr>
          <w:p>
            <w:pPr>
              <w:spacing w:after="0"/>
              <w:rPr>
                <w:sz w:val="14"/>
                <w:szCs w:val="14"/>
                <w:color w:val="auto"/>
              </w:rPr>
            </w:pPr>
          </w:p>
        </w:tc>
      </w:tr>
      <w:tr>
        <w:trPr>
          <w:trHeight w:val="164"/>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380" w:type="dxa"/>
            <w:vAlign w:val="bottom"/>
          </w:tcPr>
          <w:p>
            <w:pPr>
              <w:spacing w:after="0"/>
              <w:rPr>
                <w:sz w:val="14"/>
                <w:szCs w:val="14"/>
                <w:color w:val="auto"/>
              </w:rPr>
            </w:pPr>
          </w:p>
        </w:tc>
        <w:tc>
          <w:tcPr>
            <w:tcW w:w="214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600" w:type="dxa"/>
            <w:vAlign w:val="bottom"/>
          </w:tcPr>
          <w:p>
            <w:pPr>
              <w:spacing w:after="0"/>
              <w:rPr>
                <w:sz w:val="14"/>
                <w:szCs w:val="14"/>
                <w:color w:val="auto"/>
              </w:rPr>
            </w:pPr>
          </w:p>
        </w:tc>
        <w:tc>
          <w:tcPr>
            <w:tcW w:w="172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51"/>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projected benefit obligation:</w:t>
            </w:r>
          </w:p>
        </w:tc>
        <w:tc>
          <w:tcPr>
            <w:tcW w:w="380" w:type="dxa"/>
            <w:vAlign w:val="bottom"/>
            <w:tcBorders>
              <w:top w:val="single" w:sz="8" w:color="auto"/>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Projected benefit obligation at beginning of year</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53,847</w:t>
            </w:r>
          </w:p>
        </w:tc>
        <w:tc>
          <w:tcPr>
            <w:tcW w:w="100" w:type="dxa"/>
            <w:vAlign w:val="bottom"/>
          </w:tcPr>
          <w:p>
            <w:pPr>
              <w:spacing w:after="0"/>
              <w:rPr>
                <w:sz w:val="14"/>
                <w:szCs w:val="14"/>
                <w:color w:val="auto"/>
              </w:rPr>
            </w:pPr>
          </w:p>
        </w:tc>
        <w:tc>
          <w:tcPr>
            <w:tcW w:w="60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70,875</w:t>
            </w:r>
          </w:p>
        </w:tc>
      </w:tr>
      <w:tr>
        <w:trPr>
          <w:trHeight w:val="172"/>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380" w:type="dxa"/>
            <w:vAlign w:val="bottom"/>
            <w:shd w:val="clear" w:color="auto" w:fill="CCEEFF"/>
          </w:tcPr>
          <w:p>
            <w:pPr>
              <w:spacing w:after="0"/>
              <w:rPr>
                <w:sz w:val="14"/>
                <w:szCs w:val="14"/>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Actuarial loss (gain)</w:t>
            </w:r>
          </w:p>
        </w:tc>
        <w:tc>
          <w:tcPr>
            <w:tcW w:w="38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1,376</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(16,021)</w:t>
            </w:r>
          </w:p>
        </w:tc>
      </w:tr>
      <w:tr>
        <w:trPr>
          <w:trHeight w:val="17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38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(2,916)</w:t>
            </w:r>
          </w:p>
        </w:tc>
      </w:tr>
      <w:tr>
        <w:trPr>
          <w:trHeight w:val="163"/>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Projected benefit obligation at end of year</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54,785</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53,847</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9"/>
        </w:trPr>
        <w:tc>
          <w:tcPr>
            <w:tcW w:w="6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r>
      <w:tr>
        <w:trPr>
          <w:trHeight w:val="169"/>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71"/>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Fair value of plan assets at beginning of year</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55,245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68,689</w:t>
            </w:r>
          </w:p>
        </w:tc>
      </w:tr>
      <w:tr>
        <w:trPr>
          <w:trHeight w:val="168"/>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Actual return on plan assets</w:t>
            </w:r>
          </w:p>
        </w:tc>
        <w:tc>
          <w:tcPr>
            <w:tcW w:w="38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(10,528)</w:t>
            </w:r>
          </w:p>
        </w:tc>
      </w:tr>
      <w:tr>
        <w:trPr>
          <w:trHeight w:val="17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Benefits paid</w:t>
            </w:r>
          </w:p>
        </w:tc>
        <w:tc>
          <w:tcPr>
            <w:tcW w:w="380" w:type="dxa"/>
            <w:vAlign w:val="bottom"/>
            <w:tcBorders>
              <w:bottom w:val="single" w:sz="8" w:color="auto"/>
            </w:tcBorders>
            <w:shd w:val="clear" w:color="auto" w:fill="CCEEFF"/>
          </w:tcPr>
          <w:p>
            <w:pPr>
              <w:spacing w:after="0"/>
              <w:rPr>
                <w:sz w:val="14"/>
                <w:szCs w:val="14"/>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w:t>
            </w:r>
          </w:p>
        </w:tc>
        <w:tc>
          <w:tcPr>
            <w:tcW w:w="1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(2,916)</w:t>
            </w:r>
          </w:p>
        </w:tc>
      </w:tr>
      <w:tr>
        <w:trPr>
          <w:trHeight w:val="163"/>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plan assets at end of year</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55,245</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9"/>
        </w:trPr>
        <w:tc>
          <w:tcPr>
            <w:tcW w:w="64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r>
      <w:tr>
        <w:trPr>
          <w:trHeight w:val="170"/>
        </w:trPr>
        <w:tc>
          <w:tcPr>
            <w:tcW w:w="64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Funded status</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w:t>
            </w:r>
          </w:p>
        </w:tc>
        <w:tc>
          <w:tcPr>
            <w:tcW w:w="100" w:type="dxa"/>
            <w:vAlign w:val="bottom"/>
          </w:tcPr>
          <w:p>
            <w:pPr>
              <w:spacing w:after="0"/>
              <w:rPr>
                <w:sz w:val="14"/>
                <w:szCs w:val="14"/>
                <w:color w:val="auto"/>
              </w:rPr>
            </w:pPr>
          </w:p>
        </w:tc>
        <w:tc>
          <w:tcPr>
            <w:tcW w:w="6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1,398</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is equal to the projected benefit obligation as of December 30, 2023 and December 31, 2022 because the plan is frozen. The Company does not expect to make any contributions to the OshKosh B’Gosh pension plan during fiscal 2024 as the plan’s funding exceeds the minimum funding requirements.</w:t>
      </w:r>
    </w:p>
    <w:p>
      <w:pPr>
        <w:spacing w:after="0" w:line="9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The actuarial loss in fiscal 2023 was primarily attributable to decreased discount rates, and the actuarial gain in fiscal 2022 was primarily attributable to increased discount rates. The plan became fully funded in fiscal 2022. The funded status asset is included in Other assets in the Company’s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4" w:name="page85"/>
    <w:bookmarkEnd w:id="84"/>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Periodic Pension Cost and Changes Recognized in Other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net periodic pension cost recognized in the statement of operations and changes recognized in other comprehensive income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r>
      <w:tr>
        <w:trPr>
          <w:trHeight w:val="164"/>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60" w:type="dxa"/>
            <w:vAlign w:val="bottom"/>
          </w:tcPr>
          <w:p>
            <w:pPr>
              <w:spacing w:after="0"/>
              <w:rPr>
                <w:sz w:val="14"/>
                <w:szCs w:val="14"/>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5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68"/>
        </w:trPr>
        <w:tc>
          <w:tcPr>
            <w:tcW w:w="5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1,818</w:t>
            </w:r>
          </w:p>
        </w:tc>
      </w:tr>
      <w:tr>
        <w:trPr>
          <w:trHeight w:val="17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(3,577)</w:t>
            </w:r>
          </w:p>
        </w:tc>
      </w:tr>
      <w:tr>
        <w:trPr>
          <w:trHeight w:val="170"/>
        </w:trPr>
        <w:tc>
          <w:tcPr>
            <w:tcW w:w="5660" w:type="dxa"/>
            <w:vAlign w:val="bottom"/>
            <w:tcBorders>
              <w:bottom w:val="single" w:sz="8" w:color="CCEEFF"/>
            </w:tcBorders>
          </w:tcPr>
          <w:p>
            <w:pPr>
              <w:ind w:left="120"/>
              <w:spacing w:after="0" w:line="170" w:lineRule="exact"/>
              <w:rPr>
                <w:sz w:val="20"/>
                <w:szCs w:val="20"/>
                <w:color w:val="auto"/>
              </w:rPr>
            </w:pPr>
            <w:r>
              <w:rPr>
                <w:rFonts w:ascii="Times New Roman" w:cs="Times New Roman" w:eastAsia="Times New Roman" w:hAnsi="Times New Roman"/>
                <w:sz w:val="13"/>
                <w:szCs w:val="13"/>
                <w:color w:val="auto"/>
              </w:rPr>
              <w:t>Amortization of net loss</w:t>
            </w:r>
            <w:r>
              <w:rPr>
                <w:rFonts w:ascii="Times New Roman" w:cs="Times New Roman" w:eastAsia="Times New Roman" w:hAnsi="Times New Roman"/>
                <w:sz w:val="16"/>
                <w:szCs w:val="16"/>
                <w:color w:val="auto"/>
                <w:vertAlign w:val="superscript"/>
              </w:rPr>
              <w:t>(*)</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58"/>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periodic pension cost (benefit)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w:t>
            </w:r>
          </w:p>
        </w:tc>
      </w:tr>
      <w:tr>
        <w:trPr>
          <w:trHeight w:val="109"/>
        </w:trPr>
        <w:tc>
          <w:tcPr>
            <w:tcW w:w="5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Changes recognized in other comprehensive income:</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8"/>
        </w:trPr>
        <w:tc>
          <w:tcPr>
            <w:tcW w:w="56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gain arising during the fiscal year</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(2,062)</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(4,765)</w:t>
            </w:r>
          </w:p>
        </w:tc>
      </w:tr>
      <w:tr>
        <w:trPr>
          <w:trHeight w:val="172"/>
        </w:trPr>
        <w:tc>
          <w:tcPr>
            <w:tcW w:w="566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3"/>
                <w:szCs w:val="13"/>
                <w:color w:val="auto"/>
              </w:rPr>
              <w:t>Amortization of net loss</w:t>
            </w:r>
            <w:r>
              <w:rPr>
                <w:rFonts w:ascii="Times New Roman" w:cs="Times New Roman" w:eastAsia="Times New Roman" w:hAnsi="Times New Roman"/>
                <w:sz w:val="16"/>
                <w:szCs w:val="16"/>
                <w:color w:val="auto"/>
                <w:vertAlign w:val="superscript"/>
              </w:rPr>
              <w:t>(*)</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r>
      <w:tr>
        <w:trPr>
          <w:trHeight w:val="158"/>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changes recognized in other comprehensive income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(5,193)</w:t>
            </w:r>
          </w:p>
        </w:tc>
      </w:tr>
      <w:tr>
        <w:trPr>
          <w:trHeight w:val="18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periodic pension cost (benefit) and changes recognized in other comprehensive income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(6,524)</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right="20" w:hanging="255"/>
        <w:spacing w:after="0" w:line="270" w:lineRule="auto"/>
        <w:tabs>
          <w:tab w:leader="none" w:pos="254"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pre-tax amounts reclassified from accumulated other comprehensive loss. For fiscal 2024, approximately $0.2 million is expected to be reclassified from accumulated other comprehensive loss to a component of net periodic pension cost.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Assumptions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actuarial assumptions used in determining the benefit obligation and net periodic pension cost for our pension plan is presented in the following table: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Benefit obligation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38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r>
      <w:tr>
        <w:trPr>
          <w:trHeight w:val="178"/>
        </w:trPr>
        <w:tc>
          <w:tcPr>
            <w:tcW w:w="20" w:type="dxa"/>
            <w:vAlign w:val="bottom"/>
            <w:shd w:val="clear" w:color="auto" w:fill="CCEEFF"/>
          </w:tcPr>
          <w:p>
            <w:pPr>
              <w:spacing w:after="0"/>
              <w:rPr>
                <w:sz w:val="15"/>
                <w:szCs w:val="15"/>
                <w:color w:val="auto"/>
              </w:rPr>
            </w:pPr>
          </w:p>
        </w:tc>
        <w:tc>
          <w:tcPr>
            <w:tcW w:w="6380" w:type="dxa"/>
            <w:vAlign w:val="bottom"/>
            <w:gridSpan w:val="3"/>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Net periodic pension cost</w:t>
            </w:r>
          </w:p>
        </w:tc>
        <w:tc>
          <w:tcPr>
            <w:tcW w:w="15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660" w:type="dxa"/>
            <w:vAlign w:val="bottom"/>
            <w:gridSpan w:val="2"/>
            <w:shd w:val="clear" w:color="auto" w:fill="CCEEFF"/>
          </w:tcPr>
          <w:p>
            <w:pPr>
              <w:jc w:val="center"/>
              <w:ind w:left="36"/>
              <w:spacing w:after="0" w:line="138" w:lineRule="exact"/>
              <w:rPr>
                <w:sz w:val="20"/>
                <w:szCs w:val="20"/>
                <w:color w:val="auto"/>
              </w:rPr>
            </w:pPr>
            <w:r>
              <w:rPr>
                <w:rFonts w:ascii="Times New Roman" w:cs="Times New Roman" w:eastAsia="Times New Roman" w:hAnsi="Times New Roman"/>
                <w:sz w:val="13"/>
                <w:szCs w:val="13"/>
                <w:b w:val="1"/>
                <w:bCs w:val="1"/>
                <w:color w:val="auto"/>
                <w:w w:val="92"/>
              </w:rPr>
              <w:t>2021</w:t>
            </w:r>
          </w:p>
        </w:tc>
      </w:tr>
      <w:tr>
        <w:trPr>
          <w:trHeight w:val="150"/>
        </w:trPr>
        <w:tc>
          <w:tcPr>
            <w:tcW w:w="20" w:type="dxa"/>
            <w:vAlign w:val="bottom"/>
            <w:tcBorders>
              <w:top w:val="single" w:sz="8" w:color="CCEEFF"/>
            </w:tcBorders>
          </w:tcPr>
          <w:p>
            <w:pPr>
              <w:spacing w:after="0"/>
              <w:rPr>
                <w:sz w:val="13"/>
                <w:szCs w:val="13"/>
                <w:color w:val="auto"/>
              </w:rPr>
            </w:pPr>
          </w:p>
        </w:tc>
        <w:tc>
          <w:tcPr>
            <w:tcW w:w="1360" w:type="dxa"/>
            <w:vAlign w:val="bottom"/>
            <w:tcBorders>
              <w:top w:val="single" w:sz="8" w:color="auto"/>
            </w:tcBorders>
            <w:gridSpan w:val="2"/>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502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Borders>
              <w:top w:val="single" w:sz="8" w:color="CCEEFF"/>
            </w:tcBorders>
          </w:tcPr>
          <w:p>
            <w:pPr>
              <w:spacing w:after="0"/>
              <w:rPr>
                <w:sz w:val="13"/>
                <w:szCs w:val="13"/>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2.50%</w:t>
            </w:r>
          </w:p>
        </w:tc>
      </w:tr>
      <w:tr>
        <w:trPr>
          <w:trHeight w:val="172"/>
        </w:trPr>
        <w:tc>
          <w:tcPr>
            <w:tcW w:w="20" w:type="dxa"/>
            <w:vAlign w:val="bottom"/>
            <w:shd w:val="clear" w:color="auto" w:fill="CCEEFF"/>
          </w:tcPr>
          <w:p>
            <w:pPr>
              <w:spacing w:after="0"/>
              <w:rPr>
                <w:sz w:val="14"/>
                <w:szCs w:val="14"/>
                <w:color w:val="auto"/>
              </w:rPr>
            </w:pPr>
          </w:p>
        </w:tc>
        <w:tc>
          <w:tcPr>
            <w:tcW w:w="6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long-term rate of return on plan assets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16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5"/>
              </w:rPr>
              <w:t>6.00%</w:t>
            </w:r>
          </w:p>
        </w:tc>
      </w:tr>
    </w:tbl>
    <w:p>
      <w:pPr>
        <w:spacing w:after="0" w:line="19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The discount rates used at December 30, 2023, December 31, 2022, and January 1, 2022 were determined with consideration given to the FTSE Pension Liability Index and the Bloomberg US Aggregate AA Bond Index, adjusted for the timing of expected plan distributions. The Company believes these indexes reflect a risk-free rate consistent with a portfolio of high quality debt instruments with maturities that are comparable to the timing of the expected payments under the plan. The expected long-term rate of return assumption is equal to the assumed discount rate. Refer to “Plan Assets” below in Note 17,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for further discussion.</w:t>
      </w:r>
    </w:p>
    <w:p>
      <w:pPr>
        <w:spacing w:after="0" w:line="119"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decreased discount rate assumption at December 30, 2023 resulted in an increase in the amount of the pension plan’s projected benefit obligation of approximately $1.4 million. A 0.25% change in the assumed discount rate as of December 30, 2023 would result in an increase or decrease in the amount of the pension plan's projected benefit obligation of approximately $1.5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currently expects benefit payments for its defined benefit pension plan as follows for the next ten fiscal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4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3,210</w:t>
            </w: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490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w:t>
            </w: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4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3,340</w:t>
            </w: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490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3,610</w:t>
            </w: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4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3,710</w:t>
            </w:r>
          </w:p>
        </w:tc>
      </w:tr>
      <w:tr>
        <w:trPr>
          <w:trHeight w:val="165"/>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2029-2033</w:t>
            </w:r>
          </w:p>
        </w:tc>
        <w:tc>
          <w:tcPr>
            <w:tcW w:w="490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20,030</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Plan Assets</w:t>
      </w:r>
    </w:p>
    <w:p>
      <w:pPr>
        <w:spacing w:after="0" w:line="8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Company conducts periodic asset-liability studies for our defined benefit pension plan to develop a policy glide path which adjusts the asset allocation with funded status. During fiscal 2022, the plan became fully funded, and the Company allocated its investments to fixed income securities as a result. These fixed income securities include funds holding corporate bonds of companies from diverse industries and U.S. Treasuries. The expected long-term rate of return on plan assets is 4.75%.</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Company’s pension plan assets at December 30, 2023 and December 31, 2022, by asset category,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6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Asset category</w:t>
            </w:r>
          </w:p>
        </w:tc>
        <w:tc>
          <w:tcPr>
            <w:tcW w:w="260" w:type="dxa"/>
            <w:vAlign w:val="bottom"/>
          </w:tcPr>
          <w:p>
            <w:pPr>
              <w:spacing w:after="0"/>
              <w:rPr>
                <w:sz w:val="11"/>
                <w:szCs w:val="11"/>
                <w:color w:val="auto"/>
              </w:rPr>
            </w:pPr>
          </w:p>
        </w:tc>
        <w:tc>
          <w:tcPr>
            <w:tcW w:w="100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1"/>
                <w:szCs w:val="11"/>
                <w:color w:val="auto"/>
              </w:rPr>
            </w:pPr>
          </w:p>
        </w:tc>
        <w:tc>
          <w:tcPr>
            <w:tcW w:w="10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900" w:type="dxa"/>
            <w:vAlign w:val="bottom"/>
          </w:tcPr>
          <w:p>
            <w:pPr>
              <w:jc w:val="right"/>
              <w:ind w:right="56"/>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3"/>
                <w:szCs w:val="13"/>
                <w:b w:val="1"/>
                <w:bCs w:val="1"/>
                <w:color w:val="auto"/>
                <w:w w:val="99"/>
              </w:rPr>
              <w:t>Level 1</w:t>
            </w:r>
          </w:p>
        </w:tc>
        <w:tc>
          <w:tcPr>
            <w:tcW w:w="240" w:type="dxa"/>
            <w:vAlign w:val="bottom"/>
          </w:tcPr>
          <w:p>
            <w:pPr>
              <w:spacing w:after="0"/>
              <w:rPr>
                <w:sz w:val="11"/>
                <w:szCs w:val="11"/>
                <w:color w:val="auto"/>
              </w:rPr>
            </w:pPr>
          </w:p>
        </w:tc>
        <w:tc>
          <w:tcPr>
            <w:tcW w:w="960" w:type="dxa"/>
            <w:vAlign w:val="bottom"/>
          </w:tcPr>
          <w:p>
            <w:pPr>
              <w:jc w:val="right"/>
              <w:ind w:right="336"/>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4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9"/>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Fixed income securities: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2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3"/>
                <w:szCs w:val="13"/>
                <w:color w:val="auto"/>
              </w:rPr>
              <w:t>Corporate bonds</w:t>
            </w:r>
            <w:r>
              <w:rPr>
                <w:rFonts w:ascii="Times New Roman" w:cs="Times New Roman" w:eastAsia="Times New Roman" w:hAnsi="Times New Roman"/>
                <w:sz w:val="16"/>
                <w:szCs w:val="16"/>
                <w:color w:val="auto"/>
                <w:vertAlign w:val="superscript"/>
              </w:rPr>
              <w: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tcBorders>
              <w:right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52,805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98"/>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55,959</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55,245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55,009</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r>
    </w:tbl>
    <w:p>
      <w:pPr>
        <w:spacing w:after="0" w:line="99" w:lineRule="exact"/>
        <w:rPr>
          <w:sz w:val="20"/>
          <w:szCs w:val="20"/>
          <w:color w:val="auto"/>
        </w:rPr>
      </w:pPr>
    </w:p>
    <w:p>
      <w:pPr>
        <w:ind w:left="260" w:hanging="255"/>
        <w:spacing w:after="0"/>
        <w:tabs>
          <w:tab w:leader="none" w:pos="2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category invests in both U.S. Treasuries and corporate debt from U.S. issuers from diverse industries.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Post-retirement Life and Medical Plan</w:t>
      </w:r>
    </w:p>
    <w:p>
      <w:pPr>
        <w:spacing w:after="0" w:line="7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Under a defined benefit plan frozen in 1991, the Company offers a comprehensive post-retirement medical plan to current and certain future retirees and their spouses. The Company also offers life insurance to current and certain future retirees. Employee contributions are required as a condition of participation for both medical benefits and life insurance and the Company’s liabilities are net of these expected employee contributions.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Post-Retirement Benefit Obligation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reconciliation of the accumulated post-retirement benefit obligation (“APBO”) under this plan: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4"/>
          </w:tcPr>
          <w:p>
            <w:pPr>
              <w:jc w:val="right"/>
              <w:ind w:right="1276"/>
              <w:spacing w:after="0"/>
              <w:rPr>
                <w:sz w:val="20"/>
                <w:szCs w:val="20"/>
                <w:color w:val="auto"/>
              </w:rPr>
            </w:pPr>
            <w:r>
              <w:rPr>
                <w:rFonts w:ascii="Times New Roman" w:cs="Times New Roman" w:eastAsia="Times New Roman" w:hAnsi="Times New Roman"/>
                <w:sz w:val="13"/>
                <w:szCs w:val="13"/>
                <w:b w:val="1"/>
                <w:bCs w:val="1"/>
                <w:color w:val="auto"/>
              </w:rPr>
              <w:t>For the fiscal years ended</w:t>
            </w:r>
          </w:p>
        </w:tc>
      </w:tr>
      <w:tr>
        <w:trPr>
          <w:trHeight w:val="164"/>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80" w:type="dxa"/>
            <w:vAlign w:val="bottom"/>
          </w:tcPr>
          <w:p>
            <w:pPr>
              <w:spacing w:after="0"/>
              <w:rPr>
                <w:sz w:val="14"/>
                <w:szCs w:val="14"/>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80" w:type="dxa"/>
            <w:vAlign w:val="bottom"/>
          </w:tcPr>
          <w:p>
            <w:pPr>
              <w:spacing w:after="0"/>
              <w:rPr>
                <w:sz w:val="14"/>
                <w:szCs w:val="14"/>
                <w:color w:val="auto"/>
              </w:rPr>
            </w:pPr>
          </w:p>
        </w:tc>
        <w:tc>
          <w:tcPr>
            <w:tcW w:w="17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APBO at beginning of fiscal year</w:t>
            </w: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2,662</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cost</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cost</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8"/>
        </w:trPr>
        <w:tc>
          <w:tcPr>
            <w:tcW w:w="7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Actuarial loss (gain)</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w:t>
            </w:r>
          </w:p>
        </w:tc>
      </w:tr>
      <w:tr>
        <w:trPr>
          <w:trHeight w:val="172"/>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Plan participants’ contribution</w:t>
            </w:r>
          </w:p>
        </w:tc>
        <w:tc>
          <w:tcPr>
            <w:tcW w:w="28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Benefits paid</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w:t>
            </w:r>
          </w:p>
        </w:tc>
      </w:tr>
      <w:tr>
        <w:trPr>
          <w:trHeight w:val="18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APBO at end of fiscal year</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Approximately $1.4 million and $1.5 million of the APBO at the end of fiscal 2023 and 2022, respectively, were classified as Other long term liabilities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6" w:name="page87"/>
    <w:bookmarkEnd w:id="86"/>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Periodic Post-Retirement Benefit Cost and Changes Recognized in Other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net periodic post-retirement benefit cost recognized in the statement of operations and changes recognized in other comprehensive income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For the fiscal year ended</w:t>
            </w: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6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2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60" w:type="dxa"/>
            <w:vAlign w:val="bottom"/>
          </w:tcPr>
          <w:p>
            <w:pPr>
              <w:spacing w:after="0"/>
              <w:rPr>
                <w:sz w:val="14"/>
                <w:szCs w:val="14"/>
                <w:color w:val="auto"/>
              </w:rPr>
            </w:pPr>
          </w:p>
        </w:tc>
        <w:tc>
          <w:tcPr>
            <w:tcW w:w="154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0" w:type="dxa"/>
            <w:vAlign w:val="bottom"/>
          </w:tcPr>
          <w:p>
            <w:pPr>
              <w:spacing w:after="0"/>
              <w:rPr>
                <w:sz w:val="1"/>
                <w:szCs w:val="1"/>
                <w:color w:val="auto"/>
              </w:rPr>
            </w:pPr>
          </w:p>
        </w:tc>
      </w:tr>
      <w:tr>
        <w:trPr>
          <w:trHeight w:val="15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Recognized in the statement of operations:</w:t>
            </w:r>
          </w:p>
        </w:tc>
        <w:tc>
          <w:tcPr>
            <w:tcW w:w="22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Service cost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5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 cost</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0"/>
        </w:trPr>
        <w:tc>
          <w:tcPr>
            <w:tcW w:w="5660" w:type="dxa"/>
            <w:vAlign w:val="bottom"/>
            <w:tcBorders>
              <w:bottom w:val="single" w:sz="8" w:color="CCEEFF"/>
            </w:tcBorders>
          </w:tcPr>
          <w:p>
            <w:pPr>
              <w:ind w:left="60"/>
              <w:spacing w:after="0" w:line="170" w:lineRule="exact"/>
              <w:rPr>
                <w:sz w:val="20"/>
                <w:szCs w:val="20"/>
                <w:color w:val="auto"/>
              </w:rPr>
            </w:pPr>
            <w:r>
              <w:rPr>
                <w:rFonts w:ascii="Times New Roman" w:cs="Times New Roman" w:eastAsia="Times New Roman" w:hAnsi="Times New Roman"/>
                <w:sz w:val="13"/>
                <w:szCs w:val="13"/>
                <w:color w:val="auto"/>
              </w:rPr>
              <w:t>Amortization of net gain</w:t>
            </w:r>
            <w:r>
              <w:rPr>
                <w:rFonts w:ascii="Times New Roman" w:cs="Times New Roman" w:eastAsia="Times New Roman" w:hAnsi="Times New Roman"/>
                <w:sz w:val="16"/>
                <w:szCs w:val="16"/>
                <w:color w:val="auto"/>
                <w:vertAlign w:val="superscript"/>
              </w:rPr>
              <w:t>(*)</w:t>
            </w:r>
          </w:p>
        </w:tc>
        <w:tc>
          <w:tcPr>
            <w:tcW w:w="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58"/>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periodic post-retirement benefit (income) cost</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0" w:type="dxa"/>
            <w:vAlign w:val="bottom"/>
          </w:tcPr>
          <w:p>
            <w:pPr>
              <w:spacing w:after="0"/>
              <w:rPr>
                <w:sz w:val="1"/>
                <w:szCs w:val="1"/>
                <w:color w:val="auto"/>
              </w:rPr>
            </w:pPr>
          </w:p>
        </w:tc>
      </w:tr>
      <w:tr>
        <w:trPr>
          <w:trHeight w:val="109"/>
        </w:trPr>
        <w:tc>
          <w:tcPr>
            <w:tcW w:w="5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Changes recognized in other comprehensive income:</w:t>
            </w:r>
          </w:p>
        </w:tc>
        <w:tc>
          <w:tcPr>
            <w:tcW w:w="2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(gain) arising during the fiscal year</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w:t>
            </w:r>
          </w:p>
        </w:tc>
        <w:tc>
          <w:tcPr>
            <w:tcW w:w="100" w:type="dxa"/>
            <w:vAlign w:val="bottom"/>
          </w:tcPr>
          <w:p>
            <w:pPr>
              <w:spacing w:after="0"/>
              <w:rPr>
                <w:sz w:val="14"/>
                <w:szCs w:val="14"/>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72"/>
        </w:trPr>
        <w:tc>
          <w:tcPr>
            <w:tcW w:w="5660" w:type="dxa"/>
            <w:vAlign w:val="bottom"/>
            <w:shd w:val="clear" w:color="auto" w:fill="CCEEFF"/>
          </w:tcPr>
          <w:p>
            <w:pPr>
              <w:ind w:left="100"/>
              <w:spacing w:after="0" w:line="172" w:lineRule="exact"/>
              <w:rPr>
                <w:sz w:val="20"/>
                <w:szCs w:val="20"/>
                <w:color w:val="auto"/>
              </w:rPr>
            </w:pPr>
            <w:r>
              <w:rPr>
                <w:rFonts w:ascii="Times New Roman" w:cs="Times New Roman" w:eastAsia="Times New Roman" w:hAnsi="Times New Roman"/>
                <w:sz w:val="13"/>
                <w:szCs w:val="13"/>
                <w:color w:val="auto"/>
              </w:rPr>
              <w:t>Amortization of net gain</w:t>
            </w:r>
            <w:r>
              <w:rPr>
                <w:rFonts w:ascii="Times New Roman" w:cs="Times New Roman" w:eastAsia="Times New Roman" w:hAnsi="Times New Roman"/>
                <w:sz w:val="16"/>
                <w:szCs w:val="16"/>
                <w:color w:val="auto"/>
                <w:vertAlign w:val="superscript"/>
              </w:rPr>
              <w:t>(*)</w:t>
            </w:r>
          </w:p>
        </w:tc>
        <w:tc>
          <w:tcPr>
            <w:tcW w:w="22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changes recognized in other comprehensive income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09"/>
        </w:trPr>
        <w:tc>
          <w:tcPr>
            <w:tcW w:w="5660" w:type="dxa"/>
            <w:vAlign w:val="bottom"/>
            <w:shd w:val="clear" w:color="auto" w:fill="CCEEFF"/>
          </w:tcPr>
          <w:p>
            <w:pPr>
              <w:ind w:left="300"/>
              <w:spacing w:after="0" w:line="110" w:lineRule="exact"/>
              <w:rPr>
                <w:sz w:val="20"/>
                <w:szCs w:val="20"/>
                <w:color w:val="auto"/>
              </w:rPr>
            </w:pPr>
            <w:r>
              <w:rPr>
                <w:rFonts w:ascii="Times New Roman" w:cs="Times New Roman" w:eastAsia="Times New Roman" w:hAnsi="Times New Roman"/>
                <w:sz w:val="12"/>
                <w:szCs w:val="12"/>
                <w:b w:val="1"/>
                <w:bCs w:val="1"/>
                <w:color w:val="auto"/>
              </w:rPr>
              <w:t>Total net periodic post-retirement benefit (income) cost and changes recognized in other</w:t>
            </w:r>
          </w:p>
        </w:tc>
        <w:tc>
          <w:tcPr>
            <w:tcW w:w="22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w:t>
            </w:r>
          </w:p>
        </w:tc>
        <w:tc>
          <w:tcPr>
            <w:tcW w:w="10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69"/>
        </w:trPr>
        <w:tc>
          <w:tcPr>
            <w:tcW w:w="56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15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15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right="160" w:hanging="255"/>
        <w:spacing w:after="0" w:line="300" w:lineRule="auto"/>
        <w:tabs>
          <w:tab w:leader="none" w:pos="254"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pre-tax amounts reclassified from accumulated other comprehensive loss. For fiscal 2024, approximately $0.4 million is expected to be reclassified from accumulated other comprehensive loss to a component of net periodic post-retirement benefit (income) cost.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Assumptions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actuarial computations utilized the following assumptions, using year-end measurement dates: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Post-retirement benefit obligation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4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640" w:type="dxa"/>
            <w:vAlign w:val="bottom"/>
            <w:gridSpan w:val="3"/>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4.75%</w:t>
            </w: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auto"/>
            </w:tcBorders>
            <w:gridSpan w:val="2"/>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Net periodic post-retirement benefit cost</w:t>
            </w:r>
          </w:p>
        </w:tc>
        <w:tc>
          <w:tcPr>
            <w:tcW w:w="44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9"/>
              </w:rPr>
              <w:t>2022</w:t>
            </w:r>
          </w:p>
        </w:tc>
        <w:tc>
          <w:tcPr>
            <w:tcW w:w="1560" w:type="dxa"/>
            <w:vAlign w:val="bottom"/>
            <w:tcBorders>
              <w:bottom w:val="single" w:sz="8" w:color="CCEEFF"/>
            </w:tcBorders>
            <w:gridSpan w:val="2"/>
            <w:shd w:val="clear" w:color="auto" w:fill="CCEEFF"/>
          </w:tcPr>
          <w:p>
            <w:pPr>
              <w:jc w:val="right"/>
              <w:ind w:right="556"/>
              <w:spacing w:after="0" w:line="138" w:lineRule="exact"/>
              <w:rPr>
                <w:sz w:val="20"/>
                <w:szCs w:val="20"/>
                <w:color w:val="auto"/>
              </w:rPr>
            </w:pPr>
            <w:r>
              <w:rPr>
                <w:rFonts w:ascii="Times New Roman" w:cs="Times New Roman" w:eastAsia="Times New Roman" w:hAnsi="Times New Roman"/>
                <w:sz w:val="13"/>
                <w:szCs w:val="13"/>
                <w:b w:val="1"/>
                <w:bCs w:val="1"/>
                <w:color w:val="auto"/>
              </w:rPr>
              <w:t>2021</w:t>
            </w:r>
          </w:p>
        </w:tc>
      </w:tr>
      <w:tr>
        <w:trPr>
          <w:trHeight w:val="148"/>
        </w:trPr>
        <w:tc>
          <w:tcPr>
            <w:tcW w:w="20" w:type="dxa"/>
            <w:vAlign w:val="bottom"/>
          </w:tcPr>
          <w:p>
            <w:pPr>
              <w:spacing w:after="0"/>
              <w:rPr>
                <w:sz w:val="12"/>
                <w:szCs w:val="12"/>
                <w:color w:val="auto"/>
              </w:rPr>
            </w:pPr>
          </w:p>
        </w:tc>
        <w:tc>
          <w:tcPr>
            <w:tcW w:w="6640" w:type="dxa"/>
            <w:vAlign w:val="bottom"/>
            <w:gridSpan w:val="3"/>
          </w:tcPr>
          <w:p>
            <w:pPr>
              <w:spacing w:after="0" w:line="148" w:lineRule="exact"/>
              <w:rPr>
                <w:sz w:val="20"/>
                <w:szCs w:val="20"/>
                <w:color w:val="auto"/>
              </w:rPr>
            </w:pPr>
            <w:r>
              <w:rPr>
                <w:rFonts w:ascii="Times New Roman" w:cs="Times New Roman" w:eastAsia="Times New Roman" w:hAnsi="Times New Roman"/>
                <w:sz w:val="13"/>
                <w:szCs w:val="13"/>
                <w:color w:val="auto"/>
              </w:rPr>
              <w:t>Discount rate</w:t>
            </w:r>
          </w:p>
        </w:tc>
        <w:tc>
          <w:tcPr>
            <w:tcW w:w="14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2"/>
                <w:szCs w:val="12"/>
                <w:color w:val="auto"/>
              </w:rPr>
            </w:pPr>
          </w:p>
        </w:tc>
        <w:tc>
          <w:tcPr>
            <w:tcW w:w="146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3"/>
                <w:szCs w:val="13"/>
                <w:color w:val="auto"/>
                <w:w w:val="95"/>
              </w:rPr>
              <w:t>2.50%</w:t>
            </w:r>
          </w:p>
        </w:tc>
        <w:tc>
          <w:tcPr>
            <w:tcW w:w="80" w:type="dxa"/>
            <w:vAlign w:val="bottom"/>
          </w:tcPr>
          <w:p>
            <w:pPr>
              <w:spacing w:after="0"/>
              <w:rPr>
                <w:sz w:val="12"/>
                <w:szCs w:val="12"/>
                <w:color w:val="auto"/>
              </w:rPr>
            </w:pPr>
          </w:p>
        </w:tc>
        <w:tc>
          <w:tcPr>
            <w:tcW w:w="1480" w:type="dxa"/>
            <w:vAlign w:val="bottom"/>
            <w:tcBorders>
              <w:top w:val="single" w:sz="8" w:color="auto"/>
            </w:tcBorders>
          </w:tcPr>
          <w:p>
            <w:pPr>
              <w:jc w:val="right"/>
              <w:ind w:right="516"/>
              <w:spacing w:after="0" w:line="148" w:lineRule="exact"/>
              <w:rPr>
                <w:sz w:val="20"/>
                <w:szCs w:val="20"/>
                <w:color w:val="auto"/>
              </w:rPr>
            </w:pPr>
            <w:r>
              <w:rPr>
                <w:rFonts w:ascii="Times New Roman" w:cs="Times New Roman" w:eastAsia="Times New Roman" w:hAnsi="Times New Roman"/>
                <w:sz w:val="13"/>
                <w:szCs w:val="13"/>
                <w:color w:val="auto"/>
              </w:rPr>
              <w:t>2.00%</w:t>
            </w:r>
          </w:p>
        </w:tc>
      </w:tr>
    </w:tbl>
    <w:p>
      <w:pPr>
        <w:spacing w:after="0" w:line="20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discount rates used at December 30, 2023, December 31, 2022, and January 1, 2022, were determined with primary consideration given to the FTSE Pension Discount Curve and Liability Index adjusted for the timing of expected plan distributions. The Company believes this index reflects a risk-free rate with maturities that are comparable to the timing of the expected payments under the plan.</w:t>
      </w:r>
    </w:p>
    <w:p>
      <w:pPr>
        <w:spacing w:after="0" w:line="114"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The effects on the Company’s plan of all future increases in health care costs are borne primarily by employees; accordingly, increasing medical costs are not expected to have any material effect on the Company’s future financial results.</w:t>
      </w:r>
    </w:p>
    <w:p>
      <w:pPr>
        <w:spacing w:after="0" w:line="92"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Company’s contribution for these post-retirement benefit obligations was approximately $0.2 million for fiscal years 2023 and 2022 and approximately $0.3 million for fiscal year 2021. The Company expects that its contribution and benefit payments for post-retirement benefit obligations will be approximately $0.2 million for fiscal years 2024, 2025, 2026, 2027, and 2028. For the five years subsequent to fiscal 2028, the aggregate contributions and benefit payments for post-retirement benefit obligations is expected to be approximately $0.6 million. The Company does not pre-fund this plan and as a result there are no plan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Compensation Plan</w:t>
      </w:r>
    </w:p>
    <w:p>
      <w:pPr>
        <w:spacing w:after="0" w:line="8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 maintains a deferred compensation plan allowing voluntary salary and incentive compensation deferrals for qualifying employees as permitted by the Internal Revenue Code. Participant deferrals earn investment returns based on a select number of investment options, including equity, debt, and real estate mutual funds. Deferred compensation plan liabilities are recognized in Other long term liabilities on the Company’s consolidated balance sheets. Changes in the balance, excluding those related to contributions or payments, are included in Other expense (income), net on the Company’s consolidated statement of operations. The Company invests comparable amounts in marketable securities to approximate the participant’s return on selected investment options.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w:t>
      </w:r>
    </w:p>
    <w:p>
      <w:pPr>
        <w:spacing w:after="0" w:line="85"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also sponsors defined contribution savings plans in the United States and Canada. The U.S. plan covers employees who are at least 21 years of age and have completed one calendar month of service and, if part-time, work a minimum of one thousand hours of service within the one-year period following the commencement of employment or during any subsequent calendar year. The plan provides for a discretionary employer match of employee contributions. The Company’s expense for the U.S. defined contribution savings plan totaled approximately $8.1 million, $8.2 million, and $16.1 million for the fiscal years ended December 30, 2023, December 31, 2022, and January 1, 2022,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SEGMENT INFORMATION</w:t>
      </w:r>
    </w:p>
    <w:p>
      <w:pPr>
        <w:spacing w:after="0" w:line="85"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The Company reports segment information based upon a “management approach.” The management approach refers to the internal reporting that is used by management for making operating decisions and assessing the performance of the Company’s reportable segments. The Company reports its corporate expenses separately as they are not included in the internal measures of segment operating performance used by the Company to measure the underlying performance of its reportable segments.</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 xml:space="preserve">Segment results include the direct costs of each segment and all other costs are allocated based upon detailed estimates and analysis of actual time and expenses incurred to support the operations of each segment or units produced or sourced to support each segment’s revenue. Certain costs, including incentive compensation for certain employees, and various other general corporate costs that are not specifically allocable to segments, are included in corporate expenses below. Intersegment sales and transfers are recorded at cost and are treated as a transfer of inventory. The Company does not evaluate performance or allocate resources based on segment asset data, and therefore total segment assets are not presented. The accounting policies of the segments are the same as those described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to the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certain segment information for our reportable segments and unallocated corporate expenses for the periods indicated:</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0"/>
                <w:szCs w:val="10"/>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3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200" w:type="dxa"/>
            <w:vAlign w:val="bottom"/>
          </w:tcPr>
          <w:p>
            <w:pPr>
              <w:spacing w:after="0"/>
              <w:rPr>
                <w:sz w:val="10"/>
                <w:szCs w:val="10"/>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38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240" w:type="dxa"/>
            <w:vAlign w:val="bottom"/>
          </w:tcPr>
          <w:p>
            <w:pPr>
              <w:spacing w:after="0"/>
              <w:rPr>
                <w:sz w:val="10"/>
                <w:szCs w:val="10"/>
                <w:color w:val="auto"/>
              </w:rPr>
            </w:pPr>
          </w:p>
        </w:tc>
        <w:tc>
          <w:tcPr>
            <w:tcW w:w="1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1280" w:type="dxa"/>
            <w:vAlign w:val="bottom"/>
          </w:tcPr>
          <w:p>
            <w:pPr>
              <w:jc w:val="right"/>
              <w:ind w:right="436"/>
              <w:spacing w:after="0" w:line="120"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69"/>
        </w:trPr>
        <w:tc>
          <w:tcPr>
            <w:tcW w:w="2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consolidated net sales</w:t>
            </w: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consolidated net sales</w:t>
            </w:r>
          </w:p>
        </w:tc>
        <w:tc>
          <w:tcPr>
            <w:tcW w:w="2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consolidated net sales</w:t>
            </w:r>
          </w:p>
        </w:tc>
        <w:tc>
          <w:tcPr>
            <w:tcW w:w="0" w:type="dxa"/>
            <w:vAlign w:val="bottom"/>
          </w:tcPr>
          <w:p>
            <w:pPr>
              <w:spacing w:after="0"/>
              <w:rPr>
                <w:sz w:val="1"/>
                <w:szCs w:val="1"/>
                <w:color w:val="auto"/>
              </w:rPr>
            </w:pPr>
          </w:p>
        </w:tc>
      </w:tr>
      <w:tr>
        <w:trPr>
          <w:trHeight w:val="119"/>
        </w:trPr>
        <w:tc>
          <w:tcPr>
            <w:tcW w:w="2020" w:type="dxa"/>
            <w:vAlign w:val="bottom"/>
            <w:tcBorders>
              <w:top w:val="single" w:sz="8" w:color="CCEEFF"/>
              <w:left w:val="single" w:sz="8" w:color="CCEEFF"/>
            </w:tcBorders>
            <w:gridSpan w:val="2"/>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200" w:type="dxa"/>
            <w:vAlign w:val="bottom"/>
            <w:tcBorders>
              <w:top w:val="single" w:sz="8" w:color="auto"/>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00" w:type="dxa"/>
            <w:vAlign w:val="bottom"/>
            <w:tcBorders>
              <w:left w:val="single" w:sz="8" w:color="CCEEFF"/>
            </w:tcBorders>
            <w:shd w:val="clear" w:color="auto" w:fill="000000"/>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U.S. Retail</w:t>
            </w: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1,501,780</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51.0 %</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1,680,159</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52.3 %</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1,899,262</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54.5 %</w:t>
            </w:r>
          </w:p>
        </w:tc>
        <w:tc>
          <w:tcPr>
            <w:tcW w:w="0" w:type="dxa"/>
            <w:vAlign w:val="bottom"/>
          </w:tcPr>
          <w:p>
            <w:pPr>
              <w:spacing w:after="0"/>
              <w:rPr>
                <w:sz w:val="1"/>
                <w:szCs w:val="1"/>
                <w:color w:val="auto"/>
              </w:rPr>
            </w:pPr>
          </w:p>
        </w:tc>
      </w:tr>
      <w:tr>
        <w:trPr>
          <w:trHeight w:val="172"/>
        </w:trPr>
        <w:tc>
          <w:tcPr>
            <w:tcW w:w="202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Wholesale</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1,014,584</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1,080,471</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1,126,415</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32.3 %</w:t>
            </w:r>
          </w:p>
        </w:tc>
        <w:tc>
          <w:tcPr>
            <w:tcW w:w="0" w:type="dxa"/>
            <w:vAlign w:val="bottom"/>
          </w:tcPr>
          <w:p>
            <w:pPr>
              <w:spacing w:after="0"/>
              <w:rPr>
                <w:sz w:val="1"/>
                <w:szCs w:val="1"/>
                <w:color w:val="auto"/>
              </w:rPr>
            </w:pPr>
          </w:p>
        </w:tc>
      </w:tr>
      <w:tr>
        <w:trPr>
          <w:trHeight w:val="168"/>
        </w:trPr>
        <w:tc>
          <w:tcPr>
            <w:tcW w:w="2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429,230</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452,103</w:t>
            </w:r>
          </w:p>
        </w:tc>
        <w:tc>
          <w:tcPr>
            <w:tcW w:w="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14.1 %</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460,763</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13.2 %</w:t>
            </w:r>
          </w:p>
        </w:tc>
        <w:tc>
          <w:tcPr>
            <w:tcW w:w="0" w:type="dxa"/>
            <w:vAlign w:val="bottom"/>
          </w:tcPr>
          <w:p>
            <w:pPr>
              <w:spacing w:after="0"/>
              <w:rPr>
                <w:sz w:val="1"/>
                <w:szCs w:val="1"/>
                <w:color w:val="auto"/>
              </w:rPr>
            </w:pPr>
          </w:p>
        </w:tc>
      </w:tr>
      <w:tr>
        <w:trPr>
          <w:trHeight w:val="188"/>
        </w:trPr>
        <w:tc>
          <w:tcPr>
            <w:tcW w:w="2020" w:type="dxa"/>
            <w:vAlign w:val="bottom"/>
            <w:tcBorders>
              <w:left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Consolidated net sales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3,486,440</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436"/>
              <w:spacing w:after="0" w:line="128"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rPr>
              <w:t>segment</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3"/>
                <w:szCs w:val="13"/>
                <w:b w:val="1"/>
                <w:bCs w:val="1"/>
                <w:color w:val="auto"/>
              </w:rPr>
              <w:t>segment</w:t>
            </w: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356"/>
              <w:spacing w:after="0" w:line="128" w:lineRule="exact"/>
              <w:rPr>
                <w:sz w:val="20"/>
                <w:szCs w:val="20"/>
                <w:color w:val="auto"/>
              </w:rPr>
            </w:pPr>
            <w:r>
              <w:rPr>
                <w:rFonts w:ascii="Times New Roman" w:cs="Times New Roman" w:eastAsia="Times New Roman" w:hAnsi="Times New Roman"/>
                <w:sz w:val="13"/>
                <w:szCs w:val="13"/>
                <w:b w:val="1"/>
                <w:bCs w:val="1"/>
                <w:color w:val="auto"/>
              </w:rPr>
              <w:t>segment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8"/>
              </w:rPr>
              <w:t>net sales</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b w:val="1"/>
                <w:bCs w:val="1"/>
                <w:color w:val="auto"/>
                <w:w w:val="98"/>
              </w:rPr>
              <w:t>net sales</w:t>
            </w:r>
          </w:p>
        </w:tc>
        <w:tc>
          <w:tcPr>
            <w:tcW w:w="6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jc w:val="right"/>
              <w:ind w:right="356"/>
              <w:spacing w:after="0" w:line="138"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U.S. Retail</w:t>
            </w:r>
          </w:p>
        </w:tc>
        <w:tc>
          <w:tcPr>
            <w:tcW w:w="600" w:type="dxa"/>
            <w:vAlign w:val="bottom"/>
            <w:shd w:val="clear" w:color="auto" w:fill="CCEEFF"/>
          </w:tcPr>
          <w:p>
            <w:pPr>
              <w:jc w:val="right"/>
              <w:ind w:right="456"/>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190,620</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96"/>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252,497</w:t>
            </w: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76"/>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368,221</w:t>
            </w: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U.S. Wholesale</w:t>
            </w:r>
          </w:p>
        </w:tc>
        <w:tc>
          <w:tcPr>
            <w:tcW w:w="6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19.6 %</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15.0 %</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195,369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17.3 %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10.5 %</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56,617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12.5 %</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13.8 %</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0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Unallocated corporate</w:t>
            </w:r>
          </w:p>
        </w:tc>
        <w:tc>
          <w:tcPr>
            <w:tcW w:w="6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(111,004)</w:t>
            </w:r>
          </w:p>
        </w:tc>
        <w:tc>
          <w:tcPr>
            <w:tcW w:w="100" w:type="dxa"/>
            <w:vAlign w:val="bottom"/>
          </w:tcPr>
          <w:p>
            <w:pPr>
              <w:spacing w:after="0"/>
              <w:rPr>
                <w:sz w:val="11"/>
                <w:szCs w:val="11"/>
                <w:color w:val="auto"/>
              </w:rPr>
            </w:pP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6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(91,602)</w:t>
            </w:r>
          </w:p>
        </w:tc>
        <w:tc>
          <w:tcPr>
            <w:tcW w:w="80" w:type="dxa"/>
            <w:vAlign w:val="bottom"/>
          </w:tcPr>
          <w:p>
            <w:pPr>
              <w:spacing w:after="0"/>
              <w:rPr>
                <w:sz w:val="11"/>
                <w:szCs w:val="11"/>
                <w:color w:val="auto"/>
              </w:rPr>
            </w:pPr>
          </w:p>
        </w:tc>
        <w:tc>
          <w:tcPr>
            <w:tcW w:w="1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n/a</w:t>
            </w:r>
          </w:p>
        </w:tc>
        <w:tc>
          <w:tcPr>
            <w:tcW w:w="6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(130,317)</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gridSpan w:val="2"/>
          </w:tcPr>
          <w:p>
            <w:pPr>
              <w:spacing w:after="0" w:line="170" w:lineRule="exact"/>
              <w:rPr>
                <w:sz w:val="20"/>
                <w:szCs w:val="20"/>
                <w:color w:val="auto"/>
              </w:rPr>
            </w:pPr>
            <w:r>
              <w:rPr>
                <w:rFonts w:ascii="Times New Roman" w:cs="Times New Roman" w:eastAsia="Times New Roman" w:hAnsi="Times New Roman"/>
                <w:sz w:val="13"/>
                <w:szCs w:val="13"/>
                <w:color w:val="auto"/>
              </w:rPr>
              <w:t>expenses</w:t>
            </w:r>
            <w:r>
              <w:rPr>
                <w:rFonts w:ascii="Times New Roman" w:cs="Times New Roman" w:eastAsia="Times New Roman" w:hAnsi="Times New Roman"/>
                <w:sz w:val="16"/>
                <w:szCs w:val="16"/>
                <w:color w:val="auto"/>
                <w:vertAlign w:val="superscript"/>
              </w:rPr>
              <w:t>(*)</w:t>
            </w:r>
          </w:p>
        </w:tc>
        <w:tc>
          <w:tcPr>
            <w:tcW w:w="6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gridSpan w:val="2"/>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gridSpan w:val="2"/>
            <w:vMerge w:val="continue"/>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Consolidated operating income</w:t>
            </w:r>
          </w:p>
        </w:tc>
        <w:tc>
          <w:tcPr>
            <w:tcW w:w="60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323,405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379,171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11.8 %</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497,079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right="80" w:hanging="255"/>
        <w:spacing w:after="0" w:line="280" w:lineRule="auto"/>
        <w:tabs>
          <w:tab w:leader="none" w:pos="254"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Unallocated corporate expenses include corporate overhead expenses that are not directly attributable to one of our business segments and include unallocated accounting, finance, legal, human resources, and information technology expenses, occupancy costs for our corporate headquarters, and other benefit and compensation programs, including performance-based compensation.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additional segment information for our reportable segments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8"/>
              </w:rPr>
              <w:t>December 30, 2023</w:t>
            </w:r>
          </w:p>
        </w:tc>
        <w:tc>
          <w:tcPr>
            <w:tcW w:w="1060" w:type="dxa"/>
            <w:vAlign w:val="bottom"/>
            <w:tcBorders>
              <w:bottom w:val="single" w:sz="8" w:color="auto"/>
            </w:tcBorders>
          </w:tcPr>
          <w:p>
            <w:pPr>
              <w:spacing w:after="0"/>
              <w:rPr>
                <w:sz w:val="14"/>
                <w:szCs w:val="14"/>
                <w:color w:val="auto"/>
              </w:rPr>
            </w:pPr>
          </w:p>
        </w:tc>
      </w:tr>
      <w:tr>
        <w:trPr>
          <w:trHeight w:val="164"/>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6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International</w:t>
            </w:r>
          </w:p>
        </w:tc>
      </w:tr>
      <w:tr>
        <w:trPr>
          <w:trHeight w:val="162"/>
        </w:trPr>
        <w:tc>
          <w:tcPr>
            <w:tcW w:w="790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w:t>
            </w:r>
          </w:p>
        </w:tc>
        <w:tc>
          <w:tcPr>
            <w:tcW w:w="800" w:type="dxa"/>
            <w:vAlign w:val="bottom"/>
            <w:tcBorders>
              <w:top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bl>
    <w:p>
      <w:pPr>
        <w:spacing w:after="0" w:line="89" w:lineRule="exact"/>
        <w:rPr>
          <w:sz w:val="20"/>
          <w:szCs w:val="20"/>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fiscal year ended December 30, 2023 includes a corporate charge of $4.1 million, related to organizational restructuring and related corporate office lease amendment actions.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876"/>
              <w:spacing w:after="0"/>
              <w:rPr>
                <w:sz w:val="20"/>
                <w:szCs w:val="20"/>
                <w:color w:val="auto"/>
              </w:rPr>
            </w:pPr>
            <w:r>
              <w:rPr>
                <w:rFonts w:ascii="Times New Roman" w:cs="Times New Roman" w:eastAsia="Times New Roman" w:hAnsi="Times New Roman"/>
                <w:sz w:val="13"/>
                <w:szCs w:val="13"/>
                <w:b w:val="1"/>
                <w:bCs w:val="1"/>
                <w:color w:val="auto"/>
                <w:w w:val="98"/>
              </w:rPr>
              <w:t>December 31, 2022</w:t>
            </w: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w w:val="99"/>
              </w:rPr>
              <w:t>January 1, 2022</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64"/>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Charges:</w:t>
            </w:r>
          </w:p>
        </w:tc>
        <w:tc>
          <w:tcPr>
            <w:tcW w:w="12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International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U.S. Retail</w:t>
            </w:r>
          </w:p>
        </w:tc>
        <w:tc>
          <w:tcPr>
            <w:tcW w:w="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U.S. Wholesale</w:t>
            </w:r>
          </w:p>
        </w:tc>
        <w:tc>
          <w:tcPr>
            <w:tcW w:w="16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International</w:t>
            </w:r>
          </w:p>
        </w:tc>
      </w:tr>
      <w:tr>
        <w:trPr>
          <w:trHeight w:val="162"/>
        </w:trPr>
        <w:tc>
          <w:tcPr>
            <w:tcW w:w="446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Organizational restructuring</w:t>
            </w:r>
            <w:r>
              <w:rPr>
                <w:rFonts w:ascii="Times New Roman" w:cs="Times New Roman" w:eastAsia="Times New Roman" w:hAnsi="Times New Roman"/>
                <w:sz w:val="16"/>
                <w:szCs w:val="16"/>
                <w:color w:val="auto"/>
                <w:vertAlign w:val="superscript"/>
              </w:rPr>
              <w:t>(1)</w:t>
            </w: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9"/>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Skip Hop </w:t>
            </w:r>
            <w:r>
              <w:rPr>
                <w:rFonts w:ascii="Times New Roman" w:cs="Times New Roman" w:eastAsia="Times New Roman" w:hAnsi="Times New Roman"/>
                <w:sz w:val="13"/>
                <w:szCs w:val="13"/>
                <w:color w:val="auto"/>
              </w:rPr>
              <w:t>tradename impairment charge</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costs associated with COVID-19 pandemic</w:t>
            </w: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170"/>
        </w:trPr>
        <w:tc>
          <w:tcPr>
            <w:tcW w:w="446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Retail store operating leases and other long-lived asset impairments, net of gain</w:t>
            </w:r>
            <w:r>
              <w:rPr>
                <w:rFonts w:ascii="Times New Roman" w:cs="Times New Roman" w:eastAsia="Times New Roman" w:hAnsi="Times New Roman"/>
                <w:sz w:val="16"/>
                <w:szCs w:val="16"/>
                <w:color w:val="auto"/>
                <w:vertAlign w:val="superscript"/>
              </w:rPr>
              <w:t>(2)</w:t>
            </w:r>
          </w:p>
        </w:tc>
        <w:tc>
          <w:tcPr>
            <w:tcW w:w="1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4"/>
                <w:szCs w:val="1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5"/>
        </w:trPr>
        <w:tc>
          <w:tcPr>
            <w:tcW w:w="4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charges</w:t>
            </w: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fiscal year ended January 1, 2022 also includes corporate charges related to organizational restructuring of $0.7 million,</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gains on the modification of previously impaired retail store leases.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Data by Segment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Significant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cost of goods sold by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0"/>
                <w:szCs w:val="10"/>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1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2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240" w:type="dxa"/>
            <w:vAlign w:val="bottom"/>
          </w:tcPr>
          <w:p>
            <w:pPr>
              <w:spacing w:after="0"/>
              <w:rPr>
                <w:sz w:val="10"/>
                <w:szCs w:val="10"/>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1320" w:type="dxa"/>
            <w:vAlign w:val="bottom"/>
          </w:tcPr>
          <w:p>
            <w:pPr>
              <w:jc w:val="right"/>
              <w:ind w:right="456"/>
              <w:spacing w:after="0" w:line="120"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consolidated net sales</w:t>
            </w: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consolidated net sales</w:t>
            </w: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consolidated net sales</w:t>
            </w:r>
          </w:p>
        </w:tc>
        <w:tc>
          <w:tcPr>
            <w:tcW w:w="0" w:type="dxa"/>
            <w:vAlign w:val="bottom"/>
          </w:tcPr>
          <w:p>
            <w:pPr>
              <w:spacing w:after="0"/>
              <w:rPr>
                <w:sz w:val="1"/>
                <w:szCs w:val="1"/>
                <w:color w:val="auto"/>
              </w:rPr>
            </w:pP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Cost of goods sold:</w:t>
            </w:r>
          </w:p>
        </w:tc>
        <w:tc>
          <w:tcPr>
            <w:tcW w:w="18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U.S. Retail</w:t>
            </w:r>
          </w:p>
        </w:tc>
        <w:tc>
          <w:tcPr>
            <w:tcW w:w="9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602,152</w:t>
            </w:r>
          </w:p>
        </w:tc>
        <w:tc>
          <w:tcPr>
            <w:tcW w:w="10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20.4 %</w:t>
            </w: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689,543</w:t>
            </w:r>
          </w:p>
        </w:tc>
        <w:tc>
          <w:tcPr>
            <w:tcW w:w="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21.5 %</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760,100</w:t>
            </w:r>
          </w:p>
        </w:tc>
        <w:tc>
          <w:tcPr>
            <w:tcW w:w="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21.8 %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Wholesale</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717,936</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800,974</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819,028</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229,571</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249,858</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245,038</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7.0 %</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gridSpan w:val="2"/>
            <w:shd w:val="clear" w:color="auto" w:fill="CCEEFF"/>
          </w:tcPr>
          <w:p>
            <w:pPr>
              <w:ind w:left="260"/>
              <w:spacing w:after="0" w:line="163" w:lineRule="exact"/>
              <w:rPr>
                <w:sz w:val="20"/>
                <w:szCs w:val="20"/>
                <w:color w:val="auto"/>
              </w:rPr>
            </w:pPr>
            <w:r>
              <w:rPr>
                <w:rFonts w:ascii="Times New Roman" w:cs="Times New Roman" w:eastAsia="Times New Roman" w:hAnsi="Times New Roman"/>
                <w:sz w:val="13"/>
                <w:szCs w:val="13"/>
                <w:color w:val="auto"/>
              </w:rPr>
              <w:t>Total cost of goods sold</w:t>
            </w:r>
            <w:r>
              <w:rPr>
                <w:rFonts w:ascii="Times New Roman" w:cs="Times New Roman" w:eastAsia="Times New Roman" w:hAnsi="Times New Roman"/>
                <w:sz w:val="16"/>
                <w:szCs w:val="16"/>
                <w:color w:val="auto"/>
                <w:vertAlign w:val="superscript"/>
              </w:rPr>
              <w:t>(*)</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1,549,659</w:t>
            </w:r>
          </w:p>
        </w:tc>
        <w:tc>
          <w:tcPr>
            <w:tcW w:w="1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52.6 %</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1,740,375</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54.2 %</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1,824,166</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for the fiscal year ended December 31, 2022 and January 1, 2022 have been recast to conform to our current presentation of combining Adverse purchase commitments within Cost of goods sold.</w:t>
      </w:r>
    </w:p>
    <w:p>
      <w:pPr>
        <w:spacing w:after="0" w:line="47"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i w:val="1"/>
          <w:iCs w:val="1"/>
          <w:color w:val="auto"/>
        </w:rPr>
        <w:t>Note: Percentages may not be additive due to rounding.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SG&amp;A expenses by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80" w:type="dxa"/>
            <w:vAlign w:val="bottom"/>
          </w:tcPr>
          <w:p>
            <w:pPr>
              <w:spacing w:after="0"/>
              <w:rPr>
                <w:sz w:val="10"/>
                <w:szCs w:val="10"/>
                <w:color w:val="auto"/>
              </w:rPr>
            </w:pP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40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200" w:type="dxa"/>
            <w:vAlign w:val="bottom"/>
          </w:tcPr>
          <w:p>
            <w:pPr>
              <w:spacing w:after="0"/>
              <w:rPr>
                <w:sz w:val="10"/>
                <w:szCs w:val="10"/>
                <w:color w:val="auto"/>
              </w:rPr>
            </w:pPr>
          </w:p>
        </w:tc>
        <w:tc>
          <w:tcPr>
            <w:tcW w:w="15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42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240" w:type="dxa"/>
            <w:vAlign w:val="bottom"/>
          </w:tcPr>
          <w:p>
            <w:pPr>
              <w:spacing w:after="0"/>
              <w:rPr>
                <w:sz w:val="10"/>
                <w:szCs w:val="10"/>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1320" w:type="dxa"/>
            <w:vAlign w:val="bottom"/>
          </w:tcPr>
          <w:p>
            <w:pPr>
              <w:jc w:val="right"/>
              <w:ind w:right="456"/>
              <w:spacing w:after="0" w:line="120" w:lineRule="exact"/>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consolidated net sales</w:t>
            </w:r>
          </w:p>
        </w:tc>
        <w:tc>
          <w:tcPr>
            <w:tcW w:w="2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consolidated net sales</w:t>
            </w:r>
          </w:p>
        </w:tc>
        <w:tc>
          <w:tcPr>
            <w:tcW w:w="2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32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consolidated net sales</w:t>
            </w:r>
          </w:p>
        </w:tc>
        <w:tc>
          <w:tcPr>
            <w:tcW w:w="0" w:type="dxa"/>
            <w:vAlign w:val="bottom"/>
          </w:tcPr>
          <w:p>
            <w:pPr>
              <w:spacing w:after="0"/>
              <w:rPr>
                <w:sz w:val="1"/>
                <w:szCs w:val="1"/>
                <w:color w:val="auto"/>
              </w:rPr>
            </w:pP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1900" w:type="dxa"/>
            <w:vAlign w:val="bottom"/>
            <w:tcBorders>
              <w:top w:val="single" w:sz="8" w:color="CCEEFF"/>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SG&amp;A expenses:</w:t>
            </w:r>
          </w:p>
        </w:tc>
        <w:tc>
          <w:tcPr>
            <w:tcW w:w="18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Borders>
              <w:top w:val="single" w:sz="8" w:color="CCEEFF"/>
            </w:tcBorders>
          </w:tcPr>
          <w:p>
            <w:pPr>
              <w:spacing w:after="0"/>
              <w:rPr>
                <w:sz w:val="14"/>
                <w:szCs w:val="14"/>
                <w:color w:val="auto"/>
              </w:rPr>
            </w:pP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U.S. Retail</w:t>
            </w:r>
          </w:p>
        </w:tc>
        <w:tc>
          <w:tcPr>
            <w:tcW w:w="10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715,558</w:t>
            </w:r>
          </w:p>
        </w:tc>
        <w:tc>
          <w:tcPr>
            <w:tcW w:w="10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24.3 %</w:t>
            </w:r>
          </w:p>
        </w:tc>
        <w:tc>
          <w:tcPr>
            <w:tcW w:w="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746,575</w:t>
            </w:r>
          </w:p>
        </w:tc>
        <w:tc>
          <w:tcPr>
            <w:tcW w:w="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23.2 %</w:t>
            </w:r>
          </w:p>
        </w:tc>
        <w:tc>
          <w:tcPr>
            <w:tcW w:w="10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779,482</w:t>
            </w:r>
          </w:p>
        </w:tc>
        <w:tc>
          <w:tcPr>
            <w:tcW w:w="80" w:type="dxa"/>
            <w:vAlign w:val="bottom"/>
            <w:tcBorders>
              <w:top w:val="single" w:sz="8" w:color="CCEEFF"/>
            </w:tcBorders>
          </w:tcPr>
          <w:p>
            <w:pPr>
              <w:spacing w:after="0"/>
              <w:rPr>
                <w:sz w:val="14"/>
                <w:szCs w:val="14"/>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22.4 %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U.S. Wholesale</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109,459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125,173</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127,826</w:t>
            </w: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157,919</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146,657</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156,251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Corporate</w:t>
            </w:r>
          </w:p>
        </w:tc>
        <w:tc>
          <w:tcPr>
            <w:tcW w:w="18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111,004</w:t>
            </w:r>
          </w:p>
        </w:tc>
        <w:tc>
          <w:tcPr>
            <w:tcW w:w="10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1140"/>
              <w:spacing w:after="0"/>
              <w:rPr>
                <w:sz w:val="20"/>
                <w:szCs w:val="20"/>
                <w:color w:val="auto"/>
              </w:rPr>
            </w:pPr>
            <w:r>
              <w:rPr>
                <w:rFonts w:ascii="Times New Roman" w:cs="Times New Roman" w:eastAsia="Times New Roman" w:hAnsi="Times New Roman"/>
                <w:sz w:val="13"/>
                <w:szCs w:val="13"/>
                <w:color w:val="auto"/>
              </w:rPr>
              <w:t>n/a</w:t>
            </w:r>
          </w:p>
        </w:tc>
        <w:tc>
          <w:tcPr>
            <w:tcW w:w="200" w:type="dxa"/>
            <w:vAlign w:val="bottom"/>
            <w:shd w:val="clear" w:color="auto" w:fill="CCEEFF"/>
          </w:tcPr>
          <w:p>
            <w:pPr>
              <w:spacing w:after="0"/>
              <w:rPr>
                <w:sz w:val="11"/>
                <w:szCs w:val="11"/>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91,602</w:t>
            </w:r>
          </w:p>
        </w:tc>
        <w:tc>
          <w:tcPr>
            <w:tcW w:w="8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ind w:left="1160"/>
              <w:spacing w:after="0"/>
              <w:rPr>
                <w:sz w:val="20"/>
                <w:szCs w:val="20"/>
                <w:color w:val="auto"/>
              </w:rPr>
            </w:pPr>
            <w:r>
              <w:rPr>
                <w:rFonts w:ascii="Times New Roman" w:cs="Times New Roman" w:eastAsia="Times New Roman" w:hAnsi="Times New Roman"/>
                <w:sz w:val="13"/>
                <w:szCs w:val="13"/>
                <w:color w:val="auto"/>
              </w:rPr>
              <w:t>n/a</w:t>
            </w:r>
          </w:p>
        </w:tc>
        <w:tc>
          <w:tcPr>
            <w:tcW w:w="2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130,317</w:t>
            </w:r>
          </w:p>
        </w:tc>
        <w:tc>
          <w:tcPr>
            <w:tcW w:w="8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expenses</w:t>
            </w:r>
          </w:p>
        </w:tc>
        <w:tc>
          <w:tcPr>
            <w:tcW w:w="18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SG&amp;A expenses</w:t>
            </w: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1,093,940</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37.1 %</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1,110,007</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34.6 %</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1,193,876</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ind w:left="5220"/>
        <w:spacing w:after="0"/>
        <w:rPr>
          <w:sz w:val="20"/>
          <w:szCs w:val="20"/>
          <w:color w:val="auto"/>
        </w:rPr>
      </w:pPr>
      <w:r>
        <w:rPr>
          <w:rFonts w:ascii="Times New Roman" w:cs="Times New Roman" w:eastAsia="Times New Roman" w:hAnsi="Times New Roman"/>
          <w:sz w:val="14"/>
          <w:szCs w:val="14"/>
          <w:b w:val="1"/>
          <w:bCs w:val="1"/>
          <w:color w:val="auto"/>
        </w:rPr>
        <w:t>CARTER’S, INC.</w:t>
      </w:r>
    </w:p>
    <w:p>
      <w:pPr>
        <w:spacing w:after="0" w:line="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Inventory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inventory by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4"/>
          </w:tcPr>
          <w:p>
            <w:pPr>
              <w:jc w:val="right"/>
              <w:ind w:right="1096"/>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r>
      <w:tr>
        <w:trPr>
          <w:trHeight w:val="164"/>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2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760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U.S. Wholesale</w:t>
            </w:r>
            <w:r>
              <w:rPr>
                <w:rFonts w:ascii="Times New Roman" w:cs="Times New Roman" w:eastAsia="Times New Roman" w:hAnsi="Times New Roman"/>
                <w:sz w:val="16"/>
                <w:szCs w:val="16"/>
                <w:color w:val="auto"/>
                <w:vertAlign w:val="superscript"/>
              </w:rPr>
              <w:t>(*)</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381,146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580,918</w:t>
            </w:r>
          </w:p>
        </w:tc>
      </w:tr>
      <w:tr>
        <w:trPr>
          <w:trHeight w:val="168"/>
        </w:trPr>
        <w:tc>
          <w:tcPr>
            <w:tcW w:w="7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Retail</w:t>
            </w: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73,366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57,518</w:t>
            </w:r>
          </w:p>
        </w:tc>
      </w:tr>
      <w:tr>
        <w:trPr>
          <w:trHeight w:val="1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82,613</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106,137</w:t>
            </w:r>
          </w:p>
        </w:tc>
      </w:tr>
      <w:tr>
        <w:trPr>
          <w:trHeight w:val="163"/>
        </w:trPr>
        <w:tc>
          <w:tcPr>
            <w:tcW w:w="7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537,125</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744,573</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U.S. Wholesale inventories also include inventory produced and warehoused for the U.S. Retail segment.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represents consolidated net sales by product: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r>
      <w:tr>
        <w:trPr>
          <w:trHeight w:val="164"/>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0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160" w:type="dxa"/>
            <w:vAlign w:val="bottom"/>
          </w:tcPr>
          <w:p>
            <w:pPr>
              <w:spacing w:after="0"/>
              <w:rPr>
                <w:sz w:val="14"/>
                <w:szCs w:val="14"/>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260" w:type="dxa"/>
            <w:vAlign w:val="bottom"/>
          </w:tcPr>
          <w:p>
            <w:pPr>
              <w:spacing w:after="0"/>
              <w:rPr>
                <w:sz w:val="14"/>
                <w:szCs w:val="14"/>
                <w:color w:val="auto"/>
              </w:rPr>
            </w:pPr>
          </w:p>
        </w:tc>
        <w:tc>
          <w:tcPr>
            <w:tcW w:w="150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January 1, 2022</w:t>
            </w:r>
          </w:p>
        </w:tc>
      </w:tr>
      <w:tr>
        <w:trPr>
          <w:trHeight w:val="17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Baby</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1,098,304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1,103,023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1,124,961</w:t>
            </w:r>
          </w:p>
        </w:tc>
      </w:tr>
      <w:tr>
        <w:trPr>
          <w:trHeight w:val="168"/>
        </w:trPr>
        <w:tc>
          <w:tcPr>
            <w:tcW w:w="5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Playclothes</w:t>
            </w:r>
          </w:p>
        </w:tc>
        <w:tc>
          <w:tcPr>
            <w:tcW w:w="2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992,726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1,125,352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1,261,622</w:t>
            </w:r>
          </w:p>
        </w:tc>
      </w:tr>
      <w:tr>
        <w:trPr>
          <w:trHeight w:val="17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Sleepwear</w:t>
            </w: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411,678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500,596</w:t>
            </w:r>
          </w:p>
        </w:tc>
      </w:tr>
      <w:tr>
        <w:trPr>
          <w:trHeight w:val="170"/>
        </w:trPr>
        <w:tc>
          <w:tcPr>
            <w:tcW w:w="5860" w:type="dxa"/>
            <w:vAlign w:val="bottom"/>
            <w:tcBorders>
              <w:bottom w:val="single" w:sz="8" w:color="CCEEFF"/>
            </w:tcBorders>
          </w:tcPr>
          <w:p>
            <w:pPr>
              <w:ind w:left="20"/>
              <w:spacing w:after="0" w:line="170" w:lineRule="exact"/>
              <w:rPr>
                <w:sz w:val="20"/>
                <w:szCs w:val="20"/>
                <w:color w:val="auto"/>
              </w:rPr>
            </w:pPr>
            <w:r>
              <w:rPr>
                <w:rFonts w:ascii="Times New Roman" w:cs="Times New Roman" w:eastAsia="Times New Roman" w:hAnsi="Times New Roman"/>
                <w:sz w:val="13"/>
                <w:szCs w:val="13"/>
                <w:color w:val="auto"/>
              </w:rPr>
              <w:t>Other</w:t>
            </w:r>
            <w:r>
              <w:rPr>
                <w:rFonts w:ascii="Times New Roman" w:cs="Times New Roman" w:eastAsia="Times New Roman" w:hAnsi="Times New Roman"/>
                <w:sz w:val="16"/>
                <w:szCs w:val="16"/>
                <w:color w:val="auto"/>
                <w:vertAlign w:val="superscript"/>
              </w:rPr>
              <w:t>(*)</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442,886</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492,206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599,261</w:t>
            </w:r>
          </w:p>
        </w:tc>
      </w:tr>
      <w:tr>
        <w:trPr>
          <w:trHeight w:val="185"/>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net sales</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2,945,594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3,212,733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3,486,440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5"/>
        <w:spacing w:after="0"/>
        <w:tabs>
          <w:tab w:leader="none" w:pos="260" w:val="left"/>
        </w:tabs>
        <w:numPr>
          <w:ilvl w:val="0"/>
          <w:numId w:val="5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product offerings include bedding, outerwear, swimwear, shoes, socks, diaper bags, gift sets, toys, and hair accessories.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Geographical Data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The Company’s international sales principally represent sales to customers in Canada. Such sales were 61.5%, 64.0%, and 65.0% of total international net sales in fiscal 2023, 2022, and 2021,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Long-Lived Assets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represents Property, plant, and equipment, net, and Operating lease assets by geographic area: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gridSpan w:val="4"/>
          </w:tcPr>
          <w:p>
            <w:pPr>
              <w:jc w:val="right"/>
              <w:ind w:right="1136"/>
              <w:spacing w:after="0"/>
              <w:rPr>
                <w:sz w:val="20"/>
                <w:szCs w:val="20"/>
                <w:color w:val="auto"/>
              </w:rPr>
            </w:pPr>
            <w:r>
              <w:rPr>
                <w:rFonts w:ascii="Times New Roman" w:cs="Times New Roman" w:eastAsia="Times New Roman" w:hAnsi="Times New Roman"/>
                <w:sz w:val="13"/>
                <w:szCs w:val="13"/>
                <w:b w:val="1"/>
                <w:bCs w:val="1"/>
                <w:color w:val="auto"/>
              </w:rPr>
              <w:t>For the fiscal year ended</w:t>
            </w:r>
          </w:p>
        </w:tc>
      </w:tr>
      <w:tr>
        <w:trPr>
          <w:trHeight w:val="164"/>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30, 2023</w:t>
            </w:r>
          </w:p>
        </w:tc>
        <w:tc>
          <w:tcPr>
            <w:tcW w:w="240" w:type="dxa"/>
            <w:vAlign w:val="bottom"/>
          </w:tcPr>
          <w:p>
            <w:pPr>
              <w:spacing w:after="0"/>
              <w:rPr>
                <w:sz w:val="14"/>
                <w:szCs w:val="14"/>
                <w:color w:val="auto"/>
              </w:rPr>
            </w:pPr>
          </w:p>
        </w:tc>
        <w:tc>
          <w:tcPr>
            <w:tcW w:w="15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December 31, 2022</w:t>
            </w:r>
          </w:p>
        </w:tc>
      </w:tr>
      <w:tr>
        <w:trPr>
          <w:trHeight w:val="16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582,049</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580,171</w:t>
            </w:r>
          </w:p>
        </w:tc>
      </w:tr>
      <w:tr>
        <w:trPr>
          <w:trHeight w:val="16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International</w:t>
            </w: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129,469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101,986</w:t>
            </w:r>
          </w:p>
        </w:tc>
      </w:tr>
      <w:tr>
        <w:trPr>
          <w:trHeight w:val="188"/>
        </w:trPr>
        <w:tc>
          <w:tcPr>
            <w:tcW w:w="7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w:t>
            </w: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711,518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682,157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14"/>
          <w:szCs w:val="14"/>
          <w:color w:val="auto"/>
        </w:rPr>
        <w:t>Long-lived assets in the international segment primarily relate to Canada. Long-lived assets in Canada were 51.0% and 63.3% of total international long-lived assets at the end of fiscal 2023 and 2022,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Major Customer</w:t>
      </w:r>
    </w:p>
    <w:p>
      <w:pPr>
        <w:spacing w:after="0" w:line="7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Sales to our largest customer, all through the U.S. Wholesale segment, represented 10.4% of consolidated net sales in fiscal 2023. Sales to this customer did not exceed 10% in fiscal 2022 or in fiscal 2021.</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COMMITMENTS AND CONTINGENCIES</w:t>
      </w:r>
    </w:p>
    <w:p>
      <w:pPr>
        <w:spacing w:after="0" w:line="74"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 Company is subject to various claims and pending or threatened lawsuits in the normal course of business. The Company is not currently a party to any legal proceedings that it believes would have a material adverse effect on its financial position, results of operations, or cash flows.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contractual obligations and commitments include obligations associated with leases, the secured revolving credit agreement, senior notes, and employee benefit plans.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0" w:name="page91"/>
    <w:bookmarkEnd w:id="90"/>
    <w:p>
      <w:pPr>
        <w:ind w:right="3260"/>
        <w:spacing w:after="0" w:line="401"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Not applicable.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7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Chief Executive Officer and Chief Financial Officer have evaluated the effectiveness of the design and operation of our disclosure controls and procedures (as defined under Rules 13a-15(e) and 15d-15(e) promulgated under the Securities Exchange Act of 1934, as amended (the “Exchange Act”) as of the end of the period covered by this report. Based upon that evaluation, our Chief Executive Officer and Chief Financial Officer have concluded that our disclosure controls and procedures are effective as of December 30,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 13a-15(f). Our internal control over financial reporting is a process designed by, or under the supervision of, our Chief Executive Officer and Chief Financial Officer,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45" w:lineRule="exact"/>
        <w:rPr>
          <w:sz w:val="20"/>
          <w:szCs w:val="20"/>
          <w:color w:val="auto"/>
        </w:rPr>
      </w:pPr>
    </w:p>
    <w:p>
      <w:pPr>
        <w:ind w:left="520" w:hanging="260"/>
        <w:spacing w:after="0"/>
        <w:tabs>
          <w:tab w:leader="none" w:pos="52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Company;</w:t>
      </w:r>
    </w:p>
    <w:p>
      <w:pPr>
        <w:spacing w:after="0" w:line="83" w:lineRule="exact"/>
        <w:rPr>
          <w:rFonts w:ascii="Times New Roman" w:cs="Times New Roman" w:eastAsia="Times New Roman" w:hAnsi="Times New Roman"/>
          <w:sz w:val="14"/>
          <w:szCs w:val="14"/>
          <w:b w:val="1"/>
          <w:bCs w:val="1"/>
          <w:color w:val="auto"/>
        </w:rPr>
      </w:pPr>
    </w:p>
    <w:p>
      <w:pPr>
        <w:ind w:left="520" w:right="160" w:hanging="260"/>
        <w:spacing w:after="0" w:line="287" w:lineRule="auto"/>
        <w:tabs>
          <w:tab w:leader="none" w:pos="516"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 w:lineRule="exact"/>
        <w:rPr>
          <w:rFonts w:ascii="Times New Roman" w:cs="Times New Roman" w:eastAsia="Times New Roman" w:hAnsi="Times New Roman"/>
          <w:sz w:val="14"/>
          <w:szCs w:val="14"/>
          <w:b w:val="1"/>
          <w:bCs w:val="1"/>
          <w:color w:val="auto"/>
        </w:rPr>
      </w:pPr>
    </w:p>
    <w:p>
      <w:pPr>
        <w:ind w:left="520" w:right="500" w:hanging="260"/>
        <w:spacing w:after="0" w:line="287" w:lineRule="auto"/>
        <w:tabs>
          <w:tab w:leader="none" w:pos="516"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 xml:space="preserve">Management, including our Chief Executive Officer and Chief Financial Officer, assessed the effectiveness of the Company’s internal control over financial reporting as of December 30, 2023. In making this assessment, management used the criteria set forth by the Committee of Sponsoring Organizations of the Treadway Commission (“COSO”) in the 2013 </w:t>
      </w:r>
      <w:r>
        <w:rPr>
          <w:rFonts w:ascii="Times New Roman" w:cs="Times New Roman" w:eastAsia="Times New Roman" w:hAnsi="Times New Roman"/>
          <w:sz w:val="14"/>
          <w:szCs w:val="14"/>
          <w:i w:val="1"/>
          <w:iCs w:val="1"/>
          <w:color w:val="auto"/>
        </w:rPr>
        <w:t>Internal Control-Integrated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Framework</w:t>
      </w:r>
      <w:r>
        <w:rPr>
          <w:rFonts w:ascii="Times New Roman" w:cs="Times New Roman" w:eastAsia="Times New Roman" w:hAnsi="Times New Roman"/>
          <w:sz w:val="14"/>
          <w:szCs w:val="14"/>
          <w:color w:val="auto"/>
        </w:rPr>
        <w:t>. Based on this assessment, management has concluded that the Company’s internal control over financial reporting was effective as of December 30, 2023.</w:t>
      </w:r>
    </w:p>
    <w:p>
      <w:pPr>
        <w:spacing w:after="0" w:line="10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The effectiveness of Carter’s, Inc. and its subsidiaries’ internal control over financial reporting as of December 30, 2023 has been audited by PricewaterhouseCoopers LLP, the independent registered public accounting firm that audited the financial statements included in this Annual Report on Form 10-K. PricewaterhouseCoopers LLP has issued an attestation report on Carter’s, Inc.’s internal control over financial reporting containing the required disclosures, which appears herein.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7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during the fourth quarter of fiscal 2023 that have materially affected, or are reasonably likely to materially affect, the Company’s internal control over financial reporting.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Trading Plans of Directors and Executive Officers</w:t>
      </w:r>
    </w:p>
    <w:p>
      <w:pPr>
        <w:spacing w:after="0" w:line="85"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14"/>
          <w:szCs w:val="14"/>
          <w:color w:val="auto"/>
        </w:rPr>
        <w:t>During the fiscal quarter ended December 30, 2023, none of the Company’s directors or officers, as defined in Section 16 of the Exchange Act, adopted, modified, or terminated any contract, instruction or written plan for the purchase or sale of Company</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91" w:name="page92"/>
    <w:bookmarkEnd w:id="91"/>
    <w:p>
      <w:pPr>
        <w:ind w:right="500"/>
        <w:spacing w:after="0" w:line="355" w:lineRule="auto"/>
        <w:rPr>
          <w:sz w:val="20"/>
          <w:szCs w:val="20"/>
          <w:color w:val="auto"/>
        </w:rPr>
      </w:pPr>
      <w:r>
        <w:rPr>
          <w:rFonts w:ascii="Times New Roman" w:cs="Times New Roman" w:eastAsia="Times New Roman" w:hAnsi="Times New Roman"/>
          <w:sz w:val="14"/>
          <w:szCs w:val="14"/>
          <w:color w:val="auto"/>
        </w:rPr>
        <w:t xml:space="preserve">securities that was intended to satisfy the affirmative defense conditions of Rule 10b5-1(c) or any “non-Rule 10b5-1 trading arrangement” as defined under Item 408(a) of Regulation S-K. </w:t>
      </w:r>
      <w:r>
        <w:rPr>
          <w:rFonts w:ascii="Times New Roman" w:cs="Times New Roman" w:eastAsia="Times New Roman" w:hAnsi="Times New Roman"/>
          <w:sz w:val="14"/>
          <w:szCs w:val="14"/>
          <w:b w:val="1"/>
          <w:bCs w:val="1"/>
          <w:color w:val="auto"/>
        </w:rPr>
        <w:t>Consulting Agreement with Former Executive Officer</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its Current Report on Form 8-K filed with the SEC on January 12, 2024, the Company announced that Brian Lynch, President and Chief Operating Officer, will retire on March 1, 2024 (the “Retirement Date”). In connection with Mr. Lynch’s retirement, the Company and Mr. Lynch have entered into a Consulting Services Agreement dated February 21, 2024 (the “Consulting Agreement”), pursuant to which Mr. Lynch will serve as a consultant to the Company following the Retirement Date to support the planned transition in leadership. The Consulting Agreement provides for, among other things: (i) a term of twelve months beginning on March 1, 2024 and concluding on February 28, 2025 (the “Consulting Period”); and (ii) a consulting fee of $125,000 per month payable by the Company to Mr. Lynch for the consulting services provided to the Company during the Consulting Period, which consulting services are to include advisory services and consultations with executive officers and other management personnel of the Company. The foregoing description of the Consulting Agreement is not complete and is subject to and qualified in its entirety by the complete text of the Consulting Agreement, which is filed herewith as Exhibit 10.10 and incorporated herein by reference.</w:t>
      </w:r>
    </w:p>
    <w:p>
      <w:pPr>
        <w:spacing w:after="0" w:line="123" w:lineRule="exact"/>
        <w:rPr>
          <w:sz w:val="20"/>
          <w:szCs w:val="20"/>
          <w:color w:val="auto"/>
        </w:rPr>
      </w:pPr>
    </w:p>
    <w:p>
      <w:pPr>
        <w:ind w:right="4640"/>
        <w:spacing w:after="0" w:line="385" w:lineRule="auto"/>
        <w:rPr>
          <w:sz w:val="20"/>
          <w:szCs w:val="20"/>
          <w:color w:val="auto"/>
        </w:rPr>
      </w:pPr>
      <w:r>
        <w:rPr>
          <w:rFonts w:ascii="Times New Roman" w:cs="Times New Roman" w:eastAsia="Times New Roman" w:hAnsi="Times New Roman"/>
          <w:sz w:val="14"/>
          <w:szCs w:val="14"/>
          <w:b w:val="1"/>
          <w:bCs w:val="1"/>
          <w:color w:val="auto"/>
        </w:rPr>
        <w:t xml:space="preserve">ITEM 9C. DISCLOSURE REGARDING FOREIGN JURISDICTIONS THAT PREVENT INSPECTIONS </w:t>
      </w: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889" w:right="499" w:bottom="1440" w:gutter="0" w:footer="0" w:header="0"/>
        </w:sectPr>
      </w:pPr>
    </w:p>
    <w:bookmarkStart w:id="92" w:name="page93"/>
    <w:bookmarkEnd w:id="92"/>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8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 information called for by Item 10 is incorporated herein by reference to the definitive proxy statement relating to the Annual Meeting of Shareholders of Carter’s, Inc. scheduled to be held on May 16, 2024. We intend to file such definitive proxy statement with the SEC pursuant to Regulation 14A within 120 days after the end of the fiscal year covered by this Annual Report on Form 10-K.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11 is incorporated herein by reference to the definitive proxy statement referenced above in Item 10.</w:t>
      </w:r>
    </w:p>
    <w:p>
      <w:pPr>
        <w:spacing w:after="0" w:line="145" w:lineRule="exact"/>
        <w:rPr>
          <w:sz w:val="20"/>
          <w:szCs w:val="20"/>
          <w:color w:val="auto"/>
        </w:rPr>
      </w:pPr>
    </w:p>
    <w:p>
      <w:pPr>
        <w:ind w:right="2160"/>
        <w:spacing w:after="0" w:line="365" w:lineRule="auto"/>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 Equity Compensation Plan Information</w:t>
      </w:r>
    </w:p>
    <w:p>
      <w:pPr>
        <w:spacing w:after="0"/>
        <w:rPr>
          <w:sz w:val="20"/>
          <w:szCs w:val="20"/>
          <w:color w:val="auto"/>
        </w:rPr>
      </w:pPr>
      <w:r>
        <w:rPr>
          <w:rFonts w:ascii="Times New Roman" w:cs="Times New Roman" w:eastAsia="Times New Roman" w:hAnsi="Times New Roman"/>
          <w:sz w:val="14"/>
          <w:szCs w:val="14"/>
          <w:color w:val="auto"/>
        </w:rPr>
        <w:t>The following table provides information about our equity compensation plan as of our most recent fiscal year end: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remaining</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to be issued</w:t>
            </w:r>
          </w:p>
        </w:tc>
        <w:tc>
          <w:tcPr>
            <w:tcW w:w="100" w:type="dxa"/>
            <w:vAlign w:val="bottom"/>
          </w:tcPr>
          <w:p>
            <w:pPr>
              <w:spacing w:after="0"/>
              <w:rPr>
                <w:sz w:val="11"/>
                <w:szCs w:val="11"/>
                <w:color w:val="auto"/>
              </w:rPr>
            </w:pPr>
          </w:p>
        </w:tc>
        <w:tc>
          <w:tcPr>
            <w:tcW w:w="1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Weighted-average exercise price</w:t>
            </w: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available for future issuance under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equity compensation plans</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1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upon exercise of outstanding</w:t>
            </w:r>
          </w:p>
        </w:tc>
        <w:tc>
          <w:tcPr>
            <w:tcW w:w="100" w:type="dxa"/>
            <w:vAlign w:val="bottom"/>
          </w:tcPr>
          <w:p>
            <w:pPr>
              <w:spacing w:after="0"/>
              <w:rPr>
                <w:sz w:val="11"/>
                <w:szCs w:val="11"/>
                <w:color w:val="auto"/>
              </w:rPr>
            </w:pPr>
          </w:p>
        </w:tc>
        <w:tc>
          <w:tcPr>
            <w:tcW w:w="190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of outstanding options, warrants,</w:t>
            </w:r>
          </w:p>
        </w:tc>
        <w:tc>
          <w:tcPr>
            <w:tcW w:w="80" w:type="dxa"/>
            <w:vAlign w:val="bottom"/>
          </w:tcPr>
          <w:p>
            <w:pPr>
              <w:spacing w:after="0"/>
              <w:rPr>
                <w:sz w:val="11"/>
                <w:szCs w:val="11"/>
                <w:color w:val="auto"/>
              </w:rPr>
            </w:pPr>
          </w:p>
        </w:tc>
        <w:tc>
          <w:tcPr>
            <w:tcW w:w="20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(excluding securities reflected in</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280" w:type="dxa"/>
            <w:vAlign w:val="bottom"/>
            <w:gridSpan w:val="2"/>
            <w:vMerge w:val="continue"/>
          </w:tcPr>
          <w:p>
            <w:pPr>
              <w:spacing w:after="0"/>
              <w:rPr>
                <w:sz w:val="11"/>
                <w:szCs w:val="11"/>
                <w:color w:val="auto"/>
              </w:rPr>
            </w:pPr>
          </w:p>
        </w:tc>
        <w:tc>
          <w:tcPr>
            <w:tcW w:w="19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8"/>
              </w:rPr>
              <w:t>options, warrants, and rights</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jc w:val="center"/>
              <w:ind w:right="316"/>
              <w:spacing w:after="0" w:line="138" w:lineRule="exact"/>
              <w:rPr>
                <w:sz w:val="20"/>
                <w:szCs w:val="20"/>
                <w:color w:val="auto"/>
              </w:rPr>
            </w:pPr>
            <w:r>
              <w:rPr>
                <w:rFonts w:ascii="Times New Roman" w:cs="Times New Roman" w:eastAsia="Times New Roman" w:hAnsi="Times New Roman"/>
                <w:sz w:val="13"/>
                <w:szCs w:val="13"/>
                <w:b w:val="1"/>
                <w:bCs w:val="1"/>
                <w:color w:val="auto"/>
                <w:w w:val="98"/>
              </w:rPr>
              <w:t>and rights</w:t>
            </w:r>
          </w:p>
        </w:tc>
        <w:tc>
          <w:tcPr>
            <w:tcW w:w="80" w:type="dxa"/>
            <w:vAlign w:val="bottom"/>
          </w:tcPr>
          <w:p>
            <w:pPr>
              <w:spacing w:after="0"/>
              <w:rPr>
                <w:sz w:val="11"/>
                <w:szCs w:val="11"/>
                <w:color w:val="auto"/>
              </w:rPr>
            </w:pPr>
          </w:p>
        </w:tc>
        <w:tc>
          <w:tcPr>
            <w:tcW w:w="200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first column)</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28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3"/>
                <w:szCs w:val="13"/>
                <w:color w:val="auto"/>
              </w:rPr>
              <w:t>Equity compensation plans approved by security holders</w:t>
            </w:r>
            <w:r>
              <w:rPr>
                <w:rFonts w:ascii="Times New Roman" w:cs="Times New Roman" w:eastAsia="Times New Roman" w:hAnsi="Times New Roman"/>
                <w:sz w:val="16"/>
                <w:szCs w:val="16"/>
                <w:color w:val="auto"/>
                <w:vertAlign w:val="superscript"/>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446,831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80" w:type="dxa"/>
            <w:vAlign w:val="bottom"/>
            <w:shd w:val="clear" w:color="auto" w:fill="CCEEFF"/>
          </w:tcPr>
          <w:p>
            <w:pPr>
              <w:spacing w:after="0"/>
              <w:rPr>
                <w:sz w:val="13"/>
                <w:szCs w:val="13"/>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2,221,612</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Equity compensation plans not approved by security holders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446,831</w:t>
            </w:r>
          </w:p>
        </w:tc>
        <w:tc>
          <w:tcPr>
            <w:tcW w:w="460" w:type="dxa"/>
            <w:vAlign w:val="bottom"/>
            <w:tcBorders>
              <w:bottom w:val="single" w:sz="8" w:color="CCEEFF"/>
            </w:tcBorders>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96.20</w:t>
            </w:r>
          </w:p>
        </w:tc>
        <w:tc>
          <w:tcPr>
            <w:tcW w:w="2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2,221,612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stock options that are outstanding or that are available for future issuance pursuant to the Carter’s, Inc. Amended and Restated Equity Incentive Plan.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called for by Item 12 is incorporated herein by reference to the definitive proxy statement referenced above in Item 10.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13 is incorporated herein by reference to the definitive proxy statement referenced above in Item 10.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called for by Item 14 is incorporated herein by reference to the definitive proxy statement referenced above in Item 10.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7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8"/>
        </w:trPr>
        <w:tc>
          <w:tcPr>
            <w:tcW w:w="106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60"/>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w:t>
            </w:r>
          </w:p>
        </w:tc>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Financial Statements filed as part of this report</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47</w:t>
            </w:r>
          </w:p>
        </w:tc>
        <w:tc>
          <w:tcPr>
            <w:tcW w:w="6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1640" w:type="dxa"/>
            <w:vAlign w:val="bottom"/>
          </w:tcPr>
          <w:p>
            <w:pPr>
              <w:spacing w:after="0"/>
              <w:rPr>
                <w:sz w:val="13"/>
                <w:szCs w:val="13"/>
                <w:color w:val="auto"/>
              </w:rPr>
            </w:pPr>
          </w:p>
        </w:tc>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48</w:t>
            </w:r>
          </w:p>
        </w:tc>
        <w:tc>
          <w:tcPr>
            <w:tcW w:w="6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1640" w:type="dxa"/>
            <w:vAlign w:val="bottom"/>
          </w:tcPr>
          <w:p>
            <w:pPr>
              <w:spacing w:after="0"/>
              <w:rPr>
                <w:sz w:val="13"/>
                <w:szCs w:val="13"/>
                <w:color w:val="auto"/>
              </w:rPr>
            </w:pPr>
          </w:p>
        </w:tc>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Balance Sheets at December 30, 2023 and December 31, 2022</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50</w:t>
            </w:r>
          </w:p>
        </w:tc>
        <w:tc>
          <w:tcPr>
            <w:tcW w:w="6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1640" w:type="dxa"/>
            <w:vAlign w:val="bottom"/>
          </w:tcPr>
          <w:p>
            <w:pPr>
              <w:spacing w:after="0"/>
              <w:rPr>
                <w:sz w:val="13"/>
                <w:szCs w:val="13"/>
                <w:color w:val="auto"/>
              </w:rPr>
            </w:pPr>
          </w:p>
        </w:tc>
        <w:tc>
          <w:tcPr>
            <w:tcW w:w="72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Operations for the fiscal years ended December 30, 2023, December 31, 2022, and January 1, 2022</w:t>
            </w:r>
          </w:p>
        </w:tc>
        <w:tc>
          <w:tcPr>
            <w:tcW w:w="18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51</w:t>
            </w:r>
          </w:p>
        </w:tc>
        <w:tc>
          <w:tcPr>
            <w:tcW w:w="6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fiscal years ended December 30, 2023, December 31, 2022, and January 1, 2022</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52</w:t>
            </w:r>
          </w:p>
        </w:tc>
        <w:tc>
          <w:tcPr>
            <w:tcW w:w="6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79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fiscal years ended December 30, 2023, December 31, 2022, and January 1, 2022</w:t>
            </w:r>
          </w:p>
        </w:tc>
        <w:tc>
          <w:tcPr>
            <w:tcW w:w="112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53</w:t>
            </w:r>
          </w:p>
        </w:tc>
        <w:tc>
          <w:tcPr>
            <w:tcW w:w="60" w:type="dxa"/>
            <w:vAlign w:val="bottom"/>
          </w:tcPr>
          <w:p>
            <w:pPr>
              <w:spacing w:after="0"/>
              <w:rPr>
                <w:sz w:val="13"/>
                <w:szCs w:val="13"/>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1640" w:type="dxa"/>
            <w:vAlign w:val="bottom"/>
          </w:tcPr>
          <w:p>
            <w:pPr>
              <w:spacing w:after="0"/>
              <w:rPr>
                <w:sz w:val="13"/>
                <w:szCs w:val="13"/>
                <w:color w:val="auto"/>
              </w:rPr>
            </w:pPr>
          </w:p>
        </w:tc>
        <w:tc>
          <w:tcPr>
            <w:tcW w:w="904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fiscal years ended December 30, 2023, December 31, 2022, and January 1, 2022</w:t>
            </w:r>
          </w:p>
        </w:tc>
        <w:tc>
          <w:tcPr>
            <w:tcW w:w="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54</w:t>
            </w:r>
          </w:p>
        </w:tc>
        <w:tc>
          <w:tcPr>
            <w:tcW w:w="60" w:type="dxa"/>
            <w:vAlign w:val="bottom"/>
          </w:tcPr>
          <w:p>
            <w:pPr>
              <w:spacing w:after="0"/>
              <w:rPr>
                <w:sz w:val="13"/>
                <w:szCs w:val="13"/>
                <w:color w:val="auto"/>
              </w:rPr>
            </w:pPr>
          </w:p>
        </w:tc>
      </w:tr>
      <w:tr>
        <w:trPr>
          <w:trHeight w:val="160"/>
        </w:trPr>
        <w:tc>
          <w:tcPr>
            <w:tcW w:w="1640" w:type="dxa"/>
            <w:vAlign w:val="bottom"/>
          </w:tcPr>
          <w:p>
            <w:pPr>
              <w:spacing w:after="0"/>
              <w:rPr>
                <w:sz w:val="13"/>
                <w:szCs w:val="13"/>
                <w:color w:val="auto"/>
              </w:rPr>
            </w:pPr>
          </w:p>
        </w:tc>
        <w:tc>
          <w:tcPr>
            <w:tcW w:w="84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c>
          <w:tcPr>
            <w:tcW w:w="60" w:type="dxa"/>
            <w:vAlign w:val="bottom"/>
          </w:tcPr>
          <w:p>
            <w:pPr>
              <w:spacing w:after="0"/>
              <w:rPr>
                <w:sz w:val="13"/>
                <w:szCs w:val="13"/>
                <w:color w:val="auto"/>
              </w:rPr>
            </w:pPr>
          </w:p>
        </w:tc>
      </w:tr>
      <w:tr>
        <w:trPr>
          <w:trHeight w:val="192"/>
        </w:trPr>
        <w:tc>
          <w:tcPr>
            <w:tcW w:w="1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24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auto"/>
              </w:rPr>
              <w:t>Financial Statement Schedules: None</w:t>
            </w:r>
          </w:p>
        </w:tc>
        <w:tc>
          <w:tcPr>
            <w:tcW w:w="6580" w:type="dxa"/>
            <w:vAlign w:val="bottom"/>
            <w:gridSpan w:val="8"/>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295" w:lineRule="exact"/>
        <w:rPr>
          <w:sz w:val="20"/>
          <w:szCs w:val="20"/>
          <w:color w:val="auto"/>
        </w:rPr>
      </w:pPr>
    </w:p>
    <w:p>
      <w:pPr>
        <w:ind w:left="1060" w:hanging="672"/>
        <w:spacing w:after="0"/>
        <w:tabs>
          <w:tab w:leader="none" w:pos="10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10"/>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gridSpan w:val="9"/>
          </w:tcPr>
          <w:p>
            <w:pPr>
              <w:spacing w:after="0" w:line="139" w:lineRule="exact"/>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Amended and Restated Certificate of Incorporation of Carter’s, Inc.</w:t>
              </w:r>
            </w:hyperlink>
          </w:p>
        </w:tc>
        <w:tc>
          <w:tcPr>
            <w:tcW w:w="80" w:type="dxa"/>
            <w:vAlign w:val="bottom"/>
          </w:tcPr>
          <w:p>
            <w:pPr>
              <w:spacing w:after="0"/>
              <w:rPr>
                <w:sz w:val="12"/>
                <w:szCs w:val="12"/>
                <w:color w:val="auto"/>
              </w:rPr>
            </w:pPr>
          </w:p>
        </w:tc>
        <w:tc>
          <w:tcPr>
            <w:tcW w:w="6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80" w:type="dxa"/>
            <w:vAlign w:val="bottom"/>
          </w:tcPr>
          <w:p>
            <w:pPr>
              <w:spacing w:after="0"/>
              <w:rPr>
                <w:sz w:val="12"/>
                <w:szCs w:val="12"/>
                <w:color w:val="auto"/>
              </w:rPr>
            </w:pPr>
          </w:p>
        </w:tc>
        <w:tc>
          <w:tcPr>
            <w:tcW w:w="1100" w:type="dxa"/>
            <w:vAlign w:val="bottom"/>
            <w:tcBorders>
              <w:top w:val="single" w:sz="8" w:color="auto"/>
            </w:tcBorders>
          </w:tcPr>
          <w:p>
            <w:pPr>
              <w:ind w:left="460"/>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2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May 23, 2017</w:t>
            </w: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Amended and Restated By-Laws of Carter’s, Inc.</w:t>
              </w:r>
            </w:hyperlink>
          </w:p>
        </w:tc>
        <w:tc>
          <w:tcPr>
            <w:tcW w:w="1020" w:type="dxa"/>
            <w:vAlign w:val="bottom"/>
            <w:tcBorders>
              <w:top w:val="single" w:sz="8" w:color="0000FF"/>
            </w:tcBorders>
            <w:gridSpan w:val="2"/>
          </w:tcPr>
          <w:p>
            <w:pPr>
              <w:spacing w:after="0"/>
              <w:rPr>
                <w:sz w:val="13"/>
                <w:szCs w:val="13"/>
                <w:color w:val="auto"/>
              </w:rPr>
            </w:pPr>
          </w:p>
        </w:tc>
        <w:tc>
          <w:tcPr>
            <w:tcW w:w="840" w:type="dxa"/>
            <w:vAlign w:val="bottom"/>
            <w:gridSpan w:val="4"/>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August 18, 2023</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Specimen Certificate of Common Stock</w:t>
              </w:r>
            </w:hyperlink>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S-1/A</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10, 2003</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Indenture, dated March 14, 2019, by and among The William Carter Company,</w:t>
              </w:r>
            </w:hyperlink>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14, 2019</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certain guarantors from time to time party thereto and Wells Fargo Bank,</w:t>
              </w:r>
            </w:hyperlink>
          </w:p>
        </w:tc>
        <w:tc>
          <w:tcPr>
            <w:tcW w:w="18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National Association, as Trustee</w:t>
              </w:r>
            </w:hyperlink>
          </w:p>
        </w:tc>
        <w:tc>
          <w:tcPr>
            <w:tcW w:w="2280" w:type="dxa"/>
            <w:vAlign w:val="bottom"/>
            <w:tcBorders>
              <w:top w:val="single" w:sz="8" w:color="0000FF"/>
            </w:tcBorders>
            <w:gridSpan w:val="5"/>
          </w:tcPr>
          <w:p>
            <w:pPr>
              <w:spacing w:after="0"/>
              <w:rPr>
                <w:sz w:val="10"/>
                <w:szCs w:val="10"/>
                <w:color w:val="auto"/>
              </w:rPr>
            </w:pPr>
          </w:p>
        </w:tc>
        <w:tc>
          <w:tcPr>
            <w:tcW w:w="540" w:type="dxa"/>
            <w:vAlign w:val="bottom"/>
            <w:gridSpan w:val="3"/>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Form of 5.625% Senior Notes due 2027 (included in Exhibit 4.2).</w:t>
              </w:r>
            </w:hyperlink>
          </w:p>
        </w:tc>
        <w:tc>
          <w:tcPr>
            <w:tcW w:w="940" w:type="dxa"/>
            <w:vAlign w:val="bottom"/>
            <w:gridSpan w:val="5"/>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March 14, 2019</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10"/>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Description of Securities</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February 24, 2020</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6"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0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60" w:type="dxa"/>
            <w:vAlign w:val="bottom"/>
            <w:gridSpan w:val="28"/>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580" w:type="dxa"/>
            <w:vAlign w:val="bottom"/>
            <w:tcBorders>
              <w:top w:val="single" w:sz="8" w:color="auto"/>
            </w:tcBorders>
            <w:gridSpan w:val="27"/>
          </w:tcPr>
          <w:p>
            <w:pPr>
              <w:spacing w:after="0" w:line="13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Fourth Amended and Restated Credit Agreement, dated as of August 25, 2017,</w:t>
              </w:r>
            </w:hyperlink>
          </w:p>
        </w:tc>
        <w:tc>
          <w:tcPr>
            <w:tcW w:w="80" w:type="dxa"/>
            <w:vAlign w:val="bottom"/>
          </w:tcPr>
          <w:p>
            <w:pPr>
              <w:spacing w:after="0"/>
              <w:rPr>
                <w:sz w:val="12"/>
                <w:szCs w:val="12"/>
                <w:color w:val="auto"/>
              </w:rPr>
            </w:pPr>
          </w:p>
        </w:tc>
        <w:tc>
          <w:tcPr>
            <w:tcW w:w="6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2"/>
                <w:szCs w:val="12"/>
                <w:color w:val="auto"/>
              </w:rPr>
            </w:pPr>
          </w:p>
        </w:tc>
        <w:tc>
          <w:tcPr>
            <w:tcW w:w="208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August 31, 2017</w:t>
            </w:r>
          </w:p>
        </w:tc>
        <w:tc>
          <w:tcPr>
            <w:tcW w:w="8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by and among The William Carter Company, as U.S. Borrower, The Genuine</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60" w:type="dxa"/>
            <w:vAlign w:val="bottom"/>
            <w:tcBorders>
              <w:top w:val="single" w:sz="8" w:color="0000FF"/>
            </w:tcBorders>
            <w:gridSpan w:val="17"/>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Canadian Corp., as Canadian Borrower, Carter’s Holdings B.V., as Dutch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Borrower, JPMorgan Chase Bank, N.A., as Administrative Agent, U.S. Dollar</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Facility Swing Line Lender, U.S. Dollar Facility L/C Issuer and Collateral</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0" w:type="dxa"/>
            <w:vAlign w:val="bottom"/>
            <w:tcBorders>
              <w:top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Agent, JPMorgan Chase Bank, N.A., Toronto Branch, as Canadian Agent,</w:t>
              </w:r>
            </w:hyperlink>
          </w:p>
        </w:tc>
        <w:tc>
          <w:tcPr>
            <w:tcW w:w="460" w:type="dxa"/>
            <w:vAlign w:val="bottom"/>
            <w:gridSpan w:val="19"/>
          </w:tcPr>
          <w:p>
            <w:pPr>
              <w:jc w:val="right"/>
              <w:ind w:right="380"/>
              <w:spacing w:after="0" w:line="129" w:lineRule="exact"/>
              <w:rPr>
                <w:rFonts w:ascii="Times New Roman" w:cs="Times New Roman" w:eastAsia="Times New Roman" w:hAnsi="Times New Roman"/>
                <w:sz w:val="14"/>
                <w:szCs w:val="14"/>
                <w:color w:val="0000FF"/>
                <w:w w:val="95"/>
              </w:rPr>
            </w:pPr>
            <w:hyperlink r:id="rId117">
              <w:r>
                <w:rPr>
                  <w:rFonts w:ascii="Times New Roman" w:cs="Times New Roman" w:eastAsia="Times New Roman" w:hAnsi="Times New Roman"/>
                  <w:sz w:val="14"/>
                  <w:szCs w:val="14"/>
                  <w:color w:val="0000FF"/>
                  <w:w w:val="95"/>
                </w:rPr>
                <w:t>a</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Multicurrency Facility Swing Line Lender and a Multicurrency Facility L/C</w:t>
              </w:r>
            </w:hyperlink>
          </w:p>
        </w:tc>
        <w:tc>
          <w:tcPr>
            <w:tcW w:w="20" w:type="dxa"/>
            <w:vAlign w:val="bottom"/>
            <w:tcBorders>
              <w:bottom w:val="single" w:sz="8" w:color="0000FF"/>
            </w:tcBorders>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Issuer, J.P. Morgan Europe Limited, as European Agent, JPMorgan Chase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40" w:type="dxa"/>
            <w:vAlign w:val="bottom"/>
            <w:tcBorders>
              <w:top w:val="single" w:sz="8" w:color="0000FF"/>
            </w:tcBorders>
            <w:gridSpan w:val="25"/>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N.A., London Branch, as a Multicurrency Facility Swing Line Lender and a</w:t>
              </w:r>
            </w:hyperlink>
          </w:p>
        </w:tc>
        <w:tc>
          <w:tcPr>
            <w:tcW w:w="2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Multicurrency Facility L/C Issuer, Bank of America, N.A. and Bank of</w:t>
              </w:r>
            </w:hyperlink>
          </w:p>
        </w:tc>
        <w:tc>
          <w:tcPr>
            <w:tcW w:w="340" w:type="dxa"/>
            <w:vAlign w:val="bottom"/>
            <w:tcBorders>
              <w:top w:val="single" w:sz="8" w:color="0000FF"/>
            </w:tcBorders>
            <w:gridSpan w:val="12"/>
          </w:tcPr>
          <w:p>
            <w:pPr>
              <w:spacing w:after="0"/>
              <w:rPr>
                <w:sz w:val="10"/>
                <w:szCs w:val="10"/>
                <w:color w:val="auto"/>
              </w:rPr>
            </w:pPr>
          </w:p>
        </w:tc>
        <w:tc>
          <w:tcPr>
            <w:tcW w:w="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Montreal, as Co-Syndication Agents, JPMorgan Chase Bank, N.A., Merrill</w:t>
              </w:r>
            </w:hyperlink>
          </w:p>
        </w:tc>
        <w:tc>
          <w:tcPr>
            <w:tcW w:w="400" w:type="dxa"/>
            <w:vAlign w:val="bottom"/>
            <w:gridSpan w:val="17"/>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28"/>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Lynch, Pierce, Fenner &amp; Smith Incorporated and BMO Capital Markets Corp.,</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bottom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as Joint Lead Arrangers and Bookrunners, Branch Banking &amp; Trust Company,</w:t>
              </w:r>
            </w:hyperlink>
          </w:p>
        </w:tc>
        <w:tc>
          <w:tcPr>
            <w:tcW w:w="20" w:type="dxa"/>
            <w:vAlign w:val="bottom"/>
            <w:tcBorders>
              <w:top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0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gridSpan w:val="28"/>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HSBC Securities (USA) Inc., Royal Bank of Canada, SunTrust Bank, U.S. Bank</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tcBorders>
              <w:top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National Association and Wells Fargo Bank, National Association, as Co-</w:t>
              </w:r>
            </w:hyperlink>
          </w:p>
        </w:tc>
        <w:tc>
          <w:tcPr>
            <w:tcW w:w="10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80" w:type="dxa"/>
            <w:vAlign w:val="bottom"/>
            <w:tcBorders>
              <w:top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Documentation Agents and certain other lenders party thereto</w:t>
              </w:r>
            </w:hyperlink>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5"/>
          </w:tcPr>
          <w:p>
            <w:pPr>
              <w:spacing w:after="0"/>
              <w:rPr>
                <w:sz w:val="10"/>
                <w:szCs w:val="10"/>
                <w:color w:val="auto"/>
              </w:rPr>
            </w:pPr>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28"/>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Amendment No. 1, dated as of September 21, 2018, to the Fourth Amended and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September 26, 2018</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Restated Credit Agreement dated as of August 25, 2017, by and among The</w:t>
              </w:r>
            </w:hyperlink>
          </w:p>
        </w:tc>
        <w:tc>
          <w:tcPr>
            <w:tcW w:w="140" w:type="dxa"/>
            <w:vAlign w:val="bottom"/>
            <w:gridSpan w:val="4"/>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4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William Carter Company, as U.S. Borrower, The Genuine Canadian Corp.,</w:t>
              </w:r>
            </w:hyperlink>
          </w:p>
        </w:tc>
        <w:tc>
          <w:tcPr>
            <w:tcW w:w="320" w:type="dxa"/>
            <w:vAlign w:val="bottom"/>
            <w:gridSpan w:val="13"/>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as</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8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Canadian Borrower, Carter’s Holdings B.V., as Dutch Borrower, JPMorgan</w:t>
              </w:r>
            </w:hyperlink>
          </w:p>
        </w:tc>
        <w:tc>
          <w:tcPr>
            <w:tcW w:w="20" w:type="dxa"/>
            <w:vAlign w:val="bottom"/>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Chase Bank, N.A., as Administrative Agent, Collateral Agent, U.S. Dollar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4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Facility Swing Line Lender and U.S. Dollar Facility L/C Issuer, JPMorgan</w:t>
              </w:r>
            </w:hyperlink>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5"/>
          </w:tcPr>
          <w:p>
            <w:pPr>
              <w:spacing w:after="0"/>
              <w:rPr>
                <w:sz w:val="11"/>
                <w:szCs w:val="11"/>
                <w:color w:val="auto"/>
              </w:rPr>
            </w:pPr>
          </w:p>
        </w:tc>
        <w:tc>
          <w:tcPr>
            <w:tcW w:w="260" w:type="dxa"/>
            <w:vAlign w:val="bottom"/>
            <w:gridSpan w:val="9"/>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gridSpan w:val="11"/>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Chase Bank, N.A., Toronto Branch, as Canadian Agent, a Multicurrency</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Facility Swing Line Lender and a Multicurrency Facility L/C Issuer, J.P.</w:t>
              </w:r>
            </w:hyperlink>
          </w:p>
        </w:tc>
        <w:tc>
          <w:tcPr>
            <w:tcW w:w="40" w:type="dxa"/>
            <w:vAlign w:val="bottom"/>
          </w:tcPr>
          <w:p>
            <w:pPr>
              <w:spacing w:after="0"/>
              <w:rPr>
                <w:sz w:val="10"/>
                <w:szCs w:val="10"/>
                <w:color w:val="auto"/>
              </w:rPr>
            </w:pPr>
          </w:p>
        </w:tc>
        <w:tc>
          <w:tcPr>
            <w:tcW w:w="16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gridSpan w:val="28"/>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Morgan Europe Limited, as European Agent, JPMorgan Chase Bank, N.A.,</w:t>
              </w:r>
            </w:hyperlink>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London Branch, as a Multicurrency Facility Swing Line Lender and a</w:t>
              </w:r>
            </w:hyperlink>
          </w:p>
        </w:tc>
        <w:tc>
          <w:tcPr>
            <w:tcW w:w="20" w:type="dxa"/>
            <w:vAlign w:val="bottom"/>
          </w:tcPr>
          <w:p>
            <w:pPr>
              <w:spacing w:after="0"/>
              <w:rPr>
                <w:sz w:val="10"/>
                <w:szCs w:val="10"/>
                <w:color w:val="auto"/>
              </w:rPr>
            </w:pPr>
          </w:p>
        </w:tc>
        <w:tc>
          <w:tcPr>
            <w:tcW w:w="80" w:type="dxa"/>
            <w:vAlign w:val="bottom"/>
            <w:gridSpan w:val="5"/>
          </w:tcPr>
          <w:p>
            <w:pPr>
              <w:spacing w:after="0"/>
              <w:rPr>
                <w:sz w:val="10"/>
                <w:szCs w:val="10"/>
                <w:color w:val="auto"/>
              </w:rPr>
            </w:pPr>
          </w:p>
        </w:tc>
        <w:tc>
          <w:tcPr>
            <w:tcW w:w="260" w:type="dxa"/>
            <w:vAlign w:val="bottom"/>
            <w:gridSpan w:val="9"/>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940" w:type="dxa"/>
            <w:vAlign w:val="bottom"/>
            <w:tcBorders>
              <w:top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Multicurrency Facility L/C Issuer, each lender from time to time party</w:t>
              </w:r>
            </w:hyperlink>
          </w:p>
        </w:tc>
        <w:tc>
          <w:tcPr>
            <w:tcW w:w="720" w:type="dxa"/>
            <w:vAlign w:val="bottom"/>
            <w:gridSpan w:val="25"/>
          </w:tcPr>
          <w:p>
            <w:pPr>
              <w:ind w:left="60"/>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thereto</w:t>
              </w:r>
            </w:hyperlink>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0" w:type="dxa"/>
            <w:vAlign w:val="bottom"/>
            <w:tcBorders>
              <w:top w:val="single" w:sz="8" w:color="0000FF"/>
            </w:tcBorders>
            <w:gridSpan w:val="19"/>
          </w:tcPr>
          <w:p>
            <w:pPr>
              <w:spacing w:after="0" w:line="129"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and the other parties party thereto</w:t>
              </w:r>
            </w:hyperlink>
          </w:p>
        </w:tc>
        <w:tc>
          <w:tcPr>
            <w:tcW w:w="260" w:type="dxa"/>
            <w:vAlign w:val="bottom"/>
            <w:gridSpan w:val="9"/>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gridSpan w:val="28"/>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Amendment No. 2, dated as of May 4, 2020, to the Fourth Amended and</w:t>
              </w:r>
            </w:hyperlink>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July 24, 2020</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Restated Credit Agreement dated as of August 25, 2017, by and among</w:t>
              </w:r>
            </w:hyperlink>
          </w:p>
        </w:tc>
        <w:tc>
          <w:tcPr>
            <w:tcW w:w="200" w:type="dxa"/>
            <w:vAlign w:val="bottom"/>
            <w:tcBorders>
              <w:bottom w:val="single" w:sz="8" w:color="0000FF"/>
            </w:tcBorders>
            <w:gridSpan w:val="8"/>
          </w:tcPr>
          <w:p>
            <w:pPr>
              <w:jc w:val="right"/>
              <w:ind w:right="60"/>
              <w:spacing w:after="0"/>
              <w:rPr>
                <w:rFonts w:ascii="Times New Roman" w:cs="Times New Roman" w:eastAsia="Times New Roman" w:hAnsi="Times New Roman"/>
                <w:sz w:val="10"/>
                <w:szCs w:val="10"/>
                <w:color w:val="0000FF"/>
                <w:w w:val="76"/>
              </w:rPr>
            </w:pPr>
            <w:hyperlink r:id="rId119">
              <w:r>
                <w:rPr>
                  <w:rFonts w:ascii="Times New Roman" w:cs="Times New Roman" w:eastAsia="Times New Roman" w:hAnsi="Times New Roman"/>
                  <w:sz w:val="10"/>
                  <w:szCs w:val="10"/>
                  <w:color w:val="0000FF"/>
                  <w:w w:val="76"/>
                </w:rPr>
                <w:t>The</w:t>
              </w:r>
            </w:hyperlink>
          </w:p>
        </w:tc>
        <w:tc>
          <w:tcPr>
            <w:tcW w:w="320" w:type="dxa"/>
            <w:vAlign w:val="bottom"/>
            <w:gridSpan w:val="13"/>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060"/>
        <w:spacing w:after="0" w:line="207"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William Carter Company, as U.S. Borrower, The Genuine Canadian Corp., as</w:t>
        </w:r>
      </w:hyperlink>
    </w:p>
    <w:p>
      <w:pPr>
        <w:ind w:left="1060"/>
        <w:spacing w:after="0" w:line="206"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Canadian Borrower, Carter's Holdings B.V., as Dutch Borrower, JPMorgan</w:t>
        </w:r>
      </w:hyperlink>
    </w:p>
    <w:p>
      <w:pPr>
        <w:ind w:left="1060"/>
        <w:spacing w:after="0" w:line="221"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Chase Bank, N.A., as Administrative Agent, Collateral Agent, U.S. Dollar</w:t>
        </w:r>
      </w:hyperlink>
    </w:p>
    <w:p>
      <w:pPr>
        <w:ind w:left="1060"/>
        <w:spacing w:after="0" w:line="206"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Facility Swing Line Lender and U.S. Dollar Facility L/C Issuer, JPMorgan</w:t>
        </w:r>
      </w:hyperlink>
    </w:p>
    <w:p>
      <w:pPr>
        <w:ind w:left="1060"/>
        <w:spacing w:after="0" w:line="205"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Chase Bank, N.A., Toronto Branch, as Canadian Agent, a Multicurrency</w:t>
        </w:r>
      </w:hyperlink>
    </w:p>
    <w:p>
      <w:pPr>
        <w:ind w:left="1060"/>
        <w:spacing w:after="0" w:line="222"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Facility Swing Line Lender and a Multicurrency Facility L/C Issuer, J.P.</w:t>
        </w:r>
      </w:hyperlink>
    </w:p>
    <w:p>
      <w:pPr>
        <w:ind w:left="1060"/>
        <w:spacing w:after="0" w:line="205"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Morgan Europe Limited, as European Agent, JPMorgan Chase Bank, N.A.,</w:t>
        </w:r>
      </w:hyperlink>
    </w:p>
    <w:p>
      <w:pPr>
        <w:ind w:left="1060"/>
        <w:spacing w:after="0" w:line="206"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London Branch, as a Multicurrency Facility Swing Line Lender and a</w:t>
        </w:r>
      </w:hyperlink>
    </w:p>
    <w:p>
      <w:pPr>
        <w:ind w:left="1060"/>
        <w:spacing w:after="0" w:line="222" w:lineRule="auto"/>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Multicurrency Facility L/C Issuer, each lender from time to time party thereto</w:t>
        </w:r>
      </w:hyperlink>
    </w:p>
    <w:p>
      <w:pPr>
        <w:ind w:left="1060"/>
        <w:spacing w:after="0"/>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and the other parties party thereto</w:t>
        </w:r>
      </w:hyperlink>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95" w:name="page96"/>
    <w:bookmarkEnd w:id="95"/>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4620" w:type="dxa"/>
            <w:vAlign w:val="bottom"/>
            <w:gridSpan w:val="31"/>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62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10.1.3</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60" w:type="dxa"/>
            <w:vAlign w:val="bottom"/>
            <w:tcBorders>
              <w:top w:val="single" w:sz="8" w:color="auto"/>
              <w:bottom w:val="single" w:sz="8" w:color="0000FF"/>
            </w:tcBorders>
            <w:gridSpan w:val="13"/>
          </w:tcPr>
          <w:p>
            <w:pPr>
              <w:spacing w:after="0" w:line="13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Amendment No. 3, dated as of April 21, 2021, to the Fourth Amended and</w:t>
              </w:r>
            </w:hyperlink>
          </w:p>
        </w:tc>
        <w:tc>
          <w:tcPr>
            <w:tcW w:w="360" w:type="dxa"/>
            <w:vAlign w:val="bottom"/>
            <w:tcBorders>
              <w:top w:val="single" w:sz="8" w:color="auto"/>
            </w:tcBorders>
            <w:gridSpan w:val="18"/>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1"/>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Restated Credit Agreement dated as of August 25, 2017, by and among The</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20" w:type="dxa"/>
            <w:vAlign w:val="bottom"/>
            <w:tcBorders>
              <w:top w:val="single" w:sz="8" w:color="0000FF"/>
            </w:tcBorders>
            <w:gridSpan w:val="16"/>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William Carter Company, as U.S. Borrower, The Genuine Canadian Corp.,</w:t>
              </w:r>
            </w:hyperlink>
          </w:p>
        </w:tc>
        <w:tc>
          <w:tcPr>
            <w:tcW w:w="300" w:type="dxa"/>
            <w:vAlign w:val="bottom"/>
            <w:gridSpan w:val="15"/>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as</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Canadian Borrower, Carter's Holdings B.V., as Dutch Borrower, JPMorgan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Chase Bank, N.A., as Administrative Agent, Collateral Agent, U.S. Dollar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Facility Swing Line Lender and U.S. Dollar Facility L/C Issuer, JPMorgan</w:t>
              </w:r>
            </w:hyperlink>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gridSpan w:val="12"/>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Chase Bank, N.A., Toronto Branch, as Canadian Agent, a Multicurrency</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1"/>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Facility Swing Line Lender and a Multicurrency Facility L/C Issuer, JPMorgan</w:t>
              </w:r>
            </w:hyperlink>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560" w:type="dxa"/>
            <w:vAlign w:val="bottom"/>
            <w:tcBorders>
              <w:top w:val="single" w:sz="8" w:color="0000FF"/>
            </w:tcBorders>
            <w:gridSpan w:val="28"/>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Chase Bank, N.A., as European Agent, JPMorgan Chase Bank, N.A., London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Branch, as a Multicurrency Facility Swing Line Lender and a Multicurrency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6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Facility L/C Issuer, each lender from time to time party thereto and the other</w:t>
              </w:r>
            </w:hyperlink>
          </w:p>
        </w:tc>
        <w:tc>
          <w:tcPr>
            <w:tcW w:w="20" w:type="dxa"/>
            <w:vAlign w:val="bottom"/>
            <w:tcBorders>
              <w:bottom w:val="single" w:sz="8" w:color="0000FF"/>
            </w:tcBorders>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gridSpan w:val="19"/>
          </w:tcPr>
          <w:p>
            <w:pPr>
              <w:spacing w:after="0" w:line="129"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parties party thereto</w:t>
              </w:r>
            </w:hyperlink>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gridSpan w:val="31"/>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AMENDMENT NO. 4 TO FOURTH AMENDED AND RESTATED CREDIT</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0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AGREEMENT AND SECOND AMENDMENT TO AMENDED AND</w:t>
              </w:r>
            </w:hyperlink>
          </w:p>
        </w:tc>
        <w:tc>
          <w:tcPr>
            <w:tcW w:w="440" w:type="dxa"/>
            <w:vAlign w:val="bottom"/>
            <w:tcBorders>
              <w:top w:val="single" w:sz="8" w:color="0000FF"/>
            </w:tcBorders>
            <w:gridSpan w:val="20"/>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60" w:type="dxa"/>
            <w:vAlign w:val="bottom"/>
            <w:tcBorders>
              <w:bottom w:val="single" w:sz="8" w:color="0000FF"/>
            </w:tcBorders>
            <w:gridSpan w:val="9"/>
          </w:tcPr>
          <w:p>
            <w:pPr>
              <w:spacing w:after="0" w:line="129" w:lineRule="exact"/>
              <w:rPr>
                <w:rFonts w:ascii="Times New Roman" w:cs="Times New Roman" w:eastAsia="Times New Roman" w:hAnsi="Times New Roman"/>
                <w:sz w:val="14"/>
                <w:szCs w:val="14"/>
                <w:color w:val="0000FF"/>
                <w:w w:val="99"/>
              </w:rPr>
            </w:pPr>
            <w:hyperlink r:id="rId122">
              <w:r>
                <w:rPr>
                  <w:rFonts w:ascii="Times New Roman" w:cs="Times New Roman" w:eastAsia="Times New Roman" w:hAnsi="Times New Roman"/>
                  <w:sz w:val="14"/>
                  <w:szCs w:val="14"/>
                  <w:color w:val="0000FF"/>
                  <w:w w:val="99"/>
                </w:rPr>
                <w:t>RESTATED SECURITY AGREEMENT, dated as of April 11, 2022 (this</w:t>
              </w:r>
            </w:hyperlink>
          </w:p>
        </w:tc>
        <w:tc>
          <w:tcPr>
            <w:tcW w:w="460" w:type="dxa"/>
            <w:vAlign w:val="bottom"/>
            <w:gridSpan w:val="2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1"/>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“Amendment No. 4”), relating to (i) the Fourth Amended and Restated Credit</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0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Agreement dated as of August 25, 2017, among THE WILLIAM CARTER</w:t>
              </w:r>
            </w:hyperlink>
          </w:p>
        </w:tc>
        <w:tc>
          <w:tcPr>
            <w:tcW w:w="14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gridSpan w:val="31"/>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COMPANY, a Massachusetts corporation (the “U.S. Borrower”), The Genuine</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Canadian Corp., an Ontario corporation (the “Canadian Borrower”),</w:t>
              </w:r>
            </w:hyperlink>
          </w:p>
        </w:tc>
        <w:tc>
          <w:tcPr>
            <w:tcW w:w="64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CARTER’S HOLDINGS B.V., having its official seat (statutaire zetel) in</w:t>
              </w:r>
            </w:hyperlink>
          </w:p>
        </w:tc>
        <w:tc>
          <w:tcPr>
            <w:tcW w:w="480" w:type="dxa"/>
            <w:vAlign w:val="bottom"/>
            <w:gridSpan w:val="2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gridSpan w:val="31"/>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Amsterdam, the Netherlands, registered with the Dutch trade register under</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8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number 63530201 (“Dutch Borrower” and, together with the U.S. Borrower</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80" w:type="dxa"/>
            <w:vAlign w:val="bottom"/>
            <w:gridSpan w:val="14"/>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and</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the Canadian Borrower, the “Borrowers”), each lender from time to time party</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tcBorders>
              <w:top w:val="single" w:sz="8" w:color="0000FF"/>
              <w:bottom w:val="single" w:sz="8" w:color="0000FF"/>
            </w:tcBorders>
            <w:gridSpan w:val="24"/>
          </w:tcPr>
          <w:p>
            <w:pPr>
              <w:spacing w:after="0" w:line="129" w:lineRule="exact"/>
              <w:rPr>
                <w:rFonts w:ascii="Times New Roman" w:cs="Times New Roman" w:eastAsia="Times New Roman" w:hAnsi="Times New Roman"/>
                <w:sz w:val="14"/>
                <w:szCs w:val="14"/>
                <w:color w:val="0000FF"/>
                <w:w w:val="99"/>
              </w:rPr>
            </w:pPr>
            <w:hyperlink r:id="rId122">
              <w:r>
                <w:rPr>
                  <w:rFonts w:ascii="Times New Roman" w:cs="Times New Roman" w:eastAsia="Times New Roman" w:hAnsi="Times New Roman"/>
                  <w:sz w:val="14"/>
                  <w:szCs w:val="14"/>
                  <w:color w:val="0000FF"/>
                  <w:w w:val="99"/>
                </w:rPr>
                <w:t>thereto (collectively, the “Lenders” and individually, a “Lender”), JPMORGAN</w:t>
              </w:r>
            </w:hyperlink>
          </w:p>
        </w:tc>
        <w:tc>
          <w:tcPr>
            <w:tcW w:w="40" w:type="dxa"/>
            <w:vAlign w:val="bottom"/>
            <w:tcBorders>
              <w:bottom w:val="single" w:sz="8" w:color="0000FF"/>
            </w:tcBorders>
            <w:gridSpan w:val="2"/>
          </w:tcPr>
          <w:p>
            <w:pPr>
              <w:spacing w:after="0"/>
              <w:rPr>
                <w:sz w:val="11"/>
                <w:szCs w:val="11"/>
                <w:color w:val="auto"/>
              </w:rPr>
            </w:pPr>
          </w:p>
        </w:tc>
        <w:tc>
          <w:tcPr>
            <w:tcW w:w="60" w:type="dxa"/>
            <w:vAlign w:val="bottom"/>
            <w:tcBorders>
              <w:bottom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gridSpan w:val="29"/>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CHASE BANK, N.A., as Administrative Agent (in such capacity, the</w:t>
              </w:r>
            </w:hyperlink>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“Administrative Agent”), Collateral Agent (in such capacity, the “Collateral</w:t>
              </w:r>
            </w:hyperlink>
          </w:p>
        </w:tc>
        <w:tc>
          <w:tcPr>
            <w:tcW w:w="28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gridSpan w:val="31"/>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Agent”), U.S. Dollar Facility Swing Line Lender and U.S. Dollar Facility L/C</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Issuer, JPMORGAN CHASE BANK, N.A., TORONTO BRANCH, as</w:t>
              </w:r>
            </w:hyperlink>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0" w:type="dxa"/>
            <w:vAlign w:val="bottom"/>
            <w:tcBorders>
              <w:top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Canadian Agent, a Multicurrency Facility Swing Line Lender and a</w:t>
              </w:r>
            </w:hyperlink>
          </w:p>
        </w:tc>
        <w:tc>
          <w:tcPr>
            <w:tcW w:w="20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220" w:type="dxa"/>
            <w:vAlign w:val="bottom"/>
            <w:gridSpan w:val="11"/>
          </w:tcPr>
          <w:p>
            <w:pPr>
              <w:spacing w:after="0"/>
              <w:rPr>
                <w:sz w:val="10"/>
                <w:szCs w:val="10"/>
                <w:color w:val="auto"/>
              </w:rPr>
            </w:pPr>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20" w:type="dxa"/>
            <w:vAlign w:val="bottom"/>
            <w:tcBorders>
              <w:top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Multicurrency Facility L/C Issuer, J.P. MORGAN SE, as European</w:t>
              </w:r>
            </w:hyperlink>
          </w:p>
        </w:tc>
        <w:tc>
          <w:tcPr>
            <w:tcW w:w="800" w:type="dxa"/>
            <w:vAlign w:val="bottom"/>
            <w:gridSpan w:val="28"/>
          </w:tcPr>
          <w:p>
            <w:pPr>
              <w:spacing w:after="0" w:line="129"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Agent,</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740" w:type="dxa"/>
            <w:vAlign w:val="bottom"/>
            <w:gridSpan w:val="8"/>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31"/>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JPMORGAN CHASE BANK, N.A., LONDON BRANCH, as a Multicurrency</w:t>
              </w:r>
            </w:hyperlink>
          </w:p>
        </w:tc>
        <w:tc>
          <w:tcPr>
            <w:tcW w:w="0" w:type="dxa"/>
            <w:vAlign w:val="bottom"/>
          </w:tcPr>
          <w:p>
            <w:pPr>
              <w:spacing w:after="0"/>
              <w:rPr>
                <w:sz w:val="1"/>
                <w:szCs w:val="1"/>
                <w:color w:val="auto"/>
              </w:rPr>
            </w:pPr>
          </w:p>
        </w:tc>
      </w:tr>
      <w:tr>
        <w:trPr>
          <w:trHeight w:val="118"/>
        </w:trPr>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Facility Swing Line Lender and a Multicurrency Facility L/C Issuer and the</w:t>
              </w:r>
            </w:hyperlink>
          </w:p>
        </w:tc>
        <w:tc>
          <w:tcPr>
            <w:tcW w:w="10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9"/>
              </w:rPr>
            </w:pPr>
            <w:hyperlink r:id="rId122">
              <w:r>
                <w:rPr>
                  <w:rFonts w:ascii="Times New Roman" w:cs="Times New Roman" w:eastAsia="Times New Roman" w:hAnsi="Times New Roman"/>
                  <w:sz w:val="14"/>
                  <w:szCs w:val="14"/>
                  <w:color w:val="0000FF"/>
                  <w:w w:val="99"/>
                </w:rPr>
                <w:t>other parties party thereto</w:t>
              </w:r>
            </w:hyperlink>
          </w:p>
        </w:tc>
        <w:tc>
          <w:tcPr>
            <w:tcW w:w="2840" w:type="dxa"/>
            <w:vAlign w:val="bottom"/>
            <w:tcBorders>
              <w:top w:val="single" w:sz="8" w:color="0000FF"/>
            </w:tcBorders>
            <w:gridSpan w:val="13"/>
          </w:tcPr>
          <w:p>
            <w:pPr>
              <w:spacing w:after="0"/>
              <w:rPr>
                <w:sz w:val="11"/>
                <w:szCs w:val="11"/>
                <w:color w:val="auto"/>
              </w:rPr>
            </w:pPr>
          </w:p>
        </w:tc>
        <w:tc>
          <w:tcPr>
            <w:tcW w:w="320" w:type="dxa"/>
            <w:vAlign w:val="bottom"/>
            <w:gridSpan w:val="16"/>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3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00" w:type="dxa"/>
            <w:vAlign w:val="bottom"/>
          </w:tcPr>
          <w:p>
            <w:pPr>
              <w:spacing w:after="0"/>
              <w:rPr>
                <w:sz w:val="16"/>
                <w:szCs w:val="16"/>
                <w:color w:val="auto"/>
              </w:rPr>
            </w:pPr>
          </w:p>
        </w:tc>
      </w:tr>
      <w:tr>
        <w:trPr>
          <w:trHeight w:val="329"/>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15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175"/>
        </w:trPr>
        <w:tc>
          <w:tcPr>
            <w:tcW w:w="5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April 26, 2021</w:t>
            </w: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-123190</wp:posOffset>
            </wp:positionV>
            <wp:extent cx="40449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404495" cy="6985"/>
                    </a:xfrm>
                    <a:prstGeom prst="rect">
                      <a:avLst/>
                    </a:prstGeom>
                    <a:noFill/>
                  </pic:spPr>
                </pic:pic>
              </a:graphicData>
            </a:graphic>
          </wp:anchor>
        </w:drawing>
        <w:drawing>
          <wp:anchor simplePos="0" relativeHeight="251657728" behindDoc="1" locked="0" layoutInCell="0" allowOverlap="1">
            <wp:simplePos x="0" y="0"/>
            <wp:positionH relativeFrom="column">
              <wp:posOffset>-92710</wp:posOffset>
            </wp:positionH>
            <wp:positionV relativeFrom="paragraph">
              <wp:posOffset>-332105</wp:posOffset>
            </wp:positionV>
            <wp:extent cx="252666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25266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980" w:val="left"/>
          <w:tab w:leader="none" w:pos="2360" w:val="left"/>
        </w:tabs>
        <w:rPr>
          <w:sz w:val="20"/>
          <w:szCs w:val="20"/>
          <w:color w:val="auto"/>
        </w:rPr>
      </w:pPr>
      <w:r>
        <w:rPr>
          <w:rFonts w:ascii="Times New Roman" w:cs="Times New Roman" w:eastAsia="Times New Roman" w:hAnsi="Times New Roman"/>
          <w:sz w:val="14"/>
          <w:szCs w:val="14"/>
          <w:color w:val="auto"/>
        </w:rPr>
        <w:t>8-K</w:t>
      </w:r>
      <w:r>
        <w:rPr>
          <w:sz w:val="20"/>
          <w:szCs w:val="20"/>
          <w:color w:val="auto"/>
        </w:rPr>
        <w:tab/>
      </w: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3"/>
          <w:szCs w:val="13"/>
          <w:color w:val="auto"/>
        </w:rPr>
        <w:t>April 14, 2022</w:t>
      </w:r>
    </w:p>
    <w:p>
      <w:pPr>
        <w:sectPr>
          <w:pgSz w:w="11900" w:h="16838" w:orient="portrait"/>
          <w:cols w:equalWidth="0" w:num="2">
            <w:col w:w="5720" w:space="140"/>
            <w:col w:w="5420"/>
          </w:cols>
          <w:pgMar w:left="300" w:top="1120"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6"/>
        </w:trPr>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40" w:type="dxa"/>
            <w:vAlign w:val="bottom"/>
          </w:tcPr>
          <w:p>
            <w:pPr>
              <w:spacing w:after="0"/>
              <w:rPr>
                <w:sz w:val="16"/>
                <w:szCs w:val="16"/>
                <w:color w:val="auto"/>
              </w:rPr>
            </w:pPr>
          </w:p>
        </w:tc>
      </w:tr>
      <w:tr>
        <w:trPr>
          <w:trHeight w:val="171"/>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4"/>
                <w:szCs w:val="14"/>
                <w:color w:val="auto"/>
              </w:rPr>
            </w:pPr>
          </w:p>
        </w:tc>
        <w:tc>
          <w:tcPr>
            <w:tcW w:w="262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8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139"/>
        </w:trPr>
        <w:tc>
          <w:tcPr>
            <w:tcW w:w="2760" w:type="dxa"/>
            <w:vAlign w:val="bottom"/>
            <w:tcBorders>
              <w:top w:val="single" w:sz="8" w:color="auto"/>
            </w:tcBorders>
          </w:tcPr>
          <w:p>
            <w:pPr>
              <w:ind w:left="20"/>
              <w:spacing w:after="0" w:line="139" w:lineRule="exact"/>
              <w:rPr>
                <w:sz w:val="20"/>
                <w:szCs w:val="20"/>
                <w:color w:val="auto"/>
              </w:rPr>
            </w:pPr>
            <w:r>
              <w:rPr>
                <w:rFonts w:ascii="Times New Roman" w:cs="Times New Roman" w:eastAsia="Times New Roman" w:hAnsi="Times New Roman"/>
                <w:sz w:val="14"/>
                <w:szCs w:val="14"/>
                <w:color w:val="auto"/>
              </w:rPr>
              <w:t>10.2 *</w:t>
            </w: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31"/>
          </w:tcPr>
          <w:p>
            <w:pPr>
              <w:spacing w:after="0" w:line="139"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Form of Severance Agreement entered into</w:t>
              </w:r>
            </w:hyperlink>
          </w:p>
        </w:tc>
        <w:tc>
          <w:tcPr>
            <w:tcW w:w="40" w:type="dxa"/>
            <w:vAlign w:val="bottom"/>
          </w:tcPr>
          <w:p>
            <w:pPr>
              <w:spacing w:after="0"/>
              <w:rPr>
                <w:sz w:val="12"/>
                <w:szCs w:val="12"/>
                <w:color w:val="auto"/>
              </w:rPr>
            </w:pPr>
          </w:p>
        </w:tc>
        <w:tc>
          <w:tcPr>
            <w:tcW w:w="92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10-Q</w:t>
            </w:r>
          </w:p>
        </w:tc>
        <w:tc>
          <w:tcPr>
            <w:tcW w:w="60" w:type="dxa"/>
            <w:vAlign w:val="bottom"/>
          </w:tcPr>
          <w:p>
            <w:pPr>
              <w:spacing w:after="0"/>
              <w:rPr>
                <w:sz w:val="12"/>
                <w:szCs w:val="12"/>
                <w:color w:val="auto"/>
              </w:rPr>
            </w:pPr>
          </w:p>
        </w:tc>
        <w:tc>
          <w:tcPr>
            <w:tcW w:w="15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10.2</w:t>
            </w:r>
          </w:p>
        </w:tc>
        <w:tc>
          <w:tcPr>
            <w:tcW w:w="140" w:type="dxa"/>
            <w:vAlign w:val="bottom"/>
          </w:tcPr>
          <w:p>
            <w:pPr>
              <w:spacing w:after="0"/>
              <w:rPr>
                <w:sz w:val="12"/>
                <w:szCs w:val="12"/>
                <w:color w:val="auto"/>
              </w:rPr>
            </w:pPr>
          </w:p>
        </w:tc>
        <w:tc>
          <w:tcPr>
            <w:tcW w:w="1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October 29, 2015</w:t>
            </w:r>
          </w:p>
        </w:tc>
        <w:tc>
          <w:tcPr>
            <w:tcW w:w="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from time to time between The William</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40" w:type="dxa"/>
            <w:vAlign w:val="bottom"/>
            <w:tcBorders>
              <w:top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Carter Company and executive officers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Amended and Restated Equity Incentive</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DEF 14A</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Appendix B</w:t>
            </w: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April 4, 2018</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Plan (Effective May 17, 2018)</w:t>
              </w:r>
            </w:hyperlink>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Amended and Restated Equity Incentive</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40" w:type="dxa"/>
            <w:vAlign w:val="bottom"/>
          </w:tcPr>
          <w:p>
            <w:pPr>
              <w:spacing w:after="0"/>
              <w:rPr>
                <w:sz w:val="14"/>
                <w:szCs w:val="14"/>
                <w:color w:val="auto"/>
              </w:rPr>
            </w:pP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February 16, 2024</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Plan (Effective February 15, 2024)</w:t>
              </w:r>
            </w:hyperlink>
          </w:p>
        </w:tc>
        <w:tc>
          <w:tcPr>
            <w:tcW w:w="32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Amended and Restated Annual Incentive</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DEF 14A</w:t>
            </w:r>
          </w:p>
        </w:tc>
        <w:tc>
          <w:tcPr>
            <w:tcW w:w="1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Appendix C</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March 31, 2016</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Compensation Plan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The William Carter Company Severance</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40" w:type="dxa"/>
            <w:vAlign w:val="bottom"/>
          </w:tcPr>
          <w:p>
            <w:pPr>
              <w:spacing w:after="0"/>
              <w:rPr>
                <w:sz w:val="14"/>
                <w:szCs w:val="14"/>
                <w:color w:val="auto"/>
              </w:rPr>
            </w:pPr>
          </w:p>
        </w:tc>
        <w:tc>
          <w:tcPr>
            <w:tcW w:w="1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February 24, 2020</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Plan, amended and restated effective</w:t>
              </w:r>
            </w:hyperlink>
          </w:p>
        </w:tc>
        <w:tc>
          <w:tcPr>
            <w:tcW w:w="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January 1, 2020</w:t>
              </w:r>
            </w:hyperlink>
          </w:p>
        </w:tc>
        <w:tc>
          <w:tcPr>
            <w:tcW w:w="1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The William Carter Company Deferred</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March 2, 2011</w:t>
            </w:r>
          </w:p>
        </w:tc>
        <w:tc>
          <w:tcPr>
            <w:tcW w:w="1340" w:type="dxa"/>
            <w:vAlign w:val="bottom"/>
          </w:tcPr>
          <w:p>
            <w:pPr>
              <w:spacing w:after="0"/>
              <w:rPr>
                <w:sz w:val="14"/>
                <w:szCs w:val="14"/>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gridSpan w:val="32"/>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Compensation Plan, dated as of November</w:t>
              </w:r>
            </w:hyperlink>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10, 2010</w:t>
              </w:r>
            </w:hyperlink>
          </w:p>
        </w:tc>
        <w:tc>
          <w:tcPr>
            <w:tcW w:w="4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Restricted Stock Award</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28, 2023</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Agreement (Time Vesting) (2023</w:t>
              </w:r>
            </w:hyperlink>
          </w:p>
        </w:tc>
        <w:tc>
          <w:tcPr>
            <w:tcW w:w="400" w:type="dxa"/>
            <w:vAlign w:val="bottom"/>
            <w:tcBorders>
              <w:bottom w:val="single" w:sz="8" w:color="0000FF"/>
            </w:tcBorders>
            <w:gridSpan w:val="12"/>
          </w:tcPr>
          <w:p>
            <w:pPr>
              <w:spacing w:after="0" w:line="118" w:lineRule="exact"/>
              <w:rPr>
                <w:rFonts w:ascii="Times New Roman" w:cs="Times New Roman" w:eastAsia="Times New Roman" w:hAnsi="Times New Roman"/>
                <w:sz w:val="13"/>
                <w:szCs w:val="13"/>
                <w:color w:val="0000FF"/>
                <w:w w:val="84"/>
              </w:rPr>
            </w:pPr>
            <w:hyperlink r:id="rId132">
              <w:r>
                <w:rPr>
                  <w:rFonts w:ascii="Times New Roman" w:cs="Times New Roman" w:eastAsia="Times New Roman" w:hAnsi="Times New Roman"/>
                  <w:sz w:val="13"/>
                  <w:szCs w:val="13"/>
                  <w:color w:val="0000FF"/>
                  <w:w w:val="84"/>
                </w:rPr>
                <w:t>Awards)</w:t>
              </w:r>
            </w:hyperlink>
          </w:p>
        </w:tc>
        <w:tc>
          <w:tcPr>
            <w:tcW w:w="220" w:type="dxa"/>
            <w:vAlign w:val="bottom"/>
            <w:gridSpan w:val="10"/>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Performance-Based Restricted</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28, 2023</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Stock Agreement (2023 Awards)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 *</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Consulting Agreement, effective March 1,</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22"/>
          </w:tcPr>
          <w:p>
            <w:pPr>
              <w:spacing w:after="0" w:line="118" w:lineRule="exact"/>
              <w:rPr>
                <w:sz w:val="20"/>
                <w:szCs w:val="20"/>
                <w:color w:val="auto"/>
              </w:rPr>
            </w:pPr>
            <w:r>
              <w:rPr>
                <w:rFonts w:ascii="Times New Roman" w:cs="Times New Roman" w:eastAsia="Times New Roman" w:hAnsi="Times New Roman"/>
                <w:sz w:val="13"/>
                <w:szCs w:val="13"/>
                <w:color w:val="0000FF"/>
              </w:rPr>
              <w:t>2024, between The William Carter</w:t>
            </w: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tcBorders>
              <w:top w:val="single" w:sz="8" w:color="0000FF"/>
              <w:bottom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Company and Brian J. Lynch</w:t>
            </w:r>
          </w:p>
        </w:tc>
        <w:tc>
          <w:tcPr>
            <w:tcW w:w="240" w:type="dxa"/>
            <w:vAlign w:val="bottom"/>
            <w:tcBorders>
              <w:top w:val="single" w:sz="8" w:color="0000FF"/>
            </w:tcBorders>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2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Lease Agreement dated March 29, 2012,</w:t>
              </w:r>
            </w:hyperlink>
          </w:p>
        </w:tc>
        <w:tc>
          <w:tcPr>
            <w:tcW w:w="300" w:type="dxa"/>
            <w:vAlign w:val="bottom"/>
            <w:gridSpan w:val="13"/>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10-Q</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April 27, 2012</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gridSpan w:val="32"/>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between The William Carter Company and</w:t>
              </w:r>
            </w:hyperlink>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bottom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Duke Secured Financing 2009-1 ALZ, LLC</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29"/>
        </w:trPr>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00" w:type="dxa"/>
            <w:vAlign w:val="bottom"/>
            <w:gridSpan w:val="27"/>
          </w:tcPr>
          <w:p>
            <w:pPr>
              <w:spacing w:after="0" w:line="129"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(Braselton Distribution Center)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First Amendment to Lease Agreement dated</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40" w:type="dxa"/>
            <w:vAlign w:val="bottom"/>
            <w:tcBorders>
              <w:top w:val="single" w:sz="8" w:color="0000FF"/>
            </w:tcBorders>
            <w:gridSpan w:val="29"/>
          </w:tcPr>
          <w:p>
            <w:pPr>
              <w:spacing w:after="0" w:line="118" w:lineRule="exact"/>
              <w:rPr>
                <w:sz w:val="20"/>
                <w:szCs w:val="20"/>
                <w:color w:val="auto"/>
              </w:rPr>
            </w:pPr>
            <w:r>
              <w:rPr>
                <w:rFonts w:ascii="Times New Roman" w:cs="Times New Roman" w:eastAsia="Times New Roman" w:hAnsi="Times New Roman"/>
                <w:sz w:val="13"/>
                <w:szCs w:val="13"/>
                <w:color w:val="0000FF"/>
              </w:rPr>
              <w:t>December 4, 2013, between The William</w:t>
            </w: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tcBorders>
              <w:top w:val="single" w:sz="8" w:color="0000FF"/>
              <w:bottom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Carter Company and Duke Secured</w:t>
            </w:r>
          </w:p>
        </w:tc>
        <w:tc>
          <w:tcPr>
            <w:tcW w:w="320" w:type="dxa"/>
            <w:vAlign w:val="bottom"/>
            <w:tcBorders>
              <w:top w:val="single" w:sz="8" w:color="0000FF"/>
            </w:tcBorders>
            <w:gridSpan w:val="9"/>
          </w:tcPr>
          <w:p>
            <w:pPr>
              <w:spacing w:after="0"/>
              <w:rPr>
                <w:sz w:val="10"/>
                <w:szCs w:val="10"/>
                <w:color w:val="auto"/>
              </w:rPr>
            </w:pPr>
          </w:p>
        </w:tc>
        <w:tc>
          <w:tcPr>
            <w:tcW w:w="10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29"/>
        </w:trPr>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20" w:type="dxa"/>
            <w:vAlign w:val="bottom"/>
            <w:gridSpan w:val="32"/>
          </w:tcPr>
          <w:p>
            <w:pPr>
              <w:spacing w:after="0" w:line="129" w:lineRule="exact"/>
              <w:rPr>
                <w:sz w:val="20"/>
                <w:szCs w:val="20"/>
                <w:color w:val="auto"/>
              </w:rPr>
            </w:pPr>
            <w:r>
              <w:rPr>
                <w:rFonts w:ascii="Times New Roman" w:cs="Times New Roman" w:eastAsia="Times New Roman" w:hAnsi="Times New Roman"/>
                <w:sz w:val="14"/>
                <w:szCs w:val="14"/>
                <w:color w:val="0000FF"/>
              </w:rPr>
              <w:t>Financing 2009-1 ALZ, LLC (Braselton</w:t>
            </w: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tcBorders>
            <w:gridSpan w:val="16"/>
          </w:tcPr>
          <w:p>
            <w:pPr>
              <w:spacing w:after="0" w:line="118" w:lineRule="exact"/>
              <w:rPr>
                <w:sz w:val="20"/>
                <w:szCs w:val="20"/>
                <w:color w:val="auto"/>
              </w:rPr>
            </w:pPr>
            <w:r>
              <w:rPr>
                <w:rFonts w:ascii="Times New Roman" w:cs="Times New Roman" w:eastAsia="Times New Roman" w:hAnsi="Times New Roman"/>
                <w:sz w:val="13"/>
                <w:szCs w:val="13"/>
                <w:color w:val="0000FF"/>
              </w:rPr>
              <w:t>Distribution Center)</w:t>
            </w:r>
          </w:p>
        </w:tc>
        <w:tc>
          <w:tcPr>
            <w:tcW w:w="160" w:type="dxa"/>
            <w:vAlign w:val="bottom"/>
            <w:gridSpan w:val="8"/>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Second Amendment to Lease Agreement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15"/>
          </w:tcPr>
          <w:p>
            <w:pPr>
              <w:spacing w:after="0" w:line="118" w:lineRule="exact"/>
              <w:rPr>
                <w:sz w:val="20"/>
                <w:szCs w:val="20"/>
                <w:color w:val="auto"/>
              </w:rPr>
            </w:pPr>
            <w:r>
              <w:rPr>
                <w:rFonts w:ascii="Times New Roman" w:cs="Times New Roman" w:eastAsia="Times New Roman" w:hAnsi="Times New Roman"/>
                <w:sz w:val="13"/>
                <w:szCs w:val="13"/>
                <w:color w:val="0000FF"/>
              </w:rPr>
              <w:t>dated December 17, 2014, between The</w:t>
            </w:r>
          </w:p>
        </w:tc>
        <w:tc>
          <w:tcPr>
            <w:tcW w:w="60" w:type="dxa"/>
            <w:vAlign w:val="bottom"/>
            <w:tcBorders>
              <w:top w:val="single" w:sz="8" w:color="0000FF"/>
            </w:tcBorders>
            <w:gridSpan w:val="4"/>
          </w:tcPr>
          <w:p>
            <w:pPr>
              <w:spacing w:after="0"/>
              <w:rPr>
                <w:sz w:val="10"/>
                <w:szCs w:val="10"/>
                <w:color w:val="auto"/>
              </w:rPr>
            </w:pPr>
          </w:p>
        </w:tc>
        <w:tc>
          <w:tcPr>
            <w:tcW w:w="120" w:type="dxa"/>
            <w:vAlign w:val="bottom"/>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gridSpan w:val="32"/>
          </w:tcPr>
          <w:p>
            <w:pPr>
              <w:spacing w:after="0" w:line="118" w:lineRule="exact"/>
              <w:rPr>
                <w:sz w:val="20"/>
                <w:szCs w:val="20"/>
                <w:color w:val="auto"/>
              </w:rPr>
            </w:pPr>
            <w:r>
              <w:rPr>
                <w:rFonts w:ascii="Times New Roman" w:cs="Times New Roman" w:eastAsia="Times New Roman" w:hAnsi="Times New Roman"/>
                <w:sz w:val="13"/>
                <w:szCs w:val="13"/>
                <w:color w:val="0000FF"/>
              </w:rPr>
              <w:t>William Carter Company and Duke Secured</w:t>
            </w: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29"/>
        </w:trPr>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tcBorders>
              <w:top w:val="single" w:sz="8" w:color="0000FF"/>
            </w:tcBorders>
            <w:gridSpan w:val="28"/>
          </w:tcPr>
          <w:p>
            <w:pPr>
              <w:spacing w:after="0" w:line="129" w:lineRule="exact"/>
              <w:rPr>
                <w:sz w:val="20"/>
                <w:szCs w:val="20"/>
                <w:color w:val="auto"/>
              </w:rPr>
            </w:pPr>
            <w:r>
              <w:rPr>
                <w:rFonts w:ascii="Times New Roman" w:cs="Times New Roman" w:eastAsia="Times New Roman" w:hAnsi="Times New Roman"/>
                <w:sz w:val="14"/>
                <w:szCs w:val="14"/>
                <w:color w:val="0000FF"/>
              </w:rPr>
              <w:t>Financing 2009-1 ALZ, LLC (Braselton</w:t>
            </w: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80" w:type="dxa"/>
            <w:vAlign w:val="bottom"/>
            <w:tcBorders>
              <w:top w:val="single" w:sz="8" w:color="0000FF"/>
            </w:tcBorders>
            <w:gridSpan w:val="16"/>
          </w:tcPr>
          <w:p>
            <w:pPr>
              <w:spacing w:after="0" w:line="118" w:lineRule="exact"/>
              <w:rPr>
                <w:sz w:val="20"/>
                <w:szCs w:val="20"/>
                <w:color w:val="auto"/>
              </w:rPr>
            </w:pPr>
            <w:r>
              <w:rPr>
                <w:rFonts w:ascii="Times New Roman" w:cs="Times New Roman" w:eastAsia="Times New Roman" w:hAnsi="Times New Roman"/>
                <w:sz w:val="13"/>
                <w:szCs w:val="13"/>
                <w:color w:val="0000FF"/>
              </w:rPr>
              <w:t>Distribution Center)</w:t>
            </w:r>
          </w:p>
        </w:tc>
        <w:tc>
          <w:tcPr>
            <w:tcW w:w="160" w:type="dxa"/>
            <w:vAlign w:val="bottom"/>
            <w:gridSpan w:val="8"/>
          </w:tcPr>
          <w:p>
            <w:pPr>
              <w:spacing w:after="0"/>
              <w:rPr>
                <w:sz w:val="10"/>
                <w:szCs w:val="10"/>
                <w:color w:val="auto"/>
              </w:rPr>
            </w:pPr>
          </w:p>
        </w:tc>
        <w:tc>
          <w:tcPr>
            <w:tcW w:w="120" w:type="dxa"/>
            <w:vAlign w:val="bottom"/>
            <w:gridSpan w:val="6"/>
          </w:tcPr>
          <w:p>
            <w:pPr>
              <w:spacing w:after="0"/>
              <w:rPr>
                <w:sz w:val="10"/>
                <w:szCs w:val="10"/>
                <w:color w:val="auto"/>
              </w:rPr>
            </w:pPr>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20"/>
        </w:trPr>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gridSpan w:val="1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71"/>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20" w:type="dxa"/>
            <w:vAlign w:val="bottom"/>
            <w:gridSpan w:val="32"/>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Lease Agreement dated December 14, 2012,</w:t>
              </w:r>
            </w:hyperlink>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8-K</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40" w:type="dxa"/>
            <w:vAlign w:val="bottom"/>
          </w:tcPr>
          <w:p>
            <w:pPr>
              <w:spacing w:after="0"/>
              <w:rPr>
                <w:sz w:val="14"/>
                <w:szCs w:val="14"/>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December 14, 2012</w:t>
            </w:r>
          </w:p>
        </w:tc>
        <w:tc>
          <w:tcPr>
            <w:tcW w:w="1340" w:type="dxa"/>
            <w:vAlign w:val="bottom"/>
          </w:tcPr>
          <w:p>
            <w:pPr>
              <w:spacing w:after="0"/>
              <w:rPr>
                <w:sz w:val="14"/>
                <w:szCs w:val="14"/>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tcBorders>
            <w:gridSpan w:val="30"/>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between The William Carter Company and</w:t>
              </w:r>
            </w:hyperlink>
          </w:p>
        </w:tc>
        <w:tc>
          <w:tcPr>
            <w:tcW w:w="60" w:type="dxa"/>
            <w:vAlign w:val="bottom"/>
            <w:gridSpan w:val="2"/>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118"/>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Phipps Tower Associates, LLC</w:t>
              </w:r>
            </w:hyperlink>
          </w:p>
        </w:tc>
        <w:tc>
          <w:tcPr>
            <w:tcW w:w="180" w:type="dxa"/>
            <w:vAlign w:val="bottom"/>
            <w:gridSpan w:val="8"/>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786"/>
        </w:trPr>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94</w:t>
            </w: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87"/>
        </w:trPr>
        <w:tc>
          <w:tcPr>
            <w:tcW w:w="2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First Amendment to Lease Agreement dated</w:t>
            </w:r>
          </w:p>
        </w:tc>
      </w:tr>
      <w:tr>
        <w:trPr>
          <w:trHeight w:val="118"/>
        </w:trPr>
        <w:tc>
          <w:tcPr>
            <w:tcW w:w="2840" w:type="dxa"/>
            <w:vAlign w:val="bottom"/>
          </w:tcPr>
          <w:p>
            <w:pPr>
              <w:spacing w:after="0"/>
              <w:rPr>
                <w:sz w:val="10"/>
                <w:szCs w:val="10"/>
                <w:color w:val="auto"/>
              </w:rPr>
            </w:pPr>
          </w:p>
        </w:tc>
        <w:tc>
          <w:tcPr>
            <w:tcW w:w="2500" w:type="dxa"/>
            <w:vAlign w:val="bottom"/>
            <w:tcBorders>
              <w:top w:val="single" w:sz="8" w:color="0000FF"/>
            </w:tcBorders>
            <w:gridSpan w:val="25"/>
          </w:tcPr>
          <w:p>
            <w:pPr>
              <w:spacing w:after="0" w:line="118" w:lineRule="exact"/>
              <w:rPr>
                <w:sz w:val="20"/>
                <w:szCs w:val="20"/>
                <w:color w:val="auto"/>
              </w:rPr>
            </w:pPr>
            <w:r>
              <w:rPr>
                <w:rFonts w:ascii="Times New Roman" w:cs="Times New Roman" w:eastAsia="Times New Roman" w:hAnsi="Times New Roman"/>
                <w:sz w:val="13"/>
                <w:szCs w:val="13"/>
                <w:color w:val="0000FF"/>
              </w:rPr>
              <w:t>February 28, 2013, between The William</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2840" w:type="dxa"/>
            <w:vAlign w:val="bottom"/>
          </w:tcPr>
          <w:p>
            <w:pPr>
              <w:spacing w:after="0"/>
              <w:rPr>
                <w:sz w:val="10"/>
                <w:szCs w:val="10"/>
                <w:color w:val="auto"/>
              </w:rPr>
            </w:pPr>
          </w:p>
        </w:tc>
        <w:tc>
          <w:tcPr>
            <w:tcW w:w="2340" w:type="dxa"/>
            <w:vAlign w:val="bottom"/>
            <w:tcBorders>
              <w:top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Carter Company and Phipps Tower</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2840" w:type="dxa"/>
            <w:vAlign w:val="bottom"/>
          </w:tcPr>
          <w:p>
            <w:pPr>
              <w:spacing w:after="0"/>
              <w:rPr>
                <w:sz w:val="11"/>
                <w:szCs w:val="11"/>
                <w:color w:val="auto"/>
              </w:rPr>
            </w:pPr>
          </w:p>
        </w:tc>
        <w:tc>
          <w:tcPr>
            <w:tcW w:w="940" w:type="dxa"/>
            <w:vAlign w:val="bottom"/>
            <w:tcBorders>
              <w:top w:val="single" w:sz="8" w:color="0000FF"/>
              <w:bottom w:val="single" w:sz="8" w:color="0000FF"/>
            </w:tcBorders>
            <w:gridSpan w:val="3"/>
          </w:tcPr>
          <w:p>
            <w:pPr>
              <w:spacing w:after="0" w:line="129" w:lineRule="exact"/>
              <w:rPr>
                <w:sz w:val="20"/>
                <w:szCs w:val="20"/>
                <w:color w:val="auto"/>
              </w:rPr>
            </w:pPr>
            <w:r>
              <w:rPr>
                <w:rFonts w:ascii="Times New Roman" w:cs="Times New Roman" w:eastAsia="Times New Roman" w:hAnsi="Times New Roman"/>
                <w:sz w:val="14"/>
                <w:szCs w:val="14"/>
                <w:color w:val="0000FF"/>
                <w:w w:val="98"/>
              </w:rPr>
              <w:t>Associates, LLC</w:t>
            </w:r>
          </w:p>
        </w:tc>
        <w:tc>
          <w:tcPr>
            <w:tcW w:w="1040" w:type="dxa"/>
            <w:vAlign w:val="bottom"/>
            <w:tcBorders>
              <w:top w:val="single" w:sz="8" w:color="0000FF"/>
            </w:tcBorders>
            <w:gridSpan w:val="9"/>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10.16</w:t>
            </w:r>
          </w:p>
        </w:tc>
        <w:tc>
          <w:tcPr>
            <w:tcW w:w="2560" w:type="dxa"/>
            <w:vAlign w:val="bottom"/>
            <w:gridSpan w:val="28"/>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Second Amendment to Lease Agreement</w:t>
              </w:r>
            </w:hyperlink>
          </w:p>
        </w:tc>
      </w:tr>
      <w:tr>
        <w:trPr>
          <w:trHeight w:val="118"/>
        </w:trPr>
        <w:tc>
          <w:tcPr>
            <w:tcW w:w="2840" w:type="dxa"/>
            <w:vAlign w:val="bottom"/>
          </w:tcPr>
          <w:p>
            <w:pPr>
              <w:spacing w:after="0"/>
              <w:rPr>
                <w:sz w:val="10"/>
                <w:szCs w:val="10"/>
                <w:color w:val="auto"/>
              </w:rPr>
            </w:pPr>
          </w:p>
        </w:tc>
        <w:tc>
          <w:tcPr>
            <w:tcW w:w="232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dated June 17, 2013, between The William</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2840" w:type="dxa"/>
            <w:vAlign w:val="bottom"/>
          </w:tcPr>
          <w:p>
            <w:pPr>
              <w:spacing w:after="0"/>
              <w:rPr>
                <w:sz w:val="10"/>
                <w:szCs w:val="10"/>
                <w:color w:val="auto"/>
              </w:rPr>
            </w:pPr>
          </w:p>
        </w:tc>
        <w:tc>
          <w:tcPr>
            <w:tcW w:w="2420" w:type="dxa"/>
            <w:vAlign w:val="bottom"/>
            <w:gridSpan w:val="22"/>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Carter Company and Phipps Tower</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2840" w:type="dxa"/>
            <w:vAlign w:val="bottom"/>
          </w:tcPr>
          <w:p>
            <w:pPr>
              <w:spacing w:after="0"/>
              <w:rPr>
                <w:sz w:val="11"/>
                <w:szCs w:val="11"/>
                <w:color w:val="auto"/>
              </w:rPr>
            </w:pPr>
          </w:p>
        </w:tc>
        <w:tc>
          <w:tcPr>
            <w:tcW w:w="940" w:type="dxa"/>
            <w:vAlign w:val="bottom"/>
            <w:tcBorders>
              <w:top w:val="single" w:sz="8" w:color="0000FF"/>
              <w:bottom w:val="single" w:sz="8" w:color="0000FF"/>
            </w:tcBorders>
            <w:gridSpan w:val="3"/>
          </w:tcPr>
          <w:p>
            <w:pPr>
              <w:spacing w:after="0" w:line="129" w:lineRule="exact"/>
              <w:rPr>
                <w:rFonts w:ascii="Times New Roman" w:cs="Times New Roman" w:eastAsia="Times New Roman" w:hAnsi="Times New Roman"/>
                <w:sz w:val="14"/>
                <w:szCs w:val="14"/>
                <w:color w:val="0000FF"/>
                <w:w w:val="98"/>
              </w:rPr>
            </w:pPr>
            <w:hyperlink r:id="rId138">
              <w:r>
                <w:rPr>
                  <w:rFonts w:ascii="Times New Roman" w:cs="Times New Roman" w:eastAsia="Times New Roman" w:hAnsi="Times New Roman"/>
                  <w:sz w:val="14"/>
                  <w:szCs w:val="14"/>
                  <w:color w:val="0000FF"/>
                  <w:w w:val="98"/>
                </w:rPr>
                <w:t>Associates, LLC</w:t>
              </w:r>
            </w:hyperlink>
          </w:p>
        </w:tc>
        <w:tc>
          <w:tcPr>
            <w:tcW w:w="1040" w:type="dxa"/>
            <w:vAlign w:val="bottom"/>
            <w:tcBorders>
              <w:top w:val="single" w:sz="8" w:color="0000FF"/>
            </w:tcBorders>
            <w:gridSpan w:val="9"/>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Third Amendment to Lease Agreement</w:t>
            </w:r>
          </w:p>
        </w:tc>
      </w:tr>
      <w:tr>
        <w:trPr>
          <w:trHeight w:val="118"/>
        </w:trPr>
        <w:tc>
          <w:tcPr>
            <w:tcW w:w="2840" w:type="dxa"/>
            <w:vAlign w:val="bottom"/>
          </w:tcPr>
          <w:p>
            <w:pPr>
              <w:spacing w:after="0"/>
              <w:rPr>
                <w:sz w:val="10"/>
                <w:szCs w:val="10"/>
                <w:color w:val="auto"/>
              </w:rPr>
            </w:pPr>
          </w:p>
        </w:tc>
        <w:tc>
          <w:tcPr>
            <w:tcW w:w="2220" w:type="dxa"/>
            <w:vAlign w:val="bottom"/>
            <w:tcBorders>
              <w:top w:val="single" w:sz="8" w:color="0000FF"/>
            </w:tcBorders>
            <w:gridSpan w:val="15"/>
          </w:tcPr>
          <w:p>
            <w:pPr>
              <w:spacing w:after="0" w:line="118" w:lineRule="exact"/>
              <w:rPr>
                <w:sz w:val="20"/>
                <w:szCs w:val="20"/>
                <w:color w:val="auto"/>
              </w:rPr>
            </w:pPr>
            <w:r>
              <w:rPr>
                <w:rFonts w:ascii="Times New Roman" w:cs="Times New Roman" w:eastAsia="Times New Roman" w:hAnsi="Times New Roman"/>
                <w:sz w:val="13"/>
                <w:szCs w:val="13"/>
                <w:color w:val="0000FF"/>
              </w:rPr>
              <w:t>dated August 31, 2016, between The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2840" w:type="dxa"/>
            <w:vAlign w:val="bottom"/>
          </w:tcPr>
          <w:p>
            <w:pPr>
              <w:spacing w:after="0"/>
              <w:rPr>
                <w:sz w:val="10"/>
                <w:szCs w:val="10"/>
                <w:color w:val="auto"/>
              </w:rPr>
            </w:pPr>
          </w:p>
        </w:tc>
        <w:tc>
          <w:tcPr>
            <w:tcW w:w="2060" w:type="dxa"/>
            <w:vAlign w:val="bottom"/>
            <w:tcBorders>
              <w:top w:val="single" w:sz="8" w:color="0000FF"/>
            </w:tcBorders>
            <w:gridSpan w:val="13"/>
          </w:tcPr>
          <w:p>
            <w:pPr>
              <w:spacing w:after="0" w:line="118" w:lineRule="exact"/>
              <w:rPr>
                <w:sz w:val="20"/>
                <w:szCs w:val="20"/>
                <w:color w:val="auto"/>
              </w:rPr>
            </w:pPr>
            <w:r>
              <w:rPr>
                <w:rFonts w:ascii="Times New Roman" w:cs="Times New Roman" w:eastAsia="Times New Roman" w:hAnsi="Times New Roman"/>
                <w:sz w:val="13"/>
                <w:szCs w:val="13"/>
                <w:color w:val="0000FF"/>
              </w:rPr>
              <w:t>William Carter Company and John</w:t>
            </w:r>
          </w:p>
        </w:tc>
        <w:tc>
          <w:tcPr>
            <w:tcW w:w="500" w:type="dxa"/>
            <w:vAlign w:val="bottom"/>
            <w:gridSpan w:val="15"/>
          </w:tcPr>
          <w:p>
            <w:pPr>
              <w:jc w:val="center"/>
              <w:ind w:right="60"/>
              <w:spacing w:after="0" w:line="118" w:lineRule="exact"/>
              <w:rPr>
                <w:sz w:val="20"/>
                <w:szCs w:val="20"/>
                <w:color w:val="auto"/>
              </w:rPr>
            </w:pPr>
            <w:r>
              <w:rPr>
                <w:rFonts w:ascii="Times New Roman" w:cs="Times New Roman" w:eastAsia="Times New Roman" w:hAnsi="Times New Roman"/>
                <w:sz w:val="13"/>
                <w:szCs w:val="13"/>
                <w:color w:val="0000FF"/>
                <w:w w:val="95"/>
              </w:rPr>
              <w:t>Hancock</w:t>
            </w:r>
          </w:p>
        </w:tc>
      </w:tr>
      <w:tr>
        <w:trPr>
          <w:trHeight w:val="129"/>
        </w:trPr>
        <w:tc>
          <w:tcPr>
            <w:tcW w:w="284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w w:val="99"/>
              </w:rPr>
              <w:t>Life Insurance Company (U.S.A.)</w:t>
            </w:r>
          </w:p>
        </w:tc>
        <w:tc>
          <w:tcPr>
            <w:tcW w:w="600" w:type="dxa"/>
            <w:vAlign w:val="bottom"/>
            <w:tcBorders>
              <w:top w:val="single" w:sz="8" w:color="0000FF"/>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10.18</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Fourth Amendment to Lease Agreement</w:t>
            </w:r>
          </w:p>
        </w:tc>
      </w:tr>
      <w:tr>
        <w:trPr>
          <w:trHeight w:val="118"/>
        </w:trPr>
        <w:tc>
          <w:tcPr>
            <w:tcW w:w="2840" w:type="dxa"/>
            <w:vAlign w:val="bottom"/>
          </w:tcPr>
          <w:p>
            <w:pPr>
              <w:spacing w:after="0"/>
              <w:rPr>
                <w:sz w:val="10"/>
                <w:szCs w:val="10"/>
                <w:color w:val="auto"/>
              </w:rPr>
            </w:pPr>
          </w:p>
        </w:tc>
        <w:tc>
          <w:tcPr>
            <w:tcW w:w="2280" w:type="dxa"/>
            <w:vAlign w:val="bottom"/>
            <w:tcBorders>
              <w:top w:val="single" w:sz="8" w:color="0000FF"/>
            </w:tcBorders>
            <w:gridSpan w:val="17"/>
          </w:tcPr>
          <w:p>
            <w:pPr>
              <w:spacing w:after="0" w:line="118" w:lineRule="exact"/>
              <w:rPr>
                <w:sz w:val="20"/>
                <w:szCs w:val="20"/>
                <w:color w:val="auto"/>
              </w:rPr>
            </w:pPr>
            <w:r>
              <w:rPr>
                <w:rFonts w:ascii="Times New Roman" w:cs="Times New Roman" w:eastAsia="Times New Roman" w:hAnsi="Times New Roman"/>
                <w:sz w:val="13"/>
                <w:szCs w:val="13"/>
                <w:color w:val="0000FF"/>
              </w:rPr>
              <w:t>dated December 1, 2021, between The</w:t>
            </w:r>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2840" w:type="dxa"/>
            <w:vAlign w:val="bottom"/>
          </w:tcPr>
          <w:p>
            <w:pPr>
              <w:spacing w:after="0"/>
              <w:rPr>
                <w:sz w:val="10"/>
                <w:szCs w:val="10"/>
                <w:color w:val="auto"/>
              </w:rPr>
            </w:pPr>
          </w:p>
        </w:tc>
        <w:tc>
          <w:tcPr>
            <w:tcW w:w="2180" w:type="dxa"/>
            <w:vAlign w:val="bottom"/>
            <w:tcBorders>
              <w:top w:val="single" w:sz="8" w:color="0000FF"/>
            </w:tcBorders>
            <w:gridSpan w:val="14"/>
          </w:tcPr>
          <w:p>
            <w:pPr>
              <w:spacing w:after="0" w:line="118" w:lineRule="exact"/>
              <w:rPr>
                <w:sz w:val="20"/>
                <w:szCs w:val="20"/>
                <w:color w:val="auto"/>
              </w:rPr>
            </w:pPr>
            <w:r>
              <w:rPr>
                <w:rFonts w:ascii="Times New Roman" w:cs="Times New Roman" w:eastAsia="Times New Roman" w:hAnsi="Times New Roman"/>
                <w:sz w:val="13"/>
                <w:szCs w:val="13"/>
                <w:color w:val="0000FF"/>
              </w:rPr>
              <w:t>William Carter Company and Hancock</w:t>
            </w:r>
          </w:p>
        </w:tc>
        <w:tc>
          <w:tcPr>
            <w:tcW w:w="380" w:type="dxa"/>
            <w:vAlign w:val="bottom"/>
            <w:gridSpan w:val="14"/>
          </w:tcPr>
          <w:p>
            <w:pPr>
              <w:jc w:val="center"/>
              <w:ind w:right="140"/>
              <w:spacing w:after="0" w:line="118" w:lineRule="exact"/>
              <w:rPr>
                <w:sz w:val="20"/>
                <w:szCs w:val="20"/>
                <w:color w:val="auto"/>
              </w:rPr>
            </w:pPr>
            <w:r>
              <w:rPr>
                <w:rFonts w:ascii="Times New Roman" w:cs="Times New Roman" w:eastAsia="Times New Roman" w:hAnsi="Times New Roman"/>
                <w:sz w:val="13"/>
                <w:szCs w:val="13"/>
                <w:color w:val="0000FF"/>
              </w:rPr>
              <w:t>S-</w:t>
            </w:r>
          </w:p>
        </w:tc>
      </w:tr>
      <w:tr>
        <w:trPr>
          <w:trHeight w:val="129"/>
        </w:trPr>
        <w:tc>
          <w:tcPr>
            <w:tcW w:w="2840" w:type="dxa"/>
            <w:vAlign w:val="bottom"/>
          </w:tcPr>
          <w:p>
            <w:pPr>
              <w:spacing w:after="0"/>
              <w:rPr>
                <w:sz w:val="11"/>
                <w:szCs w:val="11"/>
                <w:color w:val="auto"/>
              </w:rPr>
            </w:pPr>
          </w:p>
        </w:tc>
        <w:tc>
          <w:tcPr>
            <w:tcW w:w="2360" w:type="dxa"/>
            <w:vAlign w:val="bottom"/>
            <w:tcBorders>
              <w:top w:val="single" w:sz="8" w:color="0000FF"/>
            </w:tcBorders>
            <w:gridSpan w:val="20"/>
          </w:tcPr>
          <w:p>
            <w:pPr>
              <w:spacing w:after="0" w:line="129" w:lineRule="exact"/>
              <w:rPr>
                <w:sz w:val="20"/>
                <w:szCs w:val="20"/>
                <w:color w:val="auto"/>
              </w:rPr>
            </w:pPr>
            <w:r>
              <w:rPr>
                <w:rFonts w:ascii="Times New Roman" w:cs="Times New Roman" w:eastAsia="Times New Roman" w:hAnsi="Times New Roman"/>
                <w:sz w:val="14"/>
                <w:szCs w:val="14"/>
                <w:color w:val="0000FF"/>
              </w:rPr>
              <w:t>REIT ATL Phipps LLC</w:t>
            </w: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84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10.19</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Fifth Amendment to Lease Agreement dated</w:t>
            </w:r>
          </w:p>
        </w:tc>
      </w:tr>
      <w:tr>
        <w:trPr>
          <w:trHeight w:val="118"/>
        </w:trPr>
        <w:tc>
          <w:tcPr>
            <w:tcW w:w="2840" w:type="dxa"/>
            <w:vAlign w:val="bottom"/>
          </w:tcPr>
          <w:p>
            <w:pPr>
              <w:spacing w:after="0"/>
              <w:rPr>
                <w:sz w:val="10"/>
                <w:szCs w:val="10"/>
                <w:color w:val="auto"/>
              </w:rPr>
            </w:pPr>
          </w:p>
        </w:tc>
        <w:tc>
          <w:tcPr>
            <w:tcW w:w="2540" w:type="dxa"/>
            <w:vAlign w:val="bottom"/>
            <w:tcBorders>
              <w:top w:val="single" w:sz="8" w:color="0000FF"/>
            </w:tcBorders>
            <w:gridSpan w:val="27"/>
          </w:tcPr>
          <w:p>
            <w:pPr>
              <w:spacing w:after="0" w:line="118" w:lineRule="exact"/>
              <w:rPr>
                <w:sz w:val="20"/>
                <w:szCs w:val="20"/>
                <w:color w:val="auto"/>
              </w:rPr>
            </w:pPr>
            <w:r>
              <w:rPr>
                <w:rFonts w:ascii="Times New Roman" w:cs="Times New Roman" w:eastAsia="Times New Roman" w:hAnsi="Times New Roman"/>
                <w:sz w:val="13"/>
                <w:szCs w:val="13"/>
                <w:color w:val="0000FF"/>
              </w:rPr>
              <w:t>February 9, 2023, between The William</w:t>
            </w:r>
          </w:p>
        </w:tc>
        <w:tc>
          <w:tcPr>
            <w:tcW w:w="20" w:type="dxa"/>
            <w:vAlign w:val="bottom"/>
          </w:tcPr>
          <w:p>
            <w:pPr>
              <w:spacing w:after="0"/>
              <w:rPr>
                <w:sz w:val="10"/>
                <w:szCs w:val="10"/>
                <w:color w:val="auto"/>
              </w:rPr>
            </w:pPr>
          </w:p>
        </w:tc>
      </w:tr>
      <w:tr>
        <w:trPr>
          <w:trHeight w:val="118"/>
        </w:trPr>
        <w:tc>
          <w:tcPr>
            <w:tcW w:w="2840" w:type="dxa"/>
            <w:vAlign w:val="bottom"/>
          </w:tcPr>
          <w:p>
            <w:pPr>
              <w:spacing w:after="0"/>
              <w:rPr>
                <w:sz w:val="10"/>
                <w:szCs w:val="10"/>
                <w:color w:val="auto"/>
              </w:rPr>
            </w:pPr>
          </w:p>
        </w:tc>
        <w:tc>
          <w:tcPr>
            <w:tcW w:w="2260" w:type="dxa"/>
            <w:vAlign w:val="bottom"/>
            <w:tcBorders>
              <w:top w:val="single" w:sz="8" w:color="0000FF"/>
            </w:tcBorders>
            <w:gridSpan w:val="16"/>
          </w:tcPr>
          <w:p>
            <w:pPr>
              <w:spacing w:after="0" w:line="118" w:lineRule="exact"/>
              <w:rPr>
                <w:sz w:val="20"/>
                <w:szCs w:val="20"/>
                <w:color w:val="auto"/>
              </w:rPr>
            </w:pPr>
            <w:r>
              <w:rPr>
                <w:rFonts w:ascii="Times New Roman" w:cs="Times New Roman" w:eastAsia="Times New Roman" w:hAnsi="Times New Roman"/>
                <w:sz w:val="13"/>
                <w:szCs w:val="13"/>
                <w:color w:val="0000FF"/>
              </w:rPr>
              <w:t>Carter Company and Hancock S-REIT</w:t>
            </w:r>
          </w:p>
        </w:tc>
        <w:tc>
          <w:tcPr>
            <w:tcW w:w="300" w:type="dxa"/>
            <w:vAlign w:val="bottom"/>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ATL</w:t>
            </w:r>
          </w:p>
        </w:tc>
      </w:tr>
      <w:tr>
        <w:trPr>
          <w:trHeight w:val="129"/>
        </w:trPr>
        <w:tc>
          <w:tcPr>
            <w:tcW w:w="2840" w:type="dxa"/>
            <w:vAlign w:val="bottom"/>
          </w:tcPr>
          <w:p>
            <w:pPr>
              <w:spacing w:after="0"/>
              <w:rPr>
                <w:sz w:val="11"/>
                <w:szCs w:val="11"/>
                <w:color w:val="auto"/>
              </w:rPr>
            </w:pPr>
          </w:p>
        </w:tc>
        <w:tc>
          <w:tcPr>
            <w:tcW w:w="680" w:type="dxa"/>
            <w:vAlign w:val="bottom"/>
            <w:tcBorders>
              <w:top w:val="single" w:sz="8" w:color="0000FF"/>
              <w:bottom w:val="single" w:sz="8" w:color="0000FF"/>
            </w:tcBorders>
          </w:tcPr>
          <w:p>
            <w:pPr>
              <w:spacing w:after="0" w:line="129" w:lineRule="exact"/>
              <w:rPr>
                <w:sz w:val="20"/>
                <w:szCs w:val="20"/>
                <w:color w:val="auto"/>
              </w:rPr>
            </w:pPr>
            <w:r>
              <w:rPr>
                <w:rFonts w:ascii="Times New Roman" w:cs="Times New Roman" w:eastAsia="Times New Roman" w:hAnsi="Times New Roman"/>
                <w:sz w:val="14"/>
                <w:szCs w:val="14"/>
                <w:color w:val="0000FF"/>
                <w:w w:val="96"/>
              </w:rPr>
              <w:t>Phipps LLC</w:t>
            </w:r>
          </w:p>
        </w:tc>
        <w:tc>
          <w:tcPr>
            <w:tcW w:w="1800" w:type="dxa"/>
            <w:vAlign w:val="bottom"/>
            <w:tcBorders>
              <w:top w:val="single" w:sz="8" w:color="0000FF"/>
            </w:tcBorders>
            <w:gridSpan w:val="23"/>
          </w:tcPr>
          <w:p>
            <w:pPr>
              <w:spacing w:after="0"/>
              <w:rPr>
                <w:sz w:val="11"/>
                <w:szCs w:val="11"/>
                <w:color w:val="auto"/>
              </w:rPr>
            </w:pPr>
          </w:p>
        </w:tc>
        <w:tc>
          <w:tcPr>
            <w:tcW w:w="80" w:type="dxa"/>
            <w:vAlign w:val="bottom"/>
            <w:gridSpan w:val="4"/>
          </w:tcPr>
          <w:p>
            <w:pPr>
              <w:spacing w:after="0"/>
              <w:rPr>
                <w:sz w:val="11"/>
                <w:szCs w:val="11"/>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Subsidiaries of Carter’s, Inc.</w:t>
            </w:r>
          </w:p>
        </w:tc>
        <w:tc>
          <w:tcPr>
            <w:tcW w:w="940" w:type="dxa"/>
            <w:vAlign w:val="bottom"/>
            <w:gridSpan w:val="21"/>
          </w:tcPr>
          <w:p>
            <w:pPr>
              <w:spacing w:after="0"/>
              <w:rPr>
                <w:sz w:val="13"/>
                <w:szCs w:val="13"/>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23</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w:t>
            </w:r>
          </w:p>
        </w:tc>
      </w:tr>
      <w:tr>
        <w:trPr>
          <w:trHeight w:val="118"/>
        </w:trPr>
        <w:tc>
          <w:tcPr>
            <w:tcW w:w="284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Accounting Firm.</w:t>
            </w:r>
          </w:p>
        </w:tc>
        <w:tc>
          <w:tcPr>
            <w:tcW w:w="1380" w:type="dxa"/>
            <w:vAlign w:val="bottom"/>
            <w:tcBorders>
              <w:top w:val="single" w:sz="8" w:color="0000FF"/>
            </w:tcBorders>
            <w:gridSpan w:val="17"/>
          </w:tcPr>
          <w:p>
            <w:pPr>
              <w:spacing w:after="0"/>
              <w:rPr>
                <w:sz w:val="10"/>
                <w:szCs w:val="10"/>
                <w:color w:val="auto"/>
              </w:rPr>
            </w:pPr>
          </w:p>
        </w:tc>
        <w:tc>
          <w:tcPr>
            <w:tcW w:w="60" w:type="dxa"/>
            <w:vAlign w:val="bottom"/>
            <w:gridSpan w:val="2"/>
          </w:tcPr>
          <w:p>
            <w:pPr>
              <w:spacing w:after="0"/>
              <w:rPr>
                <w:sz w:val="10"/>
                <w:szCs w:val="10"/>
                <w:color w:val="auto"/>
              </w:rPr>
            </w:pPr>
          </w:p>
        </w:tc>
        <w:tc>
          <w:tcPr>
            <w:tcW w:w="120" w:type="dxa"/>
            <w:vAlign w:val="bottom"/>
            <w:gridSpan w:val="5"/>
          </w:tcPr>
          <w:p>
            <w:pPr>
              <w:spacing w:after="0"/>
              <w:rPr>
                <w:sz w:val="10"/>
                <w:szCs w:val="10"/>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Rule 13a-15(e)/15d-15(e) and 13a-</w:t>
            </w:r>
          </w:p>
        </w:tc>
      </w:tr>
      <w:tr>
        <w:trPr>
          <w:trHeight w:val="118"/>
        </w:trPr>
        <w:tc>
          <w:tcPr>
            <w:tcW w:w="2840" w:type="dxa"/>
            <w:vAlign w:val="bottom"/>
          </w:tcPr>
          <w:p>
            <w:pPr>
              <w:spacing w:after="0"/>
              <w:rPr>
                <w:sz w:val="10"/>
                <w:szCs w:val="10"/>
                <w:color w:val="auto"/>
              </w:rPr>
            </w:pPr>
          </w:p>
        </w:tc>
        <w:tc>
          <w:tcPr>
            <w:tcW w:w="1660" w:type="dxa"/>
            <w:vAlign w:val="bottom"/>
            <w:tcBorders>
              <w:top w:val="single" w:sz="8" w:color="0000FF"/>
              <w:bottom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15(f)/15d-15(f) Certification.</w:t>
            </w:r>
          </w:p>
        </w:tc>
        <w:tc>
          <w:tcPr>
            <w:tcW w:w="300" w:type="dxa"/>
            <w:vAlign w:val="bottom"/>
            <w:tcBorders>
              <w:top w:val="single" w:sz="8" w:color="0000FF"/>
            </w:tcBorders>
            <w:gridSpan w:val="2"/>
          </w:tcPr>
          <w:p>
            <w:pPr>
              <w:spacing w:after="0"/>
              <w:rPr>
                <w:sz w:val="10"/>
                <w:szCs w:val="10"/>
                <w:color w:val="auto"/>
              </w:rPr>
            </w:pPr>
          </w:p>
        </w:tc>
        <w:tc>
          <w:tcPr>
            <w:tcW w:w="480" w:type="dxa"/>
            <w:vAlign w:val="bottom"/>
            <w:gridSpan w:val="12"/>
          </w:tcPr>
          <w:p>
            <w:pPr>
              <w:spacing w:after="0"/>
              <w:rPr>
                <w:sz w:val="10"/>
                <w:szCs w:val="10"/>
                <w:color w:val="auto"/>
              </w:rPr>
            </w:pPr>
          </w:p>
        </w:tc>
        <w:tc>
          <w:tcPr>
            <w:tcW w:w="120" w:type="dxa"/>
            <w:vAlign w:val="bottom"/>
            <w:gridSpan w:val="5"/>
          </w:tcPr>
          <w:p>
            <w:pPr>
              <w:spacing w:after="0"/>
              <w:rPr>
                <w:sz w:val="10"/>
                <w:szCs w:val="10"/>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Rule 13a-15(e)/15d-15(e) and 13a-</w:t>
            </w:r>
          </w:p>
        </w:tc>
      </w:tr>
      <w:tr>
        <w:trPr>
          <w:trHeight w:val="118"/>
        </w:trPr>
        <w:tc>
          <w:tcPr>
            <w:tcW w:w="2840" w:type="dxa"/>
            <w:vAlign w:val="bottom"/>
          </w:tcPr>
          <w:p>
            <w:pPr>
              <w:spacing w:after="0"/>
              <w:rPr>
                <w:sz w:val="10"/>
                <w:szCs w:val="10"/>
                <w:color w:val="auto"/>
              </w:rPr>
            </w:pPr>
          </w:p>
        </w:tc>
        <w:tc>
          <w:tcPr>
            <w:tcW w:w="196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15(f)/15d-15(f) Certification.</w:t>
            </w:r>
          </w:p>
        </w:tc>
        <w:tc>
          <w:tcPr>
            <w:tcW w:w="480" w:type="dxa"/>
            <w:vAlign w:val="bottom"/>
            <w:gridSpan w:val="12"/>
          </w:tcPr>
          <w:p>
            <w:pPr>
              <w:spacing w:after="0"/>
              <w:rPr>
                <w:sz w:val="10"/>
                <w:szCs w:val="10"/>
                <w:color w:val="auto"/>
              </w:rPr>
            </w:pPr>
          </w:p>
        </w:tc>
        <w:tc>
          <w:tcPr>
            <w:tcW w:w="120" w:type="dxa"/>
            <w:vAlign w:val="bottom"/>
            <w:gridSpan w:val="5"/>
          </w:tcPr>
          <w:p>
            <w:pPr>
              <w:spacing w:after="0"/>
              <w:rPr>
                <w:sz w:val="10"/>
                <w:szCs w:val="10"/>
                <w:color w:val="auto"/>
              </w:rPr>
            </w:pPr>
          </w:p>
        </w:tc>
      </w:tr>
      <w:tr>
        <w:trPr>
          <w:trHeight w:val="171"/>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32 * *</w:t>
            </w:r>
          </w:p>
        </w:tc>
        <w:tc>
          <w:tcPr>
            <w:tcW w:w="15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Section 1350 Certification.</w:t>
            </w:r>
          </w:p>
        </w:tc>
        <w:tc>
          <w:tcPr>
            <w:tcW w:w="120" w:type="dxa"/>
            <w:vAlign w:val="bottom"/>
            <w:tcBorders>
              <w:top w:val="single" w:sz="8" w:color="0000FF"/>
            </w:tcBorders>
            <w:gridSpan w:val="2"/>
          </w:tcPr>
          <w:p>
            <w:pPr>
              <w:spacing w:after="0"/>
              <w:rPr>
                <w:sz w:val="14"/>
                <w:szCs w:val="14"/>
                <w:color w:val="auto"/>
              </w:rPr>
            </w:pPr>
          </w:p>
        </w:tc>
        <w:tc>
          <w:tcPr>
            <w:tcW w:w="920" w:type="dxa"/>
            <w:vAlign w:val="bottom"/>
            <w:gridSpan w:val="20"/>
          </w:tcPr>
          <w:p>
            <w:pPr>
              <w:spacing w:after="0"/>
              <w:rPr>
                <w:sz w:val="14"/>
                <w:szCs w:val="14"/>
                <w:color w:val="auto"/>
              </w:rPr>
            </w:pPr>
          </w:p>
        </w:tc>
      </w:tr>
      <w:tr>
        <w:trPr>
          <w:trHeight w:val="160"/>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256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Carter’s, Inc. Clawback Policy Adopted on</w:t>
            </w:r>
          </w:p>
        </w:tc>
      </w:tr>
      <w:tr>
        <w:trPr>
          <w:trHeight w:val="118"/>
        </w:trPr>
        <w:tc>
          <w:tcPr>
            <w:tcW w:w="2840" w:type="dxa"/>
            <w:vAlign w:val="bottom"/>
          </w:tcPr>
          <w:p>
            <w:pPr>
              <w:spacing w:after="0"/>
              <w:rPr>
                <w:sz w:val="10"/>
                <w:szCs w:val="10"/>
                <w:color w:val="auto"/>
              </w:rPr>
            </w:pPr>
          </w:p>
        </w:tc>
        <w:tc>
          <w:tcPr>
            <w:tcW w:w="86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August 4, 2023</w:t>
            </w:r>
          </w:p>
        </w:tc>
        <w:tc>
          <w:tcPr>
            <w:tcW w:w="1580" w:type="dxa"/>
            <w:vAlign w:val="bottom"/>
            <w:tcBorders>
              <w:top w:val="single" w:sz="8" w:color="0000FF"/>
            </w:tcBorders>
            <w:gridSpan w:val="21"/>
          </w:tcPr>
          <w:p>
            <w:pPr>
              <w:spacing w:after="0"/>
              <w:rPr>
                <w:sz w:val="10"/>
                <w:szCs w:val="10"/>
                <w:color w:val="auto"/>
              </w:rPr>
            </w:pPr>
          </w:p>
        </w:tc>
        <w:tc>
          <w:tcPr>
            <w:tcW w:w="120" w:type="dxa"/>
            <w:vAlign w:val="bottom"/>
            <w:gridSpan w:val="5"/>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44" w:lineRule="exact"/>
        <w:rPr>
          <w:sz w:val="20"/>
          <w:szCs w:val="20"/>
          <w:color w:val="auto"/>
        </w:rPr>
      </w:pPr>
    </w:p>
    <w:p>
      <w:pPr>
        <w:ind w:left="200"/>
        <w:spacing w:after="0"/>
        <w:tabs>
          <w:tab w:leader="none" w:pos="1460" w:val="left"/>
          <w:tab w:leader="none" w:pos="2900" w:val="left"/>
        </w:tabs>
        <w:rPr>
          <w:sz w:val="20"/>
          <w:szCs w:val="20"/>
          <w:color w:val="auto"/>
        </w:rPr>
      </w:pPr>
      <w:r>
        <w:rPr>
          <w:rFonts w:ascii="Times New Roman" w:cs="Times New Roman" w:eastAsia="Times New Roman" w:hAnsi="Times New Roman"/>
          <w:sz w:val="14"/>
          <w:szCs w:val="14"/>
          <w:color w:val="auto"/>
        </w:rPr>
        <w:t>10-Q</w:t>
      </w:r>
      <w:r>
        <w:rPr>
          <w:sz w:val="20"/>
          <w:szCs w:val="20"/>
          <w:color w:val="auto"/>
        </w:rPr>
        <w:tab/>
      </w:r>
      <w:r>
        <w:rPr>
          <w:rFonts w:ascii="Times New Roman" w:cs="Times New Roman" w:eastAsia="Times New Roman" w:hAnsi="Times New Roman"/>
          <w:sz w:val="14"/>
          <w:szCs w:val="14"/>
          <w:color w:val="auto"/>
        </w:rPr>
        <w:t>10.19</w:t>
      </w:r>
      <w:r>
        <w:rPr>
          <w:sz w:val="20"/>
          <w:szCs w:val="20"/>
          <w:color w:val="auto"/>
        </w:rPr>
        <w:tab/>
      </w:r>
      <w:r>
        <w:rPr>
          <w:rFonts w:ascii="Times New Roman" w:cs="Times New Roman" w:eastAsia="Times New Roman" w:hAnsi="Times New Roman"/>
          <w:sz w:val="14"/>
          <w:szCs w:val="14"/>
          <w:color w:val="auto"/>
        </w:rPr>
        <w:t>October 24, 2013</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x</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x</w:t>
      </w:r>
    </w:p>
    <w:p>
      <w:pPr>
        <w:spacing w:after="0" w:line="1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x</w:t>
      </w:r>
    </w:p>
    <w:p>
      <w:pPr>
        <w:spacing w:after="0" w:line="16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x</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360" w:space="200"/>
            <w:col w:w="5080"/>
          </w:cols>
          <w:pgMar w:left="320" w:top="986" w:right="9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6"/>
        </w:trPr>
        <w:tc>
          <w:tcPr>
            <w:tcW w:w="19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r>
      <w:tr>
        <w:trPr>
          <w:trHeight w:val="171"/>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5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r>
      <w:tr>
        <w:trPr>
          <w:trHeight w:val="129"/>
        </w:trPr>
        <w:tc>
          <w:tcPr>
            <w:tcW w:w="192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101.INS</w:t>
            </w:r>
          </w:p>
        </w:tc>
        <w:tc>
          <w:tcPr>
            <w:tcW w:w="3540" w:type="dxa"/>
            <w:vAlign w:val="bottom"/>
          </w:tcPr>
          <w:p>
            <w:pPr>
              <w:ind w:left="940"/>
              <w:spacing w:after="0" w:line="129" w:lineRule="exact"/>
              <w:rPr>
                <w:sz w:val="20"/>
                <w:szCs w:val="20"/>
                <w:color w:val="auto"/>
              </w:rPr>
            </w:pPr>
            <w:r>
              <w:rPr>
                <w:rFonts w:ascii="Times New Roman" w:cs="Times New Roman" w:eastAsia="Times New Roman" w:hAnsi="Times New Roman"/>
                <w:sz w:val="14"/>
                <w:szCs w:val="14"/>
                <w:color w:val="auto"/>
              </w:rPr>
              <w:t>XBRL Instance Document - the instant</w:t>
            </w:r>
          </w:p>
        </w:tc>
        <w:tc>
          <w:tcPr>
            <w:tcW w:w="9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jc w:val="center"/>
              <w:ind w:left="9"/>
              <w:spacing w:after="0" w:line="129" w:lineRule="exact"/>
              <w:rPr>
                <w:sz w:val="20"/>
                <w:szCs w:val="20"/>
                <w:color w:val="auto"/>
              </w:rPr>
            </w:pPr>
            <w:r>
              <w:rPr>
                <w:rFonts w:ascii="Times New Roman" w:cs="Times New Roman" w:eastAsia="Times New Roman" w:hAnsi="Times New Roman"/>
                <w:sz w:val="14"/>
                <w:szCs w:val="14"/>
                <w:color w:val="auto"/>
              </w:rPr>
              <w:t>x</w:t>
            </w:r>
          </w:p>
        </w:tc>
      </w:tr>
      <w:tr>
        <w:trPr>
          <w:trHeight w:val="138"/>
        </w:trPr>
        <w:tc>
          <w:tcPr>
            <w:tcW w:w="1920" w:type="dxa"/>
            <w:vAlign w:val="bottom"/>
          </w:tcPr>
          <w:p>
            <w:pPr>
              <w:spacing w:after="0"/>
              <w:rPr>
                <w:sz w:val="11"/>
                <w:szCs w:val="11"/>
                <w:color w:val="auto"/>
              </w:rPr>
            </w:pPr>
          </w:p>
        </w:tc>
        <w:tc>
          <w:tcPr>
            <w:tcW w:w="3540" w:type="dxa"/>
            <w:vAlign w:val="bottom"/>
          </w:tcPr>
          <w:p>
            <w:pPr>
              <w:ind w:left="940"/>
              <w:spacing w:after="0" w:line="138" w:lineRule="exact"/>
              <w:rPr>
                <w:sz w:val="20"/>
                <w:szCs w:val="20"/>
                <w:color w:val="auto"/>
              </w:rPr>
            </w:pPr>
            <w:r>
              <w:rPr>
                <w:rFonts w:ascii="Times New Roman" w:cs="Times New Roman" w:eastAsia="Times New Roman" w:hAnsi="Times New Roman"/>
                <w:sz w:val="14"/>
                <w:szCs w:val="14"/>
                <w:color w:val="auto"/>
              </w:rPr>
              <w:t>document does not appear in the Interactive</w:t>
            </w:r>
          </w:p>
        </w:tc>
        <w:tc>
          <w:tcPr>
            <w:tcW w:w="9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44"/>
        </w:trPr>
        <w:tc>
          <w:tcPr>
            <w:tcW w:w="1920" w:type="dxa"/>
            <w:vAlign w:val="bottom"/>
          </w:tcPr>
          <w:p>
            <w:pPr>
              <w:spacing w:after="0"/>
              <w:rPr>
                <w:sz w:val="12"/>
                <w:szCs w:val="12"/>
                <w:color w:val="auto"/>
              </w:rPr>
            </w:pP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Data File because its XBRL tags are</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2"/>
        </w:trPr>
        <w:tc>
          <w:tcPr>
            <w:tcW w:w="1920" w:type="dxa"/>
            <w:vAlign w:val="bottom"/>
          </w:tcPr>
          <w:p>
            <w:pPr>
              <w:spacing w:after="0"/>
              <w:rPr>
                <w:sz w:val="12"/>
                <w:szCs w:val="12"/>
                <w:color w:val="auto"/>
              </w:rPr>
            </w:pPr>
          </w:p>
        </w:tc>
        <w:tc>
          <w:tcPr>
            <w:tcW w:w="3540" w:type="dxa"/>
            <w:vAlign w:val="bottom"/>
          </w:tcPr>
          <w:p>
            <w:pPr>
              <w:ind w:left="940"/>
              <w:spacing w:after="0" w:line="142" w:lineRule="exact"/>
              <w:rPr>
                <w:sz w:val="20"/>
                <w:szCs w:val="20"/>
                <w:color w:val="auto"/>
              </w:rPr>
            </w:pPr>
            <w:r>
              <w:rPr>
                <w:rFonts w:ascii="Times New Roman" w:cs="Times New Roman" w:eastAsia="Times New Roman" w:hAnsi="Times New Roman"/>
                <w:sz w:val="14"/>
                <w:szCs w:val="14"/>
                <w:color w:val="auto"/>
              </w:rPr>
              <w:t>embedded within the Inline XBRL</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84"/>
        </w:trPr>
        <w:tc>
          <w:tcPr>
            <w:tcW w:w="1920" w:type="dxa"/>
            <w:vAlign w:val="bottom"/>
          </w:tcPr>
          <w:p>
            <w:pPr>
              <w:spacing w:after="0"/>
              <w:rPr>
                <w:sz w:val="16"/>
                <w:szCs w:val="16"/>
                <w:color w:val="auto"/>
              </w:rPr>
            </w:pP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document</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45"/>
        </w:trPr>
        <w:tc>
          <w:tcPr>
            <w:tcW w:w="19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101.SCH</w:t>
            </w: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XBRL Taxonomy Extension Schema</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color w:val="auto"/>
              </w:rPr>
              <w:t>x</w:t>
            </w:r>
          </w:p>
        </w:tc>
      </w:tr>
      <w:tr>
        <w:trPr>
          <w:trHeight w:val="184"/>
        </w:trPr>
        <w:tc>
          <w:tcPr>
            <w:tcW w:w="1920" w:type="dxa"/>
            <w:vAlign w:val="bottom"/>
          </w:tcPr>
          <w:p>
            <w:pPr>
              <w:spacing w:after="0"/>
              <w:rPr>
                <w:sz w:val="16"/>
                <w:szCs w:val="16"/>
                <w:color w:val="auto"/>
              </w:rPr>
            </w:pP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Document</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45"/>
        </w:trPr>
        <w:tc>
          <w:tcPr>
            <w:tcW w:w="19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101.CAL</w:t>
            </w: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XBRL Taxonomy Extension Calculation</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color w:val="auto"/>
              </w:rPr>
              <w:t>x</w:t>
            </w:r>
          </w:p>
        </w:tc>
      </w:tr>
      <w:tr>
        <w:trPr>
          <w:trHeight w:val="184"/>
        </w:trPr>
        <w:tc>
          <w:tcPr>
            <w:tcW w:w="1920" w:type="dxa"/>
            <w:vAlign w:val="bottom"/>
          </w:tcPr>
          <w:p>
            <w:pPr>
              <w:spacing w:after="0"/>
              <w:rPr>
                <w:sz w:val="16"/>
                <w:szCs w:val="16"/>
                <w:color w:val="auto"/>
              </w:rPr>
            </w:pP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Linkbase Document</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45"/>
        </w:trPr>
        <w:tc>
          <w:tcPr>
            <w:tcW w:w="19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101.DEF</w:t>
            </w: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XBRL Taxonomy Extension Definition</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color w:val="auto"/>
              </w:rPr>
              <w:t>x</w:t>
            </w:r>
          </w:p>
        </w:tc>
      </w:tr>
      <w:tr>
        <w:trPr>
          <w:trHeight w:val="184"/>
        </w:trPr>
        <w:tc>
          <w:tcPr>
            <w:tcW w:w="1920" w:type="dxa"/>
            <w:vAlign w:val="bottom"/>
          </w:tcPr>
          <w:p>
            <w:pPr>
              <w:spacing w:after="0"/>
              <w:rPr>
                <w:sz w:val="16"/>
                <w:szCs w:val="16"/>
                <w:color w:val="auto"/>
              </w:rPr>
            </w:pP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Linkbase Document</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45"/>
        </w:trPr>
        <w:tc>
          <w:tcPr>
            <w:tcW w:w="19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101.LAB</w:t>
            </w: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XBRL Taxonomy Extension Label Linkbase</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color w:val="auto"/>
              </w:rPr>
              <w:t>x</w:t>
            </w:r>
          </w:p>
        </w:tc>
      </w:tr>
      <w:tr>
        <w:trPr>
          <w:trHeight w:val="184"/>
        </w:trPr>
        <w:tc>
          <w:tcPr>
            <w:tcW w:w="1920" w:type="dxa"/>
            <w:vAlign w:val="bottom"/>
          </w:tcPr>
          <w:p>
            <w:pPr>
              <w:spacing w:after="0"/>
              <w:rPr>
                <w:sz w:val="16"/>
                <w:szCs w:val="16"/>
                <w:color w:val="auto"/>
              </w:rPr>
            </w:pP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Document</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45"/>
        </w:trPr>
        <w:tc>
          <w:tcPr>
            <w:tcW w:w="19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101.PRE</w:t>
            </w: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XBRL Taxonomy Extension Presentation</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color w:val="auto"/>
              </w:rPr>
              <w:t>x</w:t>
            </w:r>
          </w:p>
        </w:tc>
      </w:tr>
      <w:tr>
        <w:trPr>
          <w:trHeight w:val="184"/>
        </w:trPr>
        <w:tc>
          <w:tcPr>
            <w:tcW w:w="1920" w:type="dxa"/>
            <w:vAlign w:val="bottom"/>
          </w:tcPr>
          <w:p>
            <w:pPr>
              <w:spacing w:after="0"/>
              <w:rPr>
                <w:sz w:val="16"/>
                <w:szCs w:val="16"/>
                <w:color w:val="auto"/>
              </w:rPr>
            </w:pP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Linkbase Document</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45"/>
        </w:trPr>
        <w:tc>
          <w:tcPr>
            <w:tcW w:w="1920" w:type="dxa"/>
            <w:vAlign w:val="bottom"/>
          </w:tcPr>
          <w:p>
            <w:pPr>
              <w:spacing w:after="0"/>
              <w:rPr>
                <w:sz w:val="12"/>
                <w:szCs w:val="12"/>
                <w:color w:val="auto"/>
              </w:rPr>
            </w:pPr>
          </w:p>
        </w:tc>
        <w:tc>
          <w:tcPr>
            <w:tcW w:w="3540" w:type="dxa"/>
            <w:vAlign w:val="bottom"/>
          </w:tcPr>
          <w:p>
            <w:pPr>
              <w:ind w:left="940"/>
              <w:spacing w:after="0" w:line="145" w:lineRule="exact"/>
              <w:rPr>
                <w:sz w:val="20"/>
                <w:szCs w:val="20"/>
                <w:color w:val="auto"/>
              </w:rPr>
            </w:pPr>
            <w:r>
              <w:rPr>
                <w:rFonts w:ascii="Times New Roman" w:cs="Times New Roman" w:eastAsia="Times New Roman" w:hAnsi="Times New Roman"/>
                <w:sz w:val="14"/>
                <w:szCs w:val="14"/>
                <w:color w:val="auto"/>
              </w:rPr>
              <w:t>The cover page from this Current Report on</w:t>
            </w:r>
          </w:p>
        </w:tc>
        <w:tc>
          <w:tcPr>
            <w:tcW w:w="9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00" w:type="dxa"/>
            <w:vAlign w:val="bottom"/>
          </w:tcPr>
          <w:p>
            <w:pPr>
              <w:jc w:val="center"/>
              <w:ind w:left="9"/>
              <w:spacing w:after="0" w:line="145" w:lineRule="exact"/>
              <w:rPr>
                <w:sz w:val="20"/>
                <w:szCs w:val="20"/>
                <w:color w:val="auto"/>
              </w:rPr>
            </w:pPr>
            <w:r>
              <w:rPr>
                <w:rFonts w:ascii="Times New Roman" w:cs="Times New Roman" w:eastAsia="Times New Roman" w:hAnsi="Times New Roman"/>
                <w:sz w:val="14"/>
                <w:szCs w:val="14"/>
                <w:color w:val="auto"/>
              </w:rPr>
              <w:t>x</w:t>
            </w:r>
          </w:p>
        </w:tc>
      </w:tr>
      <w:tr>
        <w:trPr>
          <w:trHeight w:val="191"/>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35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Form 10-K formatted as Inline XBRL</w:t>
            </w:r>
          </w:p>
        </w:tc>
        <w:tc>
          <w:tcPr>
            <w:tcW w:w="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pacing w:after="0" w:line="49" w:lineRule="exact"/>
        <w:rPr>
          <w:sz w:val="20"/>
          <w:szCs w:val="20"/>
          <w:color w:val="auto"/>
        </w:rPr>
      </w:pPr>
    </w:p>
    <w:p>
      <w:pPr>
        <w:ind w:right="8020" w:firstLine="5"/>
        <w:spacing w:after="0" w:line="398" w:lineRule="auto"/>
        <w:tabs>
          <w:tab w:leader="none" w:pos="10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a management contract or compensatory plan. ** Furnished herewith as an Exhibit.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Omitted at registrant’s option.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93" w:right="319" w:bottom="1440" w:gutter="0" w:footer="0" w:header="0"/>
        </w:sectPr>
      </w:pPr>
    </w:p>
    <w:bookmarkStart w:id="99" w:name="page100"/>
    <w:bookmarkEnd w:id="99"/>
    <w:p>
      <w:pPr>
        <w:ind w:left="54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5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their behalf by the undersigned, thereunto duly authorized.</w:t>
      </w:r>
    </w:p>
    <w:p>
      <w:pPr>
        <w:spacing w:after="0" w:line="25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CARTER’S, INC.</w:t>
      </w:r>
    </w:p>
    <w:p>
      <w:pPr>
        <w:spacing w:after="0" w:line="20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14605</wp:posOffset>
            </wp:positionV>
            <wp:extent cx="363791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3637915" cy="6985"/>
                    </a:xfrm>
                    <a:prstGeom prst="rect">
                      <a:avLst/>
                    </a:prstGeom>
                    <a:noFill/>
                  </pic:spPr>
                </pic:pic>
              </a:graphicData>
            </a:graphic>
          </wp:anchor>
        </w:drawing>
      </w:r>
    </w:p>
    <w:p>
      <w:pPr>
        <w:spacing w:after="0" w:line="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Michael D. Casey</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27, 2024</w:t>
      </w:r>
    </w:p>
    <w:p>
      <w:pPr>
        <w:spacing w:after="0" w:line="200"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472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89"/>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MICHAEL D. CASEY</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Chairman and Chief Executive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Michael D. Casey</w:t>
            </w:r>
          </w:p>
        </w:tc>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RICHARD F. WESTENBERGER</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Richard F. Westenberger</w:t>
            </w:r>
          </w:p>
        </w:tc>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ROCHESTER (ROCK) ANDERSON, JR.</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Rochester (Rock) Anderson, Jr.</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JEFFREY H. BLACK</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Jeffrey H. Black</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color w:val="auto"/>
              </w:rPr>
              <w:t>/s/ HALI BORENSTEIN</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Hali Borenstein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728"/>
        </w:trPr>
        <w:tc>
          <w:tcPr>
            <w:tcW w:w="4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LUIS A. BORGEN</w:t>
            </w:r>
          </w:p>
        </w:tc>
        <w:tc>
          <w:tcPr>
            <w:tcW w:w="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Luis A. Borgen</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883" w:right="439" w:bottom="1440" w:gutter="0" w:footer="0" w:header="0"/>
        </w:sectPr>
      </w:pPr>
    </w:p>
    <w:bookmarkStart w:id="100" w:name="page101"/>
    <w:bookmarkEnd w:id="100"/>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JEVIN S. EAGLE</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Jevin S. Eagle</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MARK P. HIPP</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Mark P. Hipp</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J. MONTGORIS</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William J. Montgoris</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/s/STACEY S. RAUCH</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Stacey S. Rauch</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GRETCHEN W. SCHAR</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Gretchen W. Schar</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728"/>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STEPHANIE P. STAHL</w:t>
            </w:r>
          </w:p>
        </w:tc>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3300" w:type="dxa"/>
            <w:vAlign w:val="bottom"/>
          </w:tcPr>
          <w:p>
            <w:pPr>
              <w:ind w:left="2260"/>
              <w:spacing w:after="0"/>
              <w:rPr>
                <w:sz w:val="20"/>
                <w:szCs w:val="20"/>
                <w:color w:val="auto"/>
              </w:rPr>
            </w:pPr>
            <w:r>
              <w:rPr>
                <w:rFonts w:ascii="Times New Roman" w:cs="Times New Roman" w:eastAsia="Times New Roman" w:hAnsi="Times New Roman"/>
                <w:sz w:val="14"/>
                <w:szCs w:val="14"/>
                <w:color w:val="auto"/>
                <w:w w:val="98"/>
              </w:rPr>
              <w:t>February 27, 2024</w:t>
            </w:r>
          </w:p>
        </w:tc>
      </w:tr>
      <w:tr>
        <w:trPr>
          <w:trHeight w:val="175"/>
        </w:trPr>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Stephanie P. Stahl</w:t>
            </w:r>
          </w:p>
        </w:tc>
        <w:tc>
          <w:tcPr>
            <w:tcW w:w="2760" w:type="dxa"/>
            <w:vAlign w:val="bottom"/>
          </w:tcPr>
          <w:p>
            <w:pPr>
              <w:spacing w:after="0"/>
              <w:rPr>
                <w:sz w:val="15"/>
                <w:szCs w:val="15"/>
                <w:color w:val="auto"/>
              </w:rPr>
            </w:pPr>
          </w:p>
        </w:tc>
        <w:tc>
          <w:tcPr>
            <w:tcW w:w="33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98</w:t>
      </w:r>
    </w:p>
    <w:p>
      <w:pPr>
        <w:sectPr>
          <w:pgSz w:w="11900" w:h="16838" w:orient="portrait"/>
          <w:cols w:equalWidth="0" w:num="1">
            <w:col w:w="10260"/>
          </w:cols>
          <w:pgMar w:left="360" w:top="1440" w:right="12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color w:val="auto"/>
        </w:rPr>
        <w:t>Exhibit 10.10</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CONSULTING AGREEMENT</w:t>
      </w:r>
    </w:p>
    <w:p>
      <w:pPr>
        <w:spacing w:after="0" w:line="166" w:lineRule="exact"/>
        <w:rPr>
          <w:sz w:val="20"/>
          <w:szCs w:val="20"/>
          <w:color w:val="auto"/>
        </w:rPr>
      </w:pPr>
    </w:p>
    <w:p>
      <w:pPr>
        <w:ind w:right="420" w:firstLine="153"/>
        <w:spacing w:after="0" w:line="237" w:lineRule="auto"/>
        <w:rPr>
          <w:sz w:val="20"/>
          <w:szCs w:val="20"/>
          <w:color w:val="auto"/>
        </w:rPr>
      </w:pPr>
      <w:r>
        <w:rPr>
          <w:rFonts w:ascii="Times New Roman" w:cs="Times New Roman" w:eastAsia="Times New Roman" w:hAnsi="Times New Roman"/>
          <w:sz w:val="16"/>
          <w:szCs w:val="16"/>
          <w:color w:val="auto"/>
        </w:rPr>
        <w:t>This Consulting Agreement (this “</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is entered into as of February 21, 2024, by and among The William Carter Company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Brian J. Lynch (“</w:t>
      </w:r>
      <w:r>
        <w:rPr>
          <w:rFonts w:ascii="Times New Roman" w:cs="Times New Roman" w:eastAsia="Times New Roman" w:hAnsi="Times New Roman"/>
          <w:sz w:val="16"/>
          <w:szCs w:val="16"/>
          <w:b w:val="1"/>
          <w:bCs w:val="1"/>
          <w:color w:val="auto"/>
        </w:rPr>
        <w:t>Consultant</w:t>
      </w:r>
      <w:r>
        <w:rPr>
          <w:rFonts w:ascii="Times New Roman" w:cs="Times New Roman" w:eastAsia="Times New Roman" w:hAnsi="Times New Roman"/>
          <w:sz w:val="16"/>
          <w:szCs w:val="16"/>
          <w:color w:val="auto"/>
        </w:rPr>
        <w:t>”). This Agreement shall become effective on the date on which the closing occurs pursuant to Section 4 of this Agreement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Recitals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WHEREAS, </w:t>
      </w:r>
      <w:r>
        <w:rPr>
          <w:rFonts w:ascii="Times New Roman" w:cs="Times New Roman" w:eastAsia="Times New Roman" w:hAnsi="Times New Roman"/>
          <w:sz w:val="14"/>
          <w:szCs w:val="14"/>
          <w:color w:val="auto"/>
        </w:rPr>
        <w:t>following the Consultant's resignation of employment with the Company, the Company desires to continue to benefit from the Consultant's knowledge and</w:t>
      </w:r>
    </w:p>
    <w:p>
      <w:pPr>
        <w:spacing w:after="0" w:line="18" w:lineRule="exact"/>
        <w:rPr>
          <w:sz w:val="20"/>
          <w:szCs w:val="20"/>
          <w:color w:val="auto"/>
        </w:rPr>
      </w:pPr>
    </w:p>
    <w:p>
      <w:pPr>
        <w:ind w:right="320"/>
        <w:spacing w:after="0" w:line="229" w:lineRule="auto"/>
        <w:rPr>
          <w:sz w:val="20"/>
          <w:szCs w:val="20"/>
          <w:color w:val="auto"/>
        </w:rPr>
      </w:pPr>
      <w:r>
        <w:rPr>
          <w:rFonts w:ascii="Times New Roman" w:cs="Times New Roman" w:eastAsia="Times New Roman" w:hAnsi="Times New Roman"/>
          <w:sz w:val="14"/>
          <w:szCs w:val="14"/>
          <w:color w:val="auto"/>
        </w:rPr>
        <w:t>advice to support the Company's planned leadership transition. For the consideration described in this Agreement, the Company desires to retain the Consultant, acting as an independent contractor, to perform services described herein, and the Consultant agrees to provide such services to the Company on the terms and conditions set forth herein. In</w:t>
      </w:r>
    </w:p>
    <w:p>
      <w:pPr>
        <w:spacing w:after="0"/>
        <w:rPr>
          <w:sz w:val="20"/>
          <w:szCs w:val="20"/>
          <w:color w:val="auto"/>
        </w:rPr>
      </w:pPr>
      <w:r>
        <w:rPr>
          <w:rFonts w:ascii="Times New Roman" w:cs="Times New Roman" w:eastAsia="Times New Roman" w:hAnsi="Times New Roman"/>
          <w:sz w:val="16"/>
          <w:szCs w:val="16"/>
          <w:color w:val="auto"/>
        </w:rPr>
        <w:t>connection with such services, the Consultant, during the Consulting Period (as defined below), will have access to certain Confidential Information (as defined below).</w:t>
      </w:r>
    </w:p>
    <w:p>
      <w:pPr>
        <w:spacing w:after="0" w:line="136" w:lineRule="exact"/>
        <w:rPr>
          <w:sz w:val="20"/>
          <w:szCs w:val="20"/>
          <w:color w:val="auto"/>
        </w:rPr>
      </w:pPr>
    </w:p>
    <w:p>
      <w:pPr>
        <w:ind w:right="32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amended Consultant’s March 2, 2011 Amended and Restated Severance Agreement by execution of an Amendment No. 1 on or about May 14,</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2013 (the Amended and Restated Severance Agreement, as amended by Amended No. 1, the “</w:t>
      </w:r>
      <w:r>
        <w:rPr>
          <w:rFonts w:ascii="Times New Roman" w:cs="Times New Roman" w:eastAsia="Times New Roman" w:hAnsi="Times New Roman"/>
          <w:sz w:val="16"/>
          <w:szCs w:val="16"/>
          <w:b w:val="1"/>
          <w:bCs w:val="1"/>
          <w:color w:val="auto"/>
        </w:rPr>
        <w:t>Amended Severance Agreement</w:t>
      </w:r>
      <w:r>
        <w:rPr>
          <w:rFonts w:ascii="Times New Roman" w:cs="Times New Roman" w:eastAsia="Times New Roman" w:hAnsi="Times New Roman"/>
          <w:sz w:val="16"/>
          <w:szCs w:val="16"/>
          <w:color w:val="auto"/>
        </w:rPr>
        <w:t>”); and</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desire to enter into the form of release agreement attached hereto as Exhibit A (the “</w:t>
      </w:r>
      <w:r>
        <w:rPr>
          <w:rFonts w:ascii="Times New Roman" w:cs="Times New Roman" w:eastAsia="Times New Roman" w:hAnsi="Times New Roman"/>
          <w:sz w:val="16"/>
          <w:szCs w:val="16"/>
          <w:b w:val="1"/>
          <w:bCs w:val="1"/>
          <w:color w:val="auto"/>
        </w:rPr>
        <w:t>Release Agreement</w:t>
      </w:r>
      <w:r>
        <w:rPr>
          <w:rFonts w:ascii="Times New Roman" w:cs="Times New Roman" w:eastAsia="Times New Roman" w:hAnsi="Times New Roman"/>
          <w:sz w:val="16"/>
          <w:szCs w:val="16"/>
          <w:color w:val="auto"/>
        </w:rPr>
        <w:t>”) as a condition to closing; and</w:t>
      </w:r>
    </w:p>
    <w:p>
      <w:pPr>
        <w:spacing w:after="0" w:line="156" w:lineRule="exact"/>
        <w:rPr>
          <w:sz w:val="20"/>
          <w:szCs w:val="20"/>
          <w:color w:val="auto"/>
        </w:rPr>
      </w:pPr>
    </w:p>
    <w:p>
      <w:pPr>
        <w:ind w:right="140" w:firstLine="509"/>
        <w:spacing w:after="0" w:line="22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parties wish to incorporate the restrictive covenants and provisions regarding COBRA as contained in the Amended Severance Agreement and agree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termination of the remainder of the Amended Severance Agreement, and Consultant’s retirement from the Company, shall not be considered a termination without “Cause” or resignation for “Good Reason” under the Amended Severance Agreement;</w:t>
      </w:r>
    </w:p>
    <w:p>
      <w:pPr>
        <w:spacing w:after="0" w:line="136" w:lineRule="exact"/>
        <w:rPr>
          <w:sz w:val="20"/>
          <w:szCs w:val="20"/>
          <w:color w:val="auto"/>
        </w:rPr>
      </w:pPr>
    </w:p>
    <w:p>
      <w:pPr>
        <w:ind w:right="44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intending to be legally bound, and in consideration of the mutual promises and representations set forth in this Agreement and other good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valuable consideration, the receipt and sufficiency of which is hereby acknowledged, the Company and the Consultant hereby agree as follows:</w:t>
      </w:r>
    </w:p>
    <w:p>
      <w:pPr>
        <w:spacing w:after="0" w:line="148" w:lineRule="exact"/>
        <w:rPr>
          <w:sz w:val="20"/>
          <w:szCs w:val="20"/>
          <w:color w:val="auto"/>
        </w:rPr>
      </w:pPr>
    </w:p>
    <w:p>
      <w:pPr>
        <w:ind w:firstLine="514"/>
        <w:spacing w:after="0" w:line="218" w:lineRule="auto"/>
        <w:tabs>
          <w:tab w:leader="none" w:pos="101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Consulting Engagement</w:t>
      </w:r>
      <w:r>
        <w:rPr>
          <w:rFonts w:ascii="Times New Roman" w:cs="Times New Roman" w:eastAsia="Times New Roman" w:hAnsi="Times New Roman"/>
          <w:sz w:val="16"/>
          <w:szCs w:val="16"/>
          <w:color w:val="auto"/>
        </w:rPr>
        <w:t>. Subject to the terms and conditions of this Agreement, commencing on the Effective Date and ending on the one-year anniversary of the Effective Date (“</w:t>
      </w:r>
      <w:r>
        <w:rPr>
          <w:rFonts w:ascii="Times New Roman" w:cs="Times New Roman" w:eastAsia="Times New Roman" w:hAnsi="Times New Roman"/>
          <w:sz w:val="16"/>
          <w:szCs w:val="16"/>
          <w:b w:val="1"/>
          <w:bCs w:val="1"/>
          <w:color w:val="auto"/>
        </w:rPr>
        <w:t>Initial Period</w:t>
      </w:r>
      <w:r>
        <w:rPr>
          <w:rFonts w:ascii="Times New Roman" w:cs="Times New Roman" w:eastAsia="Times New Roman" w:hAnsi="Times New Roman"/>
          <w:sz w:val="16"/>
          <w:szCs w:val="16"/>
          <w:color w:val="auto"/>
        </w:rPr>
        <w:t>”) or an earlier termination date as provided herein, the Parties agree that Consultant will provide services to Company as outlined in Section 2 below. The consulting period during which the Consultant is engaged by the Company, including the Initial Period and any extension as may be mutually agreed in writing by the Company and the Consultant, is referred to in this Agreement as the “</w:t>
      </w:r>
      <w:r>
        <w:rPr>
          <w:rFonts w:ascii="Times New Roman" w:cs="Times New Roman" w:eastAsia="Times New Roman" w:hAnsi="Times New Roman"/>
          <w:sz w:val="16"/>
          <w:szCs w:val="16"/>
          <w:b w:val="1"/>
          <w:bCs w:val="1"/>
          <w:color w:val="auto"/>
        </w:rPr>
        <w:t>Consulting Period</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right="20" w:firstLine="514"/>
        <w:spacing w:after="0" w:line="209" w:lineRule="auto"/>
        <w:tabs>
          <w:tab w:leader="none" w:pos="1018"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Consulting Services</w:t>
      </w:r>
      <w:r>
        <w:rPr>
          <w:rFonts w:ascii="Times New Roman" w:cs="Times New Roman" w:eastAsia="Times New Roman" w:hAnsi="Times New Roman"/>
          <w:sz w:val="16"/>
          <w:szCs w:val="16"/>
          <w:color w:val="auto"/>
        </w:rPr>
        <w:t>. During the Consulting Period, the Consultant shall furnish the Company advisory or consulting services, including consultations with executive officers and other management personnel of the Company and its affiliates, related to the business of Carter’s, Inc. and its affiliates. The Consultant shall be free to determine the methods and means of performing his obligations under this Agreement, provided the Consultant shall confer with and obtain the consent of the Company before engaging any employees or consultants to assist in the performance of such obligations, which consultants, if any, will be at the Consultant’s expense (absent the Company’s consent to the contrary). The Consultant shall not be required to devote all the Consultant’s working time to the performance of services to the Company and may engage in other business activities, except to the extent otherwise prohibited by Section 10 of the Amended Severance Agreement (the “</w:t>
      </w:r>
      <w:r>
        <w:rPr>
          <w:rFonts w:ascii="Times New Roman" w:cs="Times New Roman" w:eastAsia="Times New Roman" w:hAnsi="Times New Roman"/>
          <w:sz w:val="16"/>
          <w:szCs w:val="16"/>
          <w:b w:val="1"/>
          <w:bCs w:val="1"/>
          <w:color w:val="auto"/>
        </w:rPr>
        <w:t>Restrictive Covenants</w:t>
      </w:r>
      <w:r>
        <w:rPr>
          <w:rFonts w:ascii="Times New Roman" w:cs="Times New Roman" w:eastAsia="Times New Roman" w:hAnsi="Times New Roman"/>
          <w:sz w:val="16"/>
          <w:szCs w:val="16"/>
          <w:color w:val="auto"/>
        </w:rPr>
        <w:t>”) and in all cases subject to compliance with the Restrictive Covenants. The Consultant agrees to perform the services hereunder diligently and timely. The Consultant shall be responsible for providing at the Consultant’s expense any equipment, office space, or tools needed to perform the services contemplated by this Agreement, provided that if the Company requests that the Consultant conduct any travel on behalf of the Company or its affiliates, the Company will, in accordance with its applicable expense reimbursement policy, reimburse the Consultant for the reasonable and documented out-of-pocket expenses incurred by the Consultant in connection with the services hereunder (the “</w:t>
      </w:r>
      <w:r>
        <w:rPr>
          <w:rFonts w:ascii="Times New Roman" w:cs="Times New Roman" w:eastAsia="Times New Roman" w:hAnsi="Times New Roman"/>
          <w:sz w:val="16"/>
          <w:szCs w:val="16"/>
          <w:b w:val="1"/>
          <w:bCs w:val="1"/>
          <w:color w:val="auto"/>
        </w:rPr>
        <w:t>Reimbursable Expenses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1063" w:right="319" w:bottom="1440" w:gutter="0" w:footer="0" w:header="0"/>
        </w:sectPr>
      </w:pPr>
    </w:p>
    <w:bookmarkStart w:id="102" w:name="page103"/>
    <w:bookmarkEnd w:id="102"/>
    <w:p>
      <w:pPr>
        <w:ind w:right="60" w:firstLine="514"/>
        <w:spacing w:after="0" w:line="214" w:lineRule="auto"/>
        <w:tabs>
          <w:tab w:leader="none" w:pos="101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r>
        <w:rPr>
          <w:rFonts w:ascii="Times New Roman" w:cs="Times New Roman" w:eastAsia="Times New Roman" w:hAnsi="Times New Roman"/>
          <w:sz w:val="16"/>
          <w:szCs w:val="16"/>
          <w:color w:val="auto"/>
        </w:rPr>
        <w:t>. As compensation for the consulting services provided hereunder, the Company shall pay the Consultant a consulting fee at the rate of $125,000 per month during the Consulting Period (the “</w:t>
      </w:r>
      <w:r>
        <w:rPr>
          <w:rFonts w:ascii="Times New Roman" w:cs="Times New Roman" w:eastAsia="Times New Roman" w:hAnsi="Times New Roman"/>
          <w:sz w:val="16"/>
          <w:szCs w:val="16"/>
          <w:b w:val="1"/>
          <w:bCs w:val="1"/>
          <w:color w:val="0E101A"/>
        </w:rPr>
        <w:t>Consulting Fee</w:t>
      </w:r>
      <w:r>
        <w:rPr>
          <w:rFonts w:ascii="Times New Roman" w:cs="Times New Roman" w:eastAsia="Times New Roman" w:hAnsi="Times New Roman"/>
          <w:sz w:val="16"/>
          <w:szCs w:val="16"/>
          <w:color w:val="auto"/>
        </w:rPr>
        <w:t xml:space="preserve">”). Each monthly installment of the Consulting Fee shall be paid monthly during the Consulting Period on the first day of the month immediately following the prior month of service. By way of example, and for the avoidance of doubt, the payment for Consultant’s service during the month of March 2024 shall be due and payable on April 1, 2024, subject to the terms and conditions of this Agreement. In addition, the Company will reimburse the Consultant for the reasonable and documented out-of-pocket </w:t>
      </w:r>
      <w:r>
        <w:rPr>
          <w:rFonts w:ascii="Times New Roman" w:cs="Times New Roman" w:eastAsia="Times New Roman" w:hAnsi="Times New Roman"/>
          <w:sz w:val="16"/>
          <w:szCs w:val="16"/>
          <w:color w:val="0E101A"/>
        </w:rPr>
        <w:t>Reimbursable Expenses</w:t>
      </w:r>
      <w:r>
        <w:rPr>
          <w:rFonts w:ascii="Times New Roman" w:cs="Times New Roman" w:eastAsia="Times New Roman" w:hAnsi="Times New Roman"/>
          <w:sz w:val="16"/>
          <w:szCs w:val="16"/>
          <w:color w:val="auto"/>
        </w:rPr>
        <w:t>. Reimbursement will be made within 30 days of receipt by the Company of an invoice from the Consultant accompanied by supporting documentation reasonably acceptable to the Company.</w:t>
      </w:r>
    </w:p>
    <w:p>
      <w:pPr>
        <w:spacing w:after="0" w:line="140" w:lineRule="exact"/>
        <w:rPr>
          <w:rFonts w:ascii="Times New Roman" w:cs="Times New Roman" w:eastAsia="Times New Roman" w:hAnsi="Times New Roman"/>
          <w:sz w:val="16"/>
          <w:szCs w:val="16"/>
          <w:color w:val="auto"/>
        </w:rPr>
      </w:pPr>
    </w:p>
    <w:p>
      <w:pPr>
        <w:ind w:right="100" w:firstLine="514"/>
        <w:spacing w:after="0" w:line="221" w:lineRule="auto"/>
        <w:tabs>
          <w:tab w:leader="none" w:pos="1018"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 to Closing</w:t>
      </w:r>
      <w:r>
        <w:rPr>
          <w:rFonts w:ascii="Times New Roman" w:cs="Times New Roman" w:eastAsia="Times New Roman" w:hAnsi="Times New Roman"/>
          <w:sz w:val="16"/>
          <w:szCs w:val="16"/>
          <w:color w:val="auto"/>
        </w:rPr>
        <w:t>. Subject to the terms and conditions of this Agreement, this Agreement shall not become effective until the date that the following condition has been satisfied or waived: Consultant has executed the Release Agreement and the Release Agreement is final and binding (including, but not limited to, all required revocation and/or waiting periods have lapsed).</w:t>
      </w:r>
    </w:p>
    <w:p>
      <w:pPr>
        <w:spacing w:after="0" w:line="14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jc w:val="both"/>
        <w:ind w:firstLine="1023"/>
        <w:spacing w:after="0" w:line="244" w:lineRule="auto"/>
        <w:tabs>
          <w:tab w:leader="none" w:pos="152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Agreement may be terminated by the Company upon notice: (i) in the event of a permanent mental or physical disability or incapacity of Consultant as determined by an independent qualified physician selected by the Senior Vice President, Human Resources &amp; Talent Development executive officer of the Company (the “</w:t>
      </w:r>
      <w:r>
        <w:rPr>
          <w:rFonts w:ascii="Times New Roman" w:cs="Times New Roman" w:eastAsia="Times New Roman" w:hAnsi="Times New Roman"/>
          <w:sz w:val="14"/>
          <w:szCs w:val="14"/>
          <w:b w:val="1"/>
          <w:bCs w:val="1"/>
          <w:color w:val="auto"/>
        </w:rPr>
        <w:t>Officer</w:t>
      </w:r>
      <w:r>
        <w:rPr>
          <w:rFonts w:ascii="Times New Roman" w:cs="Times New Roman" w:eastAsia="Times New Roman" w:hAnsi="Times New Roman"/>
          <w:sz w:val="14"/>
          <w:szCs w:val="14"/>
          <w:color w:val="auto"/>
        </w:rPr>
        <w:t>”) and reasonably acceptable to Consultant (or his personal representative), (ii) in the event of the Consultant’s breach of this Agreement (which breach, if curable, is not cured within 20 days of the Consultant’s receipt of written notice thereof) or of the Restrictive Covenants, (iii) in the event of the Consultant’s conviction or plea of nolo contendere in respect of a felony, or (iv) in the event of the Consultant’s willful or grossly negligent misconduct that has a material adverse effect on the property or business of the Company;</w:t>
      </w:r>
    </w:p>
    <w:p>
      <w:pPr>
        <w:spacing w:after="0" w:line="147" w:lineRule="exact"/>
        <w:rPr>
          <w:rFonts w:ascii="Times New Roman" w:cs="Times New Roman" w:eastAsia="Times New Roman" w:hAnsi="Times New Roman"/>
          <w:sz w:val="14"/>
          <w:szCs w:val="14"/>
          <w:color w:val="auto"/>
        </w:rPr>
      </w:pPr>
    </w:p>
    <w:p>
      <w:pPr>
        <w:ind w:right="20" w:firstLine="1023"/>
        <w:spacing w:after="0" w:line="216" w:lineRule="auto"/>
        <w:tabs>
          <w:tab w:leader="none" w:pos="151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Agreement may be terminated by the Consultant upon notice: (i) in the event of the Company’s breach of this Agreement (which breach, if curable, is not cured within 20 days of the Company’s receipt of written notice thereof); or (ii) upon a Change in Control of the Company or Carter’s, Inc., and the successor company does not assume the obligations of the Company under this Agreement. Notwithstanding anything herein to the contrary, for purposes of this </w:t>
      </w:r>
      <w:r>
        <w:rPr>
          <w:rFonts w:ascii="Times New Roman" w:cs="Times New Roman" w:eastAsia="Times New Roman" w:hAnsi="Times New Roman"/>
          <w:sz w:val="16"/>
          <w:szCs w:val="16"/>
          <w:u w:val="single" w:color="auto"/>
          <w:color w:val="auto"/>
        </w:rPr>
        <w:t>Section 5(b)</w:t>
      </w:r>
      <w:r>
        <w:rPr>
          <w:rFonts w:ascii="Times New Roman" w:cs="Times New Roman" w:eastAsia="Times New Roman" w:hAnsi="Times New Roman"/>
          <w:sz w:val="16"/>
          <w:szCs w:val="16"/>
          <w:color w:val="auto"/>
        </w:rPr>
        <w:t>, an event shall only constitute a Change in Control if it would also constitute a change in ownership or effective control of the Company or a change in the ownership of a substantial portion of the assets of the Company within the meaning of Section 409A of the Internal Revenue Code;</w:t>
      </w:r>
    </w:p>
    <w:p>
      <w:pPr>
        <w:spacing w:after="0" w:line="13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automatically terminate upon the death of the Consultant;</w:t>
      </w:r>
    </w:p>
    <w:p>
      <w:pPr>
        <w:spacing w:after="0" w:line="166" w:lineRule="exact"/>
        <w:rPr>
          <w:rFonts w:ascii="Times New Roman" w:cs="Times New Roman" w:eastAsia="Times New Roman" w:hAnsi="Times New Roman"/>
          <w:sz w:val="16"/>
          <w:szCs w:val="16"/>
          <w:color w:val="auto"/>
        </w:rPr>
      </w:pPr>
    </w:p>
    <w:p>
      <w:pPr>
        <w:ind w:firstLine="1023"/>
        <w:spacing w:after="0" w:line="212" w:lineRule="auto"/>
        <w:tabs>
          <w:tab w:leader="none" w:pos="151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this Agreement is (i) validly terminated by the Company pursuant to </w:t>
      </w:r>
      <w:r>
        <w:rPr>
          <w:rFonts w:ascii="Times New Roman" w:cs="Times New Roman" w:eastAsia="Times New Roman" w:hAnsi="Times New Roman"/>
          <w:sz w:val="16"/>
          <w:szCs w:val="16"/>
          <w:u w:val="single" w:color="auto"/>
          <w:color w:val="auto"/>
        </w:rPr>
        <w:t>Section 5(a)(i),</w:t>
      </w:r>
      <w:r>
        <w:rPr>
          <w:rFonts w:ascii="Times New Roman" w:cs="Times New Roman" w:eastAsia="Times New Roman" w:hAnsi="Times New Roman"/>
          <w:sz w:val="16"/>
          <w:szCs w:val="16"/>
          <w:color w:val="auto"/>
        </w:rPr>
        <w:t xml:space="preserve"> (ii) validly terminated by the Consultant pursuant to </w:t>
      </w:r>
      <w:r>
        <w:rPr>
          <w:rFonts w:ascii="Times New Roman" w:cs="Times New Roman" w:eastAsia="Times New Roman" w:hAnsi="Times New Roman"/>
          <w:sz w:val="16"/>
          <w:szCs w:val="16"/>
          <w:u w:val="single" w:color="auto"/>
          <w:color w:val="auto"/>
        </w:rPr>
        <w:t>Section 5(b)</w:t>
      </w:r>
      <w:r>
        <w:rPr>
          <w:rFonts w:ascii="Times New Roman" w:cs="Times New Roman" w:eastAsia="Times New Roman" w:hAnsi="Times New Roman"/>
          <w:sz w:val="16"/>
          <w:szCs w:val="16"/>
          <w:color w:val="auto"/>
        </w:rPr>
        <w:t xml:space="preserve">, or (iii) terminated pursuant to </w:t>
      </w:r>
      <w:r>
        <w:rPr>
          <w:rFonts w:ascii="Times New Roman" w:cs="Times New Roman" w:eastAsia="Times New Roman" w:hAnsi="Times New Roman"/>
          <w:sz w:val="16"/>
          <w:szCs w:val="16"/>
          <w:u w:val="single" w:color="auto"/>
          <w:color w:val="auto"/>
        </w:rPr>
        <w:t>Section 5(c)</w:t>
      </w:r>
      <w:r>
        <w:rPr>
          <w:rFonts w:ascii="Times New Roman" w:cs="Times New Roman" w:eastAsia="Times New Roman" w:hAnsi="Times New Roman"/>
          <w:sz w:val="16"/>
          <w:szCs w:val="16"/>
          <w:color w:val="auto"/>
        </w:rPr>
        <w:t xml:space="preserve">, then the Company shall pay the Consultant (or the Consultant’s designated beneficiary or estate, in the event of termination pursuant to </w:t>
      </w:r>
      <w:r>
        <w:rPr>
          <w:rFonts w:ascii="Times New Roman" w:cs="Times New Roman" w:eastAsia="Times New Roman" w:hAnsi="Times New Roman"/>
          <w:sz w:val="16"/>
          <w:szCs w:val="16"/>
          <w:u w:val="single" w:color="auto"/>
          <w:color w:val="auto"/>
        </w:rPr>
        <w:t>Section 5(c)</w:t>
      </w:r>
      <w:r>
        <w:rPr>
          <w:rFonts w:ascii="Times New Roman" w:cs="Times New Roman" w:eastAsia="Times New Roman" w:hAnsi="Times New Roman"/>
          <w:sz w:val="16"/>
          <w:szCs w:val="16"/>
          <w:color w:val="auto"/>
        </w:rPr>
        <w:t>): (1) if the Agreement is terminated prior to the end of the Initial Period, a lump sum cash payment equal to the Consulting Fee that would have been payable to the Consultant for the remainder of the Initial Period had the Consultant’s services continued until the end of the Initial Period, payable within 30 days following the date of termination; and (2) all Consulting Fees and any Reimbursable Expenses incurred through the effective date of such termination, payable within 30 days following the date of termination.</w:t>
      </w:r>
    </w:p>
    <w:p>
      <w:pPr>
        <w:spacing w:after="0" w:line="14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Warranties and Covenants of the Consultant</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right="100" w:firstLine="1023"/>
        <w:spacing w:after="0" w:line="221" w:lineRule="auto"/>
        <w:tabs>
          <w:tab w:leader="none" w:pos="1520"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w:t>
      </w:r>
      <w:r>
        <w:rPr>
          <w:rFonts w:ascii="Times New Roman" w:cs="Times New Roman" w:eastAsia="Times New Roman" w:hAnsi="Times New Roman"/>
          <w:sz w:val="16"/>
          <w:szCs w:val="16"/>
          <w:color w:val="auto"/>
        </w:rPr>
        <w:t>. The Consultant represents and warrants to the Company that he is not obligated or restricted under any agreement (including any non-competition or confidentiality agreement), judgment, decree, order or other restraint of any kind that could reasonably be expected to impair the Consultant’s ability to perform the duties and obligations required of the Consultant hereunder.</w:t>
      </w:r>
    </w:p>
    <w:p>
      <w:pPr>
        <w:spacing w:after="0" w:line="149"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Laws</w:t>
      </w:r>
      <w:r>
        <w:rPr>
          <w:rFonts w:ascii="Times New Roman" w:cs="Times New Roman" w:eastAsia="Times New Roman" w:hAnsi="Times New Roman"/>
          <w:sz w:val="14"/>
          <w:szCs w:val="14"/>
          <w:color w:val="auto"/>
        </w:rPr>
        <w:t>. In the performance of the Consultant’s obligations under this Agreement, the Consultant covenants and agrees that he will comply</w:t>
      </w:r>
    </w:p>
    <w:p>
      <w:pPr>
        <w:spacing w:after="0" w:line="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with all applicable laws.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00" w:top="1256" w:right="359" w:bottom="1440" w:gutter="0" w:footer="0" w:header="0"/>
        </w:sectPr>
      </w:pPr>
    </w:p>
    <w:bookmarkStart w:id="103" w:name="page104"/>
    <w:bookmarkEnd w:id="103"/>
    <w:p>
      <w:pPr>
        <w:ind w:left="1500" w:hanging="497"/>
        <w:spacing w:after="0"/>
        <w:tabs>
          <w:tab w:leader="none" w:pos="150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 Information; Confidentiality</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ind w:left="-20" w:right="40" w:firstLine="1023"/>
        <w:spacing w:after="0" w:line="207" w:lineRule="auto"/>
        <w:tabs>
          <w:tab w:leader="none" w:pos="150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Consultant acknowledges that, as a result of, and in the course of providing, services to the Company, he will receive and retain access to confidential information of the Company and its affiliates and/or relating to the business and assets of the Company, including information relating to customers, clients, suppliers, distributors, investors, lenders, consultants, independent contractors and employees of the Company and its affiliates; price lists and pricing policies; financial statements and information; budgets and projections; business plans; production costs; market research; marketing, sales and distribution strategies; manufacturing techniques; processes and business methods; technical information; pending projects and proposals; new business plans and initiatives; research and development projects; inventions, discoveries, ideas, technologies, trade secrets, know-how, formulae, designs, patterns, marks, names, improvements, industrial designs, mask works, works of authorship and other intellectual property; devices; samples; plans, drawings and specifications; photographs and digital images; computer software and programming; all other confidential information and materials relating to the businesses of the Company and its affiliates; and all notes, analyses, compilations, studies, summaries, reports, manuals, documents and other materials prepared by or for the Company or its affiliates containing or based in whole or in part on any of the foregoing (all of the foregoing, whether communicated in verbal, written, graphic, electronic or any other form, whether or not conceived, developed or prepared in whole or in part by the Consultant and whether received by the Consultant before or after the Effective Date, collectively, “</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w:t>
      </w:r>
    </w:p>
    <w:p>
      <w:pPr>
        <w:spacing w:after="0" w:line="153" w:lineRule="exact"/>
        <w:rPr>
          <w:rFonts w:ascii="Times New Roman" w:cs="Times New Roman" w:eastAsia="Times New Roman" w:hAnsi="Times New Roman"/>
          <w:sz w:val="16"/>
          <w:szCs w:val="16"/>
          <w:color w:val="auto"/>
        </w:rPr>
      </w:pPr>
    </w:p>
    <w:p>
      <w:pPr>
        <w:ind w:left="-20" w:right="60" w:firstLine="1023"/>
        <w:spacing w:after="0" w:line="221" w:lineRule="auto"/>
        <w:tabs>
          <w:tab w:leader="none" w:pos="1507"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Consultant acknowledges that the Confidential Information is owned or licensed by the Company or its affiliates; is unique, valuable, proprietary and confidential; and derives independent actual or potential commercial value from not being generally known or available to the public. Consultant hereby relinquishes, and agrees he will not at any time claim, any right, title or interest of any kind in or to any Confidential Information.</w:t>
      </w:r>
    </w:p>
    <w:p>
      <w:pPr>
        <w:spacing w:after="0" w:line="149" w:lineRule="exact"/>
        <w:rPr>
          <w:rFonts w:ascii="Times New Roman" w:cs="Times New Roman" w:eastAsia="Times New Roman" w:hAnsi="Times New Roman"/>
          <w:sz w:val="16"/>
          <w:szCs w:val="16"/>
          <w:color w:val="auto"/>
        </w:rPr>
      </w:pPr>
    </w:p>
    <w:p>
      <w:pPr>
        <w:ind w:left="-20" w:firstLine="1023"/>
        <w:spacing w:after="0"/>
        <w:tabs>
          <w:tab w:leader="none" w:pos="1508"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Consultant agrees that he will maintain the confidentiality of the Confidential Information at all times during the Consulting Period with the Company and for a period of five (5) years following the expiration or termination thereof and will not, at any time, directly or indirectly, use any Confidential Information for his own benefit or for the benefit of any other Person, reveal or disclose any Confidential Information to any Person other than authorized representatives of the Company, or remove or aid in the removal from the Company’s or its affiliates’ premises of any Confidential Information, except (A) in the performance of the Consultant’s services in the furtherance of the business of the Company or (B) with the prior written consent of the Company;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Confidential Information which constitutes a trade secret shall be kept confidential indefinitely. The Consultant further agrees that he shall not copy or save any files or records containing any Confidential Information on any electronic or storage device not owned and controlled by the Company, or a “cloud” site or remote server that is not controlled by the Company, without first receiving the Company’s written permission. The covenants in this </w:t>
      </w:r>
      <w:r>
        <w:rPr>
          <w:rFonts w:ascii="Times New Roman" w:cs="Times New Roman" w:eastAsia="Times New Roman" w:hAnsi="Times New Roman"/>
          <w:sz w:val="14"/>
          <w:szCs w:val="14"/>
          <w:u w:val="single" w:color="auto"/>
          <w:color w:val="auto"/>
        </w:rPr>
        <w:t>Section 5(c)(iii)</w:t>
      </w:r>
      <w:r>
        <w:rPr>
          <w:rFonts w:ascii="Times New Roman" w:cs="Times New Roman" w:eastAsia="Times New Roman" w:hAnsi="Times New Roman"/>
          <w:sz w:val="14"/>
          <w:szCs w:val="14"/>
          <w:color w:val="auto"/>
        </w:rPr>
        <w:t xml:space="preserve"> will not restrict disclosure of information that (x) is or becomes available to the general public through no breach of this Agreement by the Consultant or breach by any other Person of a duty of confidentiality to the Company or its affiliates, (y) the Consultant is required to disclose by applicable law or court order;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that the Consultant will notify the Company in writing of such required disclosure as much in advance as practicable in the circumstances and cooperate with the Company to limit the scope of such disclosure; or (z) is or becomes available to the Consultant from a source other than the Company or its affiliates;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such source is not known by the Consultant to be subject to an obligation of confidentiality to, or for the benefit of, the Company or its affiliates.</w:t>
      </w:r>
    </w:p>
    <w:p>
      <w:pPr>
        <w:spacing w:after="0" w:line="287" w:lineRule="exact"/>
        <w:rPr>
          <w:rFonts w:ascii="Times New Roman" w:cs="Times New Roman" w:eastAsia="Times New Roman" w:hAnsi="Times New Roman"/>
          <w:sz w:val="14"/>
          <w:szCs w:val="14"/>
          <w:color w:val="auto"/>
        </w:rPr>
      </w:pPr>
    </w:p>
    <w:p>
      <w:pPr>
        <w:ind w:left="-20" w:right="120" w:firstLine="1023"/>
        <w:spacing w:after="0" w:line="216" w:lineRule="auto"/>
        <w:tabs>
          <w:tab w:leader="none" w:pos="1499"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the expiration or termination of the Consulting Period for any reason, the Consultant will turn over and return to the Company all Confidential Information in any form (including all copies and reproductions thereof) and all other property whatsoever of the Company or its affiliates in or under his possession or control. If the Consultant has any Confidential Information stored on any computer, storage device, smart phone, or electronic device, then the Consultant agrees to permit a computer and IT forensic examiner of the Company’s selection to examine such devices at the Company’s sole cost and expense and remove and delete any files or items containing Confidential Information from such devices in a manner that will prevent the Confidential Information from being accessed in the future.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065" w:right="339" w:bottom="1440" w:gutter="0" w:footer="0" w:header="0"/>
        </w:sectPr>
      </w:pPr>
    </w:p>
    <w:bookmarkStart w:id="104" w:name="page105"/>
    <w:bookmarkEnd w:id="104"/>
    <w:p>
      <w:pPr>
        <w:ind w:left="1500" w:hanging="497"/>
        <w:spacing w:after="0"/>
        <w:tabs>
          <w:tab w:leader="none" w:pos="15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 of Intellectual Property</w:t>
      </w:r>
      <w:r>
        <w:rPr>
          <w:rFonts w:ascii="Times New Roman" w:cs="Times New Roman" w:eastAsia="Times New Roman" w:hAnsi="Times New Roman"/>
          <w:sz w:val="16"/>
          <w:szCs w:val="16"/>
          <w:color w:val="auto"/>
        </w:rPr>
        <w:t>.</w:t>
      </w:r>
    </w:p>
    <w:p>
      <w:pPr>
        <w:spacing w:after="0" w:line="134" w:lineRule="exact"/>
        <w:rPr>
          <w:sz w:val="20"/>
          <w:szCs w:val="20"/>
          <w:color w:val="auto"/>
        </w:rPr>
      </w:pPr>
    </w:p>
    <w:p>
      <w:pPr>
        <w:ind w:left="-20" w:right="20" w:firstLine="1023"/>
        <w:spacing w:after="0" w:line="221" w:lineRule="auto"/>
        <w:tabs>
          <w:tab w:leader="none" w:pos="1506"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regard solely to the Company’s products, the Consultant will promptly disclose in writing to the Company all inventions, discoveries, ideas, technologies, trade secrets, know-how, formulae, designs, patterns, marks, names, improvements, industrial designs, mask works, works of authorship and other intellectual property conceived or developed in whole or in part by the Consultant during the term of this Agreement (collectively, “</w:t>
      </w:r>
      <w:r>
        <w:rPr>
          <w:rFonts w:ascii="Times New Roman" w:cs="Times New Roman" w:eastAsia="Times New Roman" w:hAnsi="Times New Roman"/>
          <w:sz w:val="16"/>
          <w:szCs w:val="16"/>
          <w:b w:val="1"/>
          <w:bCs w:val="1"/>
          <w:color w:val="auto"/>
        </w:rPr>
        <w:t>Intellectual Property</w:t>
      </w:r>
      <w:r>
        <w:rPr>
          <w:rFonts w:ascii="Times New Roman" w:cs="Times New Roman" w:eastAsia="Times New Roman" w:hAnsi="Times New Roman"/>
          <w:sz w:val="16"/>
          <w:szCs w:val="16"/>
          <w:color w:val="auto"/>
        </w:rPr>
        <w:t>”).</w:t>
      </w:r>
    </w:p>
    <w:p>
      <w:pPr>
        <w:spacing w:after="0" w:line="149" w:lineRule="exact"/>
        <w:rPr>
          <w:rFonts w:ascii="Times New Roman" w:cs="Times New Roman" w:eastAsia="Times New Roman" w:hAnsi="Times New Roman"/>
          <w:sz w:val="16"/>
          <w:szCs w:val="16"/>
          <w:color w:val="auto"/>
        </w:rPr>
      </w:pPr>
    </w:p>
    <w:p>
      <w:pPr>
        <w:ind w:left="-20" w:right="20" w:firstLine="1023"/>
        <w:spacing w:after="0" w:line="209" w:lineRule="auto"/>
        <w:tabs>
          <w:tab w:leader="none" w:pos="1507"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Consultant does hereby, and will from time to time promptly upon the conception or development of any Intellectual Property, assign to the Company all of the Consultant’s right, title and interest in and to all such Intellectual Property (whether or not patentable, registrable, recordable or protectable by copyright and regardless of whether the Company pursues any of the foregoing). If any Intellectual Property falls within the definition of “work made for hire”, as such term is defined in 17 U.S.C. § 101, such Intellectual Property will be considered “work made for hire” and the copyright of such Intellectual Property will be owned solely and exclusively by the Company. If any Intellectual Property does not fall within such definition of “work made for hire”, then the Consultant’s right, title and interest in and to such Intellectual Property will be assigned to the Company pursuant to the first sentence of this </w:t>
      </w:r>
      <w:r>
        <w:rPr>
          <w:rFonts w:ascii="Times New Roman" w:cs="Times New Roman" w:eastAsia="Times New Roman" w:hAnsi="Times New Roman"/>
          <w:sz w:val="16"/>
          <w:szCs w:val="16"/>
          <w:u w:val="single" w:color="auto"/>
          <w:color w:val="auto"/>
        </w:rPr>
        <w:t>Section 5(d)(ii)</w:t>
      </w:r>
      <w:r>
        <w:rPr>
          <w:rFonts w:ascii="Times New Roman" w:cs="Times New Roman" w:eastAsia="Times New Roman" w:hAnsi="Times New Roman"/>
          <w:sz w:val="16"/>
          <w:szCs w:val="16"/>
          <w:color w:val="auto"/>
        </w:rPr>
        <w:t>. The Consultant will execute and deliver any assignment instruments and do all other things reasonably requested by the Company, at the Company’s sole cost and expense, (both during and after the Consulting Period) to more fully vest in the Company sole and exclusive right, title and interest in and to all Intellectual Property.</w:t>
      </w:r>
    </w:p>
    <w:p>
      <w:pPr>
        <w:spacing w:after="0" w:line="151" w:lineRule="exact"/>
        <w:rPr>
          <w:sz w:val="20"/>
          <w:szCs w:val="20"/>
          <w:color w:val="auto"/>
        </w:rPr>
      </w:pPr>
    </w:p>
    <w:p>
      <w:pPr>
        <w:ind w:left="-20" w:right="200" w:firstLine="1023"/>
        <w:spacing w:after="0" w:line="221" w:lineRule="auto"/>
        <w:tabs>
          <w:tab w:leader="none" w:pos="1500" w:val="left"/>
        </w:tabs>
        <w:numPr>
          <w:ilvl w:val="1"/>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Affirmation of Restrictive Covenants</w:t>
      </w:r>
      <w:r>
        <w:rPr>
          <w:rFonts w:ascii="Times New Roman" w:cs="Times New Roman" w:eastAsia="Times New Roman" w:hAnsi="Times New Roman"/>
          <w:sz w:val="16"/>
          <w:szCs w:val="16"/>
          <w:color w:val="auto"/>
        </w:rPr>
        <w:t>. Consultant affirms all of Consultants’ obligations pursuant to the Restrictive Covenants of the Amended Severance Agreement. Such Restrictive Covenants shall continue in full force and effect notwithstanding the termination of the Amended Severance Agreement, as set forth in Section 9(k) herein.</w:t>
      </w:r>
    </w:p>
    <w:p>
      <w:pPr>
        <w:spacing w:after="0" w:line="149" w:lineRule="exact"/>
        <w:rPr>
          <w:rFonts w:ascii="Times New Roman" w:cs="Times New Roman" w:eastAsia="Times New Roman" w:hAnsi="Times New Roman"/>
          <w:sz w:val="16"/>
          <w:szCs w:val="16"/>
          <w:color w:val="auto"/>
        </w:rPr>
      </w:pPr>
    </w:p>
    <w:p>
      <w:pPr>
        <w:ind w:left="1000" w:hanging="506"/>
        <w:spacing w:after="0"/>
        <w:tabs>
          <w:tab w:leader="none" w:pos="10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 of the Consultant; Independent Contractor</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jc w:val="both"/>
        <w:ind w:left="-20" w:right="320" w:firstLine="1023"/>
        <w:spacing w:after="0" w:line="226" w:lineRule="auto"/>
        <w:tabs>
          <w:tab w:leader="none" w:pos="150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Authority</w:t>
      </w:r>
      <w:r>
        <w:rPr>
          <w:rFonts w:ascii="Times New Roman" w:cs="Times New Roman" w:eastAsia="Times New Roman" w:hAnsi="Times New Roman"/>
          <w:sz w:val="16"/>
          <w:szCs w:val="16"/>
          <w:color w:val="auto"/>
        </w:rPr>
        <w:t>. The Consultant shall not hold himself out as an officer or employee of the Company as having, any right, power or authority (i) to create any contract or obligation, either express or implied, on behalf of, in the name of, or binding upon the Company or any of its affiliates or (ii) to accept legal process on behalf of the Company or any of its affiliates.</w:t>
      </w:r>
    </w:p>
    <w:p>
      <w:pPr>
        <w:spacing w:after="0" w:line="138" w:lineRule="exact"/>
        <w:rPr>
          <w:rFonts w:ascii="Times New Roman" w:cs="Times New Roman" w:eastAsia="Times New Roman" w:hAnsi="Times New Roman"/>
          <w:sz w:val="16"/>
          <w:szCs w:val="16"/>
          <w:color w:val="auto"/>
        </w:rPr>
      </w:pPr>
    </w:p>
    <w:p>
      <w:pPr>
        <w:ind w:left="-20" w:right="60" w:firstLine="1023"/>
        <w:spacing w:after="0" w:line="211" w:lineRule="auto"/>
        <w:tabs>
          <w:tab w:leader="none" w:pos="1498"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Independent Contractor</w:t>
      </w:r>
      <w:r>
        <w:rPr>
          <w:rFonts w:ascii="Times New Roman" w:cs="Times New Roman" w:eastAsia="Times New Roman" w:hAnsi="Times New Roman"/>
          <w:sz w:val="16"/>
          <w:szCs w:val="16"/>
          <w:color w:val="auto"/>
        </w:rPr>
        <w:t>. The parties acknowledge and agree that the Consultant is acting hereunder as an independent contractor and not as an employee of the Company, and the terms and conditions of this Agreement shall be interpreted and construed accordingly. In no event shall this Agreement be construed as establishing a partnership or joint venture or similar relationship between the Consultant, on the one hand, and the Company, on the other hand, and nothing herein contained shall be construed to authorize any party to act as agent for another party. The Consultant shall be liable for his own debts, obligations, acts and omissions, including the payment of all Social Security and other taxes and benefits. As an independent contractor, the Consultant is responsible for filing such tax returns and paying such self-employment taxes as may be required by law or any applicable federal, state or municipal regulations. In the event that this independent contractor relationship is determined by tax authorities to constitute an employment relationship, the Consultant hereby waives any and all claims to coverage under any pension, profit-sharing, health, dental, welfare or similar type plans which are generally limited to the Company’s employees.</w:t>
      </w:r>
    </w:p>
    <w:p>
      <w:pPr>
        <w:spacing w:after="0" w:line="148" w:lineRule="exact"/>
        <w:rPr>
          <w:rFonts w:ascii="Times New Roman" w:cs="Times New Roman" w:eastAsia="Times New Roman" w:hAnsi="Times New Roman"/>
          <w:sz w:val="16"/>
          <w:szCs w:val="16"/>
          <w:color w:val="auto"/>
        </w:rPr>
      </w:pPr>
    </w:p>
    <w:p>
      <w:pPr>
        <w:ind w:left="-20" w:right="240" w:firstLine="514"/>
        <w:spacing w:after="0" w:line="221" w:lineRule="auto"/>
        <w:tabs>
          <w:tab w:leader="none" w:pos="99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Liability for Company Actions</w:t>
      </w:r>
      <w:r>
        <w:rPr>
          <w:rFonts w:ascii="Times New Roman" w:cs="Times New Roman" w:eastAsia="Times New Roman" w:hAnsi="Times New Roman"/>
          <w:sz w:val="16"/>
          <w:szCs w:val="16"/>
          <w:color w:val="auto"/>
        </w:rPr>
        <w:t>. The Company agrees to indemnify and hold harmless the Consultant from any and all claims arising out of any actions or ommissions of the Consultant in connection with the performance of the consulting services provided hereunder in compliance with this Agreement, except to the extent that any such claim results from the gross negligence, willful misconduct or bad faith of the Consultant.</w:t>
      </w:r>
    </w:p>
    <w:p>
      <w:pPr>
        <w:spacing w:after="0" w:line="149" w:lineRule="exact"/>
        <w:rPr>
          <w:rFonts w:ascii="Times New Roman" w:cs="Times New Roman" w:eastAsia="Times New Roman" w:hAnsi="Times New Roman"/>
          <w:sz w:val="16"/>
          <w:szCs w:val="16"/>
          <w:color w:val="auto"/>
        </w:rPr>
      </w:pPr>
    </w:p>
    <w:p>
      <w:pPr>
        <w:ind w:left="1000" w:hanging="506"/>
        <w:spacing w:after="0"/>
        <w:tabs>
          <w:tab w:leader="none" w:pos="10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55" w:lineRule="exact"/>
        <w:rPr>
          <w:rFonts w:ascii="Times New Roman" w:cs="Times New Roman" w:eastAsia="Times New Roman" w:hAnsi="Times New Roman"/>
          <w:sz w:val="16"/>
          <w:szCs w:val="16"/>
          <w:color w:val="auto"/>
        </w:rPr>
      </w:pPr>
    </w:p>
    <w:p>
      <w:pPr>
        <w:ind w:left="-20" w:firstLine="1023"/>
        <w:spacing w:after="0" w:line="235" w:lineRule="auto"/>
        <w:tabs>
          <w:tab w:leader="none" w:pos="150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xml:space="preserve">. This Agreement,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constitutes the entire agreement between the Company, on the one hand, and the Consultant, on the other hand, with respect to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60"/>
          </w:cols>
          <w:pgMar w:left="320" w:top="1065" w:right="319" w:bottom="1440" w:gutter="0" w:footer="0" w:header="0"/>
        </w:sectPr>
      </w:pPr>
    </w:p>
    <w:bookmarkStart w:id="105" w:name="page106"/>
    <w:bookmarkEnd w:id="105"/>
    <w:p>
      <w:pPr>
        <w:spacing w:after="0" w:line="235" w:lineRule="auto"/>
        <w:rPr>
          <w:sz w:val="20"/>
          <w:szCs w:val="20"/>
          <w:color w:val="auto"/>
        </w:rPr>
      </w:pPr>
      <w:r>
        <w:rPr>
          <w:rFonts w:ascii="Times New Roman" w:cs="Times New Roman" w:eastAsia="Times New Roman" w:hAnsi="Times New Roman"/>
          <w:sz w:val="16"/>
          <w:szCs w:val="16"/>
          <w:color w:val="auto"/>
        </w:rPr>
        <w:t>matters covered hereby and thereby and supersedes all prior agreements (whether written or oral and whether express or implied) between the parties and their affiliates to the extent related to such subject matter.</w:t>
      </w:r>
    </w:p>
    <w:p>
      <w:pPr>
        <w:spacing w:after="0" w:line="128" w:lineRule="exact"/>
        <w:rPr>
          <w:sz w:val="20"/>
          <w:szCs w:val="20"/>
          <w:color w:val="auto"/>
        </w:rPr>
      </w:pPr>
    </w:p>
    <w:p>
      <w:pPr>
        <w:ind w:right="100" w:firstLine="1023"/>
        <w:spacing w:after="0" w:line="218" w:lineRule="auto"/>
        <w:tabs>
          <w:tab w:leader="none" w:pos="15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xml:space="preserve">. This Agreement will be binding upon and inure to the benefit of the parties and their respective successors, permitted assigns and, in the case of the Consultant, personal representatives. Except in the case of the death of the Consultant and resulting termination as set forth in </w:t>
      </w:r>
      <w:r>
        <w:rPr>
          <w:rFonts w:ascii="Times New Roman" w:cs="Times New Roman" w:eastAsia="Times New Roman" w:hAnsi="Times New Roman"/>
          <w:sz w:val="16"/>
          <w:szCs w:val="16"/>
          <w:u w:val="single" w:color="auto"/>
          <w:color w:val="auto"/>
        </w:rPr>
        <w:t>Sections 5(c)</w:t>
      </w:r>
      <w:r>
        <w:rPr>
          <w:rFonts w:ascii="Times New Roman" w:cs="Times New Roman" w:eastAsia="Times New Roman" w:hAnsi="Times New Roman"/>
          <w:sz w:val="16"/>
          <w:szCs w:val="16"/>
          <w:color w:val="auto"/>
        </w:rPr>
        <w:t xml:space="preserve"> and 5(d)(iii), the Consultant may not assign, delegate or otherwise transfer any of the Consultant’s rights, interests or obligations in this Agreement without the prior written approval of the Company.</w:t>
      </w:r>
    </w:p>
    <w:p>
      <w:pPr>
        <w:spacing w:after="0" w:line="116" w:lineRule="exact"/>
        <w:rPr>
          <w:rFonts w:ascii="Times New Roman" w:cs="Times New Roman" w:eastAsia="Times New Roman" w:hAnsi="Times New Roman"/>
          <w:sz w:val="16"/>
          <w:szCs w:val="16"/>
          <w:color w:val="auto"/>
        </w:rPr>
      </w:pPr>
    </w:p>
    <w:p>
      <w:pPr>
        <w:ind w:right="520" w:firstLine="1023"/>
        <w:spacing w:after="0" w:line="235" w:lineRule="auto"/>
        <w:tabs>
          <w:tab w:leader="none" w:pos="152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each of which will be deemed an original but all of which together will constitute one and the same agreement. Signatures delivered by facsimile, PDF, or similar technology shall have the same force and effect as original signatures.</w:t>
      </w:r>
    </w:p>
    <w:p>
      <w:pPr>
        <w:spacing w:after="0" w:line="117" w:lineRule="exact"/>
        <w:rPr>
          <w:rFonts w:ascii="Times New Roman" w:cs="Times New Roman" w:eastAsia="Times New Roman" w:hAnsi="Times New Roman"/>
          <w:sz w:val="16"/>
          <w:szCs w:val="16"/>
          <w:color w:val="auto"/>
        </w:rPr>
      </w:pPr>
    </w:p>
    <w:p>
      <w:pPr>
        <w:ind w:right="20" w:firstLine="1023"/>
        <w:spacing w:after="0" w:line="218" w:lineRule="auto"/>
        <w:tabs>
          <w:tab w:leader="none" w:pos="1518"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notice pursuant to this Agreement must be in writing and will be deemed effectively given to the other party on the earliest of the date (i) three business days after such notice is sent by registered U.S. mail, return receipt requested, (ii) one business day after delivery of such notice into the custody and control of an overnight courier service for next day delivery, (iii) one business day after delivery of such notice in person and (iv) such notice is received by that party; in each case to the appropriate address below (or to such other address as a party may designate by notice to the other party):</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If to the Consultant: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Attention: Brian Lynch,</w:t>
      </w:r>
    </w:p>
    <w:p>
      <w:pPr>
        <w:ind w:left="300"/>
        <w:spacing w:after="0"/>
        <w:rPr>
          <w:sz w:val="20"/>
          <w:szCs w:val="20"/>
          <w:color w:val="auto"/>
        </w:rPr>
      </w:pPr>
      <w:r>
        <w:rPr>
          <w:rFonts w:ascii="Times New Roman" w:cs="Times New Roman" w:eastAsia="Times New Roman" w:hAnsi="Times New Roman"/>
          <w:sz w:val="16"/>
          <w:szCs w:val="16"/>
          <w:color w:val="auto"/>
        </w:rPr>
        <w:t>Address and Email Address on File with the Company</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If to the Company:</w:t>
      </w:r>
    </w:p>
    <w:p>
      <w:pPr>
        <w:spacing w:after="0" w:line="14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Attention: Jill A. Wilson, Senior Vice President, Human Resources &amp; Talent</w:t>
      </w:r>
    </w:p>
    <w:p>
      <w:pPr>
        <w:ind w:left="1020"/>
        <w:spacing w:after="0" w:line="207" w:lineRule="auto"/>
        <w:rPr>
          <w:sz w:val="20"/>
          <w:szCs w:val="20"/>
          <w:color w:val="auto"/>
        </w:rPr>
      </w:pPr>
      <w:r>
        <w:rPr>
          <w:rFonts w:ascii="Times New Roman" w:cs="Times New Roman" w:eastAsia="Times New Roman" w:hAnsi="Times New Roman"/>
          <w:sz w:val="16"/>
          <w:szCs w:val="16"/>
          <w:color w:val="auto"/>
        </w:rPr>
        <w:t>Development</w:t>
      </w:r>
    </w:p>
    <w:p>
      <w:pPr>
        <w:ind w:left="1020"/>
        <w:spacing w:after="0" w:line="208" w:lineRule="auto"/>
        <w:rPr>
          <w:sz w:val="20"/>
          <w:szCs w:val="20"/>
          <w:color w:val="auto"/>
        </w:rPr>
      </w:pPr>
      <w:r>
        <w:rPr>
          <w:rFonts w:ascii="Times New Roman" w:cs="Times New Roman" w:eastAsia="Times New Roman" w:hAnsi="Times New Roman"/>
          <w:sz w:val="16"/>
          <w:szCs w:val="16"/>
          <w:color w:val="auto"/>
        </w:rPr>
        <w:t>3438 Peachtree Road NE, Suite 1800</w:t>
      </w:r>
    </w:p>
    <w:p>
      <w:pPr>
        <w:ind w:left="1020"/>
        <w:spacing w:after="0" w:line="193" w:lineRule="auto"/>
        <w:rPr>
          <w:sz w:val="20"/>
          <w:szCs w:val="20"/>
          <w:color w:val="auto"/>
        </w:rPr>
      </w:pPr>
      <w:r>
        <w:rPr>
          <w:rFonts w:ascii="Times New Roman" w:cs="Times New Roman" w:eastAsia="Times New Roman" w:hAnsi="Times New Roman"/>
          <w:sz w:val="16"/>
          <w:szCs w:val="16"/>
          <w:color w:val="auto"/>
        </w:rPr>
        <w:t>Atlanta, GA 30326</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0000FF"/>
        </w:rPr>
        <w:t>Jill.Wilson@carters.com</w:t>
      </w:r>
    </w:p>
    <w:p>
      <w:pPr>
        <w:spacing w:after="0" w:line="148" w:lineRule="exact"/>
        <w:rPr>
          <w:sz w:val="20"/>
          <w:szCs w:val="20"/>
          <w:color w:val="auto"/>
        </w:rPr>
      </w:pPr>
    </w:p>
    <w:p>
      <w:pPr>
        <w:ind w:right="320" w:firstLine="509"/>
        <w:spacing w:after="0" w:line="235" w:lineRule="auto"/>
        <w:rPr>
          <w:sz w:val="20"/>
          <w:szCs w:val="20"/>
          <w:color w:val="auto"/>
        </w:rPr>
      </w:pPr>
      <w:r>
        <w:rPr>
          <w:rFonts w:ascii="Times New Roman" w:cs="Times New Roman" w:eastAsia="Times New Roman" w:hAnsi="Times New Roman"/>
          <w:sz w:val="16"/>
          <w:szCs w:val="16"/>
          <w:color w:val="auto"/>
        </w:rPr>
        <w:t>A “business day” for purposes of this Agreement means any day that is not a Saturday, Sunday or any other day on which banks are required or authorized by law to be closed in Georgia.</w:t>
      </w:r>
    </w:p>
    <w:p>
      <w:pPr>
        <w:spacing w:after="0" w:line="117" w:lineRule="exact"/>
        <w:rPr>
          <w:sz w:val="20"/>
          <w:szCs w:val="20"/>
          <w:color w:val="auto"/>
        </w:rPr>
      </w:pPr>
    </w:p>
    <w:p>
      <w:pPr>
        <w:ind w:right="40" w:firstLine="1023"/>
        <w:spacing w:after="0" w:line="218" w:lineRule="auto"/>
        <w:tabs>
          <w:tab w:leader="none" w:pos="152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and Waivers</w:t>
      </w:r>
      <w:r>
        <w:rPr>
          <w:rFonts w:ascii="Times New Roman" w:cs="Times New Roman" w:eastAsia="Times New Roman" w:hAnsi="Times New Roman"/>
          <w:sz w:val="16"/>
          <w:szCs w:val="16"/>
          <w:color w:val="auto"/>
        </w:rPr>
        <w:t>. No amendment of any provision of this Agreement will be valid unless the amendment is in writing and signed by the Company and the Consultant. No waiver of any provision of this Agreement will be valid unless the waiver is in writing and signed by the waiving party. The failure of a party at any time to require performance of any provision of this Agreement will not affect such party’s rights at a later time to enforce such provision. No waiver by a party of any breach of this Agreement will be deemed to extend to any other breach hereunder or affect in any way any rights arising by virtue of any other breach.</w:t>
      </w:r>
    </w:p>
    <w:p>
      <w:pPr>
        <w:spacing w:after="0" w:line="127" w:lineRule="exact"/>
        <w:rPr>
          <w:rFonts w:ascii="Times New Roman" w:cs="Times New Roman" w:eastAsia="Times New Roman" w:hAnsi="Times New Roman"/>
          <w:sz w:val="16"/>
          <w:szCs w:val="16"/>
          <w:color w:val="auto"/>
        </w:rPr>
      </w:pPr>
    </w:p>
    <w:p>
      <w:pPr>
        <w:jc w:val="both"/>
        <w:ind w:right="160" w:firstLine="1023"/>
        <w:spacing w:after="0" w:line="218" w:lineRule="auto"/>
        <w:tabs>
          <w:tab w:leader="none" w:pos="1524"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Each provision of this Agreement is severable from every other provision of this Agreement. Any provision of this Agreement that is determined by any court of competent jurisdiction to be invalid or unenforceable will not affect the validity or enforceability of any other provision hereof or the invalid or unenforceable provision in any other situation or in any other jurisdiction. Any provision of this Agreement held invalid or unenforceable only in part or degree will remain in full force and effect to the extent not held invalid or unenforceable.</w:t>
      </w:r>
    </w:p>
    <w:p>
      <w:pPr>
        <w:spacing w:after="0" w:line="127" w:lineRule="exact"/>
        <w:rPr>
          <w:rFonts w:ascii="Times New Roman" w:cs="Times New Roman" w:eastAsia="Times New Roman" w:hAnsi="Times New Roman"/>
          <w:sz w:val="16"/>
          <w:szCs w:val="16"/>
          <w:color w:val="auto"/>
        </w:rPr>
      </w:pPr>
    </w:p>
    <w:p>
      <w:pPr>
        <w:ind w:right="120" w:firstLine="1023"/>
        <w:spacing w:after="0" w:line="260" w:lineRule="auto"/>
        <w:tabs>
          <w:tab w:leader="none" w:pos="151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The section headings in this Agreement are inserted for convenience only and are not intended to affect the interpretation of this Agreement. Any reference in this Agreement to any Section refers to the corresponding Section of this Agreement. The word “including” in this Agreement means “including without limitation.” This Agreement will be construed as if drafted jointly by the Company, on the one hand, and the Consultant, on the other hand, and no presumption or burden of proof</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60"/>
          </w:cols>
          <w:pgMar w:left="300" w:top="1065" w:right="339" w:bottom="1440" w:gutter="0" w:footer="0" w:header="0"/>
        </w:sectPr>
      </w:pPr>
    </w:p>
    <w:bookmarkStart w:id="106" w:name="page107"/>
    <w:bookmarkEnd w:id="106"/>
    <w:p>
      <w:pPr>
        <w:ind w:right="140"/>
        <w:spacing w:after="0" w:line="235" w:lineRule="auto"/>
        <w:rPr>
          <w:sz w:val="20"/>
          <w:szCs w:val="20"/>
          <w:color w:val="auto"/>
        </w:rPr>
      </w:pPr>
      <w:r>
        <w:rPr>
          <w:rFonts w:ascii="Times New Roman" w:cs="Times New Roman" w:eastAsia="Times New Roman" w:hAnsi="Times New Roman"/>
          <w:sz w:val="16"/>
          <w:szCs w:val="16"/>
          <w:color w:val="auto"/>
        </w:rPr>
        <w:t>will arise favoring or disfavoring the Company, on the one hand, or the Consultant, on the other hand, by virtue of the authorship of any provision in this Agreement. All words in this Agreement will be construed to be of such gender or number as the circumstances require.</w:t>
      </w:r>
    </w:p>
    <w:p>
      <w:pPr>
        <w:spacing w:after="0" w:line="128" w:lineRule="exact"/>
        <w:rPr>
          <w:sz w:val="20"/>
          <w:szCs w:val="20"/>
          <w:color w:val="auto"/>
        </w:rPr>
      </w:pPr>
    </w:p>
    <w:p>
      <w:pPr>
        <w:ind w:left="1520" w:hanging="497"/>
        <w:spacing w:after="0"/>
        <w:tabs>
          <w:tab w:leader="none" w:pos="15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w:t>
      </w:r>
      <w:r>
        <w:rPr>
          <w:rFonts w:ascii="Times New Roman" w:cs="Times New Roman" w:eastAsia="Times New Roman" w:hAnsi="Times New Roman"/>
          <w:sz w:val="16"/>
          <w:szCs w:val="16"/>
          <w:color w:val="auto"/>
        </w:rPr>
        <w:t xml:space="preserve">. The terms of </w:t>
      </w:r>
      <w:r>
        <w:rPr>
          <w:rFonts w:ascii="Times New Roman" w:cs="Times New Roman" w:eastAsia="Times New Roman" w:hAnsi="Times New Roman"/>
          <w:sz w:val="16"/>
          <w:szCs w:val="16"/>
          <w:u w:val="single" w:color="auto"/>
          <w:color w:val="auto"/>
        </w:rPr>
        <w:t>Sections 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7</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8</w:t>
      </w:r>
      <w:r>
        <w:rPr>
          <w:rFonts w:ascii="Times New Roman" w:cs="Times New Roman" w:eastAsia="Times New Roman" w:hAnsi="Times New Roman"/>
          <w:sz w:val="16"/>
          <w:szCs w:val="16"/>
          <w:color w:val="auto"/>
        </w:rPr>
        <w:t xml:space="preserve"> will survive the expiration or termination of this Agreement for any reason.</w:t>
      </w:r>
    </w:p>
    <w:p>
      <w:pPr>
        <w:spacing w:after="0" w:line="134" w:lineRule="exact"/>
        <w:rPr>
          <w:rFonts w:ascii="Times New Roman" w:cs="Times New Roman" w:eastAsia="Times New Roman" w:hAnsi="Times New Roman"/>
          <w:sz w:val="16"/>
          <w:szCs w:val="16"/>
          <w:color w:val="auto"/>
        </w:rPr>
      </w:pPr>
    </w:p>
    <w:p>
      <w:pPr>
        <w:ind w:right="180" w:firstLine="1023"/>
        <w:spacing w:after="0" w:line="235" w:lineRule="auto"/>
        <w:tabs>
          <w:tab w:leader="none" w:pos="152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Remedies Cumulative</w:t>
      </w:r>
      <w:r>
        <w:rPr>
          <w:rFonts w:ascii="Times New Roman" w:cs="Times New Roman" w:eastAsia="Times New Roman" w:hAnsi="Times New Roman"/>
          <w:sz w:val="16"/>
          <w:szCs w:val="16"/>
          <w:color w:val="auto"/>
        </w:rPr>
        <w:t>. The rights and remedies of the parties under this Agreement are cumulative (not alternative) and in addition to all other rights and remedies available to such parties at law, in equity, by contract or otherwise.</w:t>
      </w:r>
    </w:p>
    <w:p>
      <w:pPr>
        <w:spacing w:after="0" w:line="127" w:lineRule="exact"/>
        <w:rPr>
          <w:rFonts w:ascii="Times New Roman" w:cs="Times New Roman" w:eastAsia="Times New Roman" w:hAnsi="Times New Roman"/>
          <w:sz w:val="16"/>
          <w:szCs w:val="16"/>
          <w:color w:val="auto"/>
        </w:rPr>
      </w:pPr>
    </w:p>
    <w:p>
      <w:pPr>
        <w:ind w:left="1540" w:hanging="517"/>
        <w:spacing w:after="0"/>
        <w:tabs>
          <w:tab w:leader="none" w:pos="15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Agreement will be governed by the laws of the State of Georgia without giving effect to any choice or conflict of law principles of</w:t>
      </w:r>
    </w:p>
    <w:p>
      <w:pPr>
        <w:spacing w:after="0" w:line="5"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any jurisdiction.</w:t>
      </w:r>
    </w:p>
    <w:p>
      <w:pPr>
        <w:spacing w:after="0" w:line="126" w:lineRule="exact"/>
        <w:rPr>
          <w:rFonts w:ascii="Times New Roman" w:cs="Times New Roman" w:eastAsia="Times New Roman" w:hAnsi="Times New Roman"/>
          <w:sz w:val="14"/>
          <w:szCs w:val="14"/>
          <w:color w:val="auto"/>
        </w:rPr>
      </w:pPr>
    </w:p>
    <w:p>
      <w:pPr>
        <w:ind w:firstLine="1023"/>
        <w:spacing w:after="0" w:line="213" w:lineRule="auto"/>
        <w:tabs>
          <w:tab w:leader="none" w:pos="1518"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of Amended Severance Agreement</w:t>
      </w:r>
      <w:r>
        <w:rPr>
          <w:rFonts w:ascii="Times New Roman" w:cs="Times New Roman" w:eastAsia="Times New Roman" w:hAnsi="Times New Roman"/>
          <w:sz w:val="16"/>
          <w:szCs w:val="16"/>
          <w:color w:val="auto"/>
        </w:rPr>
        <w:t>. Upon the Effective Date of this Agreement, the Amended Severance Agreement shall be immediately terminated and shall no longer be in force, except for the Restrictive Covenants, which shall continue for the term of this Agreement, and Section 4(b)(iii) (Participation in COBRA), which will continue and be paid pursuant to the terms of the Release Agreement. The parties hereto agree that such termination of the Amended Severance Agreement, as well as the Consultant’s retirement as an employee of the Company, shall not be considered a termination without “Cause” or resignation for “Good Reason” under the Amended Severance Agreement.</w:t>
      </w:r>
    </w:p>
    <w:p>
      <w:pPr>
        <w:spacing w:after="0" w:line="127" w:lineRule="exact"/>
        <w:rPr>
          <w:rFonts w:ascii="Times New Roman" w:cs="Times New Roman" w:eastAsia="Times New Roman" w:hAnsi="Times New Roman"/>
          <w:sz w:val="16"/>
          <w:szCs w:val="16"/>
          <w:color w:val="auto"/>
        </w:rPr>
      </w:pPr>
    </w:p>
    <w:p>
      <w:pPr>
        <w:ind w:right="280" w:firstLine="1023"/>
        <w:spacing w:after="0" w:line="221" w:lineRule="auto"/>
        <w:tabs>
          <w:tab w:leader="none" w:pos="152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Company Policies</w:t>
      </w:r>
      <w:r>
        <w:rPr>
          <w:rFonts w:ascii="Times New Roman" w:cs="Times New Roman" w:eastAsia="Times New Roman" w:hAnsi="Times New Roman"/>
          <w:sz w:val="16"/>
          <w:szCs w:val="16"/>
          <w:color w:val="auto"/>
        </w:rPr>
        <w:t>. Consultant shall, during the term of this Agreement, remain subject to, and comply with, the Company’s various policies, including, but not limited to, the Company’s Code of Ethics and the Insider Trading Policy, copies of which has been provided to the Consultant in connection with the execution of this Agreement.</w:t>
      </w:r>
    </w:p>
    <w:p>
      <w:pPr>
        <w:spacing w:after="0" w:line="128"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 Service of Process; Waiver of Jury Trial</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ind w:right="40" w:firstLine="1533"/>
        <w:spacing w:after="0" w:line="239" w:lineRule="auto"/>
        <w:tabs>
          <w:tab w:leader="none" w:pos="2035"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PARTY (A) CONSENTS TO THE NON-EXCLUSIVE PERSONAL JURISDICTION OF THE STATE COURTS OF THE STATE OF GEORGIA OR, TO THE EXTENT THERE IS EXCLUSIVE FEDERAL JURISDICTION, ANY FEDERAL COURT IN THE STATE OF GEORGIA (AND, IN EACH CASE, THE APPELLATE COURTS THEREFROM) (AND, IN EACH CASE, THE APPELLATE COURTS THEREFROM) IN ANY ACTION OR PROCEEDING ARISING OUT OF OR RELATING TO THIS AGREEMENT, OR THE NEGOTIATION, VALIDITY OR PERFORMANCE OF THIS AGREEMENT, (B) WAIVES ANY VENUE OR INCONVENIENT FORUM DEFENSE TO ANY PROCEEDING MAINTAINED IN SUCH COURTS, (C) EXCEPT AS OTHERWISE PROVIDED IN THIS AGREEMENT, AGREES NOT TO INITIATE ANY PROCEEDING ARISING OUT OF OR RELATING TO THIS AGREEMENT IN ANY OTHER COURT OR FORUM AND (D) IF ANY ACTION OR PROCEEDING IS ARISING OUT OF OR RELATING TO THIS AGREEMENT, OR THE NEGOTIATION, VALIDITY OR PERFORMANCE OF THIS AGREEMENT, IS COMMENCED IN ANY OTHER COURT OR FORUM, AGREES NOT TO OBJECT TO THE REMOVAL OF SUCH ACTION OR PROCEEDING TO THE AFOREMENTIONED COURTS. PROCESS IN ANY SUCH PROCEEDING MAY BE SERVED ON ANY PARTY ANYWHERE IN THE WORLD.</w:t>
      </w:r>
    </w:p>
    <w:p>
      <w:pPr>
        <w:spacing w:after="0" w:line="127" w:lineRule="exact"/>
        <w:rPr>
          <w:rFonts w:ascii="Times New Roman" w:cs="Times New Roman" w:eastAsia="Times New Roman" w:hAnsi="Times New Roman"/>
          <w:sz w:val="14"/>
          <w:szCs w:val="14"/>
          <w:color w:val="auto"/>
        </w:rPr>
      </w:pPr>
    </w:p>
    <w:p>
      <w:pPr>
        <w:ind w:right="380" w:firstLine="1533"/>
        <w:spacing w:after="0" w:line="283" w:lineRule="auto"/>
        <w:tabs>
          <w:tab w:leader="none" w:pos="2036"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FULLEST EXTENT PERMITTED BY LAW, EACH PARTY HEREBY WAIVES ALL RIGHTS TO A TRIAL BY JURY IN ANY LEGAL ACTION TO ENFORCE OR INTERPRET THE PROVISIONS OF THIS AGREEMENT OR THAT OTHERWISE RELATES TO THIS AGREEMENT.</w:t>
      </w:r>
    </w:p>
    <w:p>
      <w:pPr>
        <w:spacing w:after="0" w:line="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00" w:top="1065" w:right="359" w:bottom="1440" w:gutter="0" w:footer="0" w:header="0"/>
        </w:sectPr>
      </w:pPr>
    </w:p>
    <w:bookmarkStart w:id="107" w:name="page108"/>
    <w:bookmarkEnd w:id="107"/>
    <w:p>
      <w:pPr>
        <w:ind w:left="160"/>
        <w:spacing w:after="0"/>
        <w:rPr>
          <w:sz w:val="20"/>
          <w:szCs w:val="20"/>
          <w:color w:val="auto"/>
        </w:rPr>
      </w:pPr>
      <w:r>
        <w:rPr>
          <w:rFonts w:ascii="Times New Roman" w:cs="Times New Roman" w:eastAsia="Times New Roman" w:hAnsi="Times New Roman"/>
          <w:sz w:val="14"/>
          <w:szCs w:val="14"/>
          <w:color w:val="auto"/>
        </w:rPr>
        <w:t>IN WITNESS WHEREOF, the parties hereto have executed and delivered this Agreement as of the Effective Date.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Consultant</w:t>
      </w:r>
      <w:r>
        <w:rPr>
          <w:rFonts w:ascii="Times New Roman" w:cs="Times New Roman" w:eastAsia="Times New Roman" w:hAnsi="Times New Roman"/>
          <w:sz w:val="16"/>
          <w:szCs w:val="16"/>
          <w:b w:val="1"/>
          <w:bCs w:val="1"/>
          <w:color w:val="auto"/>
        </w:rPr>
        <w: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 Brian J. Lynch</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Company</w:t>
      </w:r>
      <w:r>
        <w:rPr>
          <w:rFonts w:ascii="Times New Roman" w:cs="Times New Roman" w:eastAsia="Times New Roman" w:hAnsi="Times New Roman"/>
          <w:sz w:val="16"/>
          <w:szCs w:val="16"/>
          <w:b w:val="1"/>
          <w:bCs w:val="1"/>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/s/Jill A. Wilson</w:t>
      </w:r>
    </w:p>
    <w:p>
      <w:pPr>
        <w:spacing w:after="0" w:line="207" w:lineRule="auto"/>
        <w:rPr>
          <w:sz w:val="20"/>
          <w:szCs w:val="20"/>
          <w:color w:val="auto"/>
        </w:rPr>
      </w:pPr>
      <w:r>
        <w:rPr>
          <w:rFonts w:ascii="Times New Roman" w:cs="Times New Roman" w:eastAsia="Times New Roman" w:hAnsi="Times New Roman"/>
          <w:sz w:val="16"/>
          <w:szCs w:val="16"/>
          <w:color w:val="auto"/>
        </w:rPr>
        <w:t xml:space="preserve">Name: </w:t>
      </w:r>
      <w:r>
        <w:rPr>
          <w:rFonts w:ascii="Times New Roman" w:cs="Times New Roman" w:eastAsia="Times New Roman" w:hAnsi="Times New Roman"/>
          <w:sz w:val="16"/>
          <w:szCs w:val="16"/>
          <w:u w:val="single" w:color="auto"/>
          <w:color w:val="auto"/>
        </w:rPr>
        <w:t>Jill A. Wilson</w:t>
      </w:r>
    </w:p>
    <w:p>
      <w:pPr>
        <w:spacing w:after="0" w:line="208" w:lineRule="auto"/>
        <w:rPr>
          <w:sz w:val="20"/>
          <w:szCs w:val="20"/>
          <w:color w:val="auto"/>
        </w:rPr>
      </w:pPr>
      <w:r>
        <w:rPr>
          <w:rFonts w:ascii="Times New Roman" w:cs="Times New Roman" w:eastAsia="Times New Roman" w:hAnsi="Times New Roman"/>
          <w:sz w:val="16"/>
          <w:szCs w:val="16"/>
          <w:color w:val="auto"/>
        </w:rPr>
        <w:t xml:space="preserve">Title: </w:t>
      </w:r>
      <w:r>
        <w:rPr>
          <w:rFonts w:ascii="Times New Roman" w:cs="Times New Roman" w:eastAsia="Times New Roman" w:hAnsi="Times New Roman"/>
          <w:sz w:val="16"/>
          <w:szCs w:val="16"/>
          <w:u w:val="single" w:color="auto"/>
          <w:color w:val="auto"/>
        </w:rPr>
        <w:t>Senior Vice President, Human Resources &amp;</w:t>
      </w:r>
    </w:p>
    <w:p>
      <w:pPr>
        <w:ind w:left="380"/>
        <w:spacing w:after="0"/>
        <w:rPr>
          <w:sz w:val="20"/>
          <w:szCs w:val="20"/>
          <w:color w:val="auto"/>
        </w:rPr>
      </w:pPr>
      <w:r>
        <w:rPr>
          <w:rFonts w:ascii="Times New Roman" w:cs="Times New Roman" w:eastAsia="Times New Roman" w:hAnsi="Times New Roman"/>
          <w:sz w:val="16"/>
          <w:szCs w:val="16"/>
          <w:u w:val="single" w:color="auto"/>
          <w:color w:val="auto"/>
        </w:rPr>
        <w:t>Talent Development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1"/>
          <w:szCs w:val="11"/>
          <w:i w:val="1"/>
          <w:iCs w:val="1"/>
          <w:color w:val="auto"/>
        </w:rPr>
        <w:t>Signature Page to Consulting Agreement</w:t>
      </w:r>
      <w:r>
        <w:rPr>
          <w:rFonts w:ascii="Times New Roman" w:cs="Times New Roman" w:eastAsia="Times New Roman" w:hAnsi="Times New Roman"/>
          <w:sz w:val="16"/>
          <w:szCs w:val="16"/>
          <w:color w:val="auto"/>
        </w:rPr>
        <w:t>]</w:t>
      </w:r>
    </w:p>
    <w:p>
      <w:pPr>
        <w:sectPr>
          <w:pgSz w:w="11900" w:h="16838" w:orient="portrait"/>
          <w:cols w:equalWidth="0" w:num="1">
            <w:col w:w="10159"/>
          </w:cols>
          <w:pgMar w:left="300" w:top="1065" w:right="1440" w:bottom="1440" w:gutter="0" w:footer="0" w:header="0"/>
        </w:sectPr>
      </w:pPr>
    </w:p>
    <w:bookmarkStart w:id="108" w:name="page109"/>
    <w:bookmarkEnd w:id="108"/>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21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u w:val="single" w:color="auto"/>
          <w:color w:val="auto"/>
        </w:rPr>
        <w:t>RELEASE AGREEMENT</w:t>
      </w:r>
    </w:p>
    <w:p>
      <w:pPr>
        <w:spacing w:after="0" w:line="23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THIS RELEASE AGREEMENT (“</w:t>
      </w:r>
      <w:r>
        <w:rPr>
          <w:rFonts w:ascii="Times New Roman" w:cs="Times New Roman" w:eastAsia="Times New Roman" w:hAnsi="Times New Roman"/>
          <w:sz w:val="14"/>
          <w:szCs w:val="14"/>
          <w:u w:val="single" w:color="auto"/>
          <w:color w:val="auto"/>
        </w:rPr>
        <w:t>Agreement</w:t>
      </w:r>
      <w:r>
        <w:rPr>
          <w:rFonts w:ascii="Times New Roman" w:cs="Times New Roman" w:eastAsia="Times New Roman" w:hAnsi="Times New Roman"/>
          <w:sz w:val="14"/>
          <w:szCs w:val="14"/>
          <w:color w:val="auto"/>
        </w:rPr>
        <w:t>”) is made by and between Brian J. Lynch (“</w:t>
      </w:r>
      <w:r>
        <w:rPr>
          <w:rFonts w:ascii="Times New Roman" w:cs="Times New Roman" w:eastAsia="Times New Roman" w:hAnsi="Times New Roman"/>
          <w:sz w:val="14"/>
          <w:szCs w:val="14"/>
          <w:u w:val="single" w:color="auto"/>
          <w:color w:val="auto"/>
        </w:rPr>
        <w:t>Executive</w:t>
      </w:r>
      <w:r>
        <w:rPr>
          <w:rFonts w:ascii="Times New Roman" w:cs="Times New Roman" w:eastAsia="Times New Roman" w:hAnsi="Times New Roman"/>
          <w:sz w:val="14"/>
          <w:szCs w:val="14"/>
          <w:color w:val="auto"/>
        </w:rPr>
        <w:t>”), Carter’s, Inc. (“Carter’s”) and its subsidiary The William Carter</w:t>
      </w:r>
    </w:p>
    <w:p>
      <w:pPr>
        <w:spacing w:after="0" w:line="16" w:lineRule="exact"/>
        <w:rPr>
          <w:sz w:val="20"/>
          <w:szCs w:val="20"/>
          <w:color w:val="auto"/>
        </w:rPr>
      </w:pPr>
    </w:p>
    <w:p>
      <w:pPr>
        <w:ind w:left="60" w:right="140"/>
        <w:spacing w:after="0" w:line="217" w:lineRule="auto"/>
        <w:rPr>
          <w:sz w:val="20"/>
          <w:szCs w:val="20"/>
          <w:color w:val="auto"/>
        </w:rPr>
      </w:pPr>
      <w:r>
        <w:rPr>
          <w:rFonts w:ascii="Times New Roman" w:cs="Times New Roman" w:eastAsia="Times New Roman" w:hAnsi="Times New Roman"/>
          <w:sz w:val="16"/>
          <w:szCs w:val="16"/>
          <w:color w:val="auto"/>
        </w:rPr>
        <w:t>Company (“TWCC” and, together with Carter’s,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Capitalized terms used in this Agreement and not otherwise defined are defined in the Consulting Agreement between TWCC and the Company.</w:t>
      </w:r>
    </w:p>
    <w:p>
      <w:pPr>
        <w:spacing w:after="0" w:line="210" w:lineRule="exact"/>
        <w:rPr>
          <w:sz w:val="20"/>
          <w:szCs w:val="20"/>
          <w:color w:val="auto"/>
        </w:rPr>
      </w:pPr>
    </w:p>
    <w:p>
      <w:pPr>
        <w:ind w:left="60" w:right="680" w:firstLine="509"/>
        <w:spacing w:after="0" w:line="27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TWCC and Executive have executed the Consulting Agreement, entered into as of February 21, 2024 (the “</w:t>
      </w:r>
      <w:r>
        <w:rPr>
          <w:rFonts w:ascii="Times New Roman" w:cs="Times New Roman" w:eastAsia="Times New Roman" w:hAnsi="Times New Roman"/>
          <w:sz w:val="14"/>
          <w:szCs w:val="14"/>
          <w:u w:val="single" w:color="auto"/>
          <w:color w:val="auto"/>
        </w:rPr>
        <w:t>Consulting Agreement</w:t>
      </w:r>
      <w:r>
        <w:rPr>
          <w:rFonts w:ascii="Times New Roman" w:cs="Times New Roman" w:eastAsia="Times New Roman" w:hAnsi="Times New Roman"/>
          <w:sz w:val="14"/>
          <w:szCs w:val="14"/>
          <w:color w:val="auto"/>
        </w:rPr>
        <w:t>”), as part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Executive’s retirement from the Company, with the effectiveness of the Consulting Agreement conditioned, among other things, on the effectiveness of the Agreement;</w:t>
      </w:r>
    </w:p>
    <w:p>
      <w:pPr>
        <w:spacing w:after="0" w:line="1" w:lineRule="exact"/>
        <w:rPr>
          <w:sz w:val="20"/>
          <w:szCs w:val="20"/>
          <w:color w:val="auto"/>
        </w:rPr>
      </w:pPr>
    </w:p>
    <w:p>
      <w:pPr>
        <w:ind w:left="60" w:right="140" w:firstLine="509"/>
        <w:spacing w:after="0" w:line="22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as part of entering into the Consulting Agreement, TWCC and Executive desire to terminate that certain March 2, 2011 Amended and Restated Severance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(the “</w:t>
      </w:r>
      <w:r>
        <w:rPr>
          <w:rFonts w:ascii="Times New Roman" w:cs="Times New Roman" w:eastAsia="Times New Roman" w:hAnsi="Times New Roman"/>
          <w:sz w:val="16"/>
          <w:szCs w:val="16"/>
          <w:u w:val="single" w:color="auto"/>
          <w:color w:val="auto"/>
        </w:rPr>
        <w:t>Severance Agreement</w:t>
      </w:r>
      <w:r>
        <w:rPr>
          <w:rFonts w:ascii="Times New Roman" w:cs="Times New Roman" w:eastAsia="Times New Roman" w:hAnsi="Times New Roman"/>
          <w:sz w:val="16"/>
          <w:szCs w:val="16"/>
          <w:color w:val="auto"/>
        </w:rPr>
        <w:t>”), which was amended by execution of an Amendment No. 1 on or about May 15, 2013 (the Severance Agreement, as amended by Amended No. 1, the “</w:t>
      </w:r>
      <w:r>
        <w:rPr>
          <w:rFonts w:ascii="Times New Roman" w:cs="Times New Roman" w:eastAsia="Times New Roman" w:hAnsi="Times New Roman"/>
          <w:sz w:val="16"/>
          <w:szCs w:val="16"/>
          <w:u w:val="single" w:color="auto"/>
          <w:color w:val="auto"/>
        </w:rPr>
        <w:t>Amended Severance Agreement</w:t>
      </w:r>
      <w:r>
        <w:rPr>
          <w:rFonts w:ascii="Times New Roman" w:cs="Times New Roman" w:eastAsia="Times New Roman" w:hAnsi="Times New Roman"/>
          <w:sz w:val="16"/>
          <w:szCs w:val="16"/>
          <w:color w:val="auto"/>
        </w:rPr>
        <w:t>”);</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Executive has provided the Company valuable service during his employment;</w:t>
      </w:r>
    </w:p>
    <w:p>
      <w:pPr>
        <w:spacing w:after="0" w:line="166" w:lineRule="exact"/>
        <w:rPr>
          <w:sz w:val="20"/>
          <w:szCs w:val="20"/>
          <w:color w:val="auto"/>
        </w:rPr>
      </w:pPr>
    </w:p>
    <w:p>
      <w:pPr>
        <w:ind w:left="60" w:right="60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Company and the Executive desire to enter into this Agreement with respect to their respective rights and obligations regarding the payment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Severance Benefits (as defined herein) under the Amended Severance Agreement; and</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Company and the Executive wish to memorialize the terms and conditions of their agreement;</w:t>
      </w:r>
    </w:p>
    <w:p>
      <w:pPr>
        <w:spacing w:after="0" w:line="166" w:lineRule="exact"/>
        <w:rPr>
          <w:sz w:val="20"/>
          <w:szCs w:val="20"/>
          <w:color w:val="auto"/>
        </w:rPr>
      </w:pPr>
    </w:p>
    <w:p>
      <w:pPr>
        <w:ind w:left="60" w:right="320" w:firstLine="509"/>
        <w:spacing w:after="0" w:line="237"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foregoing premises and the mutual promises, terms, provisions, and conditions set forth in this Agreement, the receipt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sufficiency of which are hereby acknowledged, the parties hereby agree as follows:</w:t>
      </w:r>
    </w:p>
    <w:p>
      <w:pPr>
        <w:spacing w:after="0" w:line="137" w:lineRule="exact"/>
        <w:rPr>
          <w:sz w:val="20"/>
          <w:szCs w:val="20"/>
          <w:color w:val="auto"/>
        </w:rPr>
      </w:pPr>
    </w:p>
    <w:p>
      <w:pPr>
        <w:ind w:left="960" w:hanging="506"/>
        <w:spacing w:after="0"/>
        <w:tabs>
          <w:tab w:leader="none" w:pos="9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Separation from Service</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left="80" w:right="40" w:firstLine="883"/>
        <w:spacing w:after="0" w:line="221" w:lineRule="auto"/>
        <w:tabs>
          <w:tab w:leader="none" w:pos="1473"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provided herein, each of the Executive and the Company hereby waive any notice that might otherwise be required from the other in connection with the Executive’s retirement from the Company, whether under the Severance Agreement or otherwise, and the parties hereby confirm that the Executive’s employment by the Company will terminate, effective as of February 29, 2024 (the “</w:t>
      </w:r>
      <w:r>
        <w:rPr>
          <w:rFonts w:ascii="Times New Roman" w:cs="Times New Roman" w:eastAsia="Times New Roman" w:hAnsi="Times New Roman"/>
          <w:sz w:val="16"/>
          <w:szCs w:val="16"/>
          <w:u w:val="single" w:color="auto"/>
          <w:color w:val="auto"/>
        </w:rPr>
        <w:t>Retirement Date</w:t>
      </w:r>
      <w:r>
        <w:rPr>
          <w:rFonts w:ascii="Times New Roman" w:cs="Times New Roman" w:eastAsia="Times New Roman" w:hAnsi="Times New Roman"/>
          <w:sz w:val="16"/>
          <w:szCs w:val="16"/>
          <w:color w:val="auto"/>
        </w:rPr>
        <w:t>”).</w:t>
      </w:r>
    </w:p>
    <w:p>
      <w:pPr>
        <w:spacing w:after="0" w:line="149" w:lineRule="exact"/>
        <w:rPr>
          <w:rFonts w:ascii="Times New Roman" w:cs="Times New Roman" w:eastAsia="Times New Roman" w:hAnsi="Times New Roman"/>
          <w:sz w:val="16"/>
          <w:szCs w:val="16"/>
          <w:color w:val="auto"/>
        </w:rPr>
      </w:pPr>
    </w:p>
    <w:p>
      <w:pPr>
        <w:ind w:left="80" w:right="360" w:firstLine="883"/>
        <w:spacing w:after="0" w:line="221" w:lineRule="auto"/>
        <w:tabs>
          <w:tab w:leader="none" w:pos="1471"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and the Company also hereby confirm that, effective as of the Retirement Date, Executive shall resign, and the Company shall accept his resignation, from the Executive’s occupancy of all offices and directorships for any of the Company’s subsidiaries or other affiliates. Executive shall execute such additional confirmations of the foregoing resignations as the Company may reasonably request.</w:t>
      </w:r>
    </w:p>
    <w:p>
      <w:pPr>
        <w:spacing w:after="0" w:line="149" w:lineRule="exact"/>
        <w:rPr>
          <w:rFonts w:ascii="Times New Roman" w:cs="Times New Roman" w:eastAsia="Times New Roman" w:hAnsi="Times New Roman"/>
          <w:sz w:val="16"/>
          <w:szCs w:val="16"/>
          <w:color w:val="auto"/>
        </w:rPr>
      </w:pPr>
    </w:p>
    <w:p>
      <w:pPr>
        <w:jc w:val="both"/>
        <w:ind w:left="-60" w:right="140" w:firstLine="514"/>
        <w:spacing w:after="0" w:line="260" w:lineRule="auto"/>
        <w:tabs>
          <w:tab w:leader="none" w:pos="95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Compensation and Benefits</w:t>
      </w:r>
      <w:r>
        <w:rPr>
          <w:rFonts w:ascii="Times New Roman" w:cs="Times New Roman" w:eastAsia="Times New Roman" w:hAnsi="Times New Roman"/>
          <w:sz w:val="14"/>
          <w:szCs w:val="14"/>
          <w:color w:val="auto"/>
        </w:rPr>
        <w:t>. In consideration of Executive’s promises, covenants, and release of claims contained herein, the Company shall pay to Executive the payments required under Section 4(b)(iii) (Participation in COBRA) of the Amended Severance Agreement (the “</w:t>
      </w:r>
      <w:r>
        <w:rPr>
          <w:rFonts w:ascii="Times New Roman" w:cs="Times New Roman" w:eastAsia="Times New Roman" w:hAnsi="Times New Roman"/>
          <w:sz w:val="14"/>
          <w:szCs w:val="14"/>
          <w:u w:val="single" w:color="auto"/>
          <w:color w:val="auto"/>
        </w:rPr>
        <w:t>Severance Benefits</w:t>
      </w:r>
      <w:r>
        <w:rPr>
          <w:rFonts w:ascii="Times New Roman" w:cs="Times New Roman" w:eastAsia="Times New Roman" w:hAnsi="Times New Roman"/>
          <w:sz w:val="14"/>
          <w:szCs w:val="14"/>
          <w:color w:val="auto"/>
        </w:rPr>
        <w:t>”) in full satisfaction of any rights Executive may have under the Amended Severance Agreement, subject to the other terms and conditions of this Agreement and the Amended Severance Agreement.</w:t>
      </w:r>
    </w:p>
    <w:p>
      <w:pPr>
        <w:spacing w:after="0" w:line="134" w:lineRule="exact"/>
        <w:rPr>
          <w:rFonts w:ascii="Times New Roman" w:cs="Times New Roman" w:eastAsia="Times New Roman" w:hAnsi="Times New Roman"/>
          <w:sz w:val="14"/>
          <w:szCs w:val="14"/>
          <w:color w:val="auto"/>
        </w:rPr>
      </w:pPr>
    </w:p>
    <w:p>
      <w:pPr>
        <w:ind w:left="-60" w:firstLine="514"/>
        <w:spacing w:after="0" w:line="260" w:lineRule="auto"/>
        <w:tabs>
          <w:tab w:leader="none" w:pos="958"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w:t>
      </w:r>
      <w:r>
        <w:rPr>
          <w:rFonts w:ascii="Times New Roman" w:cs="Times New Roman" w:eastAsia="Times New Roman" w:hAnsi="Times New Roman"/>
          <w:sz w:val="14"/>
          <w:szCs w:val="14"/>
          <w:color w:val="auto"/>
        </w:rPr>
        <w:t>. All Severance Benefits provided directly or indirectly by the Company under this Agreement shall be reduced by any tax or other amounts required to be withheld under applicable law, and all such withheld amounts shall be deemed to have been paid to Executive hereunder. The Company may withhold, or cause to be withheld, from any source of payments owed to Executive; or, if the cash portion of amounts paid contemporaneously with the withholding obligation are not sufficient, the Company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160"/>
          </w:cols>
          <w:pgMar w:left="360" w:top="1440" w:right="379" w:bottom="1440" w:gutter="0" w:footer="0" w:header="0"/>
        </w:sectPr>
      </w:pPr>
    </w:p>
    <w:bookmarkStart w:id="109" w:name="page110"/>
    <w:bookmarkEnd w:id="109"/>
    <w:p>
      <w:pPr>
        <w:ind w:right="320"/>
        <w:spacing w:after="0" w:line="235" w:lineRule="auto"/>
        <w:rPr>
          <w:sz w:val="20"/>
          <w:szCs w:val="20"/>
          <w:color w:val="auto"/>
        </w:rPr>
      </w:pPr>
      <w:r>
        <w:rPr>
          <w:rFonts w:ascii="Times New Roman" w:cs="Times New Roman" w:eastAsia="Times New Roman" w:hAnsi="Times New Roman"/>
          <w:sz w:val="16"/>
          <w:szCs w:val="16"/>
          <w:color w:val="auto"/>
        </w:rPr>
        <w:t>may require Executive to pay (and Executive upon notice thereof shall promptly pay) by separate check, all amounts required to be withheld in respect of any such payments or benefits.</w:t>
      </w:r>
    </w:p>
    <w:p>
      <w:pPr>
        <w:spacing w:after="0" w:line="149" w:lineRule="exact"/>
        <w:rPr>
          <w:sz w:val="20"/>
          <w:szCs w:val="20"/>
          <w:color w:val="auto"/>
        </w:rPr>
      </w:pPr>
    </w:p>
    <w:p>
      <w:pPr>
        <w:ind w:right="140" w:firstLine="514"/>
        <w:spacing w:after="0" w:line="218" w:lineRule="auto"/>
        <w:tabs>
          <w:tab w:leader="none" w:pos="101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Acknowledgment of Full Payment</w:t>
      </w:r>
      <w:r>
        <w:rPr>
          <w:rFonts w:ascii="Times New Roman" w:cs="Times New Roman" w:eastAsia="Times New Roman" w:hAnsi="Times New Roman"/>
          <w:sz w:val="16"/>
          <w:szCs w:val="16"/>
          <w:color w:val="auto"/>
        </w:rPr>
        <w:t>. Executive hereby acknowledges and agrees that the Severance Benefits are in complete satisfaction of all compensation due to Executive from the Company, whether for services provided to the Company or otherwise, through the Retirement Date, and that no further compensation of any kind is owed or will be paid to the Executive. Notwithstanding the foregoing, subject to the terms and conditions of the Consulting Agreement, the Executive shall be entitled to further payments under the Consulting Agreement after the Retirement Date.</w:t>
      </w:r>
    </w:p>
    <w:p>
      <w:pPr>
        <w:spacing w:after="0" w:line="13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Status of Employee Benefits</w:t>
      </w:r>
      <w:r>
        <w:rPr>
          <w:rFonts w:ascii="Times New Roman" w:cs="Times New Roman" w:eastAsia="Times New Roman" w:hAnsi="Times New Roman"/>
          <w:sz w:val="16"/>
          <w:szCs w:val="16"/>
          <w:color w:val="auto"/>
        </w:rPr>
        <w:t>. Executive’s participation in all employee benefit plans of the Company will cease in accordance with the terms of those plans.</w:t>
      </w:r>
    </w:p>
    <w:p>
      <w:pPr>
        <w:spacing w:after="0" w:line="164" w:lineRule="exact"/>
        <w:rPr>
          <w:rFonts w:ascii="Times New Roman" w:cs="Times New Roman" w:eastAsia="Times New Roman" w:hAnsi="Times New Roman"/>
          <w:sz w:val="16"/>
          <w:szCs w:val="16"/>
          <w:color w:val="auto"/>
        </w:rPr>
      </w:pPr>
    </w:p>
    <w:p>
      <w:pPr>
        <w:ind w:right="140" w:firstLine="514"/>
        <w:spacing w:after="0" w:line="222" w:lineRule="auto"/>
        <w:tabs>
          <w:tab w:leader="none" w:pos="101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Surviving Obligations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Sections 4(b)(iii) and 10 of the Amended Severance Agreement, and such other provisions of the Severance Agreement as are necessary or desirable for the enforcement by the Company of its rights under those enumerated paragraphs, shall survive execution of this Agreement and the retirement of Executive and the termination of the Amended Severance Agreement as set forth in the Consulting Agreement.</w:t>
      </w:r>
    </w:p>
    <w:p>
      <w:pPr>
        <w:spacing w:after="0" w:line="14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of Claims</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right="140" w:firstLine="1023"/>
        <w:spacing w:after="0" w:line="212" w:lineRule="auto"/>
        <w:tabs>
          <w:tab w:leader="none" w:pos="152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exchange for the Severance Benefits, and for other good and valuable consideration, to which Executive would not otherwise be entitled, Executive agrees completely and irrevocably to release all claims, obligations, causes of action and demands which he has or ever had, from the beginning of time to the Retirement Date, against the Company, its parents, subsidiaries, divisions, joint ventures, partnerships and/or affiliated entities, their predecessors, successors and assigns, and all of their present and/or former officers, directors, managers, supervisors, employees, shareholders, agents, representatives, and employee benefit or pension plans or funds (and the trustees, administrators, fiduciaries and insurers of such programs) (collectively, the “</w:t>
      </w:r>
      <w:r>
        <w:rPr>
          <w:rFonts w:ascii="Times New Roman" w:cs="Times New Roman" w:eastAsia="Times New Roman" w:hAnsi="Times New Roman"/>
          <w:sz w:val="16"/>
          <w:szCs w:val="16"/>
          <w:u w:val="single" w:color="auto"/>
          <w:color w:val="auto"/>
        </w:rPr>
        <w:t>Released Parties</w:t>
      </w:r>
      <w:r>
        <w:rPr>
          <w:rFonts w:ascii="Times New Roman" w:cs="Times New Roman" w:eastAsia="Times New Roman" w:hAnsi="Times New Roman"/>
          <w:sz w:val="16"/>
          <w:szCs w:val="16"/>
          <w:color w:val="auto"/>
        </w:rPr>
        <w:t>”). Executive agrees that any person acting by, through or under his, such as his heirs, executors, administrators, representatives and assigns, are also bound by his release of claims.</w:t>
      </w:r>
    </w:p>
    <w:p>
      <w:pPr>
        <w:spacing w:after="0" w:line="149" w:lineRule="exact"/>
        <w:rPr>
          <w:rFonts w:ascii="Times New Roman" w:cs="Times New Roman" w:eastAsia="Times New Roman" w:hAnsi="Times New Roman"/>
          <w:sz w:val="16"/>
          <w:szCs w:val="16"/>
          <w:color w:val="auto"/>
        </w:rPr>
      </w:pPr>
    </w:p>
    <w:p>
      <w:pPr>
        <w:ind w:firstLine="1023"/>
        <w:spacing w:after="0" w:line="207" w:lineRule="auto"/>
        <w:tabs>
          <w:tab w:leader="none" w:pos="151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understands that these are the claims his release includes but are not limited to: (i) any claims under Title VII of the Civil Rights Act of 1964, the Civil Rights Act of 1866, the Civil Rights Act of 1991, the Americans With Disabilities Act, the Age Discrimination in Employment Act of 1967, the Older Workers Benefit Protection Act, the Equal Pay Act, the National Labor Relations Act, the Pregnancy Discrimination Act, the Genetic Information and Discrimination Act of 2008, the Employee Retirement Income Security Act of 1974, Sections 503 and 504 of the Rehabilitation Act of 1973, the Worker Adjustment Retraining and Notification Act, and the Sarbanes Oxley Act of 2002, all as amended; (ii) any claims under any state or local labor law and/or discrimination law, and all other federal, state and local discrimination, labor or employment laws or regulations; (iii) any other claims relating to or arising out of his employment, the terms and conditions of his employment and/or the termination of his employment, in law or in equity, including, without limitation, claims for discrimination, retaliation, or harassment (on the basis of age, race, color, religion, national origin, gender, sexual orientation, marital status, citizenship status, genetic predisposition, veteran status or any other basis protected by law), whistle-blowing, breach of contract (oral or written, express or implied) or of policy or practice, constructive discharge, wrongful discharge, detrimental reliance, negligence, emotional distress, pain and suffering, compensatory and punitive damages and all other torts, including any intentional torts, such as defamation; (iv) any claims subject to federal, state and local occupational safety and health laws and regulations; (v) claims under any other federal, state or local Constitution, statute, regulation, or agreement or duty; and (vi) any claims for attorneys’ fees, costs, disbursements and/or the like, or for equitable relief and reinstatement.</w:t>
      </w:r>
    </w:p>
    <w:p>
      <w:pPr>
        <w:spacing w:after="0" w:line="154"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understands that he is releasing all claims, whether or not they are known to his at the time he signs this Agreement.</w:t>
      </w:r>
    </w:p>
    <w:p>
      <w:pPr>
        <w:spacing w:after="0" w:line="166" w:lineRule="exact"/>
        <w:rPr>
          <w:rFonts w:ascii="Times New Roman" w:cs="Times New Roman" w:eastAsia="Times New Roman" w:hAnsi="Times New Roman"/>
          <w:sz w:val="16"/>
          <w:szCs w:val="16"/>
          <w:color w:val="auto"/>
        </w:rPr>
      </w:pPr>
    </w:p>
    <w:p>
      <w:pPr>
        <w:ind w:right="20" w:firstLine="1023"/>
        <w:spacing w:after="0" w:line="260" w:lineRule="auto"/>
        <w:tabs>
          <w:tab w:leader="none" w:pos="1518"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understands this Agreement does not apply to any claims or rights (i) that may arise after the date that Executive signs this Agreement, (ii) for the consideration for or breach of this Agreement, (iii) for reimbursement of business expenses incurred on behalf of the Company under the Company’s expense reimbursement policies, (iv) for vested rights under any Company ERISA-covered employee benefit plans as applicable on the date Executive signs this Agreement, (v) for any claims that</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00" w:top="1065" w:right="339" w:bottom="1440" w:gutter="0" w:footer="0" w:header="0"/>
        </w:sectPr>
      </w:pPr>
    </w:p>
    <w:bookmarkStart w:id="110" w:name="page111"/>
    <w:bookmarkEnd w:id="110"/>
    <w:p>
      <w:pPr>
        <w:jc w:val="both"/>
        <w:ind w:right="140"/>
        <w:spacing w:after="0" w:line="226" w:lineRule="auto"/>
        <w:rPr>
          <w:sz w:val="20"/>
          <w:szCs w:val="20"/>
          <w:color w:val="auto"/>
        </w:rPr>
      </w:pPr>
      <w:r>
        <w:rPr>
          <w:rFonts w:ascii="Times New Roman" w:cs="Times New Roman" w:eastAsia="Times New Roman" w:hAnsi="Times New Roman"/>
          <w:sz w:val="16"/>
          <w:szCs w:val="16"/>
          <w:color w:val="auto"/>
        </w:rPr>
        <w:t>controlling law clearly states may not be released by settlement, such as, but not limited to, claims for Worker’s Compensation benefits for job-related illness or injury, (vi) for any right of indemnification that the Executive has pursuant to the Articles of Incorporation or By-Laws of the Company, or (vii) to challenge the validity of this Agreement under the Older Workers Benefit Protection Act (“</w:t>
      </w:r>
      <w:r>
        <w:rPr>
          <w:rFonts w:ascii="Times New Roman" w:cs="Times New Roman" w:eastAsia="Times New Roman" w:hAnsi="Times New Roman"/>
          <w:sz w:val="16"/>
          <w:szCs w:val="16"/>
          <w:u w:val="single" w:color="auto"/>
          <w:color w:val="auto"/>
        </w:rPr>
        <w:t>OWBPA</w:t>
      </w:r>
      <w:r>
        <w:rPr>
          <w:rFonts w:ascii="Times New Roman" w:cs="Times New Roman" w:eastAsia="Times New Roman" w:hAnsi="Times New Roman"/>
          <w:sz w:val="16"/>
          <w:szCs w:val="16"/>
          <w:color w:val="auto"/>
        </w:rPr>
        <w:t>”).</w:t>
      </w:r>
    </w:p>
    <w:p>
      <w:pPr>
        <w:spacing w:after="0" w:line="191" w:lineRule="exact"/>
        <w:rPr>
          <w:sz w:val="20"/>
          <w:szCs w:val="20"/>
          <w:color w:val="auto"/>
        </w:rPr>
      </w:pPr>
    </w:p>
    <w:p>
      <w:pPr>
        <w:ind w:left="120" w:right="80" w:firstLine="1016"/>
        <w:spacing w:after="0" w:line="252" w:lineRule="auto"/>
        <w:tabs>
          <w:tab w:leader="none" w:pos="1534"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further understands that nothing in this Agreement prevents him from filing a charge or complaint with or from participating in an investigation or proceeding conducted by the Equal Employment Opportunity Commission (“</w:t>
      </w:r>
      <w:r>
        <w:rPr>
          <w:rFonts w:ascii="Times New Roman" w:cs="Times New Roman" w:eastAsia="Times New Roman" w:hAnsi="Times New Roman"/>
          <w:sz w:val="14"/>
          <w:szCs w:val="14"/>
          <w:u w:val="single" w:color="auto"/>
          <w:color w:val="auto"/>
        </w:rPr>
        <w:t>EEOC</w:t>
      </w:r>
      <w:r>
        <w:rPr>
          <w:rFonts w:ascii="Times New Roman" w:cs="Times New Roman" w:eastAsia="Times New Roman" w:hAnsi="Times New Roman"/>
          <w:sz w:val="14"/>
          <w:szCs w:val="14"/>
          <w:color w:val="auto"/>
        </w:rPr>
        <w:t>”), National Labor Relations Board (“</w:t>
      </w:r>
      <w:r>
        <w:rPr>
          <w:rFonts w:ascii="Times New Roman" w:cs="Times New Roman" w:eastAsia="Times New Roman" w:hAnsi="Times New Roman"/>
          <w:sz w:val="14"/>
          <w:szCs w:val="14"/>
          <w:u w:val="single" w:color="auto"/>
          <w:color w:val="auto"/>
        </w:rPr>
        <w:t>NLRB</w:t>
      </w:r>
      <w:r>
        <w:rPr>
          <w:rFonts w:ascii="Times New Roman" w:cs="Times New Roman" w:eastAsia="Times New Roman" w:hAnsi="Times New Roman"/>
          <w:sz w:val="14"/>
          <w:szCs w:val="14"/>
          <w:color w:val="auto"/>
        </w:rPr>
        <w:t>”), the U.S. Securities and Exchange Commission (“</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or any other federal, state or local agency charged with the enforcement of any employment or securities laws, although by signing this Agreement Executive is waiving his right to individual relief from the Company based on claims asserted in such a charge or complaint, regardless of whether he or another party has filed it.</w:t>
      </w:r>
    </w:p>
    <w:p>
      <w:pPr>
        <w:spacing w:after="0" w:line="193" w:lineRule="exact"/>
        <w:rPr>
          <w:rFonts w:ascii="Times New Roman" w:cs="Times New Roman" w:eastAsia="Times New Roman" w:hAnsi="Times New Roman"/>
          <w:sz w:val="14"/>
          <w:szCs w:val="14"/>
          <w:color w:val="auto"/>
        </w:rPr>
      </w:pPr>
    </w:p>
    <w:p>
      <w:pPr>
        <w:ind w:left="120" w:right="20" w:firstLine="1016"/>
        <w:spacing w:after="0" w:line="216" w:lineRule="auto"/>
        <w:tabs>
          <w:tab w:leader="none" w:pos="1527"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including the release of claims set forth above, creates legally binding obligations, and the Company therefore advises Executive to consult an attorney before signing this Agreement. By signing this Agreement, Executive gives the Company assurance that Executive has signed it voluntarily and with a full understanding of its terms; that Executive has had sufficient opportunity, before signing this Agreement, to consider its terms and to consult with an attorney, if Executive wished to do so, or to consult with any other person of his choosing; and that, in signing this Agreement, Executive has not relied on any promises or representations, express or implied, that are not set forth expressly in this Agreement.</w:t>
      </w:r>
    </w:p>
    <w:p>
      <w:pPr>
        <w:spacing w:after="0" w:line="148" w:lineRule="exact"/>
        <w:rPr>
          <w:rFonts w:ascii="Times New Roman" w:cs="Times New Roman" w:eastAsia="Times New Roman" w:hAnsi="Times New Roman"/>
          <w:sz w:val="16"/>
          <w:szCs w:val="16"/>
          <w:color w:val="auto"/>
        </w:rPr>
      </w:pPr>
    </w:p>
    <w:p>
      <w:pPr>
        <w:ind w:right="100" w:firstLine="514"/>
        <w:spacing w:after="0" w:line="218" w:lineRule="auto"/>
        <w:tabs>
          <w:tab w:leader="none" w:pos="1018"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Conditions for Receiving Severance</w:t>
      </w:r>
      <w:r>
        <w:rPr>
          <w:rFonts w:ascii="Times New Roman" w:cs="Times New Roman" w:eastAsia="Times New Roman" w:hAnsi="Times New Roman"/>
          <w:sz w:val="16"/>
          <w:szCs w:val="16"/>
          <w:color w:val="auto"/>
        </w:rPr>
        <w:t>. Executive agrees and acknowledges that he has maintained, and shall maintain, complete compliance with all the following representations, warranties, and conditions to be eligible to receive the Severance Benefits. In the event Executive fails to fulfill any of the following material representations, warranties, or conditions, as determined by the Company in its discretion, the Company shall, with notice to Executive, cease payment of all Severance Benefits, and shall likewise be entitled to the immediate forfeiture and recapture of all Severance Benefits paid to Executive prior to its discovery of the same.</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Executive represents and warrants that:</w:t>
      </w:r>
    </w:p>
    <w:p>
      <w:pPr>
        <w:spacing w:after="0" w:line="166" w:lineRule="exact"/>
        <w:rPr>
          <w:sz w:val="20"/>
          <w:szCs w:val="20"/>
          <w:color w:val="auto"/>
        </w:rPr>
      </w:pPr>
    </w:p>
    <w:p>
      <w:pPr>
        <w:jc w:val="both"/>
        <w:ind w:right="60" w:firstLine="1023"/>
        <w:spacing w:after="0" w:line="252" w:lineRule="auto"/>
        <w:tabs>
          <w:tab w:leader="none" w:pos="152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all times during the pendency of his employment, Executive complied with all state and federal laws and conducted himself with the highest degree of fidelity to the Company, committing no acts of bribery, corruption, theft, embezzlement, misappropriation, insider trading, or other forms of substantial misconduct contrary to the interests of the Company. Executive further represents that he is unaware of any acts of other Company employees or agents in violation of the Company’s </w:t>
      </w:r>
      <w:r>
        <w:rPr>
          <w:rFonts w:ascii="Times New Roman" w:cs="Times New Roman" w:eastAsia="Times New Roman" w:hAnsi="Times New Roman"/>
          <w:sz w:val="14"/>
          <w:szCs w:val="14"/>
          <w:i w:val="1"/>
          <w:iCs w:val="1"/>
          <w:color w:val="auto"/>
        </w:rPr>
        <w:t>Code of Ethics</w:t>
      </w:r>
      <w:r>
        <w:rPr>
          <w:rFonts w:ascii="Times New Roman" w:cs="Times New Roman" w:eastAsia="Times New Roman" w:hAnsi="Times New Roman"/>
          <w:sz w:val="14"/>
          <w:szCs w:val="14"/>
          <w:color w:val="auto"/>
        </w:rPr>
        <w:t>, any state or federal laws or acts of bribery, corruption, theft, embezzlement, misappropriation, insider trading or other forms of misconduct contrary to the interests of the Company.</w:t>
      </w:r>
    </w:p>
    <w:p>
      <w:pPr>
        <w:spacing w:after="0" w:line="130" w:lineRule="exact"/>
        <w:rPr>
          <w:rFonts w:ascii="Times New Roman" w:cs="Times New Roman" w:eastAsia="Times New Roman" w:hAnsi="Times New Roman"/>
          <w:sz w:val="14"/>
          <w:szCs w:val="14"/>
          <w:color w:val="auto"/>
        </w:rPr>
      </w:pPr>
    </w:p>
    <w:p>
      <w:pPr>
        <w:ind w:right="520" w:firstLine="1023"/>
        <w:spacing w:after="0" w:line="299" w:lineRule="auto"/>
        <w:tabs>
          <w:tab w:leader="none" w:pos="1518"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all times during the pendency of his employment, Executive complied with each of his obligations under Paragraphs 8, 9 and 10 of the Severance Agreement with respect to Confidential Information, Work Product, and Non-Competition Non-Solicitation, Non- Disparagement and Compliance, respectively.</w:t>
      </w:r>
    </w:p>
    <w:p>
      <w:pPr>
        <w:spacing w:after="0" w:line="108" w:lineRule="exact"/>
        <w:rPr>
          <w:rFonts w:ascii="Times New Roman" w:cs="Times New Roman" w:eastAsia="Times New Roman" w:hAnsi="Times New Roman"/>
          <w:sz w:val="14"/>
          <w:szCs w:val="14"/>
          <w:color w:val="auto"/>
        </w:rPr>
      </w:pPr>
    </w:p>
    <w:p>
      <w:pPr>
        <w:jc w:val="both"/>
        <w:ind w:right="40" w:firstLine="1023"/>
        <w:spacing w:after="0" w:line="221" w:lineRule="auto"/>
        <w:tabs>
          <w:tab w:leader="none" w:pos="1520"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obligations herein and pursuant to Paragraphs 4(b)(iii) and 10 of the Amended Severance Agreement shall continue in full force and effect from the date hereof, and that Executive’s full compliance with such obligations shall be a condition to Executive’s eligibility to accept this Agreement and to receive or retain its benefits and to the performance of the Company hereunder.</w:t>
      </w:r>
    </w:p>
    <w:p>
      <w:pPr>
        <w:spacing w:after="0" w:line="138" w:lineRule="exact"/>
        <w:rPr>
          <w:rFonts w:ascii="Times New Roman" w:cs="Times New Roman" w:eastAsia="Times New Roman" w:hAnsi="Times New Roman"/>
          <w:sz w:val="16"/>
          <w:szCs w:val="16"/>
          <w:color w:val="auto"/>
        </w:rPr>
      </w:pPr>
    </w:p>
    <w:p>
      <w:pPr>
        <w:ind w:firstLine="1023"/>
        <w:spacing w:after="0" w:line="226" w:lineRule="auto"/>
        <w:tabs>
          <w:tab w:leader="none" w:pos="1518"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or has returned to the Company all Confidential Information (as defined below), work product, and all other Company property, on or before the Retirement Date, including, but not limited to, keys, credit cards, documents, records, identification cards, office equipment, portable computers, mobile telephones, pagers, handheld electronic devices, and parking cards.</w:t>
      </w:r>
    </w:p>
    <w:p>
      <w:pPr>
        <w:spacing w:after="0" w:line="201"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Agreement</w:t>
      </w:r>
      <w:r>
        <w:rPr>
          <w:rFonts w:ascii="Times New Roman" w:cs="Times New Roman" w:eastAsia="Times New Roman" w:hAnsi="Times New Roman"/>
          <w:sz w:val="16"/>
          <w:szCs w:val="16"/>
          <w:color w:val="auto"/>
        </w:rPr>
        <w:t>. Executive acknowledges that: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065" w:right="319" w:bottom="1440" w:gutter="0" w:footer="0" w:header="0"/>
        </w:sectPr>
      </w:pPr>
    </w:p>
    <w:bookmarkStart w:id="111" w:name="page112"/>
    <w:bookmarkEnd w:id="111"/>
    <w:p>
      <w:pPr>
        <w:ind w:right="120" w:firstLine="1023"/>
        <w:spacing w:after="0" w:line="235" w:lineRule="auto"/>
        <w:tabs>
          <w:tab w:leader="none" w:pos="15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has read this entire document, and he fully understands it. Executive understands its legal and binding effect. Executive is acting voluntarily and of his own free will in executing this Agreement.</w:t>
      </w:r>
    </w:p>
    <w:p>
      <w:pPr>
        <w:spacing w:after="0" w:line="148" w:lineRule="exact"/>
        <w:rPr>
          <w:rFonts w:ascii="Times New Roman" w:cs="Times New Roman" w:eastAsia="Times New Roman" w:hAnsi="Times New Roman"/>
          <w:sz w:val="16"/>
          <w:szCs w:val="16"/>
          <w:color w:val="auto"/>
        </w:rPr>
      </w:pPr>
    </w:p>
    <w:p>
      <w:pPr>
        <w:ind w:right="220" w:firstLine="1023"/>
        <w:spacing w:after="0" w:line="229" w:lineRule="auto"/>
        <w:tabs>
          <w:tab w:leader="none" w:pos="1518"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benefits the Company is providing Executive in return for signing this Agreement are in addition to anything of value to which he is already entitled. Specifically, the Executive acknowledges that he is not otherwise entitled to the benefits of this Agreement from the Company.</w:t>
      </w:r>
    </w:p>
    <w:p>
      <w:pPr>
        <w:spacing w:after="0" w:line="14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has had the opportunity to seek, and the Executive was advised in writing to seek, legal counsel prior to signing this Agreement.</w:t>
      </w:r>
    </w:p>
    <w:p>
      <w:pPr>
        <w:spacing w:after="0" w:line="166" w:lineRule="exact"/>
        <w:rPr>
          <w:rFonts w:ascii="Times New Roman" w:cs="Times New Roman" w:eastAsia="Times New Roman" w:hAnsi="Times New Roman"/>
          <w:sz w:val="16"/>
          <w:szCs w:val="16"/>
          <w:color w:val="auto"/>
        </w:rPr>
      </w:pPr>
    </w:p>
    <w:p>
      <w:pPr>
        <w:ind w:right="160" w:firstLine="1023"/>
        <w:spacing w:after="0" w:line="229" w:lineRule="auto"/>
        <w:tabs>
          <w:tab w:leader="none" w:pos="1518"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Severance Benefits provide valid and sufficient consideration for his undertakings in this Agreement, including the release of claims in Section 8, and his obligations under Paragraph 10 of the Amended Severance Agreement with respect to Non-Competition, Non-Solicitation, Non-Disparagement, and Compliance.</w:t>
      </w:r>
    </w:p>
    <w:p>
      <w:pPr>
        <w:spacing w:after="0" w:line="147"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will be void if the Executive does not sign it within the 21 days he has been given to consider it, or if he revokes it as provided below.</w:t>
      </w:r>
    </w:p>
    <w:p>
      <w:pPr>
        <w:spacing w:after="0" w:line="155" w:lineRule="exact"/>
        <w:rPr>
          <w:rFonts w:ascii="Times New Roman" w:cs="Times New Roman" w:eastAsia="Times New Roman" w:hAnsi="Times New Roman"/>
          <w:sz w:val="16"/>
          <w:szCs w:val="16"/>
          <w:color w:val="auto"/>
        </w:rPr>
      </w:pPr>
    </w:p>
    <w:p>
      <w:pPr>
        <w:jc w:val="both"/>
        <w:ind w:firstLine="1023"/>
        <w:spacing w:after="0" w:line="218" w:lineRule="auto"/>
        <w:tabs>
          <w:tab w:leader="none" w:pos="1524"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has been given at least 21 days to consider the terms of this Agreement before signing it. If the Executive signs this Agreement before the full 21-day consideration period expires, he is knowingly and voluntarily waiving the remainder of the 21- day consideration period. The Executive has not been asked by the Company to shorten his time to consider whether to sign this Agreement. The Company has not threatened to withdraw or alter the benefits due the Executive prior to the expiration of the 21-day consideration period.</w:t>
      </w:r>
    </w:p>
    <w:p>
      <w:pPr>
        <w:spacing w:after="0" w:line="148" w:lineRule="exact"/>
        <w:rPr>
          <w:rFonts w:ascii="Times New Roman" w:cs="Times New Roman" w:eastAsia="Times New Roman" w:hAnsi="Times New Roman"/>
          <w:sz w:val="16"/>
          <w:szCs w:val="16"/>
          <w:color w:val="auto"/>
        </w:rPr>
      </w:pPr>
    </w:p>
    <w:p>
      <w:pPr>
        <w:ind w:left="1520" w:hanging="497"/>
        <w:spacing w:after="0"/>
        <w:tabs>
          <w:tab w:leader="none" w:pos="152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not promised or provided different terms to the Executive for signing this Agreement prior to the expiration of the 21-day consideration</w:t>
      </w:r>
    </w:p>
    <w:p>
      <w:pPr>
        <w:spacing w:after="0" w:line="1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period.</w:t>
      </w:r>
    </w:p>
    <w:p>
      <w:pPr>
        <w:spacing w:after="0" w:line="130" w:lineRule="exact"/>
        <w:rPr>
          <w:rFonts w:ascii="Times New Roman" w:cs="Times New Roman" w:eastAsia="Times New Roman" w:hAnsi="Times New Roman"/>
          <w:sz w:val="14"/>
          <w:szCs w:val="14"/>
          <w:color w:val="auto"/>
        </w:rPr>
      </w:pPr>
    </w:p>
    <w:p>
      <w:pPr>
        <w:ind w:left="1520" w:hanging="497"/>
        <w:spacing w:after="0"/>
        <w:tabs>
          <w:tab w:leader="none" w:pos="152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agrees with the Company that changes to this Agreement, whether material or immaterial, do not restart the running of the 21-day</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consideration period.</w:t>
      </w:r>
    </w:p>
    <w:p>
      <w:pPr>
        <w:spacing w:after="0" w:line="148" w:lineRule="exact"/>
        <w:rPr>
          <w:rFonts w:ascii="Times New Roman" w:cs="Times New Roman" w:eastAsia="Times New Roman" w:hAnsi="Times New Roman"/>
          <w:sz w:val="16"/>
          <w:szCs w:val="16"/>
          <w:color w:val="auto"/>
        </w:rPr>
      </w:pPr>
    </w:p>
    <w:p>
      <w:pPr>
        <w:jc w:val="both"/>
        <w:ind w:firstLine="1023"/>
        <w:spacing w:after="0" w:line="218" w:lineRule="auto"/>
        <w:tabs>
          <w:tab w:leader="none" w:pos="1526"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Executive has (a) received all compensation due as a result of services performed for the Company; (b) reported to the Company any and all work-related injuries incurred by his during his employment with the Company; (c) been properly provided any leave of absence because of his or a family member’s health condition and has not been subjected to any improper treatment, conduct, or actions due to a request for or taking such leave, and (d) previously disclosed any potential violations of the Company’s </w:t>
      </w:r>
      <w:r>
        <w:rPr>
          <w:rFonts w:ascii="Times New Roman" w:cs="Times New Roman" w:eastAsia="Times New Roman" w:hAnsi="Times New Roman"/>
          <w:sz w:val="16"/>
          <w:szCs w:val="16"/>
          <w:i w:val="1"/>
          <w:iCs w:val="1"/>
          <w:color w:val="auto"/>
        </w:rPr>
        <w:t>Code of Ethics</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Revocation</w:t>
      </w:r>
      <w:r>
        <w:rPr>
          <w:rFonts w:ascii="Times New Roman" w:cs="Times New Roman" w:eastAsia="Times New Roman" w:hAnsi="Times New Roman"/>
          <w:sz w:val="16"/>
          <w:szCs w:val="16"/>
          <w:color w:val="auto"/>
        </w:rPr>
        <w:t>.</w:t>
      </w:r>
    </w:p>
    <w:p>
      <w:pPr>
        <w:spacing w:after="0" w:line="166" w:lineRule="exact"/>
        <w:rPr>
          <w:rFonts w:ascii="Times New Roman" w:cs="Times New Roman" w:eastAsia="Times New Roman" w:hAnsi="Times New Roman"/>
          <w:sz w:val="16"/>
          <w:szCs w:val="16"/>
          <w:color w:val="auto"/>
        </w:rPr>
      </w:pPr>
    </w:p>
    <w:p>
      <w:pPr>
        <w:ind w:right="40" w:firstLine="1023"/>
        <w:spacing w:after="0" w:line="216" w:lineRule="auto"/>
        <w:tabs>
          <w:tab w:leader="none" w:pos="1520"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understands that if he signs this Agreement, he can change his mind and revoke it within seven (7) days after signing it by returning it with a written revocation notice to Jill Wilson, Senior Vice President of Human Resources &amp; Talent Development, 3438 Peachtree Road, Suite 1800, Atlanta, Georgia 30326, Phone: (678) 399-4466. The Executive understands that this Agreement will not be effective until after this seven-day period has expired (“</w:t>
      </w:r>
      <w:r>
        <w:rPr>
          <w:rFonts w:ascii="Times New Roman" w:cs="Times New Roman" w:eastAsia="Times New Roman" w:hAnsi="Times New Roman"/>
          <w:sz w:val="16"/>
          <w:szCs w:val="16"/>
          <w:u w:val="single" w:color="auto"/>
          <w:color w:val="auto"/>
        </w:rPr>
        <w:t>Revocation Period</w:t>
      </w:r>
      <w:r>
        <w:rPr>
          <w:rFonts w:ascii="Times New Roman" w:cs="Times New Roman" w:eastAsia="Times New Roman" w:hAnsi="Times New Roman"/>
          <w:sz w:val="16"/>
          <w:szCs w:val="16"/>
          <w:color w:val="auto"/>
        </w:rPr>
        <w:t>”), and he will receive no Severance Benefits before the eighth day after he signs this Agreement. The Executive understands and agrees that he will begin receiving Severance Benefits in accordance with the terms of the Severance Agreement.</w:t>
      </w:r>
    </w:p>
    <w:p>
      <w:pPr>
        <w:spacing w:after="0" w:line="137" w:lineRule="exact"/>
        <w:rPr>
          <w:rFonts w:ascii="Times New Roman" w:cs="Times New Roman" w:eastAsia="Times New Roman" w:hAnsi="Times New Roman"/>
          <w:sz w:val="16"/>
          <w:szCs w:val="16"/>
          <w:color w:val="auto"/>
        </w:rPr>
      </w:pPr>
    </w:p>
    <w:p>
      <w:pPr>
        <w:jc w:val="both"/>
        <w:ind w:right="100" w:firstLine="1023"/>
        <w:spacing w:after="0" w:line="218" w:lineRule="auto"/>
        <w:tabs>
          <w:tab w:leader="none" w:pos="1518" w:val="left"/>
        </w:tabs>
        <w:numPr>
          <w:ilvl w:val="1"/>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Executive decides to revoke, his written revocation notice should clearly state that “I hereby revoke my agreement to the Agreement that I signed on [date].” The Executive should type or print his name so the Company knows who he is, and the Executive must sign his name to the notice. The Executive understands that, to revoke this Agreement, he must deliver the signed revocation notice to Jill Wilson. To be effective, the notice of revocation must be sent to Jill Wilson no later than the seventh day after the Executive has signed the Agreement.</w:t>
      </w:r>
    </w:p>
    <w:p>
      <w:pPr>
        <w:spacing w:after="0" w:line="15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Agreement</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065" w:right="319" w:bottom="1440" w:gutter="0" w:footer="0" w:header="0"/>
        </w:sectPr>
      </w:pPr>
    </w:p>
    <w:bookmarkStart w:id="112" w:name="page113"/>
    <w:bookmarkEnd w:id="112"/>
    <w:p>
      <w:pPr>
        <w:ind w:right="20" w:firstLine="1023"/>
        <w:spacing w:after="0" w:line="218" w:lineRule="auto"/>
        <w:tabs>
          <w:tab w:leader="none" w:pos="152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understands that following the seven-day Revocation Period, this Agreement will be final and binding. The Executive promises that he will not pursue any claim that he has settled by this Agreement. If the Executive breaks this promise, the Executive agrees to pay all the Company’s costs and expenses (including reasonable attorneys’ fees) related to the defense of any claims. This paragraph does not apply to claims that the Executive may have under the OWBPA and the Age Discrimination in Employment Act of 1967 (“</w:t>
      </w:r>
      <w:r>
        <w:rPr>
          <w:rFonts w:ascii="Times New Roman" w:cs="Times New Roman" w:eastAsia="Times New Roman" w:hAnsi="Times New Roman"/>
          <w:sz w:val="16"/>
          <w:szCs w:val="16"/>
          <w:u w:val="single" w:color="auto"/>
          <w:color w:val="auto"/>
        </w:rPr>
        <w:t>ADEA</w:t>
      </w:r>
      <w:r>
        <w:rPr>
          <w:rFonts w:ascii="Times New Roman" w:cs="Times New Roman" w:eastAsia="Times New Roman" w:hAnsi="Times New Roman"/>
          <w:sz w:val="16"/>
          <w:szCs w:val="16"/>
          <w:color w:val="auto"/>
        </w:rPr>
        <w:t>”). Such claims are covered by the next paragraph.</w:t>
      </w:r>
    </w:p>
    <w:p>
      <w:pPr>
        <w:spacing w:after="0" w:line="148" w:lineRule="exact"/>
        <w:rPr>
          <w:rFonts w:ascii="Times New Roman" w:cs="Times New Roman" w:eastAsia="Times New Roman" w:hAnsi="Times New Roman"/>
          <w:sz w:val="16"/>
          <w:szCs w:val="16"/>
          <w:color w:val="auto"/>
        </w:rPr>
      </w:pPr>
    </w:p>
    <w:p>
      <w:pPr>
        <w:ind w:firstLine="1023"/>
        <w:spacing w:after="0" w:line="212" w:lineRule="auto"/>
        <w:tabs>
          <w:tab w:leader="none" w:pos="1518"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the Executive is releasing claims that he may have under the OWBPA and the ADEA, the Executive understands that he may challenge the knowing and voluntary nature of this Agreement under the OWBPA and the ADEA before a court, the EEOC, the NLRB, or any other federal, state or local agency charged with the enforcement of any employment laws. The Executive understands, however, that if he pursues a claim against the Company under the OWBPA and/or the ADEA, a court has the discretion to determine whether the Company is entitled to restitution, recoupment, or set off (hereinafter “</w:t>
      </w:r>
      <w:r>
        <w:rPr>
          <w:rFonts w:ascii="Times New Roman" w:cs="Times New Roman" w:eastAsia="Times New Roman" w:hAnsi="Times New Roman"/>
          <w:sz w:val="16"/>
          <w:szCs w:val="16"/>
          <w:u w:val="single" w:color="auto"/>
          <w:color w:val="auto"/>
        </w:rPr>
        <w:t>Reduction</w:t>
      </w:r>
      <w:r>
        <w:rPr>
          <w:rFonts w:ascii="Times New Roman" w:cs="Times New Roman" w:eastAsia="Times New Roman" w:hAnsi="Times New Roman"/>
          <w:sz w:val="16"/>
          <w:szCs w:val="16"/>
          <w:color w:val="auto"/>
        </w:rPr>
        <w:t>”) against a monetary award obtained by the Executive in the court proceeding. A reduction never can exceed the amount the Executive recovers, or the severance he received for signing this Agreement, whichever is less. The Executive also recognizes that the Company may be entitled to recover costs and attorneys’ fees incurred by the Company as specifically authorized under applicable law.</w:t>
      </w:r>
    </w:p>
    <w:p>
      <w:pPr>
        <w:spacing w:after="0" w:line="149" w:lineRule="exact"/>
        <w:rPr>
          <w:rFonts w:ascii="Times New Roman" w:cs="Times New Roman" w:eastAsia="Times New Roman" w:hAnsi="Times New Roman"/>
          <w:sz w:val="16"/>
          <w:szCs w:val="16"/>
          <w:color w:val="auto"/>
        </w:rPr>
      </w:pPr>
    </w:p>
    <w:p>
      <w:pPr>
        <w:ind w:right="100" w:firstLine="1023"/>
        <w:spacing w:after="0" w:line="221" w:lineRule="auto"/>
        <w:tabs>
          <w:tab w:leader="none" w:pos="1520" w:val="left"/>
        </w:tabs>
        <w:numPr>
          <w:ilvl w:val="1"/>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further understands that nothing in this Agreement generally prevents his from filing a charge or complaint with or from participating in an investigation or proceeding conducted by the EEOC, NLRB, or any other federal, state or local agency charged with the enforcement of any employment laws, although by signing this Agreement the Executive is waiving his right to individual relief based on claims asserted in such a charge or complaint.</w:t>
      </w:r>
    </w:p>
    <w:p>
      <w:pPr>
        <w:spacing w:after="0" w:line="149" w:lineRule="exact"/>
        <w:rPr>
          <w:rFonts w:ascii="Times New Roman" w:cs="Times New Roman" w:eastAsia="Times New Roman" w:hAnsi="Times New Roman"/>
          <w:sz w:val="16"/>
          <w:szCs w:val="16"/>
          <w:color w:val="auto"/>
        </w:rPr>
      </w:pPr>
    </w:p>
    <w:p>
      <w:pPr>
        <w:ind w:right="40" w:firstLine="514"/>
        <w:spacing w:after="0" w:line="221" w:lineRule="auto"/>
        <w:tabs>
          <w:tab w:leader="none" w:pos="101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Admission of Liability</w:t>
      </w:r>
      <w:r>
        <w:rPr>
          <w:rFonts w:ascii="Times New Roman" w:cs="Times New Roman" w:eastAsia="Times New Roman" w:hAnsi="Times New Roman"/>
          <w:sz w:val="16"/>
          <w:szCs w:val="16"/>
          <w:color w:val="auto"/>
        </w:rPr>
        <w:t>. This Agreement is not an admission by the Released Parties of any liability or wrongdoing or a violation of any statute, regulation, duty, law, contract, right, or order. The Released Parties disclaim any liability the Executive or any other person for any alleged violation of any statute, regulation, duty, law, contract or order.</w:t>
      </w:r>
    </w:p>
    <w:p>
      <w:pPr>
        <w:spacing w:after="0" w:line="149" w:lineRule="exact"/>
        <w:rPr>
          <w:rFonts w:ascii="Times New Roman" w:cs="Times New Roman" w:eastAsia="Times New Roman" w:hAnsi="Times New Roman"/>
          <w:sz w:val="16"/>
          <w:szCs w:val="16"/>
          <w:color w:val="auto"/>
        </w:rPr>
      </w:pPr>
    </w:p>
    <w:p>
      <w:pPr>
        <w:jc w:val="both"/>
        <w:ind w:right="220" w:firstLine="514"/>
        <w:spacing w:after="0" w:line="236" w:lineRule="auto"/>
        <w:tabs>
          <w:tab w:leader="none" w:pos="101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Entire Agreement</w:t>
      </w:r>
      <w:r>
        <w:rPr>
          <w:rFonts w:ascii="Times New Roman" w:cs="Times New Roman" w:eastAsia="Times New Roman" w:hAnsi="Times New Roman"/>
          <w:sz w:val="14"/>
          <w:szCs w:val="14"/>
          <w:color w:val="auto"/>
        </w:rPr>
        <w:t>. The Amended Severance Agreement, the Consulting Agreement, and this Agreement constitute the complete and total agreement between the Company and the Executive with respect to issues addressed in this Agreement. However, the Executive agrees this Agreement will not in any way affect, modify, or nullify any agreement(s) he may have entered into with the Company that obligates his to refrain from competitive activity, to protect the Company’s confidential information, and/or refrain from soliciting the Company’s employees after his employment is terminated, and that any such obligations contained in those agreement(s) remain in full force and effect.</w:t>
      </w: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Specifically, those paragraphs of the Amended Severance Agreement that survive have been incorporated by reference.</w:t>
      </w:r>
    </w:p>
    <w:p>
      <w:pPr>
        <w:spacing w:after="0" w:line="14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Reliance</w:t>
      </w:r>
      <w:r>
        <w:rPr>
          <w:rFonts w:ascii="Times New Roman" w:cs="Times New Roman" w:eastAsia="Times New Roman" w:hAnsi="Times New Roman"/>
          <w:sz w:val="16"/>
          <w:szCs w:val="16"/>
          <w:color w:val="auto"/>
        </w:rPr>
        <w:t>. The Executive represents that in signing this Agreement, he is not relying on any other agreements or representations not fully expressed in this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document.</w:t>
      </w:r>
    </w:p>
    <w:p>
      <w:pPr>
        <w:spacing w:after="0" w:line="13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Modification</w:t>
      </w:r>
      <w:r>
        <w:rPr>
          <w:rFonts w:ascii="Times New Roman" w:cs="Times New Roman" w:eastAsia="Times New Roman" w:hAnsi="Times New Roman"/>
          <w:sz w:val="14"/>
          <w:szCs w:val="14"/>
          <w:color w:val="auto"/>
        </w:rPr>
        <w:t>. This Agreement shall not be modified, altered, or discharged except by written agreement signed by an authorized Company representative and the</w:t>
      </w:r>
    </w:p>
    <w:p>
      <w:pPr>
        <w:spacing w:after="0" w:line="1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Executive.</w:t>
      </w:r>
    </w:p>
    <w:p>
      <w:pPr>
        <w:spacing w:after="0" w:line="148"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w:t>
      </w:r>
      <w:r>
        <w:rPr>
          <w:rFonts w:ascii="Times New Roman" w:cs="Times New Roman" w:eastAsia="Times New Roman" w:hAnsi="Times New Roman"/>
          <w:sz w:val="16"/>
          <w:szCs w:val="16"/>
          <w:color w:val="auto"/>
        </w:rPr>
        <w:t>. The headings in this document are for reference only and shall not in any way affect the meaning of this Agreement.</w:t>
      </w:r>
    </w:p>
    <w:p>
      <w:pPr>
        <w:spacing w:after="0" w:line="155" w:lineRule="exact"/>
        <w:rPr>
          <w:rFonts w:ascii="Times New Roman" w:cs="Times New Roman" w:eastAsia="Times New Roman" w:hAnsi="Times New Roman"/>
          <w:sz w:val="16"/>
          <w:szCs w:val="16"/>
          <w:color w:val="auto"/>
        </w:rPr>
      </w:pPr>
    </w:p>
    <w:p>
      <w:pPr>
        <w:ind w:firstLine="514"/>
        <w:spacing w:after="0" w:line="218" w:lineRule="auto"/>
        <w:tabs>
          <w:tab w:leader="none" w:pos="101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Use of this Agreement in Subsequent Proceedings</w:t>
      </w:r>
      <w:r>
        <w:rPr>
          <w:rFonts w:ascii="Times New Roman" w:cs="Times New Roman" w:eastAsia="Times New Roman" w:hAnsi="Times New Roman"/>
          <w:sz w:val="16"/>
          <w:szCs w:val="16"/>
          <w:color w:val="auto"/>
        </w:rPr>
        <w:t>. The Executive further agrees that this Agreement may be used as evidence in a subsequent proceeding in which the Company or the Executive alleges a breach of this Agreement or as a complete defense to any lawsuit or claim. Other than this exception, or disclosure to the EEOC or NLRB or any other federal, state, or local agency charged with the enforcement of any employment laws, as provided in Section 8 above, the Executive agrees he will not offer or introduce this Agreement as evidence in any administrative proceeding, arbitration, or lawsuit.</w:t>
      </w:r>
    </w:p>
    <w:p>
      <w:pPr>
        <w:spacing w:after="0" w:line="148" w:lineRule="exact"/>
        <w:rPr>
          <w:rFonts w:ascii="Times New Roman" w:cs="Times New Roman" w:eastAsia="Times New Roman" w:hAnsi="Times New Roman"/>
          <w:sz w:val="16"/>
          <w:szCs w:val="16"/>
          <w:color w:val="auto"/>
        </w:rPr>
      </w:pPr>
    </w:p>
    <w:p>
      <w:pPr>
        <w:ind w:right="80" w:firstLine="514"/>
        <w:spacing w:after="0" w:line="218" w:lineRule="auto"/>
        <w:tabs>
          <w:tab w:leader="none" w:pos="1011"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 It is understood and agreed that if, at any time, a violation of any term of this Agreement is asserted by any party hereto, that said party shall have the right to seek specific performance of that term and/or any other necessary and proper relief, including but not limited to damages, from any federal or state court of competent jurisdiction within the State of Georgia. The failure of either party to insist upon strict adherence to any term of this Agreement shall not be considered a waiver of that term or of any other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60"/>
          </w:cols>
          <w:pgMar w:left="300" w:top="106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color w:val="auto"/>
        </w:rPr>
        <w:t>term of this Agreement and shall not deprive that party of the right to later insist upon strict adherence to that term or any other term of the Agreement.</w:t>
      </w:r>
    </w:p>
    <w:p>
      <w:pPr>
        <w:spacing w:after="0" w:line="166" w:lineRule="exact"/>
        <w:rPr>
          <w:sz w:val="20"/>
          <w:szCs w:val="20"/>
          <w:color w:val="auto"/>
        </w:rPr>
      </w:pPr>
    </w:p>
    <w:p>
      <w:pPr>
        <w:ind w:right="520" w:firstLine="514"/>
        <w:spacing w:after="0" w:line="235" w:lineRule="auto"/>
        <w:tabs>
          <w:tab w:leader="none" w:pos="1011"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Executive agrees that should any part of this Agreement be found to be void or unenforceable by a court of competent jurisdiction, that determination will not affect the remainder of this Agreement.</w:t>
      </w:r>
    </w:p>
    <w:p>
      <w:pPr>
        <w:spacing w:after="0" w:line="138" w:lineRule="exact"/>
        <w:rPr>
          <w:rFonts w:ascii="Times New Roman" w:cs="Times New Roman" w:eastAsia="Times New Roman" w:hAnsi="Times New Roman"/>
          <w:sz w:val="16"/>
          <w:szCs w:val="16"/>
          <w:color w:val="auto"/>
        </w:rPr>
      </w:pPr>
    </w:p>
    <w:p>
      <w:pPr>
        <w:ind w:firstLine="514"/>
        <w:spacing w:after="0" w:line="299" w:lineRule="auto"/>
        <w:tabs>
          <w:tab w:leader="none" w:pos="1011"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Law/Venue</w:t>
      </w:r>
      <w:r>
        <w:rPr>
          <w:rFonts w:ascii="Times New Roman" w:cs="Times New Roman" w:eastAsia="Times New Roman" w:hAnsi="Times New Roman"/>
          <w:sz w:val="14"/>
          <w:szCs w:val="14"/>
          <w:color w:val="auto"/>
        </w:rPr>
        <w:t>. This Agreement shall be governed and construed in accordance with the laws of the State of Georgia and any applicable federal laws. All disputes relating to this Agreement shall be resolved exclusively in the state or federal courts of Georgia, to whose jurisdiction the parties hereto expressly consent.</w:t>
      </w:r>
    </w:p>
    <w:p>
      <w:pPr>
        <w:spacing w:after="0" w:line="1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040"/>
          </w:cols>
          <w:pgMar w:left="300" w:top="1065" w:right="559" w:bottom="1440" w:gutter="0" w:footer="0" w:header="0"/>
        </w:sectPr>
      </w:pPr>
    </w:p>
    <w:bookmarkStart w:id="114" w:name="page115"/>
    <w:bookmarkEnd w:id="114"/>
    <w:p>
      <w:pPr>
        <w:spacing w:after="0" w:line="230" w:lineRule="auto"/>
        <w:rPr>
          <w:sz w:val="20"/>
          <w:szCs w:val="20"/>
          <w:color w:val="auto"/>
        </w:rPr>
      </w:pPr>
      <w:r>
        <w:rPr>
          <w:rFonts w:ascii="Times New Roman" w:cs="Times New Roman" w:eastAsia="Times New Roman" w:hAnsi="Times New Roman"/>
          <w:sz w:val="16"/>
          <w:szCs w:val="16"/>
          <w:b w:val="1"/>
          <w:bCs w:val="1"/>
          <w:color w:val="auto"/>
        </w:rPr>
        <w:t>THE UNDERSIGNED EXECUTIVE HEREBY AFFIRMS THAT HE HAS CAREFULLY READ THE FOREGOING RELEASE AGREEMENT, KNOWS THE CONTENTS THEREOF, AND SIGNS THE SAME OF HIS IS OWN FREE ACT.</w:t>
      </w:r>
    </w:p>
    <w:p>
      <w:pPr>
        <w:spacing w:after="0" w:line="200" w:lineRule="exact"/>
        <w:rPr>
          <w:sz w:val="20"/>
          <w:szCs w:val="20"/>
          <w:color w:val="auto"/>
        </w:rPr>
      </w:pPr>
    </w:p>
    <w:p>
      <w:pPr>
        <w:spacing w:after="0" w:line="362" w:lineRule="exact"/>
        <w:rPr>
          <w:sz w:val="20"/>
          <w:szCs w:val="20"/>
          <w:color w:val="auto"/>
        </w:rPr>
      </w:pPr>
    </w:p>
    <w:p>
      <w:pPr>
        <w:ind w:right="4180"/>
        <w:spacing w:after="0" w:line="274" w:lineRule="auto"/>
        <w:rPr>
          <w:sz w:val="20"/>
          <w:szCs w:val="20"/>
          <w:color w:val="auto"/>
        </w:rPr>
      </w:pPr>
      <w:r>
        <w:rPr>
          <w:rFonts w:ascii="Times New Roman" w:cs="Times New Roman" w:eastAsia="Times New Roman" w:hAnsi="Times New Roman"/>
          <w:sz w:val="16"/>
          <w:szCs w:val="16"/>
          <w:color w:val="auto"/>
        </w:rPr>
        <w:t>This Agreement may be executed in one or more counterparts. Carter’s, Inc. and The William Carter Company By:</w:t>
      </w:r>
    </w:p>
    <w:p>
      <w:pPr>
        <w:spacing w:after="0" w:line="209" w:lineRule="auto"/>
        <w:rPr>
          <w:sz w:val="20"/>
          <w:szCs w:val="20"/>
          <w:color w:val="auto"/>
        </w:rPr>
      </w:pPr>
      <w:r>
        <w:rPr>
          <w:rFonts w:ascii="Times New Roman" w:cs="Times New Roman" w:eastAsia="Times New Roman" w:hAnsi="Times New Roman"/>
          <w:sz w:val="16"/>
          <w:szCs w:val="16"/>
          <w:color w:val="auto"/>
        </w:rPr>
        <w:t>Name: Jill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-99695</wp:posOffset>
            </wp:positionV>
            <wp:extent cx="9906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37" w:lineRule="auto"/>
        <w:tabs>
          <w:tab w:leader="none" w:pos="46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4"/>
          <w:szCs w:val="14"/>
          <w:color w:val="auto"/>
        </w:rPr>
        <w:t>SVP Human Resources &amp; Talent</w:t>
      </w:r>
    </w:p>
    <w:p>
      <w:pPr>
        <w:ind w:left="400"/>
        <w:spacing w:after="0"/>
        <w:rPr>
          <w:sz w:val="20"/>
          <w:szCs w:val="20"/>
          <w:color w:val="auto"/>
        </w:rPr>
      </w:pPr>
      <w:r>
        <w:rPr>
          <w:rFonts w:ascii="Times New Roman" w:cs="Times New Roman" w:eastAsia="Times New Roman" w:hAnsi="Times New Roman"/>
          <w:sz w:val="16"/>
          <w:szCs w:val="16"/>
          <w:color w:val="auto"/>
        </w:rPr>
        <w:t>Development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_____________________________</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Brian J. Lynch, hereby accept the Consulting Agreement payments upon the terms and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332740</wp:posOffset>
            </wp:positionV>
            <wp:extent cx="9906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9906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[Signature Page to Release Agreement]</w:t>
      </w:r>
    </w:p>
    <w:p>
      <w:pPr>
        <w:sectPr>
          <w:pgSz w:w="11900" w:h="16838" w:orient="portrait"/>
          <w:cols w:equalWidth="0" w:num="1">
            <w:col w:w="11080"/>
          </w:cols>
          <w:pgMar w:left="420" w:top="1318" w:right="399" w:bottom="1440"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color w:val="auto"/>
        </w:rPr>
        <w:t>Exhibit 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Carter's, Inc.</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William Carter Company is incorporated in Massachusetts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OshKosh B'Gosh,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Retail,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TWCC Product Development and Sales,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Giftcard Company, Inc. is incorporated in Florida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Holdings, Inc.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Inc. is incorporated in New York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Genuine Canadian Corp. is incorporated in Ontario, Canada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Global Sourcing Limited is formed in Hong Kong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Skip Hop (Shenzhen) Trading Company Limited is formed in China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Vietnam Company limited is formed in Vietnam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Mexico LLC is incorporated in Delaware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Carters Brands, S.A. de C.V. is formed in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11" w:right="319" w:bottom="1440" w:gutter="0" w:footer="0" w:header="0"/>
        </w:sectPr>
      </w:pPr>
    </w:p>
    <w:bookmarkStart w:id="169" w:name="page170"/>
    <w:bookmarkEnd w:id="169"/>
    <w:p>
      <w:pPr>
        <w:ind w:left="1420"/>
        <w:spacing w:after="0"/>
        <w:rPr>
          <w:sz w:val="20"/>
          <w:szCs w:val="20"/>
          <w:color w:val="auto"/>
        </w:rPr>
      </w:pPr>
      <w:r>
        <w:rPr>
          <w:rFonts w:ascii="Times New Roman" w:cs="Times New Roman" w:eastAsia="Times New Roman" w:hAnsi="Times New Roman"/>
          <w:sz w:val="14"/>
          <w:szCs w:val="14"/>
          <w:color w:val="auto"/>
        </w:rPr>
        <w:t>Exhibit 23</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hereby consent to the incorporation by reference in the Registration Statement on Form S-8 (Nos. 333-177724, 333-168446, 333-125306, and 333-225144) of Carter’s, Inc. of our report dated February 27, 2024 relating to the financial statements and the effectiveness of internal control over financial reporting, which appears in this Form 10-K.</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2024</w:t>
      </w:r>
    </w:p>
    <w:p>
      <w:pPr>
        <w:sectPr>
          <w:pgSz w:w="11900" w:h="16838" w:orient="portrait"/>
          <w:cols w:equalWidth="0" w:num="1">
            <w:col w:w="11280"/>
          </w:cols>
          <w:pgMar w:left="300" w:top="1144"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color w:val="auto"/>
        </w:rPr>
        <w:t>Exhibit 31.1</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D. Casey, certify that:</w:t>
      </w:r>
    </w:p>
    <w:p>
      <w:pPr>
        <w:spacing w:after="0" w:line="104" w:lineRule="exact"/>
        <w:rPr>
          <w:sz w:val="20"/>
          <w:szCs w:val="20"/>
          <w:color w:val="auto"/>
        </w:rPr>
      </w:pPr>
    </w:p>
    <w:p>
      <w:pPr>
        <w:ind w:left="500" w:hanging="240"/>
        <w:spacing w:after="0"/>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Carter’s, Inc.;</w:t>
      </w:r>
    </w:p>
    <w:p>
      <w:pPr>
        <w:spacing w:after="0" w:line="10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2"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74"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ind w:left="2780"/>
        <w:spacing w:after="0"/>
        <w:tabs>
          <w:tab w:leader="none" w:pos="6620" w:val="left"/>
        </w:tabs>
        <w:rPr>
          <w:sz w:val="20"/>
          <w:szCs w:val="20"/>
          <w:color w:val="auto"/>
        </w:rPr>
      </w:pPr>
      <w:r>
        <w:rPr>
          <w:rFonts w:ascii="Times New Roman" w:cs="Times New Roman" w:eastAsia="Times New Roman" w:hAnsi="Times New Roman"/>
          <w:sz w:val="14"/>
          <w:szCs w:val="14"/>
          <w:color w:val="auto"/>
        </w:rPr>
        <w:t>February 27, 2024</w:t>
      </w:r>
      <w:r>
        <w:rPr>
          <w:sz w:val="20"/>
          <w:szCs w:val="20"/>
          <w:color w:val="auto"/>
        </w:rPr>
        <w:tab/>
      </w:r>
      <w:r>
        <w:rPr>
          <w:rFonts w:ascii="Times New Roman" w:cs="Times New Roman" w:eastAsia="Times New Roman" w:hAnsi="Times New Roman"/>
          <w:sz w:val="14"/>
          <w:szCs w:val="14"/>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3971290</wp:posOffset>
            </wp:positionH>
            <wp:positionV relativeFrom="paragraph">
              <wp:posOffset>21590</wp:posOffset>
            </wp:positionV>
            <wp:extent cx="1448435"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1448435" cy="13335"/>
                    </a:xfrm>
                    <a:prstGeom prst="rect">
                      <a:avLst/>
                    </a:prstGeom>
                    <a:noFill/>
                  </pic:spPr>
                </pic:pic>
              </a:graphicData>
            </a:graphic>
          </wp:anchor>
        </w:drawing>
      </w:r>
    </w:p>
    <w:p>
      <w:pPr>
        <w:spacing w:after="0" w:line="42"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4"/>
          <w:szCs w:val="14"/>
          <w:color w:val="auto"/>
        </w:rPr>
        <w:t>Michael D. Casey</w:t>
      </w:r>
    </w:p>
    <w:p>
      <w:pPr>
        <w:spacing w:after="0" w:line="23" w:lineRule="exact"/>
        <w:rPr>
          <w:sz w:val="20"/>
          <w:szCs w:val="20"/>
          <w:color w:val="auto"/>
        </w:rPr>
      </w:pPr>
    </w:p>
    <w:p>
      <w:pPr>
        <w:jc w:val="center"/>
        <w:ind w:left="348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ectPr>
          <w:pgSz w:w="11900" w:h="16838" w:orient="portrait"/>
          <w:cols w:equalWidth="0" w:num="1">
            <w:col w:w="11280"/>
          </w:cols>
          <w:pgMar w:left="300" w:top="921"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F. Westenberger, certify that:</w:t>
      </w:r>
    </w:p>
    <w:p>
      <w:pPr>
        <w:spacing w:after="0" w:line="104" w:lineRule="exact"/>
        <w:rPr>
          <w:sz w:val="20"/>
          <w:szCs w:val="20"/>
          <w:color w:val="auto"/>
        </w:rPr>
      </w:pPr>
    </w:p>
    <w:p>
      <w:pPr>
        <w:ind w:left="500" w:hanging="240"/>
        <w:spacing w:after="0"/>
        <w:tabs>
          <w:tab w:leader="none" w:pos="5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Carter’s, Inc.;</w:t>
      </w:r>
    </w:p>
    <w:p>
      <w:pPr>
        <w:spacing w:after="0" w:line="114"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Times New Roman" w:cs="Times New Roman" w:eastAsia="Times New Roman" w:hAnsi="Times New Roman"/>
          <w:sz w:val="14"/>
          <w:szCs w:val="14"/>
          <w:color w:val="auto"/>
        </w:rPr>
      </w:pPr>
    </w:p>
    <w:p>
      <w:pPr>
        <w:ind w:left="1020" w:right="180" w:firstLine="3"/>
        <w:spacing w:after="0" w:line="270" w:lineRule="auto"/>
        <w:tabs>
          <w:tab w:leader="none" w:pos="1212"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4"/>
          <w:szCs w:val="14"/>
          <w:color w:val="auto"/>
        </w:rPr>
      </w:pPr>
    </w:p>
    <w:p>
      <w:pPr>
        <w:ind w:left="1020" w:right="360" w:firstLine="3"/>
        <w:spacing w:after="0" w:line="270" w:lineRule="auto"/>
        <w:tabs>
          <w:tab w:leader="none" w:pos="12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4"/>
          <w:szCs w:val="14"/>
          <w:color w:val="auto"/>
        </w:rPr>
      </w:pPr>
    </w:p>
    <w:p>
      <w:pPr>
        <w:ind w:left="1020" w:right="200" w:firstLine="3"/>
        <w:spacing w:after="0" w:line="287" w:lineRule="auto"/>
        <w:tabs>
          <w:tab w:leader="none" w:pos="1212"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w:t>
      </w:r>
    </w:p>
    <w:p>
      <w:pPr>
        <w:spacing w:after="0" w:line="23" w:lineRule="exact"/>
        <w:rPr>
          <w:rFonts w:ascii="Times New Roman" w:cs="Times New Roman" w:eastAsia="Times New Roman" w:hAnsi="Times New Roman"/>
          <w:sz w:val="14"/>
          <w:szCs w:val="14"/>
          <w:color w:val="auto"/>
        </w:rPr>
      </w:pPr>
    </w:p>
    <w:p>
      <w:pPr>
        <w:ind w:left="1020" w:right="12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4"/>
          <w:szCs w:val="14"/>
          <w:color w:val="auto"/>
        </w:rPr>
      </w:pPr>
    </w:p>
    <w:p>
      <w:pPr>
        <w:ind w:left="520" w:right="560" w:hanging="260"/>
        <w:spacing w:after="0" w:line="287" w:lineRule="auto"/>
        <w:tabs>
          <w:tab w:leader="none" w:pos="51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Times New Roman" w:cs="Times New Roman" w:eastAsia="Times New Roman" w:hAnsi="Times New Roman"/>
          <w:sz w:val="14"/>
          <w:szCs w:val="14"/>
          <w:color w:val="auto"/>
        </w:rPr>
      </w:pPr>
    </w:p>
    <w:p>
      <w:pPr>
        <w:ind w:left="1020" w:right="320" w:firstLine="3"/>
        <w:spacing w:after="0" w:line="287" w:lineRule="auto"/>
        <w:tabs>
          <w:tab w:leader="none" w:pos="1212"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4"/>
          <w:szCs w:val="14"/>
          <w:color w:val="auto"/>
        </w:rPr>
      </w:pPr>
    </w:p>
    <w:p>
      <w:pPr>
        <w:ind w:left="1220" w:hanging="197"/>
        <w:spacing w:after="0"/>
        <w:tabs>
          <w:tab w:leader="none" w:pos="12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ind w:left="2700"/>
        <w:spacing w:after="0"/>
        <w:tabs>
          <w:tab w:leader="none" w:pos="6180" w:val="left"/>
        </w:tabs>
        <w:rPr>
          <w:sz w:val="20"/>
          <w:szCs w:val="20"/>
          <w:color w:val="auto"/>
        </w:rPr>
      </w:pPr>
      <w:r>
        <w:rPr>
          <w:rFonts w:ascii="Times New Roman" w:cs="Times New Roman" w:eastAsia="Times New Roman" w:hAnsi="Times New Roman"/>
          <w:sz w:val="14"/>
          <w:szCs w:val="14"/>
          <w:color w:val="auto"/>
        </w:rPr>
        <w:t>February 27, 2024</w:t>
      </w:r>
      <w:r>
        <w:rPr>
          <w:sz w:val="20"/>
          <w:szCs w:val="20"/>
          <w:color w:val="auto"/>
        </w:rPr>
        <w:tab/>
      </w:r>
      <w:r>
        <w:rPr>
          <w:rFonts w:ascii="Times New Roman" w:cs="Times New Roman" w:eastAsia="Times New Roman" w:hAnsi="Times New Roman"/>
          <w:sz w:val="14"/>
          <w:szCs w:val="14"/>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21590</wp:posOffset>
            </wp:positionV>
            <wp:extent cx="1711325"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1711325" cy="1333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2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ectPr>
          <w:pgSz w:w="11900" w:h="16838" w:orient="portrait"/>
          <w:cols w:equalWidth="0" w:num="1">
            <w:col w:w="11280"/>
          </w:cols>
          <w:pgMar w:left="300" w:top="825"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color w:val="auto"/>
        </w:rPr>
        <w:t>Exhibit 32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ind w:right="80" w:firstLine="141"/>
        <w:spacing w:after="0" w:line="270" w:lineRule="auto"/>
        <w:rPr>
          <w:sz w:val="20"/>
          <w:szCs w:val="20"/>
          <w:color w:val="auto"/>
        </w:rPr>
      </w:pPr>
      <w:r>
        <w:rPr>
          <w:rFonts w:ascii="Times New Roman" w:cs="Times New Roman" w:eastAsia="Times New Roman" w:hAnsi="Times New Roman"/>
          <w:sz w:val="14"/>
          <w:szCs w:val="14"/>
          <w:color w:val="auto"/>
        </w:rPr>
        <w:t>Each of the undersigned in the capacity indicated hereby certifies that, to his knowledge, this Annual Report on Form 10-K for the fiscal year ended December 30, 2023 fully complies with the requirements of Section 13(a) or 15(d) of the Securities Exchange Act of 1934, and the information contained in this Report fairly presents, in all material respects, the financial condition and results of operations of Carter’s, Inc.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40"/>
        <w:spacing w:after="0"/>
        <w:tabs>
          <w:tab w:leader="none" w:pos="6700" w:val="left"/>
        </w:tabs>
        <w:rPr>
          <w:sz w:val="20"/>
          <w:szCs w:val="20"/>
          <w:color w:val="auto"/>
        </w:rPr>
      </w:pPr>
      <w:r>
        <w:rPr>
          <w:rFonts w:ascii="Times New Roman" w:cs="Times New Roman" w:eastAsia="Times New Roman" w:hAnsi="Times New Roman"/>
          <w:sz w:val="14"/>
          <w:szCs w:val="14"/>
          <w:color w:val="auto"/>
        </w:rPr>
        <w:t>February 27, 2024</w:t>
      </w:r>
      <w:r>
        <w:rPr>
          <w:sz w:val="20"/>
          <w:szCs w:val="20"/>
          <w:color w:val="auto"/>
        </w:rPr>
        <w:tab/>
      </w:r>
      <w:r>
        <w:rPr>
          <w:rFonts w:ascii="Times New Roman" w:cs="Times New Roman" w:eastAsia="Times New Roman" w:hAnsi="Times New Roman"/>
          <w:sz w:val="14"/>
          <w:szCs w:val="14"/>
          <w:color w:val="auto"/>
        </w:rPr>
        <w:t>/s/ MICHAEL D.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21590</wp:posOffset>
            </wp:positionV>
            <wp:extent cx="2802890" cy="13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2802890" cy="13335"/>
                    </a:xfrm>
                    <a:prstGeom prst="rect">
                      <a:avLst/>
                    </a:prstGeom>
                    <a:noFill/>
                  </pic:spPr>
                </pic:pic>
              </a:graphicData>
            </a:graphic>
          </wp:anchor>
        </w:drawing>
      </w:r>
    </w:p>
    <w:p>
      <w:pPr>
        <w:spacing w:after="0" w:line="31"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4"/>
          <w:szCs w:val="14"/>
          <w:color w:val="auto"/>
        </w:rPr>
        <w:t>Michael D. Casey</w:t>
      </w:r>
    </w:p>
    <w:p>
      <w:pPr>
        <w:spacing w:after="0" w:line="23"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640"/>
        <w:spacing w:after="0"/>
        <w:tabs>
          <w:tab w:leader="none" w:pos="6380" w:val="left"/>
        </w:tabs>
        <w:rPr>
          <w:sz w:val="20"/>
          <w:szCs w:val="20"/>
          <w:color w:val="auto"/>
        </w:rPr>
      </w:pPr>
      <w:r>
        <w:rPr>
          <w:rFonts w:ascii="Times New Roman" w:cs="Times New Roman" w:eastAsia="Times New Roman" w:hAnsi="Times New Roman"/>
          <w:sz w:val="14"/>
          <w:szCs w:val="14"/>
          <w:color w:val="auto"/>
        </w:rPr>
        <w:t>February 27, 2024</w:t>
      </w:r>
      <w:r>
        <w:rPr>
          <w:sz w:val="20"/>
          <w:szCs w:val="20"/>
          <w:color w:val="auto"/>
        </w:rPr>
        <w:tab/>
      </w:r>
      <w:r>
        <w:rPr>
          <w:rFonts w:ascii="Times New Roman" w:cs="Times New Roman" w:eastAsia="Times New Roman" w:hAnsi="Times New Roman"/>
          <w:sz w:val="14"/>
          <w:szCs w:val="14"/>
          <w:color w:val="auto"/>
        </w:rPr>
        <w:t>/s/ RICHARD F. WESTENBERGER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21590</wp:posOffset>
            </wp:positionV>
            <wp:extent cx="280289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2802890" cy="13335"/>
                    </a:xfrm>
                    <a:prstGeom prst="rect">
                      <a:avLst/>
                    </a:prstGeom>
                    <a:noFill/>
                  </pic:spPr>
                </pic:pic>
              </a:graphicData>
            </a:graphic>
          </wp:anchor>
        </w:drawing>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Richard F. Westenberger</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foregoing certifications are being furnished solely pursuant to 18 U.S.C. § 1350 and are not being filed as part of the Annual Report on Form 10-K or as a separate disclosure document.</w:t>
      </w:r>
    </w:p>
    <w:p>
      <w:pPr>
        <w:sectPr>
          <w:pgSz w:w="11900" w:h="16838" w:orient="portrait"/>
          <w:cols w:equalWidth="0" w:num="1">
            <w:col w:w="11280"/>
          </w:cols>
          <w:pgMar w:left="300" w:top="825"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color w:val="auto"/>
        </w:rPr>
        <w:t>Exhibit 97.1</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Carter’s, Inc. Clawback Policy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August 4, 2023 and Effective as of the Effective Date)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(the “</w:t>
      </w:r>
      <w:r>
        <w:rPr>
          <w:rFonts w:ascii="Times New Roman" w:cs="Times New Roman" w:eastAsia="Times New Roman" w:hAnsi="Times New Roman"/>
          <w:sz w:val="14"/>
          <w:szCs w:val="14"/>
          <w:b w:val="1"/>
          <w:bCs w:val="1"/>
          <w:u w:val="single" w:color="auto"/>
          <w:color w:val="auto"/>
        </w:rPr>
        <w:t>Board</w:t>
      </w:r>
      <w:r>
        <w:rPr>
          <w:rFonts w:ascii="Times New Roman" w:cs="Times New Roman" w:eastAsia="Times New Roman" w:hAnsi="Times New Roman"/>
          <w:sz w:val="14"/>
          <w:szCs w:val="14"/>
          <w:color w:val="auto"/>
        </w:rPr>
        <w:t>”) of Carter’s, Inc. (the “</w:t>
      </w:r>
      <w:r>
        <w:rPr>
          <w:rFonts w:ascii="Times New Roman" w:cs="Times New Roman" w:eastAsia="Times New Roman" w:hAnsi="Times New Roman"/>
          <w:sz w:val="14"/>
          <w:szCs w:val="14"/>
          <w:b w:val="1"/>
          <w:bCs w:val="1"/>
          <w:u w:val="single" w:color="auto"/>
          <w:color w:val="auto"/>
        </w:rPr>
        <w:t>Company</w:t>
      </w:r>
      <w:r>
        <w:rPr>
          <w:rFonts w:ascii="Times New Roman" w:cs="Times New Roman" w:eastAsia="Times New Roman" w:hAnsi="Times New Roman"/>
          <w:sz w:val="14"/>
          <w:szCs w:val="14"/>
          <w:color w:val="auto"/>
        </w:rPr>
        <w:t>”) believes that it is in the best interests of the Company and its shareholders to create and maintain a culture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that encourages strong financial performance on an annual and long-term basis without encouraging excessive risks, while also emphasizing integrity and accountability,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reconfirming the Company’s pay-for-performance compensation philosophy. The Board has therefore adopted this policy which provides for the recoupment of certain executive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in the event of an Accounting Restatement (this “</w:t>
      </w:r>
      <w:r>
        <w:rPr>
          <w:rFonts w:ascii="Times New Roman" w:cs="Times New Roman" w:eastAsia="Times New Roman" w:hAnsi="Times New Roman"/>
          <w:sz w:val="16"/>
          <w:szCs w:val="16"/>
          <w:b w:val="1"/>
          <w:bCs w:val="1"/>
          <w:u w:val="single" w:color="auto"/>
          <w:color w:val="auto"/>
        </w:rPr>
        <w:t>Policy</w:t>
      </w:r>
      <w:r>
        <w:rPr>
          <w:rFonts w:ascii="Times New Roman" w:cs="Times New Roman" w:eastAsia="Times New Roman" w:hAnsi="Times New Roman"/>
          <w:sz w:val="16"/>
          <w:szCs w:val="16"/>
          <w:color w:val="auto"/>
        </w:rPr>
        <w:t>”). This Policy is designed to comply with Section 10D of the Securities Exchange Act of 1934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u w:val="single" w:color="auto"/>
          <w:color w:val="auto"/>
        </w:rPr>
        <w:t>Exchange Act</w:t>
      </w:r>
      <w:r>
        <w:rPr>
          <w:rFonts w:ascii="Times New Roman" w:cs="Times New Roman" w:eastAsia="Times New Roman" w:hAnsi="Times New Roman"/>
          <w:sz w:val="14"/>
          <w:szCs w:val="14"/>
          <w:color w:val="auto"/>
        </w:rPr>
        <w:t>”), Rule 10D-1 under the Exchange Act, and the listing standards of the New York Stock Exchange (“</w:t>
      </w:r>
      <w:r>
        <w:rPr>
          <w:rFonts w:ascii="Times New Roman" w:cs="Times New Roman" w:eastAsia="Times New Roman" w:hAnsi="Times New Roman"/>
          <w:sz w:val="14"/>
          <w:szCs w:val="14"/>
          <w:b w:val="1"/>
          <w:bCs w:val="1"/>
          <w:u w:val="single" w:color="auto"/>
          <w:color w:val="auto"/>
        </w:rPr>
        <w:t>NYSE</w:t>
      </w:r>
      <w:r>
        <w:rPr>
          <w:rFonts w:ascii="Times New Roman" w:cs="Times New Roman" w:eastAsia="Times New Roman" w:hAnsi="Times New Roman"/>
          <w:sz w:val="14"/>
          <w:szCs w:val="14"/>
          <w:color w:val="auto"/>
        </w:rPr>
        <w:t>”) or any other national securities exchange on which the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Company’s securities are listed. Capitalized terms used in this Policy shall have the meanings as set forth in </w:t>
      </w:r>
      <w:r>
        <w:rPr>
          <w:rFonts w:ascii="Times New Roman" w:cs="Times New Roman" w:eastAsia="Times New Roman" w:hAnsi="Times New Roman"/>
          <w:sz w:val="16"/>
          <w:szCs w:val="16"/>
          <w:b w:val="1"/>
          <w:bCs w:val="1"/>
          <w:u w:val="single" w:color="auto"/>
          <w:color w:val="auto"/>
        </w:rPr>
        <w:t>Appendix A</w:t>
      </w:r>
      <w:r>
        <w:rPr>
          <w:rFonts w:ascii="Times New Roman" w:cs="Times New Roman" w:eastAsia="Times New Roman" w:hAnsi="Times New Roman"/>
          <w:sz w:val="16"/>
          <w:szCs w:val="16"/>
          <w:color w:val="auto"/>
        </w:rPr>
        <w:t>.</w:t>
      </w:r>
    </w:p>
    <w:p>
      <w:pPr>
        <w:spacing w:after="0" w:line="156" w:lineRule="exact"/>
        <w:rPr>
          <w:sz w:val="20"/>
          <w:szCs w:val="20"/>
          <w:color w:val="auto"/>
        </w:rPr>
      </w:pPr>
    </w:p>
    <w:p>
      <w:pPr>
        <w:ind w:left="280" w:hanging="275"/>
        <w:spacing w:after="0"/>
        <w:tabs>
          <w:tab w:leader="none" w:pos="28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Administration &amp; Interpretation; Effective Date</w:t>
      </w:r>
    </w:p>
    <w:p>
      <w:pPr>
        <w:spacing w:after="0" w:line="168"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This Policy shall be administered and interpreted by the Committee. The Committee is authorized to interpret and construe this Policy and to make all determinations necessary, appropriate, or advisable for the administration of this Policy. This Policy shall be binding and enforceable against all Executive Officers and their beneficiaries, heirs, executors or other legal representatives. Any interpretations or determinations made by the Committee shall be final and binding on all affected individuals. The effective date of this policy shall be October 2, 2023 (the “</w:t>
      </w:r>
      <w:r>
        <w:rPr>
          <w:rFonts w:ascii="Times New Roman" w:cs="Times New Roman" w:eastAsia="Times New Roman" w:hAnsi="Times New Roman"/>
          <w:sz w:val="16"/>
          <w:szCs w:val="16"/>
          <w:b w:val="1"/>
          <w:bCs w:val="1"/>
          <w:u w:val="single" w:color="auto"/>
          <w:color w:val="auto"/>
        </w:rPr>
        <w:t>Effective Date</w:t>
      </w:r>
      <w:r>
        <w:rPr>
          <w:rFonts w:ascii="Times New Roman" w:cs="Times New Roman" w:eastAsia="Times New Roman" w:hAnsi="Times New Roman"/>
          <w:sz w:val="16"/>
          <w:szCs w:val="16"/>
          <w:color w:val="auto"/>
        </w:rPr>
        <w:t>”).</w:t>
      </w:r>
    </w:p>
    <w:p>
      <w:pPr>
        <w:spacing w:after="0" w:line="105" w:lineRule="exact"/>
        <w:rPr>
          <w:sz w:val="20"/>
          <w:szCs w:val="20"/>
          <w:color w:val="auto"/>
        </w:rPr>
      </w:pPr>
    </w:p>
    <w:p>
      <w:pPr>
        <w:ind w:left="280" w:hanging="275"/>
        <w:spacing w:after="0"/>
        <w:tabs>
          <w:tab w:leader="none" w:pos="28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Repayment of Erroneously Awarded Compensation.</w:t>
      </w:r>
    </w:p>
    <w:p>
      <w:pPr>
        <w:spacing w:after="0" w:line="157" w:lineRule="exact"/>
        <w:rPr>
          <w:rFonts w:ascii="Times New Roman" w:cs="Times New Roman" w:eastAsia="Times New Roman" w:hAnsi="Times New Roman"/>
          <w:sz w:val="16"/>
          <w:szCs w:val="16"/>
          <w:b w:val="1"/>
          <w:bCs w:val="1"/>
          <w:color w:val="auto"/>
        </w:rPr>
      </w:pPr>
    </w:p>
    <w:p>
      <w:pPr>
        <w:ind w:left="80" w:right="120" w:firstLine="519"/>
        <w:spacing w:after="0" w:line="207" w:lineRule="auto"/>
        <w:tabs>
          <w:tab w:leader="none" w:pos="1011"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In the event of an Accounting Restatement, the Committee shall determine the amount of any Erroneously Awarded Compensation for each Executive Officer in connection with such Accounting Restatement and thereafter, provide each Executive Officer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NYSE).</w:t>
      </w:r>
    </w:p>
    <w:p>
      <w:pPr>
        <w:ind w:left="80" w:right="100" w:firstLine="518"/>
        <w:spacing w:after="0" w:line="208" w:lineRule="auto"/>
        <w:tabs>
          <w:tab w:leader="none" w:pos="1010"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Committee shall take such action as it deems appropriate to recover Erroneously Awarded Compensation reasonably promptly after such obligation is incurred and shall have broad discretion to determine the appropriate means of recovery of such Erroneously Awarded Compensation based on all applicable facts and circumstances. The Committee may seek recoupment in the manner it chooses, in its sole discretion, which may include, without limitation, one or a combination of the following: (i) direct reimbursement from the Executive Officer of Incentive-based Compensation previously paid, (ii) deduction of the recouped amount from unpaid compensation otherwise owed by the Company to the Covered Executive, (iii) set-off, (iv) rescinding or cancelling vested or unvested equity or cash based awards, and (v) any other remedial and recovery action permitted by law, as determined by the Committee. For the avoidance of doubt, except as set forth in Section 2(d) below, in no event may the Company Group accept an amount that is less than the amount of Erroneously</w:t>
      </w:r>
    </w:p>
    <w:p>
      <w:pPr>
        <w:sectPr>
          <w:pgSz w:w="11900" w:h="16838" w:orient="portrait"/>
          <w:cols w:equalWidth="0" w:num="1">
            <w:col w:w="11280"/>
          </w:cols>
          <w:pgMar w:left="300" w:top="967" w:right="319" w:bottom="1440" w:gutter="0" w:footer="0" w:header="0"/>
        </w:sectPr>
      </w:pPr>
    </w:p>
    <w:bookmarkStart w:id="174" w:name="page175"/>
    <w:bookmarkEnd w:id="174"/>
    <w:p>
      <w:pPr>
        <w:ind w:left="80"/>
        <w:spacing w:after="0"/>
        <w:rPr>
          <w:sz w:val="20"/>
          <w:szCs w:val="20"/>
          <w:color w:val="auto"/>
        </w:rPr>
      </w:pPr>
      <w:r>
        <w:rPr>
          <w:rFonts w:ascii="Times New Roman" w:cs="Times New Roman" w:eastAsia="Times New Roman" w:hAnsi="Times New Roman"/>
          <w:sz w:val="16"/>
          <w:szCs w:val="16"/>
          <w:color w:val="auto"/>
        </w:rPr>
        <w:t>Awarded Compensation in satisfaction of an Executive Officer’s obligations hereunder.</w:t>
      </w:r>
    </w:p>
    <w:p>
      <w:pPr>
        <w:ind w:left="80" w:right="160" w:firstLine="518"/>
        <w:spacing w:after="0" w:line="208" w:lineRule="auto"/>
        <w:tabs>
          <w:tab w:leader="none" w:pos="1011"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To the extent that an Executive Officer fails to repay all Erroneously Awarded Compensation to the Company Group when due (as determined in accordance with Section 2(b) above), the Company shall, or shall cause one or more other members of the Company Group to, take all actions reasonable and appropriate to recover such Erroneously Awarded Compensation from the applicable Executive Officer. The applicable Executive Officer shall be required to reimburse the Company Group for any and all expenses reasonably incurred (including legal fees) by the Company Group in recovering such Erroneously Awarded Compensation in accordance with the immediately preceding sentence.</w:t>
      </w:r>
    </w:p>
    <w:p>
      <w:pPr>
        <w:spacing w:after="0" w:line="1" w:lineRule="exact"/>
        <w:rPr>
          <w:rFonts w:ascii="Times New Roman" w:cs="Times New Roman" w:eastAsia="Times New Roman" w:hAnsi="Times New Roman"/>
          <w:sz w:val="17"/>
          <w:szCs w:val="17"/>
          <w:color w:val="auto"/>
        </w:rPr>
      </w:pPr>
    </w:p>
    <w:p>
      <w:pPr>
        <w:ind w:left="80" w:right="560" w:firstLine="519"/>
        <w:spacing w:after="0" w:line="208" w:lineRule="auto"/>
        <w:tabs>
          <w:tab w:leader="none" w:pos="101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Notwithstanding anything herein to the contrary, the Company shall not be required to take the actions contemplated by Section 2(b) above if the following conditions are met and the Committee determines that recovery would be impracticable:</w:t>
      </w:r>
    </w:p>
    <w:p>
      <w:pPr>
        <w:ind w:left="80" w:right="200" w:firstLine="1028"/>
        <w:spacing w:after="0" w:line="214" w:lineRule="auto"/>
        <w:tabs>
          <w:tab w:leader="none" w:pos="1513"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direct expenses paid to a third party to assist in enforcing the Policy against an Executive Officer would exceed the amount to be recovered, after the Company has made a reasonable attempt to recover the applicable Erroneously Awarded Compensation, documented such attempts and provided such documentation to the NYSE; or</w:t>
      </w:r>
    </w:p>
    <w:p>
      <w:pPr>
        <w:spacing w:after="0" w:line="31" w:lineRule="exact"/>
        <w:rPr>
          <w:rFonts w:ascii="Times New Roman" w:cs="Times New Roman" w:eastAsia="Times New Roman" w:hAnsi="Times New Roman"/>
          <w:sz w:val="17"/>
          <w:szCs w:val="17"/>
          <w:color w:val="auto"/>
        </w:rPr>
      </w:pPr>
    </w:p>
    <w:p>
      <w:pPr>
        <w:ind w:left="80" w:right="160" w:firstLine="1028"/>
        <w:spacing w:after="0" w:line="219" w:lineRule="auto"/>
        <w:tabs>
          <w:tab w:leader="none" w:pos="1518" w:val="left"/>
        </w:tabs>
        <w:numPr>
          <w:ilvl w:val="2"/>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Recovery would likely cause an otherwise tax-qualified retirement plan, under which benefits are broadly available to employees of the Company Group, to fail to meet the requirements of 26 U.S.C. 401(a)(13) or 26 U.S.C. 411(a) and regulations thereunder.</w:t>
      </w:r>
    </w:p>
    <w:p>
      <w:pPr>
        <w:ind w:left="280" w:hanging="275"/>
        <w:spacing w:after="0"/>
        <w:tabs>
          <w:tab w:leader="none" w:pos="28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Reporting and Disclosure</w:t>
      </w:r>
    </w:p>
    <w:p>
      <w:pPr>
        <w:spacing w:after="0" w:line="148" w:lineRule="exact"/>
        <w:rPr>
          <w:sz w:val="20"/>
          <w:szCs w:val="20"/>
          <w:color w:val="auto"/>
        </w:rPr>
      </w:pPr>
    </w:p>
    <w:p>
      <w:pPr>
        <w:ind w:right="560"/>
        <w:spacing w:after="0" w:line="301" w:lineRule="auto"/>
        <w:rPr>
          <w:sz w:val="20"/>
          <w:szCs w:val="20"/>
          <w:color w:val="auto"/>
        </w:rPr>
      </w:pPr>
      <w:r>
        <w:rPr>
          <w:rFonts w:ascii="Times New Roman" w:cs="Times New Roman" w:eastAsia="Times New Roman" w:hAnsi="Times New Roman"/>
          <w:sz w:val="16"/>
          <w:szCs w:val="16"/>
          <w:color w:val="auto"/>
        </w:rPr>
        <w:t>The Company shall file all disclosures with respect to this Policy in accordance with the requirement of the Federal securities laws, including the disclosure required by the applicable SEC filings.</w:t>
      </w:r>
    </w:p>
    <w:p>
      <w:pPr>
        <w:spacing w:after="0" w:line="99" w:lineRule="exact"/>
        <w:rPr>
          <w:sz w:val="20"/>
          <w:szCs w:val="20"/>
          <w:color w:val="auto"/>
        </w:rPr>
      </w:pPr>
    </w:p>
    <w:p>
      <w:pPr>
        <w:ind w:left="280" w:hanging="275"/>
        <w:spacing w:after="0"/>
        <w:tabs>
          <w:tab w:leader="none" w:pos="28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No Indemnification</w:t>
      </w:r>
    </w:p>
    <w:p>
      <w:pPr>
        <w:spacing w:after="0" w:line="158" w:lineRule="exact"/>
        <w:rPr>
          <w:sz w:val="20"/>
          <w:szCs w:val="20"/>
          <w:color w:val="auto"/>
        </w:rPr>
      </w:pPr>
    </w:p>
    <w:p>
      <w:pPr>
        <w:ind w:right="80"/>
        <w:spacing w:after="0" w:line="331" w:lineRule="auto"/>
        <w:rPr>
          <w:sz w:val="20"/>
          <w:szCs w:val="20"/>
          <w:color w:val="auto"/>
        </w:rPr>
      </w:pPr>
      <w:r>
        <w:rPr>
          <w:rFonts w:ascii="Times New Roman" w:cs="Times New Roman" w:eastAsia="Times New Roman" w:hAnsi="Times New Roman"/>
          <w:sz w:val="14"/>
          <w:szCs w:val="14"/>
          <w:color w:val="auto"/>
        </w:rPr>
        <w:t>No member of the Company Group shall be permitted to indemnify any Executive Officer against (i) the loss of any Erroneously Awarded Compensation that is repaid, returned or recovered pursuant to the terms of this Policy, or (ii) any claims relating to the Company Group’s enforcement of its rights under this Policy. Further, no member of the Company Group shall enter into any agreement that exempts any Incentive-based Compensation from the application of this Policy or that waives the Company Group’s right to recovery of any Erroneously Awarded Compensation and this Policy shall supersede any such agreement (whether entered into before, on or after the Effective Date).</w:t>
      </w:r>
    </w:p>
    <w:p>
      <w:pPr>
        <w:spacing w:after="0" w:line="86" w:lineRule="exact"/>
        <w:rPr>
          <w:sz w:val="20"/>
          <w:szCs w:val="20"/>
          <w:color w:val="auto"/>
        </w:rPr>
      </w:pPr>
    </w:p>
    <w:p>
      <w:pPr>
        <w:ind w:left="280" w:hanging="275"/>
        <w:spacing w:after="0"/>
        <w:tabs>
          <w:tab w:leader="none" w:pos="28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Amendment; Termination</w:t>
      </w:r>
    </w:p>
    <w:p>
      <w:pPr>
        <w:spacing w:after="0" w:line="168" w:lineRule="exact"/>
        <w:rPr>
          <w:sz w:val="20"/>
          <w:szCs w:val="20"/>
          <w:color w:val="auto"/>
        </w:rPr>
      </w:pPr>
    </w:p>
    <w:p>
      <w:pPr>
        <w:spacing w:after="0" w:line="323" w:lineRule="auto"/>
        <w:rPr>
          <w:sz w:val="20"/>
          <w:szCs w:val="20"/>
          <w:color w:val="auto"/>
        </w:rPr>
      </w:pPr>
      <w:r>
        <w:rPr>
          <w:rFonts w:ascii="Times New Roman" w:cs="Times New Roman" w:eastAsia="Times New Roman" w:hAnsi="Times New Roman"/>
          <w:sz w:val="14"/>
          <w:szCs w:val="14"/>
          <w:color w:val="auto"/>
        </w:rPr>
        <w:t>The Committee may amend this Policy from time to time in its discretion and shall amend this Policy as it deems necessary, including as and when it determines that it is legally required by any Federal securities laws, SEC rules or the rules of any national securities exchange or national securities association on which the Company’s securities are listed. The Committee may terminate this Policy at any time. Notwithstanding anything in this Section 5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rules or the rules of any national securities exchange or national securities association on which the Company’s securities are listed.</w:t>
      </w:r>
    </w:p>
    <w:p>
      <w:pPr>
        <w:spacing w:after="0" w:line="82" w:lineRule="exact"/>
        <w:rPr>
          <w:sz w:val="20"/>
          <w:szCs w:val="20"/>
          <w:color w:val="auto"/>
        </w:rPr>
      </w:pPr>
    </w:p>
    <w:p>
      <w:pPr>
        <w:ind w:left="280" w:hanging="275"/>
        <w:spacing w:after="0"/>
        <w:tabs>
          <w:tab w:leader="none" w:pos="28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Other Recoupment Rights; No Additional Payments</w:t>
      </w:r>
    </w:p>
    <w:p>
      <w:pPr>
        <w:sectPr>
          <w:pgSz w:w="11900" w:h="16838" w:orient="portrait"/>
          <w:cols w:equalWidth="0" w:num="1">
            <w:col w:w="11240"/>
          </w:cols>
          <w:pgMar w:left="300" w:top="918" w:right="359" w:bottom="1440" w:gutter="0" w:footer="0" w:header="0"/>
        </w:sectPr>
      </w:pPr>
    </w:p>
    <w:bookmarkStart w:id="175" w:name="page176"/>
    <w:bookmarkEnd w:id="175"/>
    <w:p>
      <w:pPr>
        <w:spacing w:after="0" w:line="318" w:lineRule="auto"/>
        <w:rPr>
          <w:sz w:val="20"/>
          <w:szCs w:val="20"/>
          <w:color w:val="auto"/>
        </w:rPr>
      </w:pPr>
      <w:r>
        <w:rPr>
          <w:rFonts w:ascii="Times New Roman" w:cs="Times New Roman" w:eastAsia="Times New Roman" w:hAnsi="Times New Roman"/>
          <w:sz w:val="14"/>
          <w:szCs w:val="14"/>
          <w:color w:val="auto"/>
        </w:rPr>
        <w:t>The Committee intends that this Policy will be applied to the fullest extent of the law. This Policy shall be incorporated by reference into and shall apply to all incentive, bonus, equity, equity-based and compensation plans, agreements, and awards outstanding as of the Effective Date or entered into on or after the Policy’s Effective Date. The Committee may require that any employment agreement, equity award agreement, or any other agreement entered into on or after the Effective Date shall, as a condition to the grant of any benefit thereunder, require an Executive Officer to agree to abide by the terms of this Policy. Any right of recoupment under this Policy is in addition to, and not in lieu of, any other remedies or rights of recoupment that may be available to the Company Group under applicable law, regulation or rule or pursuant to the terms of any similar policy in any employment agreement, equity award agreement, or similar agreement and any other legal remedies available to the Company Group, including, but not limited to, the inclusion of provisions related to the recoupment of any incentive compensation by an employee who commits fraud or any material violation of the Company’s Code of Ethics.</w:t>
      </w:r>
    </w:p>
    <w:p>
      <w:pPr>
        <w:spacing w:after="0" w:line="96" w:lineRule="exact"/>
        <w:rPr>
          <w:sz w:val="20"/>
          <w:szCs w:val="20"/>
          <w:color w:val="auto"/>
        </w:rPr>
      </w:pPr>
    </w:p>
    <w:p>
      <w:pPr>
        <w:ind w:left="280" w:hanging="275"/>
        <w:spacing w:after="0"/>
        <w:tabs>
          <w:tab w:leader="none" w:pos="280"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Entire Agreement; Successors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This Policy supersedes, replaces and merges any and all previous agreements and understandings regarding the Company’s policy on the recovery of compensation, and this Policy constitutes the entire agreement between the Company and the Executive Officers with respect to such terms and conditions. This Policy shall be binding and enforceable against all Executive Officers and their respective beneficiaries, heirs, executors, administrators or other legal representatives.</w:t>
      </w:r>
    </w:p>
    <w:p>
      <w:pPr>
        <w:sectPr>
          <w:pgSz w:w="11900" w:h="16838" w:orient="portrait"/>
          <w:cols w:equalWidth="0" w:num="1">
            <w:col w:w="11240"/>
          </w:cols>
          <w:pgMar w:left="300" w:top="959" w:right="35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APPENDIX A – DEFINITIONS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Policy, the following capitalized terms shall have the meanings set forth below.</w:t>
      </w:r>
    </w:p>
    <w:p>
      <w:pPr>
        <w:ind w:right="120" w:firstLine="518"/>
        <w:spacing w:after="0" w:line="208" w:lineRule="auto"/>
        <w:tabs>
          <w:tab w:leader="none" w:pos="931"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Accounting Restatement</w:t>
      </w:r>
      <w:r>
        <w:rPr>
          <w:rFonts w:ascii="Times New Roman" w:cs="Times New Roman" w:eastAsia="Times New Roman" w:hAnsi="Times New Roman"/>
          <w:sz w:val="17"/>
          <w:szCs w:val="17"/>
          <w:color w:val="auto"/>
        </w:rPr>
        <w:t>” shall mean an accounting restatement due to the material noncompliance of the Company with any financial reporting requirement under the securities laws, including any required accounting restatement (i) to correct an error in previously issued financial restatements that is material to the previously issued financial statements, or (ii) that corrects an error that is not material to previously issued financial statements, but would result in a material misstatement if the error were corrected in the current period or left uncorrected in the current period.</w:t>
      </w:r>
    </w:p>
    <w:p>
      <w:pPr>
        <w:spacing w:after="0" w:line="1" w:lineRule="exact"/>
        <w:rPr>
          <w:rFonts w:ascii="Times New Roman" w:cs="Times New Roman" w:eastAsia="Times New Roman" w:hAnsi="Times New Roman"/>
          <w:sz w:val="17"/>
          <w:szCs w:val="17"/>
          <w:color w:val="auto"/>
        </w:rPr>
      </w:pPr>
    </w:p>
    <w:p>
      <w:pPr>
        <w:ind w:firstLine="518"/>
        <w:spacing w:after="0" w:line="214" w:lineRule="auto"/>
        <w:tabs>
          <w:tab w:leader="none" w:pos="933"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Clawback Eligible Incentive Compensation</w:t>
      </w:r>
      <w:r>
        <w:rPr>
          <w:rFonts w:ascii="Times New Roman" w:cs="Times New Roman" w:eastAsia="Times New Roman" w:hAnsi="Times New Roman"/>
          <w:sz w:val="17"/>
          <w:szCs w:val="17"/>
          <w:color w:val="auto"/>
        </w:rPr>
        <w:t>” shall mean, in connection with an Accounting Restatement and with respect to each individual who served as an Executive Officer at any time during the applicable performance period for any Incentive-based Compensation (whether or not such Executive Officer is serving at the time the Erroneously Awarded Compensation is required to be repaid to the Company Group), all Incentive-based Compensation Received by such Executive Officer (i) on or after the Effective Date, (ii) after beginning service as an Executive Officer, (iii) who served as an Executive Officer at any time during the performance period for the Incentive-based Compensation, (iv) while the Company has a class of securities listed on a national securities exchange or a national securities association and (v) during the applicable Clawback Period.</w:t>
      </w:r>
    </w:p>
    <w:p>
      <w:pPr>
        <w:spacing w:after="0" w:line="14" w:lineRule="exact"/>
        <w:rPr>
          <w:rFonts w:ascii="Times New Roman" w:cs="Times New Roman" w:eastAsia="Times New Roman" w:hAnsi="Times New Roman"/>
          <w:sz w:val="17"/>
          <w:szCs w:val="17"/>
          <w:color w:val="auto"/>
        </w:rPr>
      </w:pPr>
    </w:p>
    <w:p>
      <w:pPr>
        <w:ind w:right="80" w:firstLine="518"/>
        <w:spacing w:after="0" w:line="217" w:lineRule="auto"/>
        <w:tabs>
          <w:tab w:leader="none" w:pos="93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Clawback Period</w:t>
      </w:r>
      <w:r>
        <w:rPr>
          <w:rFonts w:ascii="Times New Roman" w:cs="Times New Roman" w:eastAsia="Times New Roman" w:hAnsi="Times New Roman"/>
          <w:sz w:val="17"/>
          <w:szCs w:val="17"/>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 w:lineRule="exact"/>
        <w:rPr>
          <w:rFonts w:ascii="Times New Roman" w:cs="Times New Roman" w:eastAsia="Times New Roman" w:hAnsi="Times New Roman"/>
          <w:sz w:val="17"/>
          <w:szCs w:val="17"/>
          <w:color w:val="auto"/>
        </w:rPr>
      </w:pPr>
    </w:p>
    <w:p>
      <w:pPr>
        <w:ind w:left="940" w:hanging="379"/>
        <w:spacing w:after="0" w:line="208" w:lineRule="auto"/>
        <w:tabs>
          <w:tab w:leader="none" w:pos="94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Committee</w:t>
      </w:r>
      <w:r>
        <w:rPr>
          <w:rFonts w:ascii="Times New Roman" w:cs="Times New Roman" w:eastAsia="Times New Roman" w:hAnsi="Times New Roman"/>
          <w:sz w:val="17"/>
          <w:szCs w:val="17"/>
          <w:color w:val="auto"/>
        </w:rPr>
        <w:t>” shall mean the Compensation and Human Capital Committee of the Board.</w:t>
      </w:r>
    </w:p>
    <w:p>
      <w:pPr>
        <w:ind w:left="940" w:hanging="379"/>
        <w:spacing w:after="0" w:line="208" w:lineRule="auto"/>
        <w:tabs>
          <w:tab w:leader="none" w:pos="940"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 Group</w:t>
      </w:r>
      <w:r>
        <w:rPr>
          <w:rFonts w:ascii="Times New Roman" w:cs="Times New Roman" w:eastAsia="Times New Roman" w:hAnsi="Times New Roman"/>
          <w:sz w:val="17"/>
          <w:szCs w:val="17"/>
          <w:color w:val="auto"/>
        </w:rPr>
        <w:t>” shall mean the Company, together with each of its direct and indirect subsidiaries.</w:t>
      </w:r>
    </w:p>
    <w:p>
      <w:pPr>
        <w:ind w:left="60" w:right="80" w:firstLine="501"/>
        <w:spacing w:after="0" w:line="208" w:lineRule="auto"/>
        <w:tabs>
          <w:tab w:leader="none" w:pos="942"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Erroneously Awarded Compensation</w:t>
      </w:r>
      <w:r>
        <w:rPr>
          <w:rFonts w:ascii="Times New Roman" w:cs="Times New Roman" w:eastAsia="Times New Roman" w:hAnsi="Times New Roman"/>
          <w:sz w:val="17"/>
          <w:szCs w:val="17"/>
          <w:color w:val="auto"/>
        </w:rPr>
        <w:t>” shall mean,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spacing w:after="0" w:line="1" w:lineRule="exact"/>
        <w:rPr>
          <w:rFonts w:ascii="Times New Roman" w:cs="Times New Roman" w:eastAsia="Times New Roman" w:hAnsi="Times New Roman"/>
          <w:sz w:val="17"/>
          <w:szCs w:val="17"/>
          <w:color w:val="auto"/>
        </w:rPr>
      </w:pPr>
    </w:p>
    <w:p>
      <w:pPr>
        <w:ind w:left="60" w:right="80" w:firstLine="501"/>
        <w:spacing w:after="0" w:line="214" w:lineRule="auto"/>
        <w:tabs>
          <w:tab w:leader="none" w:pos="948"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Executive Officer</w:t>
      </w:r>
      <w:r>
        <w:rPr>
          <w:rFonts w:ascii="Times New Roman" w:cs="Times New Roman" w:eastAsia="Times New Roman" w:hAnsi="Times New Roman"/>
          <w:sz w:val="17"/>
          <w:szCs w:val="17"/>
          <w:color w:val="auto"/>
        </w:rPr>
        <w:t>” shall mean the Company’s current and former president, principal financial officer, principal accounting officer (or if there is no principal accounting officer, the controller), any vice-president in charge of a principal business unit, division or function (such as sales, administration, or finance), any other officer who performs a policy-making function for the Company, or any other person who performs similar policy-making functions for the Company, as determined by the Committee in accordance with Federal securities laws, SEC rules or the rules of any national securities exchange or national securities association on which the Company’s securities are listed. Identification of an executive officer for purposes of this Policy includes at a minimum executive officers identified pursuant to 17 C.F.R. 229.401(b).</w:t>
      </w:r>
    </w:p>
    <w:p>
      <w:pPr>
        <w:sectPr>
          <w:pgSz w:w="11900" w:h="16838" w:orient="portrait"/>
          <w:cols w:equalWidth="0" w:num="1">
            <w:col w:w="11120"/>
          </w:cols>
          <w:pgMar w:left="380" w:top="1148" w:right="399" w:bottom="1440" w:gutter="0" w:footer="0" w:header="0"/>
        </w:sectPr>
      </w:pPr>
    </w:p>
    <w:bookmarkStart w:id="177" w:name="page178"/>
    <w:bookmarkEnd w:id="177"/>
    <w:p>
      <w:pPr>
        <w:ind w:left="-519" w:right="160" w:firstLine="519"/>
        <w:spacing w:after="0" w:line="213" w:lineRule="auto"/>
        <w:tabs>
          <w:tab w:leader="none" w:pos="40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Financial Reporting Measures</w:t>
      </w:r>
      <w:r>
        <w:rPr>
          <w:rFonts w:ascii="Times New Roman" w:cs="Times New Roman" w:eastAsia="Times New Roman" w:hAnsi="Times New Roman"/>
          <w:sz w:val="17"/>
          <w:szCs w:val="17"/>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3" w:lineRule="exact"/>
        <w:rPr>
          <w:rFonts w:ascii="Times New Roman" w:cs="Times New Roman" w:eastAsia="Times New Roman" w:hAnsi="Times New Roman"/>
          <w:sz w:val="17"/>
          <w:szCs w:val="17"/>
          <w:color w:val="auto"/>
        </w:rPr>
      </w:pPr>
    </w:p>
    <w:p>
      <w:pPr>
        <w:ind w:left="-519" w:right="20" w:firstLine="519"/>
        <w:spacing w:after="0" w:line="208" w:lineRule="auto"/>
        <w:tabs>
          <w:tab w:leader="none" w:pos="40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Incentive-based Compensation</w:t>
      </w:r>
      <w:r>
        <w:rPr>
          <w:rFonts w:ascii="Times New Roman" w:cs="Times New Roman" w:eastAsia="Times New Roman" w:hAnsi="Times New Roman"/>
          <w:sz w:val="17"/>
          <w:szCs w:val="17"/>
          <w:color w:val="auto"/>
        </w:rPr>
        <w:t>” shall mean any compensation that is granted, earned or vested based wholly or in part upon the attainment of a Financial Reporting Measure. Incentive-based Compensation does not include: (i) bonuses paid solely at the discretion of the Board or the Committee that are not paid from a bonus pool that is determined by satisfying a financial reporting measure performance goal or solely upon satisfying one or more subjective standards and/or completion of a specified employment period, (ii) non-equity incentive plan awards earned solely upon satisfying one or more strategic or operational measures, (iii) equity awards not contingent upon achieving any financial reporting measure performance goal and vesting is contingent solely upon the completion of a specified employment period and/or attaining one or more non-financial reporting measures or (iv) any Incentive-based Compensation received before the Company had a class of securities listed on a national securities exchange.</w:t>
      </w:r>
    </w:p>
    <w:p>
      <w:pPr>
        <w:spacing w:after="0" w:line="2" w:lineRule="exact"/>
        <w:rPr>
          <w:rFonts w:ascii="Times New Roman" w:cs="Times New Roman" w:eastAsia="Times New Roman" w:hAnsi="Times New Roman"/>
          <w:sz w:val="17"/>
          <w:szCs w:val="17"/>
          <w:color w:val="auto"/>
        </w:rPr>
      </w:pPr>
    </w:p>
    <w:p>
      <w:pPr>
        <w:ind w:left="-519" w:right="80" w:firstLine="519"/>
        <w:spacing w:after="0" w:line="208" w:lineRule="auto"/>
        <w:tabs>
          <w:tab w:leader="none" w:pos="41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Received</w:t>
      </w:r>
      <w:r>
        <w:rPr>
          <w:rFonts w:ascii="Times New Roman" w:cs="Times New Roman" w:eastAsia="Times New Roman" w:hAnsi="Times New Roman"/>
          <w:sz w:val="17"/>
          <w:szCs w:val="17"/>
          <w:color w:val="auto"/>
        </w:rPr>
        <w:t>” shall, with respect to any Incentive-based Compensation, mean actual or deemed receipt,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spacing w:after="0" w:line="1" w:lineRule="exact"/>
        <w:rPr>
          <w:rFonts w:ascii="Times New Roman" w:cs="Times New Roman" w:eastAsia="Times New Roman" w:hAnsi="Times New Roman"/>
          <w:sz w:val="17"/>
          <w:szCs w:val="17"/>
          <w:color w:val="auto"/>
        </w:rPr>
      </w:pPr>
    </w:p>
    <w:p>
      <w:pPr>
        <w:ind w:left="-519" w:firstLine="519"/>
        <w:spacing w:after="0" w:line="208" w:lineRule="auto"/>
        <w:tabs>
          <w:tab w:leader="none" w:pos="41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Restatement Date</w:t>
      </w:r>
      <w:r>
        <w:rPr>
          <w:rFonts w:ascii="Times New Roman" w:cs="Times New Roman" w:eastAsia="Times New Roman" w:hAnsi="Times New Roman"/>
          <w:sz w:val="17"/>
          <w:szCs w:val="17"/>
          <w:color w:val="auto"/>
        </w:rPr>
        <w:t>” shall mean the earlier to occur of (i) the date the Board, a committee of the Board or the officers of the Company authorized to take such action if Board action is not required, concludes, or reasonably should have concluded, that the issuer is required to prepare an Accounting Restatement, or (ii) the date of court, regulator or other legally authorized body directs the issuer to prepare an Accounting Restatement.</w:t>
      </w:r>
    </w:p>
    <w:p>
      <w:pPr>
        <w:spacing w:after="0" w:line="1" w:lineRule="exact"/>
        <w:rPr>
          <w:rFonts w:ascii="Times New Roman" w:cs="Times New Roman" w:eastAsia="Times New Roman" w:hAnsi="Times New Roman"/>
          <w:sz w:val="17"/>
          <w:szCs w:val="17"/>
          <w:color w:val="auto"/>
        </w:rPr>
      </w:pPr>
    </w:p>
    <w:p>
      <w:pPr>
        <w:ind w:left="501" w:hanging="501"/>
        <w:spacing w:after="0"/>
        <w:tabs>
          <w:tab w:leader="none" w:pos="501"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shall mean the U.S. Securities and Exchange Commission.</w:t>
      </w:r>
    </w:p>
    <w:sectPr>
      <w:pgSz w:w="11900" w:h="16838" w:orient="portrait"/>
      <w:cols w:equalWidth="0" w:num="1">
        <w:col w:w="10521"/>
      </w:cols>
      <w:pgMar w:left="899" w:top="112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1)"/>
      <w:numFmt w:val="decimal"/>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abstractNum>
  <w:abstractNum w:abstractNumId="28">
    <w:nsid w:val="61574095"/>
    <w:multiLevelType w:val="hybridMultilevel"/>
    <w:lvl w:ilvl="0">
      <w:lvlJc w:val="left"/>
      <w:lvlText w:val="(%1)"/>
      <w:numFmt w:val="decimal"/>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
      <w:numFmt w:val="bullet"/>
      <w:start w:val="1"/>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1"/>
    </w:lvl>
  </w:abstractNum>
  <w:abstractNum w:abstractNumId="35">
    <w:nsid w:val="25A70BF7"/>
    <w:multiLevelType w:val="hybridMultilevel"/>
    <w:lvl w:ilvl="0">
      <w:lvlJc w:val="left"/>
      <w:lvlText w:val="(%1)"/>
      <w:numFmt w:val="decimal"/>
      <w:start w:val="1"/>
    </w:lvl>
  </w:abstractNum>
  <w:abstractNum w:abstractNumId="36">
    <w:nsid w:val="1DBABF00"/>
    <w:multiLevelType w:val="hybridMultilevel"/>
    <w:lvl w:ilvl="0">
      <w:lvlJc w:val="left"/>
      <w:lvlText w:val="(*)"/>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abstractNum>
  <w:abstractNum w:abstractNumId="39">
    <w:nsid w:val="1381823A"/>
    <w:multiLevelType w:val="hybridMultilevel"/>
    <w:lvl w:ilvl="0">
      <w:lvlJc w:val="left"/>
      <w:lvlText w:val="(*)"/>
      <w:numFmt w:val="bullet"/>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
      <w:numFmt w:val="bullet"/>
      <w:start w:val="1"/>
    </w:lvl>
  </w:abstractNum>
  <w:abstractNum w:abstractNumId="42">
    <w:nsid w:val="6590700B"/>
    <w:multiLevelType w:val="hybridMultilevel"/>
    <w:lvl w:ilvl="0">
      <w:lvlJc w:val="left"/>
      <w:lvlText w:val="•"/>
      <w:numFmt w:val="bullet"/>
      <w:start w:val="1"/>
    </w:lvl>
  </w:abstractNum>
  <w:abstractNum w:abstractNumId="43">
    <w:nsid w:val="15014ACB"/>
    <w:multiLevelType w:val="hybridMultilevel"/>
    <w:lvl w:ilvl="0">
      <w:lvlJc w:val="left"/>
      <w:lvlText w:val="(%1)"/>
      <w:numFmt w:val="decimal"/>
      <w:start w:val="1"/>
    </w:lvl>
  </w:abstractNum>
  <w:abstractNum w:abstractNumId="44">
    <w:nsid w:val="5F5E7FD0"/>
    <w:multiLevelType w:val="hybridMultilevel"/>
    <w:lvl w:ilvl="0">
      <w:lvlJc w:val="left"/>
      <w:lvlText w:val="(*)"/>
      <w:numFmt w:val="bullet"/>
      <w:start w:val="1"/>
    </w:lvl>
  </w:abstractNum>
  <w:abstractNum w:abstractNumId="45">
    <w:nsid w:val="98A3148"/>
    <w:multiLevelType w:val="hybridMultilevel"/>
    <w:lvl w:ilvl="0">
      <w:lvlJc w:val="left"/>
      <w:lvlText w:val="(*)"/>
      <w:numFmt w:val="bullet"/>
      <w:start w:val="1"/>
    </w:lvl>
  </w:abstractNum>
  <w:abstractNum w:abstractNumId="46">
    <w:nsid w:val="799D0247"/>
    <w:multiLevelType w:val="hybridMultilevel"/>
    <w:lvl w:ilvl="0">
      <w:lvlJc w:val="left"/>
      <w:lvlText w:val="(*)"/>
      <w:numFmt w:val="bullet"/>
      <w:start w:val="1"/>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
      <w:numFmt w:val="bullet"/>
      <w:start w:val="1"/>
    </w:lvl>
  </w:abstractNum>
  <w:abstractNum w:abstractNumId="49">
    <w:nsid w:val="168E121F"/>
    <w:multiLevelType w:val="hybridMultilevel"/>
    <w:lvl w:ilvl="0">
      <w:lvlJc w:val="left"/>
      <w:lvlText w:val="(*)"/>
      <w:numFmt w:val="bullet"/>
      <w:start w:val="1"/>
    </w:lvl>
  </w:abstractNum>
  <w:abstractNum w:abstractNumId="50">
    <w:nsid w:val="1EBA5D23"/>
    <w:multiLevelType w:val="hybridMultilevel"/>
    <w:lvl w:ilvl="0">
      <w:lvlJc w:val="left"/>
      <w:lvlText w:val="(*)"/>
      <w:numFmt w:val="bullet"/>
      <w:start w:val="1"/>
    </w:lvl>
  </w:abstractNum>
  <w:abstractNum w:abstractNumId="51">
    <w:nsid w:val="661E3F1E"/>
    <w:multiLevelType w:val="hybridMultilevel"/>
    <w:lvl w:ilvl="0">
      <w:lvlJc w:val="left"/>
      <w:lvlText w:val="(*)"/>
      <w:numFmt w:val="bullet"/>
      <w:start w:val="1"/>
    </w:lvl>
  </w:abstractNum>
  <w:abstractNum w:abstractNumId="52">
    <w:nsid w:val="5DC79EA8"/>
    <w:multiLevelType w:val="hybridMultilevel"/>
    <w:lvl w:ilvl="0">
      <w:lvlJc w:val="left"/>
      <w:lvlText w:val="(*)"/>
      <w:numFmt w:val="bullet"/>
      <w:start w:val="1"/>
    </w:lvl>
  </w:abstractNum>
  <w:abstractNum w:abstractNumId="53">
    <w:nsid w:val="540A471C"/>
    <w:multiLevelType w:val="hybridMultilevel"/>
    <w:lvl w:ilvl="0">
      <w:lvlJc w:val="left"/>
      <w:lvlText w:val="(%1)"/>
      <w:numFmt w:val="decimal"/>
      <w:start w:val="1"/>
    </w:lvl>
  </w:abstractNum>
  <w:abstractNum w:abstractNumId="54">
    <w:nsid w:val="7BD3EE7B"/>
    <w:multiLevelType w:val="hybridMultilevel"/>
    <w:lvl w:ilvl="0">
      <w:lvlJc w:val="left"/>
      <w:lvlText w:val="(*)"/>
      <w:numFmt w:val="bullet"/>
      <w:start w:val="1"/>
    </w:lvl>
  </w:abstractNum>
  <w:abstractNum w:abstractNumId="55">
    <w:nsid w:val="51D9C564"/>
    <w:multiLevelType w:val="hybridMultilevel"/>
    <w:lvl w:ilvl="0">
      <w:lvlJc w:val="left"/>
      <w:lvlText w:val="(*)"/>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1)"/>
      <w:numFmt w:val="upperLetter"/>
      <w:start w:val="2"/>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1."/>
      <w:numFmt w:val="decimal"/>
      <w:start w:val="1"/>
    </w:lvl>
  </w:abstractNum>
  <w:abstractNum w:abstractNumId="62">
    <w:nsid w:val="1A32234B"/>
    <w:multiLevelType w:val="hybridMultilevel"/>
    <w:lvl w:ilvl="0">
      <w:lvlJc w:val="left"/>
      <w:lvlText w:val="%1."/>
      <w:numFmt w:val="decimal"/>
      <w:start w:val="3"/>
    </w:lvl>
    <w:lvl w:ilvl="1">
      <w:lvlJc w:val="left"/>
      <w:lvlText w:val="(%2)"/>
      <w:numFmt w:val="lowerLetter"/>
      <w:start w:val="1"/>
    </w:lvl>
  </w:abstractNum>
  <w:abstractNum w:abstractNumId="63">
    <w:nsid w:val="3B0FD379"/>
    <w:multiLevelType w:val="hybridMultilevel"/>
    <w:lvl w:ilvl="0">
      <w:lvlJc w:val="left"/>
      <w:lvlText w:val="(%1)"/>
      <w:numFmt w:val="lowerLetter"/>
      <w:start w:val="3"/>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1)"/>
      <w:numFmt w:val="lowerLetter"/>
      <w:start w:val="4"/>
    </w:lvl>
  </w:abstractNum>
  <w:abstractNum w:abstractNumId="66">
    <w:nsid w:val="60B6DF70"/>
    <w:multiLevelType w:val="hybridMultilevel"/>
    <w:lvl w:ilvl="0">
      <w:lvlJc w:val="left"/>
      <w:lvlText w:val="(%1)"/>
      <w:numFmt w:val="lowerRoman"/>
      <w:start w:val="1"/>
    </w:lvl>
  </w:abstractNum>
  <w:abstractNum w:abstractNumId="67">
    <w:nsid w:val="6A5EE64"/>
    <w:multiLevelType w:val="hybridMultilevel"/>
    <w:lvl w:ilvl="0">
      <w:lvlJc w:val="left"/>
      <w:lvlText w:val="%1"/>
      <w:numFmt w:val="decimal"/>
      <w:start w:val="1"/>
    </w:lvl>
    <w:lvl w:ilvl="1">
      <w:lvlJc w:val="left"/>
      <w:lvlText w:val="(%2)"/>
      <w:numFmt w:val="lowerLetter"/>
      <w:start w:val="5"/>
    </w:lvl>
  </w:abstractNum>
  <w:abstractNum w:abstractNumId="68">
    <w:nsid w:val="14330624"/>
    <w:multiLevelType w:val="hybridMultilevel"/>
    <w:lvl w:ilvl="0">
      <w:lvlJc w:val="left"/>
      <w:lvlText w:val="%1."/>
      <w:numFmt w:val="decimal"/>
      <w:start w:val="7"/>
    </w:lvl>
    <w:lvl w:ilvl="1">
      <w:lvlJc w:val="left"/>
      <w:lvlText w:val="(%2)"/>
      <w:numFmt w:val="lowerLetter"/>
      <w:start w:val="1"/>
    </w:lvl>
  </w:abstractNum>
  <w:abstractNum w:abstractNumId="69">
    <w:nsid w:val="7FFFCA11"/>
    <w:multiLevelType w:val="hybridMultilevel"/>
    <w:lvl w:ilvl="0">
      <w:lvlJc w:val="left"/>
      <w:lvlText w:val="(%1)"/>
      <w:numFmt w:val="lowerLetter"/>
      <w:start w:val="2"/>
    </w:lvl>
  </w:abstractNum>
  <w:abstractNum w:abstractNumId="70">
    <w:nsid w:val="1A27709E"/>
    <w:multiLevelType w:val="hybridMultilevel"/>
    <w:lvl w:ilvl="0">
      <w:lvlJc w:val="left"/>
      <w:lvlText w:val="(%1)"/>
      <w:numFmt w:val="lowerLetter"/>
      <w:start w:val="5"/>
    </w:lvl>
  </w:abstractNum>
  <w:abstractNum w:abstractNumId="71">
    <w:nsid w:val="71EA1109"/>
    <w:multiLevelType w:val="hybridMultilevel"/>
    <w:lvl w:ilvl="0">
      <w:lvlJc w:val="left"/>
      <w:lvlText w:val="(%1)"/>
      <w:numFmt w:val="lowerLetter"/>
      <w:start w:val="8"/>
    </w:lvl>
    <w:lvl w:ilvl="1">
      <w:lvlJc w:val="left"/>
      <w:lvlText w:val="(%2)"/>
      <w:numFmt w:val="lowerRoman"/>
      <w:start w:val="1"/>
    </w:lvl>
  </w:abstractNum>
  <w:abstractNum w:abstractNumId="72">
    <w:nsid w:val="100F59DC"/>
    <w:multiLevelType w:val="hybridMultilevel"/>
    <w:lvl w:ilvl="0">
      <w:lvlJc w:val="left"/>
      <w:lvlText w:val="%1."/>
      <w:numFmt w:val="decimal"/>
      <w:start w:val="1"/>
    </w:lvl>
    <w:lvl w:ilvl="1">
      <w:lvlJc w:val="left"/>
      <w:lvlText w:val="(%2)"/>
      <w:numFmt w:val="lowerLetter"/>
      <w:start w:val="1"/>
    </w:lvl>
  </w:abstractNum>
  <w:abstractNum w:abstractNumId="73">
    <w:nsid w:val="7FB7E0AA"/>
    <w:multiLevelType w:val="hybridMultilevel"/>
    <w:lvl w:ilvl="0">
      <w:lvlJc w:val="left"/>
      <w:lvlText w:val="%1."/>
      <w:numFmt w:val="decimal"/>
      <w:start w:val="4"/>
    </w:lvl>
    <w:lvl w:ilvl="1">
      <w:lvlJc w:val="left"/>
      <w:lvlText w:val="(%2)"/>
      <w:numFmt w:val="lowerLetter"/>
      <w:start w:val="1"/>
    </w:lvl>
  </w:abstractNum>
  <w:abstractNum w:abstractNumId="74">
    <w:nsid w:val="6EB5BD4"/>
    <w:multiLevelType w:val="hybridMultilevel"/>
    <w:lvl w:ilvl="0">
      <w:lvlJc w:val="left"/>
      <w:lvlText w:val="%1"/>
      <w:numFmt w:val="decimal"/>
      <w:start w:val="1"/>
    </w:lvl>
    <w:lvl w:ilvl="1">
      <w:lvlJc w:val="left"/>
      <w:lvlText w:val="(%2)"/>
      <w:numFmt w:val="lowerLetter"/>
      <w:start w:val="5"/>
    </w:lvl>
  </w:abstractNum>
  <w:abstractNum w:abstractNumId="75">
    <w:nsid w:val="6F6DD9AC"/>
    <w:multiLevelType w:val="hybridMultilevel"/>
    <w:lvl w:ilvl="0">
      <w:lvlJc w:val="left"/>
      <w:lvlText w:val="%1."/>
      <w:numFmt w:val="decimal"/>
      <w:start w:val="1"/>
    </w:lvl>
    <w:lvl w:ilvl="1">
      <w:lvlJc w:val="left"/>
      <w:lvlText w:val="%2"/>
      <w:numFmt w:val="lowerLetter"/>
      <w:start w:val="1"/>
    </w:lvl>
  </w:abstractNum>
  <w:abstractNum w:abstractNumId="76">
    <w:nsid w:val="94211F2"/>
    <w:multiLevelType w:val="hybridMultilevel"/>
    <w:lvl w:ilvl="0">
      <w:lvlJc w:val="left"/>
      <w:lvlText w:val="%1"/>
      <w:numFmt w:val="decimal"/>
      <w:start w:val="1"/>
    </w:lvl>
    <w:lvl w:ilvl="1">
      <w:lvlJc w:val="left"/>
      <w:lvlText w:val="(%2)"/>
      <w:numFmt w:val="lowerLetter"/>
      <w:start w:val="1"/>
    </w:lvl>
  </w:abstractNum>
  <w:abstractNum w:abstractNumId="77">
    <w:nsid w:val="885E1B"/>
    <w:multiLevelType w:val="hybridMultilevel"/>
    <w:lvl w:ilvl="0">
      <w:lvlJc w:val="left"/>
      <w:lvlText w:val="%1."/>
      <w:numFmt w:val="decimal"/>
      <w:start w:val="2"/>
    </w:lvl>
    <w:lvl w:ilvl="1">
      <w:lvlJc w:val="left"/>
      <w:lvlText w:val="%2"/>
      <w:numFmt w:val="lowerLetter"/>
      <w:start w:val="1"/>
    </w:lvl>
  </w:abstractNum>
  <w:abstractNum w:abstractNumId="78">
    <w:nsid w:val="76272110"/>
    <w:multiLevelType w:val="hybridMultilevel"/>
    <w:lvl w:ilvl="0">
      <w:lvlJc w:val="left"/>
      <w:lvlText w:val="%1"/>
      <w:numFmt w:val="decimal"/>
      <w:start w:val="1"/>
    </w:lvl>
    <w:lvl w:ilvl="1">
      <w:lvlJc w:val="left"/>
      <w:lvlText w:val="(%2)"/>
      <w:numFmt w:val="lowerLetter"/>
      <w:start w:val="1"/>
    </w:lvl>
  </w:abstractNum>
  <w:abstractNum w:abstractNumId="79">
    <w:nsid w:val="4C04A8AF"/>
    <w:multiLevelType w:val="hybridMultilevel"/>
    <w:lvl w:ilvl="0">
      <w:lvlJc w:val="left"/>
      <w:lvlText w:val="%1."/>
      <w:numFmt w:val="decimal"/>
      <w:start w:val="3"/>
    </w:lvl>
    <w:lvl w:ilvl="1">
      <w:lvlJc w:val="left"/>
      <w:lvlText w:val="(%2)"/>
      <w:numFmt w:val="lowerLetter"/>
      <w:start w:val="1"/>
    </w:lvl>
  </w:abstractNum>
  <w:abstractNum w:abstractNumId="80">
    <w:nsid w:val="1716703B"/>
    <w:multiLevelType w:val="hybridMultilevel"/>
    <w:lvl w:ilvl="0">
      <w:lvlJc w:val="left"/>
      <w:lvlText w:val="%1"/>
      <w:numFmt w:val="decimal"/>
      <w:start w:val="1"/>
    </w:lvl>
    <w:lvl w:ilvl="1">
      <w:lvlJc w:val="left"/>
      <w:lvlText w:val="(%2)"/>
      <w:numFmt w:val="lowerLetter"/>
      <w:start w:val="1"/>
    </w:lvl>
  </w:abstractNum>
  <w:abstractNum w:abstractNumId="81">
    <w:nsid w:val="14E17E33"/>
    <w:multiLevelType w:val="hybridMultilevel"/>
    <w:lvl w:ilvl="0">
      <w:lvlJc w:val="left"/>
      <w:lvlText w:val="%1."/>
      <w:numFmt w:val="decimal"/>
      <w:start w:val="8"/>
    </w:lvl>
    <w:lvl w:ilvl="1">
      <w:lvlJc w:val="left"/>
      <w:lvlText w:val="%2"/>
      <w:numFmt w:val="lowerLetter"/>
      <w:start w:val="1"/>
    </w:lvl>
  </w:abstractNum>
  <w:abstractNum w:abstractNumId="82">
    <w:nsid w:val="3222E7CD"/>
    <w:multiLevelType w:val="hybridMultilevel"/>
    <w:lvl w:ilvl="0">
      <w:lvlJc w:val="left"/>
      <w:lvlText w:val="%1."/>
      <w:numFmt w:val="decimal"/>
      <w:start w:val="15"/>
    </w:lvl>
  </w:abstractNum>
  <w:abstractNum w:abstractNumId="83">
    <w:nsid w:val="74DE0EE3"/>
    <w:multiLevelType w:val="hybridMultilevel"/>
    <w:lvl w:ilvl="0">
      <w:lvlJc w:val="left"/>
      <w:lvlText w:val="%1."/>
      <w:numFmt w:val="decimal"/>
      <w:start w:val="1"/>
    </w:lvl>
    <w:lvl w:ilvl="1">
      <w:lvlJc w:val="left"/>
      <w:lvlText w:val="(%2)"/>
      <w:numFmt w:val="lowerLetter"/>
      <w:start w:val="1"/>
    </w:lvl>
  </w:abstractNum>
  <w:abstractNum w:abstractNumId="84">
    <w:nsid w:val="68EBC550"/>
    <w:multiLevelType w:val="hybridMultilevel"/>
    <w:lvl w:ilvl="0">
      <w:lvlJc w:val="left"/>
      <w:lvlText w:val="%1."/>
      <w:numFmt w:val="decimal"/>
      <w:start w:val="1"/>
    </w:lvl>
    <w:lvl w:ilvl="1">
      <w:lvlJc w:val="left"/>
      <w:lvlText w:val="(%2)"/>
      <w:numFmt w:val="lowerLetter"/>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2"/>
    </w:lvl>
    <w:lvl w:ilvl="1">
      <w:lvlJc w:val="left"/>
      <w:lvlText w:val="(%2)"/>
      <w:numFmt w:val="lowerLetter"/>
      <w:start w:val="1"/>
    </w:lvl>
  </w:abstractNum>
  <w:abstractNum w:abstractNumId="87">
    <w:nsid w:val="4A2AC3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8">
    <w:nsid w:val="39EE01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9">
    <w:nsid w:val="57FC4FBB"/>
    <w:multiLevelType w:val="hybridMultilevel"/>
    <w:lvl w:ilvl="0">
      <w:lvlJc w:val="left"/>
      <w:lvlText w:val="%1."/>
      <w:numFmt w:val="decimal"/>
      <w:start w:val="4"/>
    </w:lvl>
  </w:abstractNum>
  <w:abstractNum w:abstractNumId="90">
    <w:nsid w:val="CC1016F"/>
    <w:multiLevelType w:val="hybridMultilevel"/>
    <w:lvl w:ilvl="0">
      <w:lvlJc w:val="left"/>
      <w:lvlText w:val="%1."/>
      <w:numFmt w:val="decimal"/>
      <w:start w:val="5"/>
    </w:lvl>
  </w:abstractNum>
  <w:abstractNum w:abstractNumId="91">
    <w:nsid w:val="43F18422"/>
    <w:multiLevelType w:val="hybridMultilevel"/>
    <w:lvl w:ilvl="0">
      <w:lvlJc w:val="left"/>
      <w:lvlText w:val="%1."/>
      <w:numFmt w:val="decimal"/>
      <w:start w:val="6"/>
    </w:lvl>
  </w:abstractNum>
  <w:abstractNum w:abstractNumId="92">
    <w:nsid w:val="60EF0119"/>
    <w:multiLevelType w:val="hybridMultilevel"/>
    <w:lvl w:ilvl="0">
      <w:lvlJc w:val="left"/>
      <w:lvlText w:val="%1."/>
      <w:numFmt w:val="decimal"/>
      <w:start w:val="7"/>
    </w:lvl>
  </w:abstractNum>
  <w:abstractNum w:abstractNumId="93">
    <w:nsid w:val="26F324BA"/>
    <w:multiLevelType w:val="hybridMultilevel"/>
    <w:lvl w:ilvl="0">
      <w:lvlJc w:val="left"/>
      <w:lvlText w:val="(%1)"/>
      <w:numFmt w:val="lowerLetter"/>
      <w:start w:val="5"/>
    </w:lvl>
    <w:lvl w:ilvl="1">
      <w:lvlJc w:val="left"/>
      <w:lvlText w:val="(%2)"/>
      <w:numFmt w:val="lowerLetter"/>
      <w:start w:val="8"/>
    </w:lvl>
  </w:abstractNum>
  <w:abstractNum w:abstractNumId="94">
    <w:nsid w:val="7F01579B"/>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6" Type="http://schemas.openxmlformats.org/officeDocument/2006/relationships/image" Target="media/image102.png"/><Relationship Id="rId120"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43" Type="http://schemas.openxmlformats.org/officeDocument/2006/relationships/hyperlink" Target="https://www.sec.gov/ix?doc=/Archives/edgar/data/1060822/000106082223000066/cri-20221231.htm#i68b5a7ac37a048a1a491e54fa13745a3_40" TargetMode="External"/><Relationship Id="rId110" Type="http://schemas.openxmlformats.org/officeDocument/2006/relationships/hyperlink" Target="http://www.sec.gov/Archives/edgar/data/1060822/000119312517179483/d400342dex31.htm" TargetMode="External"/><Relationship Id="rId111" Type="http://schemas.openxmlformats.org/officeDocument/2006/relationships/hyperlink" Target="https://www.sec.gov/Archives/edgar/data/1060822/000106082223000140/exhibit31-amendedandrestat.htm" TargetMode="External"/><Relationship Id="rId112" Type="http://schemas.openxmlformats.org/officeDocument/2006/relationships/hyperlink" Target="http://www.sec.gov/Archives/edgar/data/1060822/000104746903033160/a2120070zex-4_1.txt" TargetMode="External"/><Relationship Id="rId113" Type="http://schemas.openxmlformats.org/officeDocument/2006/relationships/hyperlink" Target="https://www.sec.gov/Archives/edgar/data/1060822/000119312519074908/d718900dex41.htm" TargetMode="External"/><Relationship Id="rId114" Type="http://schemas.openxmlformats.org/officeDocument/2006/relationships/hyperlink" Target="http://www.sec.gov/Archives/edgar/data/1060822/000119312519074908/d718900dex41.htm" TargetMode="External"/><Relationship Id="rId115" Type="http://schemas.openxmlformats.org/officeDocument/2006/relationships/hyperlink" Target="https://www.sec.gov/Archives/edgar/data/1060822/000106082220000004/descriptionofsecuritie.htm" TargetMode="External"/><Relationship Id="rId117" Type="http://schemas.openxmlformats.org/officeDocument/2006/relationships/hyperlink" Target="http://www.sec.gov/Archives/edgar/data/1060822/000119312517273645/d428481dex101.htm" TargetMode="External"/><Relationship Id="rId118" Type="http://schemas.openxmlformats.org/officeDocument/2006/relationships/hyperlink" Target="http://www.sec.gov/Archives/edgar/data/1060822/000119312518283958/d629122dex101.htm" TargetMode="External"/><Relationship Id="rId119" Type="http://schemas.openxmlformats.org/officeDocument/2006/relationships/hyperlink" Target="http://www.sec.gov/Archives/edgar/data/1060822/000106082220000015/carters-amendmentno2to.htm" TargetMode="External"/><Relationship Id="rId121" Type="http://schemas.openxmlformats.org/officeDocument/2006/relationships/hyperlink" Target="http://www.sec.gov/Archives/edgar/data/1060822/000119312521131505/d203730dex101.htm" TargetMode="External"/><Relationship Id="rId122" Type="http://schemas.openxmlformats.org/officeDocument/2006/relationships/hyperlink" Target="http://www.sec.gov/Archives/edgar/data/1060822/000119312522105723/d344353dex101.htm" TargetMode="External"/><Relationship Id="rId126" Type="http://schemas.openxmlformats.org/officeDocument/2006/relationships/hyperlink" Target="http://www.sec.gov/Archives/edgar/data/1060822/000106082215000029/cri-20151003exh102.htm" TargetMode="External"/><Relationship Id="rId127" Type="http://schemas.openxmlformats.org/officeDocument/2006/relationships/hyperlink" Target="http://www.sec.gov/Archives/edgar/data/1060822/000119312518107509/d483958ddef14a.htm#toc483958_22" TargetMode="External"/><Relationship Id="rId128" Type="http://schemas.openxmlformats.org/officeDocument/2006/relationships/hyperlink" Target="https://www.sec.gov/Archives/edgar/data/1060822/000106082224000040/amendedandrestatedequityin.htm" TargetMode="External"/><Relationship Id="rId129" Type="http://schemas.openxmlformats.org/officeDocument/2006/relationships/hyperlink" Target="http://www.sec.gov/Archives/edgar/data/1060822/000119312516526057/d149556ddef14a.htm#toc149556_23" TargetMode="External"/><Relationship Id="rId130" Type="http://schemas.openxmlformats.org/officeDocument/2006/relationships/hyperlink" Target="http://www.sec.gov/Archives/edgar/data/1060822/000106082220000004/thewilliamcartercompan.htm" TargetMode="External"/><Relationship Id="rId131" Type="http://schemas.openxmlformats.org/officeDocument/2006/relationships/hyperlink" Target="http://www.sec.gov/Archives/edgar/data/1060822/000106082211000006/ex10_20.htm" TargetMode="External"/><Relationship Id="rId132" Type="http://schemas.openxmlformats.org/officeDocument/2006/relationships/hyperlink" Target="https://www.sec.gov/Archives/edgar/data/1060822/000106082223000102/exhibit101-2023formofrestr.htm" TargetMode="External"/><Relationship Id="rId133" Type="http://schemas.openxmlformats.org/officeDocument/2006/relationships/hyperlink" Target="https://www.sec.gov/Archives/edgar/data/1060822/000106082223000102/exhibit102-2023formofperfo.htm" TargetMode="External"/><Relationship Id="rId134" Type="http://schemas.openxmlformats.org/officeDocument/2006/relationships/hyperlink" Target="http://www.sec.gov/Archives/edgar/data/1060822/000106082212000017/cri-2012331exh1021.htm" TargetMode="External"/><Relationship Id="rId135" Type="http://schemas.openxmlformats.org/officeDocument/2006/relationships/hyperlink" Target="http://www.sec.gov/Archives/edgar/data/1060822/000106082212000036/exhibit101.htm" TargetMode="External"/><Relationship Id="rId138" Type="http://schemas.openxmlformats.org/officeDocument/2006/relationships/hyperlink" Target="http://www.sec.gov/Archives/edgar/data/1060822/000106082213000034/a1019phippstowerlease-sec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2024-02-27T11:54:13Z</dcterms:created>
  <dcterms:modified xsi:type="dcterms:W3CDTF">2024-02-27T11:54:13Z</dcterms:modified>
</cp:coreProperties>
</file>