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247" w:lineRule="exact"/>
        <w:rPr>
          <w:sz w:val="24"/>
          <w:szCs w:val="24"/>
          <w:color w:val="auto"/>
        </w:rPr>
      </w:pPr>
    </w:p>
    <w:p>
      <w:pPr>
        <w:ind w:left="4080" w:right="3160" w:hanging="4072"/>
        <w:spacing w:after="0" w:line="264" w:lineRule="auto"/>
        <w:tabs>
          <w:tab w:leader="none" w:pos="19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7"/>
          <w:szCs w:val="17"/>
          <w:b w:val="1"/>
          <w:bCs w:val="1"/>
          <w:color w:val="auto"/>
        </w:rPr>
        <w:t>January 2, 2021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 w:lineRule="exact"/>
        <w:rPr>
          <w:sz w:val="24"/>
          <w:szCs w:val="24"/>
          <w:color w:val="auto"/>
        </w:rPr>
      </w:pPr>
    </w:p>
    <w:p>
      <w:pPr>
        <w:ind w:left="3980" w:right="2820" w:hanging="3972"/>
        <w:spacing w:after="0" w:line="250" w:lineRule="auto"/>
        <w:tabs>
          <w:tab w:leader="none" w:pos="19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______to ______</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001-31829</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355"/>
        </w:trPr>
        <w:tc>
          <w:tcPr>
            <w:tcW w:w="4020" w:type="dxa"/>
            <w:vAlign w:val="bottom"/>
          </w:tcPr>
          <w:p>
            <w:pPr>
              <w:spacing w:after="0"/>
              <w:rPr>
                <w:sz w:val="24"/>
                <w:szCs w:val="24"/>
                <w:color w:val="auto"/>
              </w:rPr>
            </w:pPr>
          </w:p>
        </w:tc>
        <w:tc>
          <w:tcPr>
            <w:tcW w:w="3120" w:type="dxa"/>
            <w:vAlign w:val="bottom"/>
            <w:gridSpan w:val="3"/>
          </w:tcPr>
          <w:p>
            <w:pPr>
              <w:jc w:val="center"/>
              <w:spacing w:after="0"/>
              <w:rPr>
                <w:sz w:val="20"/>
                <w:szCs w:val="20"/>
                <w:color w:val="auto"/>
              </w:rPr>
            </w:pPr>
            <w:r>
              <w:rPr>
                <w:rFonts w:ascii="Arial" w:cs="Arial" w:eastAsia="Arial" w:hAnsi="Arial"/>
                <w:sz w:val="29"/>
                <w:szCs w:val="29"/>
                <w:b w:val="1"/>
                <w:bCs w:val="1"/>
                <w:color w:val="auto"/>
                <w:w w:val="98"/>
              </w:rPr>
              <w:t>CARTER’S, INC.</w:t>
            </w:r>
          </w:p>
        </w:tc>
        <w:tc>
          <w:tcPr>
            <w:tcW w:w="4120" w:type="dxa"/>
            <w:vAlign w:val="bottom"/>
          </w:tcPr>
          <w:p>
            <w:pPr>
              <w:spacing w:after="0"/>
              <w:rPr>
                <w:sz w:val="24"/>
                <w:szCs w:val="24"/>
                <w:color w:val="auto"/>
              </w:rPr>
            </w:pPr>
          </w:p>
        </w:tc>
      </w:tr>
      <w:tr>
        <w:trPr>
          <w:trHeight w:val="230"/>
        </w:trPr>
        <w:tc>
          <w:tcPr>
            <w:tcW w:w="11260" w:type="dxa"/>
            <w:vAlign w:val="bottom"/>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93"/>
        </w:trPr>
        <w:tc>
          <w:tcPr>
            <w:tcW w:w="402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20" w:type="dxa"/>
            <w:vAlign w:val="bottom"/>
          </w:tcPr>
          <w:p>
            <w:pPr>
              <w:jc w:val="right"/>
              <w:ind w:right="2110"/>
              <w:spacing w:after="0"/>
              <w:rPr>
                <w:sz w:val="20"/>
                <w:szCs w:val="20"/>
                <w:color w:val="auto"/>
              </w:rPr>
            </w:pPr>
            <w:r>
              <w:rPr>
                <w:rFonts w:ascii="Arial" w:cs="Arial" w:eastAsia="Arial" w:hAnsi="Arial"/>
                <w:sz w:val="18"/>
                <w:szCs w:val="18"/>
                <w:b w:val="1"/>
                <w:bCs w:val="1"/>
                <w:color w:val="auto"/>
              </w:rPr>
              <w:t>13-3912933</w:t>
            </w:r>
          </w:p>
        </w:tc>
      </w:tr>
      <w:tr>
        <w:trPr>
          <w:trHeight w:val="230"/>
        </w:trPr>
        <w:tc>
          <w:tcPr>
            <w:tcW w:w="4020" w:type="dxa"/>
            <w:vAlign w:val="bottom"/>
          </w:tcPr>
          <w:p>
            <w:pPr>
              <w:jc w:val="center"/>
              <w:ind w:left="650"/>
              <w:spacing w:after="0"/>
              <w:rPr>
                <w:sz w:val="20"/>
                <w:szCs w:val="20"/>
                <w:color w:val="auto"/>
              </w:rPr>
            </w:pPr>
            <w:r>
              <w:rPr>
                <w:rFonts w:ascii="Arial" w:cs="Arial" w:eastAsia="Arial" w:hAnsi="Arial"/>
                <w:sz w:val="18"/>
                <w:szCs w:val="18"/>
                <w:color w:val="auto"/>
                <w:w w:val="92"/>
              </w:rPr>
              <w:t>(State or other jurisdiction of</w:t>
            </w:r>
          </w:p>
        </w:tc>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2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020" w:type="dxa"/>
            <w:vAlign w:val="bottom"/>
          </w:tcPr>
          <w:p>
            <w:pPr>
              <w:jc w:val="center"/>
              <w:ind w:left="650"/>
              <w:spacing w:after="0"/>
              <w:rPr>
                <w:sz w:val="20"/>
                <w:szCs w:val="20"/>
                <w:color w:val="auto"/>
              </w:rPr>
            </w:pPr>
            <w:r>
              <w:rPr>
                <w:rFonts w:ascii="Arial" w:cs="Arial" w:eastAsia="Arial" w:hAnsi="Arial"/>
                <w:sz w:val="18"/>
                <w:szCs w:val="18"/>
                <w:color w:val="auto"/>
                <w:w w:val="92"/>
              </w:rPr>
              <w:t>incorporation or organization)</w:t>
            </w:r>
          </w:p>
        </w:tc>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522"/>
        </w:trPr>
        <w:tc>
          <w:tcPr>
            <w:tcW w:w="4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Phipps Tower</w:t>
            </w:r>
          </w:p>
        </w:tc>
        <w:tc>
          <w:tcPr>
            <w:tcW w:w="4120" w:type="dxa"/>
            <w:vAlign w:val="bottom"/>
          </w:tcPr>
          <w:p>
            <w:pPr>
              <w:spacing w:after="0"/>
              <w:rPr>
                <w:sz w:val="24"/>
                <w:szCs w:val="24"/>
                <w:color w:val="auto"/>
              </w:rPr>
            </w:pPr>
          </w:p>
        </w:tc>
      </w:tr>
      <w:tr>
        <w:trPr>
          <w:trHeight w:val="216"/>
        </w:trPr>
        <w:tc>
          <w:tcPr>
            <w:tcW w:w="4020" w:type="dxa"/>
            <w:vAlign w:val="bottom"/>
          </w:tcPr>
          <w:p>
            <w:pPr>
              <w:spacing w:after="0"/>
              <w:rPr>
                <w:sz w:val="18"/>
                <w:szCs w:val="18"/>
                <w:color w:val="auto"/>
              </w:rPr>
            </w:pPr>
          </w:p>
        </w:tc>
        <w:tc>
          <w:tcPr>
            <w:tcW w:w="3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3438 Peachtree Road NE, Suite 1800</w:t>
            </w:r>
          </w:p>
        </w:tc>
        <w:tc>
          <w:tcPr>
            <w:tcW w:w="4120" w:type="dxa"/>
            <w:vAlign w:val="bottom"/>
          </w:tcPr>
          <w:p>
            <w:pPr>
              <w:spacing w:after="0"/>
              <w:rPr>
                <w:sz w:val="18"/>
                <w:szCs w:val="18"/>
                <w:color w:val="auto"/>
              </w:rPr>
            </w:pPr>
          </w:p>
        </w:tc>
      </w:tr>
      <w:tr>
        <w:trPr>
          <w:trHeight w:val="220"/>
        </w:trPr>
        <w:tc>
          <w:tcPr>
            <w:tcW w:w="4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Atlanta, Georgia 30326</w:t>
            </w:r>
          </w:p>
        </w:tc>
        <w:tc>
          <w:tcPr>
            <w:tcW w:w="4120" w:type="dxa"/>
            <w:vAlign w:val="bottom"/>
          </w:tcPr>
          <w:p>
            <w:pPr>
              <w:spacing w:after="0"/>
              <w:rPr>
                <w:sz w:val="19"/>
                <w:szCs w:val="19"/>
                <w:color w:val="auto"/>
              </w:rPr>
            </w:pPr>
          </w:p>
        </w:tc>
      </w:tr>
      <w:tr>
        <w:trPr>
          <w:trHeight w:val="212"/>
        </w:trPr>
        <w:tc>
          <w:tcPr>
            <w:tcW w:w="1126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220"/>
        </w:trPr>
        <w:tc>
          <w:tcPr>
            <w:tcW w:w="4020" w:type="dxa"/>
            <w:vAlign w:val="bottom"/>
          </w:tcPr>
          <w:p>
            <w:pPr>
              <w:spacing w:after="0"/>
              <w:rPr>
                <w:sz w:val="19"/>
                <w:szCs w:val="19"/>
                <w:color w:val="auto"/>
              </w:rPr>
            </w:pPr>
          </w:p>
        </w:tc>
        <w:tc>
          <w:tcPr>
            <w:tcW w:w="27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(678) 791-1000</w:t>
            </w:r>
          </w:p>
        </w:tc>
        <w:tc>
          <w:tcPr>
            <w:tcW w:w="36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16"/>
        </w:trPr>
        <w:tc>
          <w:tcPr>
            <w:tcW w:w="1126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30"/>
        </w:trPr>
        <w:tc>
          <w:tcPr>
            <w:tcW w:w="11260" w:type="dxa"/>
            <w:vAlign w:val="bottom"/>
            <w:gridSpan w:val="5"/>
          </w:tcPr>
          <w:p>
            <w:pPr>
              <w:jc w:val="right"/>
              <w:ind w:right="3430"/>
              <w:spacing w:after="0"/>
              <w:rPr>
                <w:sz w:val="20"/>
                <w:szCs w:val="20"/>
                <w:color w:val="auto"/>
              </w:rPr>
            </w:pPr>
            <w:r>
              <w:rPr>
                <w:rFonts w:ascii="Arial" w:cs="Arial" w:eastAsia="Arial" w:hAnsi="Arial"/>
                <w:sz w:val="18"/>
                <w:szCs w:val="18"/>
                <w:color w:val="auto"/>
              </w:rPr>
              <w:t>_______________________________________________</w:t>
            </w:r>
          </w:p>
        </w:tc>
      </w:tr>
      <w:tr>
        <w:trPr>
          <w:trHeight w:val="459"/>
        </w:trPr>
        <w:tc>
          <w:tcPr>
            <w:tcW w:w="7140" w:type="dxa"/>
            <w:vAlign w:val="bottom"/>
            <w:gridSpan w:val="4"/>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tc>
        <w:tc>
          <w:tcPr>
            <w:tcW w:w="4120" w:type="dxa"/>
            <w:vAlign w:val="bottom"/>
          </w:tcPr>
          <w:p>
            <w:pPr>
              <w:spacing w:after="0"/>
              <w:rPr>
                <w:sz w:val="24"/>
                <w:szCs w:val="24"/>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3"/>
        </w:trPr>
        <w:tc>
          <w:tcPr>
            <w:tcW w:w="4020" w:type="dxa"/>
            <w:vAlign w:val="bottom"/>
            <w:tcBorders>
              <w:left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9"/>
              </w:rPr>
              <w:t>Title of Each Class</w:t>
            </w:r>
          </w:p>
        </w:tc>
        <w:tc>
          <w:tcPr>
            <w:tcW w:w="6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6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3"/>
        </w:trPr>
        <w:tc>
          <w:tcPr>
            <w:tcW w:w="4020" w:type="dxa"/>
            <w:vAlign w:val="bottom"/>
            <w:tcBorders>
              <w:left w:val="single" w:sz="8" w:color="auto"/>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Common stock, par value $0.01 per share</w:t>
            </w:r>
          </w:p>
        </w:tc>
        <w:tc>
          <w:tcPr>
            <w:tcW w:w="6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CRI</w:t>
            </w:r>
          </w:p>
        </w:tc>
        <w:tc>
          <w:tcPr>
            <w:tcW w:w="36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1"/>
              </w:rPr>
              <w:t>New York Stock Exchange</w:t>
            </w:r>
          </w:p>
        </w:tc>
      </w:tr>
    </w:tbl>
    <w:p>
      <w:pPr>
        <w:spacing w:after="0" w:line="3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 w:name="page2"/>
    <w:bookmarkEnd w:id="1"/>
    <w:p>
      <w:pPr>
        <w:ind w:right="3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led a report on and attestation to its management’s assessment of the effectiveness of its internal control over financial reporting under Section 404(b) of the Sarbanes-Oxley Act (15 U.S.C. 7262(b)) by the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June 27, 2020 as reported on the New York Stock Exchange was $2,804,873,786. As of February 19, 2021, there were 44,053,137 shares of the registrant’s common stock outstanding.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Carter’s, Inc., scheduled to be held on May 20, 2021, will be incorporated by reference in Part III of this Form 10-K. Carter’s, Inc. intends to file such proxy statement with the Securities and Exchange Commission not later than 120 days after its fiscal year ended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CARTER’S,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ANNUAL REPORT ON FORM 10-K</w:t>
      </w:r>
    </w:p>
    <w:p>
      <w:pPr>
        <w:jc w:val="center"/>
        <w:spacing w:after="0"/>
        <w:rPr>
          <w:sz w:val="20"/>
          <w:szCs w:val="20"/>
          <w:color w:val="auto"/>
        </w:rPr>
      </w:pPr>
      <w:r>
        <w:rPr>
          <w:rFonts w:ascii="Arial" w:cs="Arial" w:eastAsia="Arial" w:hAnsi="Arial"/>
          <w:sz w:val="20"/>
          <w:szCs w:val="20"/>
          <w:b w:val="1"/>
          <w:bCs w:val="1"/>
          <w:color w:val="auto"/>
        </w:rPr>
        <w:t>FOR FISCAL YEAR ENDED JANUARY 2,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20"/>
                <w:szCs w:val="20"/>
                <w:b w:val="1"/>
                <w:bCs w:val="1"/>
                <w:color w:val="auto"/>
              </w:rPr>
              <w:t>Page</w:t>
            </w:r>
          </w:p>
        </w:tc>
      </w:tr>
      <w:tr>
        <w:trPr>
          <w:trHeight w:val="223"/>
        </w:trPr>
        <w:tc>
          <w:tcPr>
            <w:tcW w:w="1860" w:type="dxa"/>
            <w:vAlign w:val="bottom"/>
          </w:tcPr>
          <w:p>
            <w:pPr>
              <w:ind w:left="20"/>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Part I</w:t>
              </w:r>
            </w:hyperlink>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29"/>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30"/>
        </w:trPr>
        <w:tc>
          <w:tcPr>
            <w:tcW w:w="1860" w:type="dxa"/>
            <w:vAlign w:val="bottom"/>
          </w:tcPr>
          <w:p>
            <w:pPr>
              <w:ind w:left="98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Item 1A</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9</w:t>
              </w:r>
            </w:hyperlink>
          </w:p>
        </w:tc>
      </w:tr>
      <w:tr>
        <w:trPr>
          <w:trHeight w:val="229"/>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1B</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Unresolved Staff Comments</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Properties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r>
      <w:tr>
        <w:trPr>
          <w:trHeight w:val="230"/>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3</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Legal Proceedings</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4</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Mine Safety Disclosures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r>
      <w:tr>
        <w:trPr>
          <w:trHeight w:val="229"/>
        </w:trPr>
        <w:tc>
          <w:tcPr>
            <w:tcW w:w="186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Part II</w:t>
              </w:r>
            </w:hyperlink>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tc>
      </w:tr>
      <w:tr>
        <w:trPr>
          <w:trHeight w:val="189"/>
        </w:trPr>
        <w:tc>
          <w:tcPr>
            <w:tcW w:w="1860" w:type="dxa"/>
            <w:vAlign w:val="bottom"/>
          </w:tcPr>
          <w:p>
            <w:pPr>
              <w:ind w:left="980"/>
              <w:spacing w:after="0" w:line="189" w:lineRule="exact"/>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5</w:t>
              </w:r>
            </w:hyperlink>
          </w:p>
        </w:tc>
        <w:tc>
          <w:tcPr>
            <w:tcW w:w="8020" w:type="dxa"/>
            <w:vAlign w:val="bottom"/>
            <w:gridSpan w:val="5"/>
          </w:tcPr>
          <w:p>
            <w:pPr>
              <w:ind w:left="280"/>
              <w:spacing w:after="0" w:line="189" w:lineRule="exact"/>
              <w:rPr>
                <w:rFonts w:ascii="Arial" w:cs="Arial" w:eastAsia="Arial" w:hAnsi="Arial"/>
                <w:sz w:val="18"/>
                <w:szCs w:val="18"/>
                <w:color w:val="0000FF"/>
                <w:w w:val="95"/>
              </w:rPr>
            </w:pPr>
            <w:hyperlink w:anchor="page24">
              <w:r>
                <w:rPr>
                  <w:rFonts w:ascii="Arial" w:cs="Arial" w:eastAsia="Arial" w:hAnsi="Arial"/>
                  <w:sz w:val="18"/>
                  <w:szCs w:val="18"/>
                  <w:u w:val="single" w:color="auto"/>
                  <w:color w:val="0000FF"/>
                  <w:w w:val="95"/>
                </w:rPr>
                <w:t>Market for Registrant’s</w:t>
              </w:r>
              <w:r>
                <w:rPr>
                  <w:rFonts w:ascii="Arial" w:cs="Arial" w:eastAsia="Arial" w:hAnsi="Arial"/>
                  <w:sz w:val="18"/>
                  <w:szCs w:val="18"/>
                  <w:color w:val="0000FF"/>
                  <w:w w:val="95"/>
                </w:rPr>
                <w:t xml:space="preserve"> Common Equity, Related Stockholder Matters, and Issuer Purchases of Equity</w:t>
              </w:r>
            </w:hyperlink>
          </w:p>
        </w:tc>
        <w:tc>
          <w:tcPr>
            <w:tcW w:w="1360" w:type="dxa"/>
            <w:vAlign w:val="bottom"/>
          </w:tcPr>
          <w:p>
            <w:pPr>
              <w:spacing w:after="0"/>
              <w:rPr>
                <w:sz w:val="16"/>
                <w:szCs w:val="16"/>
                <w:color w:val="auto"/>
              </w:rPr>
            </w:pPr>
          </w:p>
        </w:tc>
      </w:tr>
      <w:tr>
        <w:trPr>
          <w:trHeight w:val="156"/>
        </w:trPr>
        <w:tc>
          <w:tcPr>
            <w:tcW w:w="1860" w:type="dxa"/>
            <w:vAlign w:val="bottom"/>
          </w:tcPr>
          <w:p>
            <w:pPr>
              <w:spacing w:after="0"/>
              <w:rPr>
                <w:sz w:val="13"/>
                <w:szCs w:val="13"/>
                <w:color w:val="auto"/>
              </w:rPr>
            </w:pPr>
          </w:p>
        </w:tc>
        <w:tc>
          <w:tcPr>
            <w:tcW w:w="1900" w:type="dxa"/>
            <w:vAlign w:val="bottom"/>
            <w:gridSpan w:val="3"/>
          </w:tcPr>
          <w:p>
            <w:pPr>
              <w:ind w:left="280"/>
              <w:spacing w:after="0" w:line="156" w:lineRule="exact"/>
              <w:rPr>
                <w:rFonts w:ascii="Arial" w:cs="Arial" w:eastAsia="Arial" w:hAnsi="Arial"/>
                <w:sz w:val="18"/>
                <w:szCs w:val="18"/>
                <w:color w:val="0000FF"/>
              </w:rPr>
            </w:pPr>
            <w:hyperlink w:anchor="page24">
              <w:r>
                <w:rPr>
                  <w:rFonts w:ascii="Arial" w:cs="Arial" w:eastAsia="Arial" w:hAnsi="Arial"/>
                  <w:sz w:val="18"/>
                  <w:szCs w:val="18"/>
                  <w:color w:val="0000FF"/>
                </w:rPr>
                <w:t>Securities</w:t>
              </w:r>
            </w:hyperlink>
          </w:p>
        </w:tc>
        <w:tc>
          <w:tcPr>
            <w:tcW w:w="576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spacing w:after="0" w:line="156" w:lineRule="exact"/>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21</w:t>
              </w:r>
            </w:hyperlink>
          </w:p>
        </w:tc>
      </w:tr>
      <w:tr>
        <w:trPr>
          <w:trHeight w:val="20"/>
        </w:trPr>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7</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7A</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Quantitative and Qualitative Disclosures about Market Risk</w:t>
              </w:r>
            </w:hyperlink>
          </w:p>
        </w:tc>
        <w:tc>
          <w:tcPr>
            <w:tcW w:w="13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r>
      <w:tr>
        <w:trPr>
          <w:trHeight w:val="230"/>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8</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Financial Statements and Supplementary Data</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9</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Changes in and Disagreements with Accountants on Accounting and Financial Disclosure</w:t>
              </w:r>
            </w:hyperlink>
          </w:p>
        </w:tc>
        <w:tc>
          <w:tcPr>
            <w:tcW w:w="13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r>
      <w:tr>
        <w:trPr>
          <w:trHeight w:val="229"/>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9A</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Controls and Procedures</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89</w:t>
              </w:r>
            </w:hyperlink>
          </w:p>
        </w:tc>
      </w:tr>
      <w:tr>
        <w:trPr>
          <w:trHeight w:val="230"/>
        </w:trPr>
        <w:tc>
          <w:tcPr>
            <w:tcW w:w="1860" w:type="dxa"/>
            <w:vAlign w:val="bottom"/>
          </w:tcPr>
          <w:p>
            <w:pPr>
              <w:ind w:left="98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9B</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Other Information</w:t>
              </w:r>
            </w:hyperlink>
          </w:p>
        </w:tc>
        <w:tc>
          <w:tcPr>
            <w:tcW w:w="13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89</w:t>
              </w:r>
            </w:hyperlink>
          </w:p>
        </w:tc>
      </w:tr>
      <w:tr>
        <w:trPr>
          <w:trHeight w:val="229"/>
        </w:trPr>
        <w:tc>
          <w:tcPr>
            <w:tcW w:w="186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Part III</w:t>
              </w:r>
            </w:hyperlink>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90</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10</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Directors and Executive Officers of the Registrant</w:t>
              </w:r>
            </w:hyperlink>
          </w:p>
        </w:tc>
        <w:tc>
          <w:tcPr>
            <w:tcW w:w="13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r>
      <w:tr>
        <w:trPr>
          <w:trHeight w:val="230"/>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11</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Executive Compensation</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12</w:t>
              </w:r>
            </w:hyperlink>
          </w:p>
        </w:tc>
        <w:tc>
          <w:tcPr>
            <w:tcW w:w="8020" w:type="dxa"/>
            <w:vAlign w:val="bottom"/>
            <w:gridSpan w:val="5"/>
          </w:tcPr>
          <w:p>
            <w:pPr>
              <w:ind w:left="280"/>
              <w:spacing w:after="0"/>
              <w:rPr>
                <w:rFonts w:ascii="Arial" w:cs="Arial" w:eastAsia="Arial" w:hAnsi="Arial"/>
                <w:sz w:val="18"/>
                <w:szCs w:val="18"/>
                <w:u w:val="single" w:color="auto"/>
                <w:color w:val="0000FF"/>
                <w:w w:val="96"/>
              </w:rPr>
            </w:pPr>
            <w:hyperlink w:anchor="page93">
              <w:r>
                <w:rPr>
                  <w:rFonts w:ascii="Arial" w:cs="Arial" w:eastAsia="Arial" w:hAnsi="Arial"/>
                  <w:sz w:val="18"/>
                  <w:szCs w:val="18"/>
                  <w:u w:val="single" w:color="auto"/>
                  <w:color w:val="0000FF"/>
                  <w:w w:val="96"/>
                </w:rPr>
                <w:t>Security Ownership of Certain Beneficial Owners and Management and Related Stockholder Matters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r>
      <w:tr>
        <w:trPr>
          <w:trHeight w:val="230"/>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13</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Certain Relationships and Related Transactions</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r>
      <w:tr>
        <w:trPr>
          <w:trHeight w:val="230"/>
        </w:trPr>
        <w:tc>
          <w:tcPr>
            <w:tcW w:w="1860" w:type="dxa"/>
            <w:vAlign w:val="bottom"/>
          </w:tcPr>
          <w:p>
            <w:pPr>
              <w:ind w:left="9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14</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Principal Accountant Fees and Services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r>
      <w:tr>
        <w:trPr>
          <w:trHeight w:val="230"/>
        </w:trPr>
        <w:tc>
          <w:tcPr>
            <w:tcW w:w="186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93">
              <w:r>
                <w:rPr>
                  <w:rFonts w:ascii="Arial" w:cs="Arial" w:eastAsia="Arial" w:hAnsi="Arial"/>
                  <w:sz w:val="18"/>
                  <w:szCs w:val="18"/>
                  <w:b w:val="1"/>
                  <w:bCs w:val="1"/>
                  <w:u w:val="single" w:color="auto"/>
                  <w:color w:val="0000FF"/>
                </w:rPr>
                <w:t>Part IV</w:t>
              </w:r>
            </w:hyperlink>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91</w:t>
              </w:r>
            </w:hyperlink>
          </w:p>
        </w:tc>
      </w:tr>
      <w:tr>
        <w:trPr>
          <w:trHeight w:val="229"/>
        </w:trPr>
        <w:tc>
          <w:tcPr>
            <w:tcW w:w="1860" w:type="dxa"/>
            <w:vAlign w:val="bottom"/>
          </w:tcPr>
          <w:p>
            <w:pPr>
              <w:ind w:left="98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15</w:t>
              </w:r>
            </w:hyperlink>
          </w:p>
        </w:tc>
        <w:tc>
          <w:tcPr>
            <w:tcW w:w="8020" w:type="dxa"/>
            <w:vAlign w:val="bottom"/>
            <w:gridSpan w:val="5"/>
          </w:tcPr>
          <w:p>
            <w:pPr>
              <w:ind w:left="28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Exhibits and Financial Statement Schedules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92</w:t>
              </w:r>
            </w:hyperlink>
          </w:p>
        </w:tc>
      </w:tr>
      <w:tr>
        <w:trPr>
          <w:trHeight w:val="230"/>
        </w:trPr>
        <w:tc>
          <w:tcPr>
            <w:tcW w:w="1860" w:type="dxa"/>
            <w:vAlign w:val="bottom"/>
            <w:shd w:val="clear" w:color="auto" w:fill="CCEEFF"/>
          </w:tcPr>
          <w:p>
            <w:pPr>
              <w:ind w:left="98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Item 16</w:t>
              </w:r>
            </w:hyperlink>
          </w:p>
        </w:tc>
        <w:tc>
          <w:tcPr>
            <w:tcW w:w="8020" w:type="dxa"/>
            <w:vAlign w:val="bottom"/>
            <w:gridSpan w:val="5"/>
            <w:shd w:val="clear" w:color="auto" w:fill="CCEEFF"/>
          </w:tcPr>
          <w:p>
            <w:pPr>
              <w:ind w:left="28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Form 10-K Summary</w:t>
              </w:r>
            </w:hyperlink>
          </w:p>
        </w:tc>
        <w:tc>
          <w:tcPr>
            <w:tcW w:w="1360" w:type="dxa"/>
            <w:vAlign w:val="bottom"/>
            <w:shd w:val="clear" w:color="auto" w:fill="CCEEFF"/>
          </w:tcPr>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95</w:t>
              </w:r>
            </w:hyperlink>
          </w:p>
        </w:tc>
      </w:tr>
      <w:tr>
        <w:trPr>
          <w:trHeight w:val="234"/>
        </w:trPr>
        <w:tc>
          <w:tcPr>
            <w:tcW w:w="1860" w:type="dxa"/>
            <w:vAlign w:val="bottom"/>
          </w:tcPr>
          <w:p>
            <w:pPr>
              <w:ind w:left="20"/>
              <w:spacing w:after="0"/>
              <w:rPr>
                <w:rFonts w:ascii="Arial" w:cs="Arial" w:eastAsia="Arial" w:hAnsi="Arial"/>
                <w:sz w:val="18"/>
                <w:szCs w:val="18"/>
                <w:b w:val="1"/>
                <w:bCs w:val="1"/>
                <w:u w:val="single" w:color="auto"/>
                <w:color w:val="0000FF"/>
              </w:rPr>
            </w:pPr>
            <w:hyperlink w:anchor="page98">
              <w:r>
                <w:rPr>
                  <w:rFonts w:ascii="Arial" w:cs="Arial" w:eastAsia="Arial" w:hAnsi="Arial"/>
                  <w:sz w:val="18"/>
                  <w:szCs w:val="18"/>
                  <w:b w:val="1"/>
                  <w:bCs w:val="1"/>
                  <w:u w:val="single" w:color="auto"/>
                  <w:color w:val="0000FF"/>
                </w:rPr>
                <w:t>SIGNATURES</w:t>
              </w:r>
            </w:hyperlink>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96</w:t>
              </w:r>
            </w:hyperlink>
          </w:p>
        </w:tc>
      </w:tr>
      <w:tr>
        <w:trPr>
          <w:trHeight w:val="961"/>
        </w:trPr>
        <w:tc>
          <w:tcPr>
            <w:tcW w:w="1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 w:name="page4"/>
    <w:bookmarkEnd w:id="3"/>
    <w:p>
      <w:pPr>
        <w:ind w:right="20"/>
        <w:spacing w:after="0" w:line="269" w:lineRule="auto"/>
        <w:rPr>
          <w:sz w:val="20"/>
          <w:szCs w:val="20"/>
          <w:color w:val="auto"/>
        </w:rPr>
      </w:pPr>
      <w:r>
        <w:rPr>
          <w:rFonts w:ascii="Arial" w:cs="Arial" w:eastAsia="Arial" w:hAnsi="Arial"/>
          <w:sz w:val="17"/>
          <w:szCs w:val="17"/>
          <w:color w:val="auto"/>
        </w:rPr>
        <w:t>This Annual Report on Form 10-K contains certain forward-looking statements within the meaning of the federal securities laws relating to our future performance.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our current expectations and assumptions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60"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Our market share data is based on information provided by the NPD Group, Inc. (“NPD”). NPD data is based upon Consumer Panel Track</w:t>
      </w:r>
      <w:r>
        <w:rPr>
          <w:rFonts w:ascii="Arial" w:cs="Arial" w:eastAsia="Arial" w:hAnsi="Arial"/>
          <w:sz w:val="28"/>
          <w:szCs w:val="28"/>
          <w:color w:val="auto"/>
          <w:vertAlign w:val="superscript"/>
        </w:rPr>
        <w:t>SM</w:t>
      </w:r>
      <w:r>
        <w:rPr>
          <w:rFonts w:ascii="Arial" w:cs="Arial" w:eastAsia="Arial" w:hAnsi="Arial"/>
          <w:sz w:val="18"/>
          <w:szCs w:val="18"/>
          <w:color w:val="auto"/>
        </w:rPr>
        <w:t xml:space="preserve"> (consumer-reported sales) calibrated with selected retailers’ point of sale data for children’s apparel in the United States (“U.S.”) and represents the twelve-month period through the end of December 2020.</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otherwise indicated, references to market share in this Annual Report on Form 10-K are expressed as a percentage of total retail sales of the stated market. Some NPD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kids market. Note that Carter’s defines its product offerings by sizes: baby (sizes newborn to 24 months), toddlers (sizes 2T to 5T), and kids (sizes 4-14). In addition, other NPD market share data is presented based on NPD’s definition of the baby and playclothes categories, which are different from Carter’s definitions of these categories.</w:t>
      </w:r>
    </w:p>
    <w:p>
      <w:pPr>
        <w:spacing w:after="0" w:line="1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Certain NPD data cited in prior Annual Reports on Form 10-K were based on an alternate methodology no longer employed by NPD and are not comparable to the current year presentation.</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the context indicates otherwise, in this filing on Form 10-K, “Carter’s,” the “Company,” “we,” “us,” “its,” and “our” refers to Carter’s, Inc. and its wholly owned subsidiaries.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trademarks and copyrights that are referred to in this Annual Report on Form 10-K, including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Baby B’gosh</w:t>
      </w:r>
      <w:r>
        <w:rPr>
          <w:rFonts w:ascii="Arial" w:cs="Arial" w:eastAsia="Arial" w:hAnsi="Arial"/>
          <w:sz w:val="18"/>
          <w:szCs w:val="18"/>
          <w:color w:val="auto"/>
        </w:rPr>
        <w:t xml:space="preserve">,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Hop</w:t>
      </w:r>
      <w:r>
        <w:rPr>
          <w:rFonts w:ascii="Arial" w:cs="Arial" w:eastAsia="Arial" w:hAnsi="Arial"/>
          <w:sz w:val="18"/>
          <w:szCs w:val="18"/>
          <w:color w:val="auto"/>
        </w:rPr>
        <w:t>,</w:t>
      </w:r>
      <w:r>
        <w:rPr>
          <w:rFonts w:ascii="Arial" w:cs="Arial" w:eastAsia="Arial" w:hAnsi="Arial"/>
          <w:sz w:val="18"/>
          <w:szCs w:val="18"/>
          <w:i w:val="1"/>
          <w:iCs w:val="1"/>
          <w:color w:val="auto"/>
        </w:rPr>
        <w:t xml:space="preserve">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Collections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little baby basics</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KID</w:t>
      </w:r>
      <w:r>
        <w:rPr>
          <w:rFonts w:ascii="Arial" w:cs="Arial" w:eastAsia="Arial" w:hAnsi="Arial"/>
          <w:sz w:val="18"/>
          <w:szCs w:val="18"/>
          <w:color w:val="auto"/>
        </w:rPr>
        <w:t>,</w:t>
      </w:r>
      <w:r>
        <w:rPr>
          <w:rFonts w:ascii="Arial" w:cs="Arial" w:eastAsia="Arial" w:hAnsi="Arial"/>
          <w:sz w:val="18"/>
          <w:szCs w:val="18"/>
          <w:i w:val="1"/>
          <w:iCs w:val="1"/>
          <w:color w:val="auto"/>
        </w:rPr>
        <w:t xml:space="preserve"> Rewarding Moments</w:t>
      </w:r>
      <w:r>
        <w:rPr>
          <w:rFonts w:ascii="Arial" w:cs="Arial" w:eastAsia="Arial" w:hAnsi="Arial"/>
          <w:sz w:val="18"/>
          <w:szCs w:val="18"/>
          <w:color w:val="auto"/>
        </w:rPr>
        <w:t>, and</w:t>
      </w:r>
      <w:r>
        <w:rPr>
          <w:rFonts w:ascii="Arial" w:cs="Arial" w:eastAsia="Arial" w:hAnsi="Arial"/>
          <w:sz w:val="18"/>
          <w:szCs w:val="18"/>
          <w:i w:val="1"/>
          <w:iCs w:val="1"/>
          <w:color w:val="auto"/>
        </w:rPr>
        <w:t xml:space="preserve"> Count on Carter’s</w:t>
      </w:r>
      <w:r>
        <w:rPr>
          <w:rFonts w:ascii="Arial" w:cs="Arial" w:eastAsia="Arial" w:hAnsi="Arial"/>
          <w:sz w:val="18"/>
          <w:szCs w:val="18"/>
          <w:color w:val="auto"/>
        </w:rPr>
        <w:t>, many of which are registered in the United States and in over 100 other countries and territories, are each the property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 Carter’s, Inc.</w:t>
      </w:r>
    </w:p>
    <w:p>
      <w:pPr>
        <w:spacing w:after="0" w:line="146" w:lineRule="exact"/>
        <w:rPr>
          <w:sz w:val="20"/>
          <w:szCs w:val="20"/>
          <w:color w:val="auto"/>
        </w:rPr>
      </w:pPr>
    </w:p>
    <w:p>
      <w:pPr>
        <w:ind w:right="640"/>
        <w:spacing w:after="0" w:line="244" w:lineRule="auto"/>
        <w:rPr>
          <w:sz w:val="20"/>
          <w:szCs w:val="20"/>
          <w:color w:val="auto"/>
        </w:rPr>
      </w:pPr>
      <w:r>
        <w:rPr>
          <w:rFonts w:ascii="Arial" w:cs="Arial" w:eastAsia="Arial" w:hAnsi="Arial"/>
          <w:sz w:val="16"/>
          <w:szCs w:val="16"/>
          <w:color w:val="auto"/>
        </w:rPr>
        <w:t>The Company’s fiscal year ends on the Saturday in December or January nearest December 31. Every five or six years, our fiscal year includes an additional, or 53</w:t>
      </w:r>
      <w:r>
        <w:rPr>
          <w:rFonts w:ascii="Arial" w:cs="Arial" w:eastAsia="Arial" w:hAnsi="Arial"/>
          <w:sz w:val="25"/>
          <w:szCs w:val="25"/>
          <w:color w:val="auto"/>
          <w:vertAlign w:val="superscript"/>
        </w:rPr>
        <w:t>rd</w:t>
      </w:r>
      <w:r>
        <w:rPr>
          <w:rFonts w:ascii="Arial" w:cs="Arial" w:eastAsia="Arial" w:hAnsi="Arial"/>
          <w:sz w:val="16"/>
          <w:szCs w:val="16"/>
          <w:color w:val="auto"/>
        </w:rPr>
        <w:t>, week of results. Fiscal 2020 ended on January 2, 2021, fiscal 2019 ended on December 28, 2019, and fiscal 2018 ended on December 29, 2018. Fiscal 2020 contained 53 calendar weeks, and fiscal 2019 and fiscal 2018 both contained 52 calendar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February 2017.</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The baby and young children's apparel market ages zero to 10 in the U.S. is approximately $24 billion. In that market,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brands, have the #1 position with approximately 12% market share and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has approximately 1% market share.</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multi-channel, global business model, which includes retail stores, eCommerce, and wholesale sales channels, as well as omni-channel capabilities in the United States, enables us to reach a broad range of consumers around the world. At the end of fiscal 2020, our channels included 1,101 retail stores, approximately 19,800 wholesale locations, and eCommerce websites in North America, as well as our international wholesale accounts and licensees who operate in over 90 countries.</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2020, the global pandemic, caused by the spread of the novel strain of coronavirus (“COVID-19”), negatively affected the global economy, disrupted global supply chains, and created significant disruption of the financial and retail markets, including a disruption in consumer demand for baby and children’s clothing and accessories. For more information on the effects of the pandemic on the Company, and our response to the pandemic, see “Item 7—Management's Discussion and Analysis of Financial Condition and Results of Operations.”</w:t>
      </w:r>
    </w:p>
    <w:p>
      <w:pPr>
        <w:spacing w:after="0" w:line="16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segments is contained in Item 8 “Financial Statements and Supplementary Data” under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strategy focuses on:</w:t>
      </w:r>
    </w:p>
    <w:p>
      <w:pPr>
        <w:spacing w:after="0" w:line="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the best value and experience in apparel and related products for young children;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extending the reach of our brands;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Carter’s </w:t>
      </w:r>
      <w:r>
        <w:rPr>
          <w:rFonts w:ascii="Arial" w:cs="Arial" w:eastAsia="Arial" w:hAnsi="Arial"/>
          <w:sz w:val="18"/>
          <w:szCs w:val="18"/>
          <w:b w:val="1"/>
          <w:bCs w:val="1"/>
          <w:color w:val="auto"/>
        </w:rPr>
        <w:t>&amp;</w:t>
      </w:r>
      <w:r>
        <w:rPr>
          <w:rFonts w:ascii="Arial" w:cs="Arial" w:eastAsia="Arial" w:hAnsi="Arial"/>
          <w:sz w:val="18"/>
          <w:szCs w:val="18"/>
          <w:b w:val="1"/>
          <w:bCs w:val="1"/>
          <w:i w:val="1"/>
          <w:iCs w:val="1"/>
          <w:color w:val="auto"/>
        </w:rPr>
        <w:t xml:space="preserve"> OshKosh B’gosh</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product offerings include apparel and accessories for babies (sizes newborn to 24 months), toddlers (sizes 2T to 5T), and kids (sizes 4-14).</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For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our focus is on essential, high-volume apparel products for babies and young children, including bodysuits, pants, dresses, multi-piece knit sets, blankets, layette essentials, bibs, booties, sleep and play, rompers, and jumpers.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right="60"/>
        <w:spacing w:after="0" w:line="293" w:lineRule="auto"/>
        <w:rPr>
          <w:sz w:val="20"/>
          <w:szCs w:val="20"/>
          <w:color w:val="auto"/>
        </w:rPr>
      </w:pPr>
      <w:r>
        <w:rPr>
          <w:rFonts w:ascii="Arial" w:cs="Arial" w:eastAsia="Arial" w:hAnsi="Arial"/>
          <w:sz w:val="16"/>
          <w:szCs w:val="16"/>
          <w:color w:val="auto"/>
        </w:rPr>
        <w:t xml:space="preserve">We attribute our leading market position to our strong value proposition, brand strength, unique colors, distinctive prints, and commitment to quality, as well as our broad wholesale distribution channel that includes successful and long-standing relationships with leading national retailers. Our marketing programs are targeted toward first-time parents, experienced parents, and gift-givers. Our </w:t>
      </w:r>
      <w:r>
        <w:rPr>
          <w:rFonts w:ascii="Arial" w:cs="Arial" w:eastAsia="Arial" w:hAnsi="Arial"/>
          <w:sz w:val="16"/>
          <w:szCs w:val="16"/>
          <w:i w:val="1"/>
          <w:iCs w:val="1"/>
          <w:color w:val="auto"/>
        </w:rPr>
        <w:t>Carter’s little baby basics</w:t>
      </w:r>
      <w:r>
        <w:rPr>
          <w:rFonts w:ascii="Arial" w:cs="Arial" w:eastAsia="Arial" w:hAnsi="Arial"/>
          <w:sz w:val="16"/>
          <w:szCs w:val="16"/>
          <w:color w:val="auto"/>
        </w:rPr>
        <w:t xml:space="preserve"> product line, the largest component of our baby business, provides families with essential products and accessories, including value-focused multi-piece sets. We also have three exclusive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brands: our</w:t>
      </w:r>
      <w:r>
        <w:rPr>
          <w:rFonts w:ascii="Arial" w:cs="Arial" w:eastAsia="Arial" w:hAnsi="Arial"/>
          <w:sz w:val="16"/>
          <w:szCs w:val="16"/>
          <w:i w:val="1"/>
          <w:iCs w:val="1"/>
          <w:color w:val="auto"/>
        </w:rPr>
        <w:t xml:space="preserve"> Child of Mine </w:t>
      </w:r>
      <w:r>
        <w:rPr>
          <w:rFonts w:ascii="Arial" w:cs="Arial" w:eastAsia="Arial" w:hAnsi="Arial"/>
          <w:sz w:val="16"/>
          <w:szCs w:val="16"/>
          <w:color w:val="auto"/>
        </w:rPr>
        <w:t>brand, which we sell at Walmart, our</w:t>
      </w:r>
      <w:r>
        <w:rPr>
          <w:rFonts w:ascii="Arial" w:cs="Arial" w:eastAsia="Arial" w:hAnsi="Arial"/>
          <w:sz w:val="16"/>
          <w:szCs w:val="16"/>
          <w:i w:val="1"/>
          <w:iCs w:val="1"/>
          <w:color w:val="auto"/>
        </w:rPr>
        <w:t xml:space="preserve"> Just One You </w:t>
      </w:r>
      <w:r>
        <w:rPr>
          <w:rFonts w:ascii="Arial" w:cs="Arial" w:eastAsia="Arial" w:hAnsi="Arial"/>
          <w:sz w:val="16"/>
          <w:szCs w:val="16"/>
          <w:color w:val="auto"/>
        </w:rPr>
        <w:t>brand, which we sell at Target, and our</w:t>
      </w:r>
      <w:r>
        <w:rPr>
          <w:rFonts w:ascii="Arial" w:cs="Arial" w:eastAsia="Arial" w:hAnsi="Arial"/>
          <w:sz w:val="16"/>
          <w:szCs w:val="16"/>
          <w:i w:val="1"/>
          <w:iCs w:val="1"/>
          <w:color w:val="auto"/>
        </w:rPr>
        <w:t xml:space="preserve"> Simple Joys </w:t>
      </w:r>
      <w:r>
        <w:rPr>
          <w:rFonts w:ascii="Arial" w:cs="Arial" w:eastAsia="Arial" w:hAnsi="Arial"/>
          <w:sz w:val="16"/>
          <w:szCs w:val="16"/>
          <w:color w:val="auto"/>
        </w:rPr>
        <w:t>brand,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sell on Amazon. In February 2021, we re-launched our </w:t>
      </w:r>
      <w:r>
        <w:rPr>
          <w:rFonts w:ascii="Arial" w:cs="Arial" w:eastAsia="Arial" w:hAnsi="Arial"/>
          <w:sz w:val="16"/>
          <w:szCs w:val="16"/>
          <w:i w:val="1"/>
          <w:iCs w:val="1"/>
          <w:color w:val="auto"/>
        </w:rPr>
        <w:t>Little Planet</w:t>
      </w:r>
      <w:r>
        <w:rPr>
          <w:rFonts w:ascii="Arial" w:cs="Arial" w:eastAsia="Arial" w:hAnsi="Arial"/>
          <w:sz w:val="16"/>
          <w:szCs w:val="16"/>
          <w:color w:val="auto"/>
        </w:rPr>
        <w:t xml:space="preserve"> brand, which focuses on clothing that is more sustainable and eco-friendly.</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Carter’s </w:t>
      </w:r>
      <w:r>
        <w:rPr>
          <w:rFonts w:ascii="Arial" w:cs="Arial" w:eastAsia="Arial" w:hAnsi="Arial"/>
          <w:sz w:val="18"/>
          <w:szCs w:val="18"/>
          <w:color w:val="auto"/>
        </w:rPr>
        <w:t>is the leading brand in the zero to 10-year-old market in the United States, with particular strength in the zero to two-year-old segment.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2020, our multi-channel business model enabled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to maintain leading market share of approximately 12% in the zero to 10-year-old market, which represented approximately double the market share of the next largest brand. In addition,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maintained the leading market position with approximately 23% in the zero to two-year-old baby market, which represented approximately four times the market share of the next largest brand, and maintained its leading market position with approximately 12% in the three to four-year-old toddler market, which represented nearly double the market share of the next largest brand.</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focus of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is high-quality playclothes, including denim apparel products with multiple wash treatments and coordinating garments, overalls, woven bottoms, knit tops, and bodysuits for everyday use.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is generally positioned towards an older age segment and at slightly higher average prices relative to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We believe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has significant brand name recognition, which consumers associate with high-quality, durable, and authentic playclothes for young children. In fiscal 2020,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brand’s market share was approximately 1% of the zero to 10-year-old apparel market in the United States.</w:t>
      </w:r>
    </w:p>
    <w:p>
      <w:pPr>
        <w:spacing w:after="0" w:line="14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For both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we employ cross-functional product teams to focus on the development of the brands and products. The teams include members from merchandising, art, design, sourcing, product development, marketing and planning, and follow a disciplined approach to fabric usage, color selection, and assortment productivity. We believe this disciplined approach to product development, which includes consumer research, results in a compelling product offering to consumers, reduces our exposure to short-term trends, and supports efficient operations.</w:t>
      </w:r>
    </w:p>
    <w:p>
      <w:pPr>
        <w:spacing w:after="0" w:line="11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believe that we continuously strengthen our brand image with the consumer by differentiating our products through fabric and material improvements, new artistic applications, new packaging and presentation strategies, and marketing. We also attempt to differentiate our products and presentation through in-store fixturing, branding, signage, photography, and advertising, both in our stores and on our websites, as well as with our major wholesale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license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and </w:t>
      </w:r>
      <w:r>
        <w:rPr>
          <w:rFonts w:ascii="Arial" w:cs="Arial" w:eastAsia="Arial" w:hAnsi="Arial"/>
          <w:sz w:val="18"/>
          <w:szCs w:val="18"/>
          <w:i w:val="1"/>
          <w:iCs w:val="1"/>
          <w:color w:val="auto"/>
        </w:rPr>
        <w:t>Carter’s little baby basics</w:t>
      </w:r>
      <w:r>
        <w:rPr>
          <w:rFonts w:ascii="Arial" w:cs="Arial" w:eastAsia="Arial" w:hAnsi="Arial"/>
          <w:sz w:val="18"/>
          <w:szCs w:val="18"/>
          <w:color w:val="auto"/>
        </w:rPr>
        <w:t xml:space="preserve"> brands to partners to expand our product offerings to include footwear, outerwear, accessories (such as hair accessories and jewelry), toys, paper goods, home décor, cribs and baby furniture, and bedding. As of the end of fiscal 2020, we had eight licensees who manufacture products under these brands. These licensing partners develop and sell products through our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products at attractive prices to provide value to the consumer.</w:t>
      </w:r>
    </w:p>
    <w:p>
      <w:pPr>
        <w:spacing w:after="0" w:line="165" w:lineRule="exact"/>
        <w:rPr>
          <w:sz w:val="20"/>
          <w:szCs w:val="20"/>
          <w:color w:val="auto"/>
        </w:rPr>
      </w:pPr>
    </w:p>
    <w:p>
      <w:pPr>
        <w:ind w:right="360"/>
        <w:spacing w:after="0" w:line="406" w:lineRule="auto"/>
        <w:rPr>
          <w:sz w:val="20"/>
          <w:szCs w:val="20"/>
          <w:color w:val="auto"/>
        </w:rPr>
      </w:pPr>
      <w:r>
        <w:rPr>
          <w:rFonts w:ascii="Arial" w:cs="Arial" w:eastAsia="Arial" w:hAnsi="Arial"/>
          <w:sz w:val="18"/>
          <w:szCs w:val="18"/>
          <w:color w:val="auto"/>
        </w:rPr>
        <w:t xml:space="preserve">We also partner with other brand owners to further expand our product offerings, including apparel with collegiate and professional sport teams’ logos. </w:t>
      </w:r>
      <w:r>
        <w:rPr>
          <w:rFonts w:ascii="Arial" w:cs="Arial" w:eastAsia="Arial" w:hAnsi="Arial"/>
          <w:sz w:val="18"/>
          <w:szCs w:val="18"/>
          <w:b w:val="1"/>
          <w:bCs w:val="1"/>
          <w:i w:val="1"/>
          <w:iCs w:val="1"/>
          <w:color w:val="auto"/>
        </w:rPr>
        <w:t>Skip Hop</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Under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we design, source, and market products that are sold primarily to families with young children.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is best known for its diaper bags, which we believe combine innovative functionality with attractive design.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offering also includes products for playtime, travel, mealtime, kid's bags, bath time, and home gear.</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is a global lifestyle brand. </w:t>
      </w:r>
      <w:r>
        <w:rPr>
          <w:rFonts w:ascii="Arial" w:cs="Arial" w:eastAsia="Arial" w:hAnsi="Arial"/>
          <w:sz w:val="18"/>
          <w:szCs w:val="18"/>
          <w:i w:val="1"/>
          <w:iCs w:val="1"/>
          <w:color w:val="auto"/>
        </w:rPr>
        <w:t>Skip Hop’</w:t>
      </w:r>
      <w:r>
        <w:rPr>
          <w:rFonts w:ascii="Arial" w:cs="Arial" w:eastAsia="Arial" w:hAnsi="Arial"/>
          <w:sz w:val="18"/>
          <w:szCs w:val="18"/>
          <w:color w:val="auto"/>
        </w:rPr>
        <w:t>s core philosophy and positioning begins and ends with its brand promise -- “</w:t>
      </w:r>
      <w:r>
        <w:rPr>
          <w:rFonts w:ascii="Arial" w:cs="Arial" w:eastAsia="Arial" w:hAnsi="Arial"/>
          <w:sz w:val="18"/>
          <w:szCs w:val="18"/>
          <w:i w:val="1"/>
          <w:iCs w:val="1"/>
          <w:color w:val="auto"/>
        </w:rPr>
        <w:t>Must-Haves * Made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Better.” </w:t>
      </w:r>
      <w:r>
        <w:rPr>
          <w:rFonts w:ascii="Arial" w:cs="Arial" w:eastAsia="Arial" w:hAnsi="Arial"/>
          <w:sz w:val="18"/>
          <w:szCs w:val="18"/>
          <w:color w:val="auto"/>
        </w:rPr>
        <w:t>This reflects the brand’s goal of creating innovative, smartly designed, and highly functional essentials for parents, babies, and toddlers. The</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team includes both an in-house design and a creative team, each of which is dedicated to meeting that goal. We carry</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brand products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stores, and have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investments in in-store fixturing, branding, and signage packages, along with digital advertising, to further strengthen the position of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Channels</w:t>
      </w:r>
    </w:p>
    <w:p>
      <w:pPr>
        <w:spacing w:after="0" w:line="108" w:lineRule="exact"/>
        <w:rPr>
          <w:sz w:val="20"/>
          <w:szCs w:val="20"/>
          <w:color w:val="auto"/>
        </w:rPr>
      </w:pPr>
    </w:p>
    <w:p>
      <w:pPr>
        <w:ind w:right="1920"/>
        <w:spacing w:after="0" w:line="406" w:lineRule="auto"/>
        <w:rPr>
          <w:sz w:val="20"/>
          <w:szCs w:val="20"/>
          <w:color w:val="auto"/>
        </w:rPr>
      </w:pPr>
      <w:r>
        <w:rPr>
          <w:rFonts w:ascii="Arial" w:cs="Arial" w:eastAsia="Arial" w:hAnsi="Arial"/>
          <w:sz w:val="18"/>
          <w:szCs w:val="18"/>
          <w:color w:val="auto"/>
        </w:rPr>
        <w:t xml:space="preserve">We sell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multiple channels, both in the United States and globally. </w:t>
      </w:r>
      <w:r>
        <w:rPr>
          <w:rFonts w:ascii="Arial" w:cs="Arial" w:eastAsia="Arial" w:hAnsi="Arial"/>
          <w:sz w:val="18"/>
          <w:szCs w:val="18"/>
          <w:b w:val="1"/>
          <w:bCs w:val="1"/>
          <w:i w:val="1"/>
          <w:iCs w:val="1"/>
          <w:color w:val="auto"/>
        </w:rPr>
        <w:t>U.S. Retail</w:t>
      </w:r>
    </w:p>
    <w:p>
      <w:pPr>
        <w:spacing w:after="0" w:line="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U.S. Retail segment includes sales of our products through our U.S. retail stores and eCommerce sites, including through our omni-channel capabilities to allow our customers to buy on-line and pick-up in store (or curbside), buy-online and ship-to-store, and in-store buy on-line services.</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U.S. retail stores are generally located in high-traffic strip shopping centers and malls in or near major cities or in outlet centers that are near densely-populated areas. We believe our brand strength and our product assortment have made our retail stores a destination for consumers seeking young children’s apparel and accessories.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Each of our stores carry an assortment of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and/or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as well as other products, depending on the store and location. Our stores average approximately 5,000 square feet per location, ranging from on average approximately 4,300 square feet per location for our formerly single-branded stores to approximately 7,400 square feet for our stores that consist of adjacent and connected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stores. As of the end of fiscal 2020, in the United States we operated 864 stores.</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regularly assess potential new retail store locations and closures based on demographic factors, retail adjacencies, competitive factors, and population density as part of a rigorous real estate portfolio optimization process.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also sell our products through our U.S. eCommerce websites, which were re-launched in fiscal 2019, at www.carters.com, www.oshkoshbgosh.com, www.oshkosh.com, and www.skiphop.com, and our mobile application, which was re-launched in fiscal 2020.</w:t>
      </w:r>
    </w:p>
    <w:p>
      <w:pPr>
        <w:spacing w:after="0" w:line="14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focus on the customer experience through store and eCommerce website design, visual aesthetics, clear product presentation, and experienced customer service. Our eCommerce websites also feature product recommendations and on-line-only offerings. We strive to create a seamless omni-channel experience between our retail stores and our eCommerce websites, as more fully described below under “Our Customer and Marketing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U.S. Wholesale segment includes sales of our products to our U.S. wholesale customers.</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wholesale customers in the United States include major retailers, such as, in alphabetical order, Costco, JCPenney, Kohl’s, and Macy’s. Additionally, we sell our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exclusive brand at Walmart, our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exclusive brand at Target, and our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exclusive brand on Amazon.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wholesale customers in the United States include major retailers, such as, in alphabetical order, Amazon, Kohl’s, and Target.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wholesale customers in the United States include major retailers, such as, in alphabetical order, Amazon, buybuy BABY, and Target.</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collaborate with our wholesale customers to provide a consistent and high-level of service, and to drive growth through eCommerce, replenishment, product mix, and brand presentation initiatives. We also have frequent meetings with the senior management of key accounts to align on strategic growth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International segment includes sales of our products through our retail stores and eCommerce sites in Canada and Mexico. As of the end of fiscal 2020, in Canada we operated 193 co-branded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retail stores and an eCommerce site at www.cartersoshkosh.ca, and in Mexico we operated 44 retail stores and an eCommerce site at www.carter.com.mx.</w:t>
      </w:r>
    </w:p>
    <w:p>
      <w:pPr>
        <w:spacing w:after="0" w:line="1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International segment includes sales of our products to wholesale accounts outside of the United States, such as, in alphabetical order, Amazon, Costco, and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jc w:val="both"/>
        <w:ind w:right="120"/>
        <w:spacing w:after="0" w:line="311" w:lineRule="auto"/>
        <w:rPr>
          <w:sz w:val="20"/>
          <w:szCs w:val="20"/>
          <w:color w:val="auto"/>
        </w:rPr>
      </w:pPr>
      <w:r>
        <w:rPr>
          <w:rFonts w:ascii="Arial" w:cs="Arial" w:eastAsia="Arial" w:hAnsi="Arial"/>
          <w:sz w:val="16"/>
          <w:szCs w:val="16"/>
          <w:color w:val="auto"/>
        </w:rPr>
        <w:t xml:space="preserve">In addition, we license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to international customers that sell our products through branded retail and online stores, as well as to wholesale customers, within their licensed territories. Our International segment includes sales of our products to these licensees, and royalty income based on sales made by certain licensees. As of the end of fiscal 2020, we had approximately 38 international licensees who operated in over 90 countries.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Marketing Strategy</w:t>
      </w:r>
    </w:p>
    <w:p>
      <w:pPr>
        <w:spacing w:after="0" w:line="1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all of our brands, our marketing is predominantly focused on driving brand preference and engagement with millennial customers, including through strengthening and evolving our digital programs. Our omni-channel approach allows the customer to experience our brands as a seamless shopping experience in the channel of their choice. In fiscal 2019, we launched capabilities to allow our customers to buy on-line and pick-up in store, complementing our existing buy-on-line, ship-to-store and in-store buy on-line services. In fiscal 2020, we continued to enhance and expand our omni-channel capabilities, including curbside pick-up at our retail stores.</w:t>
      </w:r>
    </w:p>
    <w:p>
      <w:pPr>
        <w:spacing w:after="0" w:line="14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We operate our </w:t>
      </w:r>
      <w:r>
        <w:rPr>
          <w:rFonts w:ascii="Arial" w:cs="Arial" w:eastAsia="Arial" w:hAnsi="Arial"/>
          <w:sz w:val="18"/>
          <w:szCs w:val="18"/>
          <w:i w:val="1"/>
          <w:iCs w:val="1"/>
          <w:color w:val="auto"/>
        </w:rPr>
        <w:t>Rewarding Moments</w:t>
      </w:r>
      <w:r>
        <w:rPr>
          <w:rFonts w:ascii="Arial" w:cs="Arial" w:eastAsia="Arial" w:hAnsi="Arial"/>
          <w:sz w:val="18"/>
          <w:szCs w:val="18"/>
          <w:color w:val="auto"/>
        </w:rPr>
        <w:t xml:space="preserve"> loyalty and rewards program in the United States to drive customer traffic, sales, and brand loyalty. This program is integrated across our U.S. retail stores and online businesses. During fiscal 2020, our U.S. retail sales were predominantly made to customers who are members of </w:t>
      </w:r>
      <w:r>
        <w:rPr>
          <w:rFonts w:ascii="Arial" w:cs="Arial" w:eastAsia="Arial" w:hAnsi="Arial"/>
          <w:sz w:val="18"/>
          <w:szCs w:val="18"/>
          <w:i w:val="1"/>
          <w:iCs w:val="1"/>
          <w:color w:val="auto"/>
        </w:rPr>
        <w:t>Rewarding Moments.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In fiscal 2019, we launched a new Carter’s credit card program in the United States. The Carter’s credit card complements and enhances our existing </w:t>
      </w:r>
      <w:r>
        <w:rPr>
          <w:rFonts w:ascii="Arial" w:cs="Arial" w:eastAsia="Arial" w:hAnsi="Arial"/>
          <w:sz w:val="18"/>
          <w:szCs w:val="18"/>
          <w:i w:val="1"/>
          <w:iCs w:val="1"/>
          <w:color w:val="auto"/>
        </w:rPr>
        <w:t xml:space="preserve">Rewarding Moments </w:t>
      </w:r>
      <w:r>
        <w:rPr>
          <w:rFonts w:ascii="Arial" w:cs="Arial" w:eastAsia="Arial" w:hAnsi="Arial"/>
          <w:sz w:val="18"/>
          <w:szCs w:val="18"/>
          <w:color w:val="auto"/>
        </w:rPr>
        <w:t>loyalty program and provides new benefits for our customers, including free shipping on every eCommerce order, double</w:t>
      </w:r>
      <w:r>
        <w:rPr>
          <w:rFonts w:ascii="Arial" w:cs="Arial" w:eastAsia="Arial" w:hAnsi="Arial"/>
          <w:sz w:val="18"/>
          <w:szCs w:val="18"/>
          <w:i w:val="1"/>
          <w:iCs w:val="1"/>
          <w:color w:val="auto"/>
        </w:rPr>
        <w:t xml:space="preserve"> Rewarding Moments </w:t>
      </w:r>
      <w:r>
        <w:rPr>
          <w:rFonts w:ascii="Arial" w:cs="Arial" w:eastAsia="Arial" w:hAnsi="Arial"/>
          <w:sz w:val="18"/>
          <w:szCs w:val="18"/>
          <w:color w:val="auto"/>
        </w:rPr>
        <w:t>points, and exclusive cardholder-only events.</w:t>
      </w:r>
    </w:p>
    <w:p>
      <w:pPr>
        <w:spacing w:after="0" w:line="14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investments in marketing, our loyalty program, and new consumer-facing technologies are focused on acquiring new customers, developing stronger relationships with our existing customers, and extending their connections with our brands. Our goal is to have the most top-of-mind, preferred brands in the young children’s market and to connect with a diverse, digitally savvy customer.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Sourcing Network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do not own any raw materials or manufacturing facilities. We source all of our garments and other products from a global network of third-party</w:t>
      </w:r>
    </w:p>
    <w:p>
      <w:pPr>
        <w:spacing w:after="0" w:line="6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suppliers, primarily located in Asia. We source the remainder of our products primarily through Central America. During fiscal 2020, approximately 76% of our product was sourced from Cambodia, Vietnam, China, and Bangladesh, and approximately 78% of the fabric that is used in the manufacture of our products is sourced from China, with the remainder primarily from Bangladesh, Thailand, and Taiwan.</w:t>
      </w:r>
    </w:p>
    <w:p>
      <w:pPr>
        <w:spacing w:after="0" w:line="1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sourcing operations are based in Hong Kong in order to facilitate better service and manage the volume of manufacturing in Asia. Our Hong Kong office acts as an agent for substantially all of our sourcing in Asia and monitors production at manufacturers’ facilities to ensure quality control, compliance with our manufacturing specifications and social responsibility standards, as well as timely delivery of finished garments to our distribution facilities. We also have sourcing operations in Cambodia, Vietnam, China, and Bangladesh to help support these efforts.</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placing production, and on a recurring basis, we conduct assessments of political, social, economic, trade, labor and intellectual property protection conditions in the countries in which we source our products, and we conduct assessments of our manufacturers and supply chain, as discussed under “— Corporate Social Responsibility” below. In connection with the manufacture of our products, manufacturers purchase raw materials including fabric and other materials (such as linings, zippers, buttons, and trim) at our direction. Prior to commencing the manufacture of products, samples of raw materials are sent to us for approval. We regularly inspect and supervise the manufacture of our products in order to maintain quality control, monitor compliance with our manufacturing specifications and social responsibility standards and to ensure timely delivery. We also inspect finished products at the manufacturing facilities.</w:t>
      </w:r>
    </w:p>
    <w:p>
      <w:pPr>
        <w:spacing w:after="0" w:line="15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ind w:right="40"/>
        <w:spacing w:after="0" w:line="257" w:lineRule="auto"/>
        <w:rPr>
          <w:sz w:val="20"/>
          <w:szCs w:val="20"/>
          <w:color w:val="auto"/>
        </w:rPr>
      </w:pPr>
      <w:r>
        <w:rPr>
          <w:rFonts w:ascii="Arial" w:cs="Arial" w:eastAsia="Arial" w:hAnsi="Arial"/>
          <w:sz w:val="18"/>
          <w:szCs w:val="18"/>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adopted a factory on-boarding program that allows us to assess each factory’s compliance with our social responsibility standards before we place orders for product with that factory, including factories utilized by companies that we acquire. Additionally, we regularly assess the manufacturing facilities we use through periodic on-site facility inspections, including the use of independent auditors to supplement our internal staff. We use audit data and performance results to suggest improvements when necessary, and we integrate this information into our on-going sourcing decisions. Our vendor code of conduct, with which we require our factories to comply, outlines our standards for supplier behavior in creating a fair and safe workplace, and covers employment practices, such as wages and benefits, working hours, health and safety, working age, and discriminatory practices, as well as environmental, ethical, and other legal matters. In addition, our social responsibility policy establishes our expectations for our global suppliers and guides our oversight. This policy is derived from the policies, standards, and conventions of the International Labor Organization, and includes a commitment to the Universal Declaration of Human Rights.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Distribution Network</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based upon needs, costs, and timing considerations.</w:t>
      </w:r>
    </w:p>
    <w:p>
      <w:pPr>
        <w:spacing w:after="0" w:line="14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United States, we operate two distribution centers in Georgia: an approximately 1.1 million square-foot multi-channel facility in Braselton and a 0.5 million square-foot facility in Stockbridge. We also outsource distribution activities to third party logistics providers located in California. Our distribution center activities include receiving finished goods from our vendors, inspecting those products, preparing them for retail and wholesale presentation, and shipping them to our wholesale customers, retail stores, and eCommerce customers.</w:t>
      </w:r>
    </w:p>
    <w:p>
      <w:pPr>
        <w:spacing w:after="0" w:line="14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Internationally, we operate directly or outsource our distribution activities to third party logistics providers in Canada, China, Mexico, and Vietnam to support shipment to the United States, as well as our international wholesale accounts, international licensees, international eCommerce operations, and Canadian and Mexican retail store networks.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laws, regulations and standards set by various governmental authorities around the world, including in the United States, Canada,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Mexico, including:</w:t>
      </w:r>
    </w:p>
    <w:p>
      <w:pPr>
        <w:spacing w:after="0" w:line="49" w:lineRule="exact"/>
        <w:rPr>
          <w:sz w:val="20"/>
          <w:szCs w:val="20"/>
          <w:color w:val="auto"/>
        </w:rPr>
      </w:pPr>
    </w:p>
    <w:p>
      <w:pPr>
        <w:ind w:left="660" w:right="7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those imposed by the Sarbanes-Oxley Act of 2002, the Dodd-Frank Wall Street Reform and Consumer Protection Act, the Securities and Exchange Commission (“SEC”), and the New York Stock Exchange (“NYSE”);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Foreign Corrupt Practices Act, and similar world-wide anti-bribery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care, employment and labor laws;</w:t>
      </w:r>
    </w:p>
    <w:p>
      <w:pPr>
        <w:spacing w:after="0" w:line="63"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and consumer safety laws, including those imposed by the U.S. Consumer Product Safety Commission and the Americans with Disabilities Act of 1990;</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privacy laws, including the E.U. General Data Protection Act and the California Consumer Privacy 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transportation and logistics related laws, including tariffs and orders issued by Customs and Border Protection;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environmental laws.</w:t>
      </w:r>
    </w:p>
    <w:p>
      <w:pPr>
        <w:spacing w:after="0" w:line="18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 substantial portion of our products is imported into the United States, Canada, and Mexico.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 impose, from time to time, new duties, tariffs, surcharges, or other import controls or restrictions, or adjust presently prevailing duty or tariff rates or levels. We, therefore, actively monitor import restrictions and developments and seek to minimize our potential exposure to import related risks through shifts of production among countries, including consideration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of countries with tariff preference and free trade agreements, manufacturers, and geographical diversification of our sources of supply.</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we are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baby and young children’s apparel and accessories market is highly competitive. Competition is generally based on a variety of factors, including comfort and fit, quality, pricing, experience, and selection. Both branded and private label manufacturers as well as specialty apparel retailers aggressively compete in the baby and young children’s apparel market. Our primary competitors include (in alphabetical order): Gap, Old Navy, and The Children’s Place (specialty apparel); Cat &amp; Jack and Garanimals (private label); and Disney, Nike, and Under Armour (national brands). Because of the highly fragmented nature of the industry, we also compete with many small manufacturers and retailers. We believe that the strength of our brand names, combined with our breadth and value of product offerings, longevity in the marketplace, distribution footprint, and operational expertise, position us well against these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Weather</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consumer trends, customer traffic, and shopping habits. For example, extended periods of unseasonably warm temperatures during the winter season or cool temperatures during the summer season could affect the timing of, and reduce or shift, demand.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the end of fiscal 2020, we had approximately 18,000 employees globally. Of these, approximately 14,000 of our employees worked in our retail stores across North America, 2,200 employees worked in our distribution centers, and 1,800 employees worked in our various corporate offices around the world. Approximately 15,200 employees worked in the United States, 2,100 employees worked in Canada, 300 employees worked in Mexico, and 400 employees worked in other countries, including Hong Kong. As of the end of fiscal 2020, approximately 150 employees were unionized employees, all of whom were in Mexico. We believe we have good labor relationships with our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Everything we do is guided by our core values:</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 with Integrity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Exceed Expectations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Inspire Innovation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Succeed Together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People</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that to succeed as a business and to positively impact families and our communities, we must first create and maintain an inclusive, supportive workplace culture that fosters high employee engagement. We believe deeply in developing our employees and offer numerous formal training opportunities as well as ongoing informal on-the-job learning, including:</w:t>
      </w:r>
    </w:p>
    <w:p>
      <w:pPr>
        <w:spacing w:after="0" w:line="22" w:lineRule="exact"/>
        <w:rPr>
          <w:sz w:val="20"/>
          <w:szCs w:val="20"/>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mentoring, reverse mentoring, and executive development programs that nurture emerging talent and facilitate cross-generational knowledge sharing, benefitting employees at all stages of their careers;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days, when employees step away from their day-to-day responsibilities for curated professional growth opportunities;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courses and formal development programs designed to enhance personal leadership skills, business acumen, and people management skills, as well as specialized development resources for our retail store, distribution center and office employees;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 w:name="page11"/>
    <w:bookmarkEnd w:id="10"/>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year, we award 20 scholarships to Carter’s employees and children of employees to attend an accredited college or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we are committed to ensuring that our workforce reflects our diverse world through a range of efforts to broaden diversity and ensure fairness across our global enterprise. Our Diversity &amp; Inclusion (“D&amp;I”) efforts are driven by cross-functional teams charged with guiding and implementing the organization’s D&amp;I efforts. These teams oversee our efforts to establish and improve inclusive policies in four key areas of our management processes: leadership, strategies and processes, programs and benefits, and policies and compliance. We continually measure and monitor diversity metrics including pay equity, retention, new hires, internal promotions and identified successors, and our D&amp;I education equips employees with the tools and support needed to further enhance a workplace culture of inclusion.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a safety culture with the goal of eliminating workplace incidents, risks and hazards. We have created and implemented processes to help eliminate safety events by reducing their frequency and severity. We also review and monitor our performance closely. In response to the ongoing COVID-19 pandemic, we have implemented and continue to implement safety measures in all our facilities to protect our customers and employees, including ensuring social distancing, frequent cleaning, and masks for all in our retail stores, and maintaining safe working distances and conditions at our distribution centers.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Our primary internet address is www.carters.com. On our investor relations website (ir.carters.com),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Our SEC reports can be accessed through the investor relations section of our website. We also make available on our website the </w:t>
      </w:r>
      <w:r>
        <w:rPr>
          <w:rFonts w:ascii="Arial" w:cs="Arial" w:eastAsia="Arial" w:hAnsi="Arial"/>
          <w:sz w:val="17"/>
          <w:szCs w:val="17"/>
          <w:i w:val="1"/>
          <w:iCs w:val="1"/>
          <w:color w:val="auto"/>
        </w:rPr>
        <w:t>Carter’s Code of Ethics</w:t>
      </w:r>
      <w:r>
        <w:rPr>
          <w:rFonts w:ascii="Arial" w:cs="Arial" w:eastAsia="Arial" w:hAnsi="Arial"/>
          <w:sz w:val="17"/>
          <w:szCs w:val="17"/>
          <w:color w:val="auto"/>
        </w:rPr>
        <w:t>, our corporate governance principles, and the charters for the Compensation, Audit, and Nominating and Corporate Governance Committees of the Board of Directors. The information contained on our website is not included as part of, or incorporated by reference into, this Annual Report on Form 10-K or any other reports we file with or furnish to the SEC.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Global and Macroeconomic Conditions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other global crises have had and may in the future have a significant adverse effect on our business, financial condition, and results of operations.</w:t>
      </w:r>
    </w:p>
    <w:p>
      <w:pPr>
        <w:spacing w:after="0" w:line="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Global crises, including political instability or other global events that result in the disruption of trade or our sales operations, have had and may in the future have a significant adverse effect on our business, financial condition, and results of operations.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example, in December 2019, an outbreak of a new strain of coronavirus (“COVID-19”) began in Wuhan, China. In March 2020, the World Health Organization declared COVID-19 a pandemic and former President Trump declared a national emergency. Federal, state and local governments and private entities mandated and continue to mandate various restrictions as new waves of the pandemic and new strains of the virus spread across the globe,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baby and children’s clothing and accessories. As a result, the COVID-19 pandemic has had, and will likely continue to have, a significant adverse effect on our business, financial condition, and results of operations. The extent to which COVID-19 impacts our business, results of operations, and financial condition will depend on future developments, which are highly uncertain and cannot be predicted, including new information which may emerge concerning the severity of COVID-19 and the efficacy, scope and duration of actions to limit the spread of COVID-19 or treat its impact, among others.</w:t>
      </w:r>
    </w:p>
    <w:p>
      <w:pPr>
        <w:spacing w:after="0" w:line="14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Similarly, we are also subject to general political and economic risks in connection with our global operations, including political instability, terrorist attacks, and changes in diplomatic and trade relationships, any of which may have a significant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overall levels of consumer spending, particularly in the young children’s apparel market.</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Both retail and wholesale consumer demand for young children’s apparel and accessories, specifically brand name apparel products, is affected by the overall level of consumer spending. Overall spending in the market is affected by a number of global and macroeconomic factors, such as overall economy and employment levels, uncertainty in the political climate, gasoline and utility costs, business conditions, availability of consumer credit, tax rates, the availability of tax credits, interest rates, levels of consumer indebtedness, foreign currency exchange rates, weather, and overall levels of consumer confidence. Additionally, birth rate fluctuations, which in turn affect the number of customers that are acquired and retained, can have a material impact on consumer spending and our business. For instance, in recent years we have seen a reduction in the birth rate in the United States, and a reduction in the size of the market for young children’s apparel and accessories. Reductions, or lower-than-expected growth, in the level of discretionary or overall end consumer spending may have a material adverse effect on our sales and results of operations.</w:t>
      </w:r>
    </w:p>
    <w:p>
      <w:pPr>
        <w:spacing w:after="0" w:line="134"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Risks Related to Our Brands and Product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acceptance of our products in the marketplace is affected by consumer tastes and preferences, along with fashion trends.</w:t>
      </w:r>
    </w:p>
    <w:p>
      <w:pPr>
        <w:spacing w:after="0" w:line="10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sell out-of-season or excess merchandise, and our profitability and results of operations could be adversely affected.</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rights could diminish the value of our brand, weaken our competitive position, and adversely affect our results.</w:t>
      </w:r>
    </w:p>
    <w:p>
      <w:pPr>
        <w:spacing w:after="0" w:line="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currently rely on a combination of trademark, unfair competition, and copyright laws, as well as licensing and vendor arrangements, to establish and protect our intellectual property assets and rights. The steps taken by us or by our licensees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ind w:right="80"/>
        <w:spacing w:after="0" w:line="271" w:lineRule="auto"/>
        <w:rPr>
          <w:sz w:val="20"/>
          <w:szCs w:val="20"/>
          <w:color w:val="auto"/>
        </w:rPr>
      </w:pPr>
      <w:r>
        <w:rPr>
          <w:rFonts w:ascii="Arial" w:cs="Arial" w:eastAsia="Arial" w:hAnsi="Arial"/>
          <w:sz w:val="17"/>
          <w:szCs w:val="17"/>
          <w:color w:val="auto"/>
        </w:rPr>
        <w:t>vendors to 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value of our brands, and our sales, could be diminished if we are associated with negative publicity, including through actions by our employees, and our vendors, independent manufacturers, and licensees, over whom we have limited control.</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maintain policies with our employees, vendors, independent manufacturers, and licensees that promote ethical business practices, and our employees, agents, and third-party compliance auditors periodically visit and monitor the operations of these entities, we do not control our vendors, independent manufacturers, or licensees, or their practices. A violation of our vendor policies, licensee agreements, health and safety standards, labor laws, anti-bribery laws, or other policies or laws by these employees, vendors, independent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or vendors.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delays, product recalls, or loss of revenues if our products do not meet our quality standards.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receive shipments of product from our third-party vendors that fail to conform to our quality control standards. A failure in our quality control program may result in diminished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Operating a Global Business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and the size and resources of some of our competitors may allow them to compete more effectively than we can.</w:t>
      </w:r>
    </w:p>
    <w:p>
      <w:pPr>
        <w:spacing w:after="0" w:line="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global baby and young children’s apparel and accessories market is very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more quickly, take advantage of acquisitions and other opportunities more readily, devote greater resources to the marketing and sale of their products, and adopt more aggressive pricing strategies than we can.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difficulties for, or the loss of one or more of, our major wholesale customers could result in a material loss of revenues.</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significant amount of our business is with our wholesale customers. For fiscal 2020, we derived approximately 33% of our consolidated net sales from our U.S. Wholesale segment and approximately 32% of our consolidated net sales from our top ten wholesale customers. As of the end of fiscal 2020, approximately 92%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3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a result, we face the risk that if one or more of these customers significantly decreases their business or terminates their relationship with us as a result of financial difficulties (including bankruptcy or insolvency), competitive forces, consolidation, reorganization, or other reasons, then we may have significant levels of excess inventory that we may not be able to place elsewhere, a material decrease in our sales, or material impact on our operating results. In addition, our reserves for doubtful accounts for estimated losses resulting from the inability of our customers to make payments may prove not to be sufficient if any one or more of our customers are unable to meet outstanding obligations to us, which could materially adversely affect our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3" w:name="page14"/>
    <w:bookmarkEnd w:id="13"/>
    <w:p>
      <w:pPr>
        <w:spacing w:after="0" w:line="308" w:lineRule="auto"/>
        <w:rPr>
          <w:sz w:val="20"/>
          <w:szCs w:val="20"/>
          <w:color w:val="auto"/>
        </w:rPr>
      </w:pPr>
      <w:r>
        <w:rPr>
          <w:rFonts w:ascii="Arial" w:cs="Arial" w:eastAsia="Arial" w:hAnsi="Arial"/>
          <w:sz w:val="17"/>
          <w:szCs w:val="17"/>
          <w:color w:val="auto"/>
        </w:rPr>
        <w:t>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retail success is dependent upon identifying locations and negotiating appropriate lease terms for retail stores.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significant portion of our revenues are through our retail stores in leased retail locations across the United States, Canada, and Mexico. Successful operation of a retail store depends, in part, on the overall ability of the retail location to attract a consumer base sufficient to generate profitable store sales volumes. If we are unable to identify new retail locations with consumer traffic sufficient to support a profitable sales level, our retail growth may be limited.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any increase we may see in our eCommerce sales may not be sufficient to offset the decreases in sales from our brick-and-mortar stores.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must be able to effectively renew our existing store leases on acceptable terms. In addition, from time to time, particularly in response to the ongoing COVID-19 pandemic, we may seek to renegotiate existing lease terms or downsize, consolidate, reposition, or close some of our real estate locations, which in most cases requires a modification of an existing store lease. Failure to renew existing store leases, secure adequate new lease terms, or successfully modify existing locations, or failure to effectively manage the profitability of our existing fleet of stores, could have a material adverse effect on our results of operations.</w:t>
      </w:r>
    </w:p>
    <w:p>
      <w:pPr>
        <w:spacing w:after="0" w:line="16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11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 the United States, Canada, and Mexico include:</w:t>
      </w:r>
    </w:p>
    <w:p>
      <w:pPr>
        <w:spacing w:after="0" w:line="35" w:lineRule="exact"/>
        <w:rPr>
          <w:sz w:val="20"/>
          <w:szCs w:val="20"/>
          <w:color w:val="auto"/>
        </w:rPr>
      </w:pPr>
    </w:p>
    <w:p>
      <w:pPr>
        <w:ind w:left="660" w:right="12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failure of the computer systems, including those of third-party vendors, that operate our eCommerce sites and mobile applications, including, among others, inadequate system capacity, computer viruses, human error, changes in programming, security breaches, system upgrades or migration of these services to new systems;</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disruptions in telecommunications services or power outages;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6"/>
          <w:szCs w:val="16"/>
          <w:color w:val="auto"/>
        </w:rPr>
        <w:t>reliance on third parties for computer hardware and software, as well as delivery of merchandise to our customers on-time and without damage;</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rapid technology changes;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failure to deliver products to customers on-time and within customers’ expectations;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credit or debit card, or other electronic payment-type, fraud;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diversion of sales from our physical stores;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natural disasters or adverse weather conditions;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changes in applicable federal, state and international regulations;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liability for online content; and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consumer privacy concerns and regulation.</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Problems in any of these areas could result in a reduction in sales, increased costs and damage to our reputation and brands, which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4" w:name="page15"/>
    <w:bookmarkEnd w:id="14"/>
    <w:p>
      <w:pPr>
        <w:ind w:right="200"/>
        <w:spacing w:after="0" w:line="277" w:lineRule="auto"/>
        <w:rPr>
          <w:sz w:val="20"/>
          <w:szCs w:val="20"/>
          <w:color w:val="auto"/>
        </w:rPr>
      </w:pPr>
      <w:r>
        <w:rPr>
          <w:rFonts w:ascii="Arial" w:cs="Arial" w:eastAsia="Arial" w:hAnsi="Arial"/>
          <w:sz w:val="18"/>
          <w:szCs w:val="18"/>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(which occurred, for example, in the first fiscal quarter of 2020 due to the COVID-19 pandemic) and the sale of excess inventory at discounted prices, which could have an adverse effect on the image and reputation of our brands and negatively impact profitability. On the other hand, if we underestimate demand for our products, our manufacturing facilities or third-party 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profitability may decline as a result of increasing pressure on margins, including deflationary pressures on our selling prices and increases in production costs and costs to serve.</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global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any increases in mandatory minimum wages, and the costs to deliver those products to our customers. If external pressures cause us to reduce our sales prices and we fail to sufficiently reduce our product costs or operating expenses, or if we are unable to fully optimize prices or pass on increased costs to our customers, our profitability could decline. This could have a material adverse effect on our results of operations, liquidity,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revenues, product costs, and other expenses are subject to foreign economic and currency risks due to our operations outside of the United States.</w:t>
      </w:r>
    </w:p>
    <w:p>
      <w:pPr>
        <w:spacing w:after="0" w:line="13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operations in Canada, Mexico, and Asia, and our vendors, independent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businesses of our independent manufacturers that produce our products by making their purchases of raw materials or products more expensive and more difficult to finance. Additionally, fluctuations in exchange rates impact the amount of our reported sales and expenses, which could have a material adverse effect on our financial position,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suffer a material adverse effect from unseasonable or extreme weather conditions, or other effects of climate change.</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have in the past and could in the future affect the timing of and reduce or shift demand, and thereby could have an adverse effect on our operational results, financial position, and cash flows. In addition, extreme weather conditions in the areas in which our stores are located could negatively affect our business, operational results, financial position, and cash flows. For example, frequent or unusually heavy or intense snowfall, flooding, hurricanes, or other extreme weather conditions over an extended period have caused and could in the future cause our stores to close for a period of time or permanently, and could make it difficult for our customers to travel to our stores, which in turn could negatively impact our operational results.</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there is concern that climate changes could cause significant changes in weather patterns around the globe and an increase in the frequency and severity of natural disasters. These changes may increase the effects described above, and changing weather patterns could result in decreased agricultural productivity in certain regions, which may limit availability and/or increase the cost of certain key materials, such as cotton.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u w:val="single" w:color="auto"/>
          <w:color w:val="auto"/>
        </w:rPr>
        <w:t>Risk Relating to Litigation</w:t>
      </w:r>
    </w:p>
    <w:p>
      <w:pPr>
        <w:spacing w:after="0" w:line="1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and may become subject to various claims and pending or threatened lawsuits, including as a result of investigations or other proceedings related to previously disclosed investigations.</w:t>
      </w:r>
    </w:p>
    <w:p>
      <w:pPr>
        <w:spacing w:after="0" w:line="3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subject to various other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lawsuits, such amounts could exceed any applicable insurance coverage or contractual rights available to us. As a result, such lawsuits could be significant and have a material adverse impact on our business, financial condition, and results of operations.</w:t>
      </w:r>
    </w:p>
    <w:p>
      <w:pPr>
        <w:spacing w:after="0" w:line="13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addition, as previously reported, in 2009 the SEC and the U.S. Attorney’s Office began conducting investigations, with which we cooperated, related to customer margin support provided by us, including undisclosed margin support commitments and related matters. In December 2010, we entered into a non-prosecution agreement with the SEC pursuant to which the SEC agreed not to charge us with any violations of federal securities laws, commence any enforcement action against us, or require us to pay any financial penalties in connection with the SEC investigation of customer margin support provided by us, conditioned upon our continued cooperation with the SEC’s investigation and with any related proceedings. We have incurred, and may continue to incur, substantial expenses for legal services due to the SEC and U.S. Attorney’s Office investigations and any related proceedings. These matters may continue to divert management’s time and attention away from operations. We also expect to bear additional costs pursuant to its advancement and indemnification obligations to directors and officers under the terms of our organizational documents in connection with proceedings related to these matters. Our insurance may not provide coverage to offset all of the costs incurred in connection with these proceedings.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Cybersecurity, Data Privacy, and Information Technology</w:t>
      </w:r>
    </w:p>
    <w:p>
      <w:pPr>
        <w:spacing w:after="0" w:line="10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systems, and those of our vendors, containing personal information and payment card data of our retail store and eCommerce customers, employees, and other third parties could be breached, which could subject us to adverse publicity, costly government enforcement actions or private litigation, and expenses.</w:t>
      </w:r>
    </w:p>
    <w:p>
      <w:pPr>
        <w:spacing w:after="0" w:line="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rely on the security of our networks, databases, systems, and processes and, in certain circumstances, those of third parties, to protect our proprietary information and information about our customers, employees, and vendors. Criminals are constantly devising schemes to circumvent information technology security safeguards and other retailers have recently suffered serious data security breaches. If unauthorized parties gain access to our networks or databases, or those of our vendors, they may be able to steal, publish, delete, modify, or block our access to our private and sensitive internal and third-party information, including credit card information and personally identifiable information. In addition, employees may intentionally or inadvertently cause data or security breaches that result in unauthorized release of personal or confidential information. In such circumstances, we could be held liable to our customers, other parties, or employees as well as be subject to regulatory or other actions for breaching privacy law (including the E.U. General Data Protection Act and the California Consumer Privacy Act)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card industry, we may be subject to fines, restrictions, and expulsion from card acceptance programs, which could adversely affect our retail operations.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implement new information technology systems or needed upgrades to our systems, including operational and financial systems, could adversely affect our business.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our Global Supply Chain and Labor Force</w:t>
      </w:r>
    </w:p>
    <w:p>
      <w:pPr>
        <w:spacing w:after="0" w:line="10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22" w:lineRule="exact"/>
        <w:rPr>
          <w:sz w:val="20"/>
          <w:szCs w:val="20"/>
          <w:color w:val="auto"/>
        </w:rPr>
      </w:pPr>
    </w:p>
    <w:p>
      <w:pPr>
        <w:ind w:left="660" w:right="58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political instability (including between the People’s Republic of China and Hong Kong) or other global events resulting in the disruption of operations or trade in or with foreign countries from which we source our products;</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financial instability, including bankruptcy or insolvency, of one or more of our major vendors;</w:t>
      </w:r>
    </w:p>
    <w:p>
      <w:pPr>
        <w:spacing w:after="0" w:line="53" w:lineRule="exact"/>
        <w:rPr>
          <w:rFonts w:ascii="Arial" w:cs="Arial" w:eastAsia="Arial" w:hAnsi="Arial"/>
          <w:sz w:val="20"/>
          <w:szCs w:val="20"/>
          <w:color w:val="auto"/>
        </w:rPr>
      </w:pPr>
    </w:p>
    <w:p>
      <w:pPr>
        <w:ind w:left="660" w:right="2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imposition of new regulations relating to imports, duties, taxes, and other charges on imports, including those that the U.S. government has and may implement on imports from China;</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increased costs of raw materials (including cotton and other commodities), labor, fuel, and transportation;</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interruptions in the supply of raw materials, including cotton, fabric, and trim items;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increases in the cost of labor in our sourcing locations;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changes in the U.S. customs procedures concerning the importation of apparel products;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unforeseen delays in customs clearance of any goods;</w:t>
      </w:r>
    </w:p>
    <w:p>
      <w:pPr>
        <w:spacing w:after="0" w:line="53" w:lineRule="exact"/>
        <w:rPr>
          <w:rFonts w:ascii="Arial" w:cs="Arial" w:eastAsia="Arial" w:hAnsi="Arial"/>
          <w:sz w:val="20"/>
          <w:szCs w:val="20"/>
          <w:color w:val="auto"/>
        </w:rPr>
      </w:pPr>
    </w:p>
    <w:p>
      <w:pPr>
        <w:ind w:left="660" w:right="42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disruptions in the global transportation network, such as a port strike, work stoppages or other labor unrest, capacity withholding, world trade restrictions, acts of terrorism, or war;</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application of adverse foreign intellectual property laws;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ability of our vendors to secure sufficient credit to finance the manufacturing process, including the acquisition of raw materials;</w:t>
      </w:r>
    </w:p>
    <w:p>
      <w:pPr>
        <w:spacing w:after="0" w:line="53" w:lineRule="exact"/>
        <w:rPr>
          <w:rFonts w:ascii="Arial" w:cs="Arial" w:eastAsia="Arial" w:hAnsi="Arial"/>
          <w:sz w:val="20"/>
          <w:szCs w:val="20"/>
          <w:color w:val="auto"/>
        </w:rPr>
      </w:pPr>
    </w:p>
    <w:p>
      <w:pPr>
        <w:ind w:left="660" w:right="30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potential social compliance concerns resulting from our use of international vendors, independent manufacturers, and licensees, over whom we have limited control;</w:t>
      </w:r>
    </w:p>
    <w:p>
      <w:pPr>
        <w:spacing w:after="0" w:line="44" w:lineRule="exact"/>
        <w:rPr>
          <w:rFonts w:ascii="Arial" w:cs="Arial" w:eastAsia="Arial" w:hAnsi="Arial"/>
          <w:sz w:val="20"/>
          <w:szCs w:val="20"/>
          <w:color w:val="auto"/>
        </w:rPr>
      </w:pPr>
    </w:p>
    <w:p>
      <w:pPr>
        <w:ind w:left="660" w:right="20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manufacturing delays or unexpected demand for products may require the use of faster, but more expensive, transportation methods, such as air-freight services; and</w:t>
      </w:r>
    </w:p>
    <w:p>
      <w:pPr>
        <w:spacing w:after="0" w:line="44" w:lineRule="exact"/>
        <w:rPr>
          <w:rFonts w:ascii="Arial" w:cs="Arial" w:eastAsia="Arial" w:hAnsi="Arial"/>
          <w:sz w:val="20"/>
          <w:szCs w:val="20"/>
          <w:color w:val="auto"/>
        </w:rPr>
      </w:pPr>
    </w:p>
    <w:p>
      <w:pPr>
        <w:ind w:left="660" w:right="64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other events beyond our control that could interrupt our supply chain and delay receipt of our products into the United States, Canada, and Mexico.</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occurrence of one or more of these events could result in disruptions to our operations, which in turn could increase our cost of goods sold, decrease our gross profit, or impact our ability to deliver to our customers. For example, in fiscal 2020 the COVID-19 pandemic had a material adverse effect on our sourcing operations, particularly in China and the rest of Asia, and has slowed our ability to import products into North America. Also, in fiscal 2020 and 2021, the U.S. Government took significant steps to address the forced labor concerns in the Xinjiang Uyghur Autonomous Region of China, including withhold release orders issued by U.S. Customs and Border Protection, which may in turn have an effect on global supply chains, including our own supply chains for cotton and cotton-containing products, and the price of cotton in the marketplace.</w:t>
      </w:r>
    </w:p>
    <w:p>
      <w:pPr>
        <w:spacing w:after="0" w:line="1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relatively small number of vendors supply a significant amount of our products, and losing one or more of these vendors could have a material adverse effect on our business.</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fiscal 2020, we purchased approximately 58% of our products from ten vendors, of which approximately half comes from three vendors. Additionally, we estimate that approximately 78% of the fabric that is used in the manufacture our products is sourced from China.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become insolvent or experience financial difficulties, manufacturing capacity constraints, or significant labor disputes)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300"/>
        <w:spacing w:after="0" w:line="277" w:lineRule="auto"/>
        <w:rPr>
          <w:sz w:val="20"/>
          <w:szCs w:val="20"/>
          <w:color w:val="auto"/>
        </w:rPr>
      </w:pPr>
      <w:r>
        <w:rPr>
          <w:rFonts w:ascii="Arial" w:cs="Arial" w:eastAsia="Arial" w:hAnsi="Arial"/>
          <w:sz w:val="18"/>
          <w:szCs w:val="18"/>
          <w:b w:val="1"/>
          <w:bCs w:val="1"/>
          <w:i w:val="1"/>
          <w:iCs w:val="1"/>
          <w:color w:val="auto"/>
        </w:rPr>
        <w:t>Labor or other disruptions along our supply chain may adversely affect our relationships with customers, reputation with consumers, and results of operations.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depends on our ability to source and distribute products in a timely manner. Labor disputes at third party factories where our goods are produced, the shipping ports we use, or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In the past,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source all of our products from a global network of third-party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In the event of a significant disruption in the supply of the fabrics or raw materials used by our vendors in the manufacture of our products, such as an in ability to source from a particular vendor or geographic region, our vendors might not be able to locate alternative suppliers of materials of comparable quality at an acceptable price. Any delays, interruption, or increased costs in the manufacture of our products could have a material adverse effect on our operating results or cash flows.</w:t>
      </w:r>
    </w:p>
    <w:p>
      <w:pPr>
        <w:spacing w:after="0" w:line="1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Additionally, the nature of our business requires us to carry a significant amount of inventory, especially prior to the peak holiday selling season when we build up our inventory levels, and to support our omni-channel strategies, including our buy on-line and pick-up in store program. Merchandise usually must be ordered well in advance of the season and frequently before apparel trends are confirmed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 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1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handle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health issues, accidents, system failures, disruptions, or other events, our sales could decline, which may have a materially adverse effect on our earnings, financial position, and our reputation. In addition, we use an automated system that manages the order processing for our eCommerce business. In the event that this system becomes inoperable for any reason, we may be unable to ship orders in a timely manner, and as a result, we could experience a reduction in our direct-to-consumer business, which could negatively impact our sales and profitability.</w:t>
      </w:r>
    </w:p>
    <w:p>
      <w:pPr>
        <w:spacing w:after="0" w:line="1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Risks Relating to Our International Expansion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into international markets.</w:t>
      </w:r>
    </w:p>
    <w:p>
      <w:pPr>
        <w:spacing w:after="0" w:line="10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North America.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8" w:name="page19"/>
    <w:bookmarkEnd w:id="18"/>
    <w:p>
      <w:pPr>
        <w:ind w:right="140"/>
        <w:spacing w:after="0" w:line="301" w:lineRule="auto"/>
        <w:rPr>
          <w:sz w:val="20"/>
          <w:szCs w:val="20"/>
          <w:color w:val="auto"/>
        </w:rPr>
      </w:pPr>
      <w:r>
        <w:rPr>
          <w:rFonts w:ascii="Arial" w:cs="Arial" w:eastAsia="Arial" w:hAnsi="Arial"/>
          <w:sz w:val="16"/>
          <w:szCs w:val="16"/>
          <w:color w:val="auto"/>
        </w:rPr>
        <w:t>integrating foreign business operations with our current operations. Significant changes in foreign laws or relations, such as political uncertainty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Governmental and Regulatory Changes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laws, regulations and standards set by various governmental authorities around the world, including in the United States, Canada,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Mexico, including:</w:t>
      </w:r>
    </w:p>
    <w:p>
      <w:pPr>
        <w:spacing w:after="0" w:line="62" w:lineRule="exact"/>
        <w:rPr>
          <w:sz w:val="20"/>
          <w:szCs w:val="20"/>
          <w:color w:val="auto"/>
        </w:rPr>
      </w:pPr>
    </w:p>
    <w:p>
      <w:pPr>
        <w:ind w:left="660" w:hanging="328"/>
        <w:spacing w:after="0" w:line="25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those imposed by the Sarbanes-Oxley Act of 2002, the Dodd-Frank Wall Street Reform and Consumer Protection Act, the SEC, and the New York Stock Exchange (“NYSE”);</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the U.S. Foreign Corrupt Practices Act, and similar world-wide anti-bribery laws;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health care, employment and labor laws;</w:t>
      </w:r>
    </w:p>
    <w:p>
      <w:pPr>
        <w:spacing w:after="0" w:line="53" w:lineRule="exact"/>
        <w:rPr>
          <w:rFonts w:ascii="Arial" w:cs="Arial" w:eastAsia="Arial" w:hAnsi="Arial"/>
          <w:sz w:val="20"/>
          <w:szCs w:val="20"/>
          <w:color w:val="auto"/>
        </w:rPr>
      </w:pPr>
    </w:p>
    <w:p>
      <w:pPr>
        <w:ind w:left="660" w:right="800" w:hanging="328"/>
        <w:spacing w:after="0" w:line="25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product and consumer safety laws, including those imposed by the U.S. Consumer Product Safety Commission and the Americans with Disabilities Act of 1990;</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data privacy laws, including the E.U. General Data Protection Act and the California Consumer Privacy Act;</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trade, transportation and logistics related laws, including tariffs and orders issued by Customs and Border Protection; and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applicable environmental laws.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failure to comply with these various laws and regulations could have an adverse impact on our reputation, financial condition, or results of operations. In addition, these laws, regulations, and standards may change from time to time, and the complexity of the regulatory environment in which we operate may increase.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the our business and results of operations. Also,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Risks Related to Executing Our Strategic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properly manage strategic initiatives in order to achieve our objectives may negatively impact our business.</w:t>
      </w:r>
    </w:p>
    <w:p>
      <w:pPr>
        <w:spacing w:after="0" w:line="10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implementation of our business strategy periodically involves the execution of complex initiatives, such as acquisitions, which may require that we make significant estimates and assumptions about a project. These projects could place significant demands on our accounting, financial, information technology, and other systems, and on our business overall. We are dependent on our management’s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example, our multi-channel global business model, which includes retail store, eCommerce, and wholesale sales channels, enables us to reach a broad range of consumers around the world. This strategy has and will continue to require significant investment in cross-functional operations and management focus, along with investment in supporting technologies. Omni-channel retailing is rapidly evolving and we must anticipate and meet changing customer expectations and address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9" w:name="page20"/>
    <w:bookmarkEnd w:id="19"/>
    <w:p>
      <w:pPr>
        <w:ind w:right="100"/>
        <w:spacing w:after="0" w:line="275" w:lineRule="auto"/>
        <w:rPr>
          <w:sz w:val="20"/>
          <w:szCs w:val="20"/>
          <w:color w:val="auto"/>
        </w:rPr>
      </w:pPr>
      <w:r>
        <w:rPr>
          <w:rFonts w:ascii="Arial" w:cs="Arial" w:eastAsia="Arial" w:hAnsi="Arial"/>
          <w:sz w:val="17"/>
          <w:szCs w:val="17"/>
          <w:color w:val="auto"/>
        </w:rPr>
        <w:t>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dependent upon retaining key individuals within the organization to execute our strategic plan.</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ability to attract and retain qualified executive management, marketing, merchandising, design, sourcing, operations, and support function staffing is key to our success. If we are unable to attract and retain qualified individuals in these areas, this may result in an adverse impact on our growth and results of operations.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acquired businesses, and such acquisitions may fail to achieve the financial results we expected.</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From time to time we may acquire other businesses as part of our growth strategy, such as our acquisitions of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and our Mexican licensee in fiscal 2017, and we may partially or fully fund future acquisitions by taking on additional debt.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failure of the acquired business to be financially successful. In addition, we cannot be certain of the extent of any unknown or contingent liabilities of any acquired business, including liabilities for failure to comply with applicable laws, such as those relating to product safety, anti-bribery or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Risks Related to Financial Reporting, Our Debt, and Tax</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sales growth plans, profitability objectives, and other assumptions that support the carrying value of our intangible assets.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profitability objectives. Other assumptions that support the carrying value of these intangible assets, including a deterioration of macroeconomic conditions which would negatively affect the cost of capital and/or discount rates, could also result in impairment of the remaining asset values. For example, as of and for the first fiscal quarter of 2020, we recorded intangible asset impairments of $26.5 million and a goodwill impairment of $17.7 million based on forecasted financial information derived from the information reasonably available to us at the time given the unknown future impact of the COVID-19 pandemic. In addition, in the third fiscal quarter of 2019, we recorded a non-cash charge of $30.8 million relative to the impairment of 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reflecting the effect of lower sales and profitability relative to the assumptions supporting the valuation of the tradename at acquisition. Any material impairment would adversely affect our results of operations.</w:t>
      </w:r>
    </w:p>
    <w:p>
      <w:pPr>
        <w:spacing w:after="0" w:line="12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substantial debt, which could adversely affect our financial health and our ability to obtain financing in the future and to react to changes in our business.</w:t>
      </w:r>
    </w:p>
    <w:p>
      <w:pPr>
        <w:spacing w:after="0" w:line="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the end of fiscal 2020, we had $1.00 billion aggregate principal amount of debt outstanding (excluding $5.0 million of outstanding letters of credit), and $745.0 million of undrawn availability under our senior secured revolving credit facility after giving effect to $5.0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our liquidity, cash flows, and capital resources are insufficient to fund our debt service obligations and other cash requirements, we could be forced to reduce or delay investments and capital expenditures or to sell assets or operations, seek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0" w:name="page21"/>
    <w:bookmarkEnd w:id="20"/>
    <w:p>
      <w:pPr>
        <w:ind w:right="180"/>
        <w:spacing w:after="0" w:line="259" w:lineRule="auto"/>
        <w:rPr>
          <w:sz w:val="20"/>
          <w:szCs w:val="20"/>
          <w:color w:val="auto"/>
        </w:rPr>
      </w:pPr>
      <w:r>
        <w:rPr>
          <w:rFonts w:ascii="Arial" w:cs="Arial" w:eastAsia="Arial" w:hAnsi="Arial"/>
          <w:sz w:val="18"/>
          <w:szCs w:val="18"/>
          <w:color w:val="auto"/>
        </w:rPr>
        <w:t>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both our senior secured revolving credit facility and, in certain circumstances, our indenture governing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For example, provisions in our secured revolving credit facility as amended in May 2020 have the effect of restricting our ability to pay cash dividends on, or make future repurchases of, our common stock through the date we deliver our financial statements and associated certificates relating to the third fiscal quarter of 2021, and could have the effect of restricting our ability to do so thereafter.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tax obligations and effective tax rate.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income taxes in federal and applicable state and local tax jurisdictions in the United States, Canada, Hong Kong, Mexico, and other foreign jurisdictions. The taxable income in each jurisdiction is affected by certain transfer prices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13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requisite service period for compensable equity-based compensation awards that we may grant to certain employees, we recognize a deferred income tax benefit on the compensation expense we incur for these awards for all employees other than our named executive officers. At time of subsequent vesting, exercise,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3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 For example, our taxable income may be affected by new laws, rulings, initiatives, and other events, which may affect our business, financial condition, or results of operations in future periods, including:</w:t>
      </w:r>
    </w:p>
    <w:p>
      <w:pPr>
        <w:spacing w:after="0" w:line="25" w:lineRule="exact"/>
        <w:rPr>
          <w:sz w:val="20"/>
          <w:szCs w:val="20"/>
          <w:color w:val="auto"/>
        </w:rPr>
      </w:pPr>
    </w:p>
    <w:p>
      <w:pPr>
        <w:ind w:left="660" w:right="6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CARES Act, which was enacted in March 2020, and which significantly effects U.S. taxation by providing a retention credit and eases limitations on certain deductions including interest due to potential volatility in 2020 taxable income;</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2018 U.S. Supreme Court ruling, under which states may have additional ability to tax entities operating in their state, but lacking physical presence;</w:t>
      </w:r>
    </w:p>
    <w:p>
      <w:pPr>
        <w:spacing w:after="0" w:line="8" w:lineRule="exact"/>
        <w:rPr>
          <w:rFonts w:ascii="Arial" w:cs="Arial" w:eastAsia="Arial" w:hAnsi="Arial"/>
          <w:sz w:val="18"/>
          <w:szCs w:val="18"/>
          <w:color w:val="auto"/>
        </w:rPr>
      </w:pPr>
    </w:p>
    <w:p>
      <w:pPr>
        <w:ind w:left="660" w:right="42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mandatory country by country reporting of revenue, employees and profits, and certain international initiatives (such as the Organisation for Economic Co-operation and Development (OECD)’s Base Erosion and Profit Shifting (BEPS)) that are focused on the equity of international taxation, which may ultimately result a worldwide minimum tax, or more defined approach around global profit allocation between related companies operating in jurisdictions with disparate income tax rates;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revenue reductions as a result of the economic impact of the pandemic, which may lead to increases in state tax rates or the expansions of their tax base.</w:t>
      </w:r>
    </w:p>
    <w:p>
      <w:pPr>
        <w:spacing w:after="0" w:line="126"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GENERAL RISK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cash dividends and share repurchases are subject to a number of uncertainties, and may affect the price of our common stock.</w:t>
      </w:r>
    </w:p>
    <w:p>
      <w:pPr>
        <w:spacing w:after="0" w:line="1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Quarterly cash dividends and share repurchases under our share repurchase program have historically been part of our capital allocation strategy. However, in the first fiscal quarter of 2020 we suspended both our quarterly cash dividends and our share repurchase program due to the effects of the COVID-19 pandemic, and we are not required to declare dividends or make any share repurchases under our share repurchase program in the future. Decisions with respect to future dividends and share repurchases are subject to the discretion of our Board of Directors and will be based on a variety of factors, including restrictions under our secured revolving credit facility,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If reinstated, a subsequent reduction or elimination of our cash dividend, or subsequent suspension or elimination of our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principal owned and leased properties as of January 2, 2021.</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headquarters occupies 304,000 square feet of leased space in a building in Atlanta, Georgia. Our lease for that space expires in April 2030. In addition, we occupy leased space in a building in Mississauga, Ontario, which serves as our regional headquarters for Canada, and we occupy leased space in Hong Kong, China, which serves as our principal sourcing office in Asia. We also lease other space in Georgia, Wisconsin, and New York, as well as in Bangladesh, Cambodia, China, Mexico, and Vietnam that, depending on the site, serves as a sourcing, sales, or administrative office. We also own a 224,000 square foot facility in Griffin, Georgia.</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largest distribution centers, which we lease, are located in Braselton, Georgia and Stockbridge, Georgia, and are 1.1 million and 0.5 million square feet, respectively. We also lease additional space in or use third-party logistics providers in California, Canada, China, Mexico and Vietnam for warehousing and distribution purposes.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operate the following number of leased retail stores: 864 in the United States, 193 in Canada, and 44 in Mexico. Our average remaining lease term for retail store leases in the United States, Canada, and Mexico is approximately 3.8 years, excluding renewal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660" w:right="32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Stock Price and Number of Record Holders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trades on the New York Stock Exchange (NYSE) under the trading symbol CRI. The last reported sale price per share of our common stock on February 19, 2021 was $92.54. On that date there were 181 holders of record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shares repurchased during the fourth quarter of fiscal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remaining shares that</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2"/>
              </w:rPr>
              <w:t>Total number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6"/>
              </w:rPr>
              <w:t>can be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Average price paid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purchased</w:t>
            </w:r>
          </w:p>
        </w:tc>
        <w:tc>
          <w:tcPr>
            <w:tcW w:w="0" w:type="dxa"/>
            <w:vAlign w:val="bottom"/>
          </w:tcPr>
          <w:p>
            <w:pPr>
              <w:spacing w:after="0"/>
              <w:rPr>
                <w:sz w:val="1"/>
                <w:szCs w:val="1"/>
                <w:color w:val="auto"/>
              </w:rPr>
            </w:pPr>
          </w:p>
        </w:tc>
      </w:tr>
      <w:tr>
        <w:trPr>
          <w:trHeight w:val="162"/>
        </w:trPr>
        <w:tc>
          <w:tcPr>
            <w:tcW w:w="4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6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7"/>
              </w:rPr>
              <w:t>of 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260" w:type="dxa"/>
            <w:vAlign w:val="bottom"/>
          </w:tcPr>
          <w:p>
            <w:pPr>
              <w:jc w:val="center"/>
              <w:ind w:left="21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 share</w:t>
            </w:r>
          </w:p>
        </w:tc>
        <w:tc>
          <w:tcPr>
            <w:tcW w:w="15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1"/>
                <w:szCs w:val="21"/>
                <w:b w:val="1"/>
                <w:bCs w:val="1"/>
                <w:color w:val="auto"/>
                <w:w w:val="87"/>
                <w:vertAlign w:val="superscript"/>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or programs</w:t>
            </w:r>
          </w:p>
        </w:tc>
        <w:tc>
          <w:tcPr>
            <w:tcW w:w="0" w:type="dxa"/>
            <w:vAlign w:val="bottom"/>
          </w:tcPr>
          <w:p>
            <w:pPr>
              <w:spacing w:after="0"/>
              <w:rPr>
                <w:sz w:val="1"/>
                <w:szCs w:val="1"/>
                <w:color w:val="auto"/>
              </w:rPr>
            </w:pPr>
          </w:p>
        </w:tc>
      </w:tr>
      <w:tr>
        <w:trPr>
          <w:trHeight w:val="128"/>
        </w:trPr>
        <w:tc>
          <w:tcPr>
            <w:tcW w:w="4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27, 2020 through October 24, 2020</w:t>
            </w: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25, 2020 through November 28, 2020</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966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29, 2020 through January 2, 2021</w:t>
            </w: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48"/>
        </w:trPr>
        <w:tc>
          <w:tcPr>
            <w:tcW w:w="4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966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120" w:hanging="332"/>
        <w:spacing w:after="0" w:line="273"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of the shares purchased during the current quarter represent shares of our common stock surrendered by our employees to satisfy required tax withholding upon the vesting of restricted stock awards.</w:t>
      </w:r>
    </w:p>
    <w:p>
      <w:pPr>
        <w:spacing w:after="0" w:line="11" w:lineRule="exact"/>
        <w:rPr>
          <w:rFonts w:ascii="Arial" w:cs="Arial" w:eastAsia="Arial" w:hAnsi="Arial"/>
          <w:sz w:val="14"/>
          <w:szCs w:val="14"/>
          <w:color w:val="auto"/>
        </w:rPr>
      </w:pPr>
    </w:p>
    <w:p>
      <w:pPr>
        <w:ind w:left="340" w:hanging="332"/>
        <w:spacing w:after="0" w:line="273"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the Company announced that, in connection with the COVID-19 pandemic, it suspended its common stock share repurchase program. Refer to open market repurchases as disclosed in Note 9, </w:t>
      </w:r>
      <w:r>
        <w:rPr>
          <w:rFonts w:ascii="Arial" w:cs="Arial" w:eastAsia="Arial" w:hAnsi="Arial"/>
          <w:sz w:val="14"/>
          <w:szCs w:val="14"/>
          <w:i w:val="1"/>
          <w:iCs w:val="1"/>
          <w:color w:val="auto"/>
        </w:rPr>
        <w:t>Common Stock</w:t>
      </w:r>
      <w:r>
        <w:rPr>
          <w:rFonts w:ascii="Arial" w:cs="Arial" w:eastAsia="Arial" w:hAnsi="Arial"/>
          <w:sz w:val="14"/>
          <w:szCs w:val="14"/>
          <w:color w:val="auto"/>
        </w:rPr>
        <w:t>, to the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On both February 22, 2018 and February 13, 2020, our Board of Directors authorized an additional $500 million of share repurchases, for total authorizations, inclusive of authorizations prior to 2018, of up $1.96 billion.</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total remaining capacity under outstanding repurchase authorizations as of January 2, 2021 was approximately $650.4 million, based on settled repurchase transactions. The share repurchase authorizations have no expiration 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and retired shares in open market transactions in the following amounts for the fiscal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29, 2018</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2,107,472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1,879,529</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45,255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196,910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193,028</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102.70</w:t>
            </w:r>
          </w:p>
        </w:tc>
      </w:tr>
    </w:tbl>
    <w:p>
      <w:pPr>
        <w:spacing w:after="0" w:line="25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On March 26, 2020, we announced that, in connection with the COVID-19 pandemic, we suspended our common stock share repurchase program. While we may elect to resume purchases at any time, the timing and amount of any future repurchases will be determined by the Company based on a number of factors, including restrictions under our revolving credit facility, on our evaluation of market conditions, share price, and other investment priorities.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paid a cash dividend of $0.60 per share in the first quarter of fiscal 2020. On May 1, 2020, in connection with the COVID-19 pandemic, we suspended our quarterly cash dividend. The Board of Directors will evaluate future dividend declarations based on a number of factors, including restrictions under our revolving credit facility, business conditions, our financial performance, and other considerations. We paid a quarterly cash dividend of $0.50 per share in each quarter of fiscal 2019. The dividends were paid during the fiscal quarter in which they were declared.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 xml:space="preserve">Provisions in our secured revolving credit facility have the effect of restricting our ability to pay cash dividends on, or make future repurchases of, our common stock through the date we deliver our financial statements and associated certificates relating to the third fiscal quarter of 2021, and could have the effect of restricting our ability to do so thereafter, as described in Item 8 “Financial Statements and Supplementary Data” under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under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38" w:lineRule="exact"/>
        <w:rPr>
          <w:sz w:val="20"/>
          <w:szCs w:val="20"/>
          <w:color w:val="auto"/>
        </w:rPr>
      </w:pPr>
    </w:p>
    <w:p>
      <w:pPr>
        <w:jc w:val="both"/>
        <w:ind w:right="260"/>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For a comparison of our results for fiscal year 2019 to our results for fiscal year 2018 and other financial information related to fiscal year 2018, refer to </w:t>
      </w:r>
      <w:hyperlink r:id="rId35">
        <w:r>
          <w:rPr>
            <w:rFonts w:ascii="Arial" w:cs="Arial" w:eastAsia="Arial" w:hAnsi="Arial"/>
            <w:sz w:val="18"/>
            <w:szCs w:val="18"/>
            <w:u w:val="single" w:color="auto"/>
            <w:color w:val="0000FF"/>
          </w:rPr>
          <w:t>Item 7 “Management’s Discussion and Analysis of Financial</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Condition </w:t>
      </w:r>
      <w:hyperlink r:id="rId35">
        <w:r>
          <w:rPr>
            <w:rFonts w:ascii="Arial" w:cs="Arial" w:eastAsia="Arial" w:hAnsi="Arial"/>
            <w:sz w:val="18"/>
            <w:szCs w:val="18"/>
            <w:u w:val="single" w:color="auto"/>
            <w:color w:val="0000FF"/>
          </w:rPr>
          <w:t xml:space="preserve">and Results of Operations” </w:t>
        </w:r>
      </w:hyperlink>
      <w:r>
        <w:rPr>
          <w:rFonts w:ascii="Arial" w:cs="Arial" w:eastAsia="Arial" w:hAnsi="Arial"/>
          <w:sz w:val="18"/>
          <w:szCs w:val="18"/>
          <w:color w:val="000000"/>
        </w:rPr>
        <w:t>in</w:t>
      </w:r>
      <w:r>
        <w:rPr>
          <w:rFonts w:ascii="Arial" w:cs="Arial" w:eastAsia="Arial" w:hAnsi="Arial"/>
          <w:sz w:val="18"/>
          <w:szCs w:val="18"/>
          <w:color w:val="0000FF"/>
        </w:rPr>
        <w:t xml:space="preserve"> </w:t>
      </w:r>
      <w:r>
        <w:rPr>
          <w:rFonts w:ascii="Arial" w:cs="Arial" w:eastAsia="Arial" w:hAnsi="Arial"/>
          <w:sz w:val="18"/>
          <w:szCs w:val="18"/>
          <w:color w:val="000000"/>
        </w:rPr>
        <w:t>our 2019 Annual Report on Form 10-K, filed with</w:t>
      </w:r>
      <w:r>
        <w:rPr>
          <w:rFonts w:ascii="Arial" w:cs="Arial" w:eastAsia="Arial" w:hAnsi="Arial"/>
          <w:sz w:val="18"/>
          <w:szCs w:val="18"/>
          <w:color w:val="0000FF"/>
        </w:rPr>
        <w:t xml:space="preserve"> </w:t>
      </w:r>
      <w:r>
        <w:rPr>
          <w:rFonts w:ascii="Arial" w:cs="Arial" w:eastAsia="Arial" w:hAnsi="Arial"/>
          <w:sz w:val="18"/>
          <w:szCs w:val="18"/>
          <w:color w:val="000000"/>
        </w:rPr>
        <w:t>the SEC on February 24,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fiscal year ends on the Saturday in December or January nearest December 31. Every five or six years, our fiscal year includes an additional, or 53</w:t>
      </w:r>
      <w:r>
        <w:rPr>
          <w:rFonts w:ascii="Arial" w:cs="Arial" w:eastAsia="Arial" w:hAnsi="Arial"/>
          <w:sz w:val="23"/>
          <w:szCs w:val="23"/>
          <w:color w:val="auto"/>
          <w:vertAlign w:val="superscript"/>
        </w:rPr>
        <w:t>rd</w:t>
      </w:r>
      <w:r>
        <w:rPr>
          <w:rFonts w:ascii="Arial" w:cs="Arial" w:eastAsia="Arial" w:hAnsi="Arial"/>
          <w:sz w:val="18"/>
          <w:szCs w:val="18"/>
          <w:color w:val="auto"/>
        </w:rPr>
        <w:t>, week of results. Fiscal year 2020 which ended on January 2, 2021, contained 53 calendar weeks. Fiscal year 2019 and 2018 which ended on December 28, 2019 and December 29, 2018, respectively, each contained 52 calendar weeks.</w:t>
      </w:r>
    </w:p>
    <w:p>
      <w:pPr>
        <w:spacing w:after="0" w:line="162"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$32.1 million of incremental consolidated revenue. Certain expenses increased in relationship to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while other expenses, such as fixed costs and expenses incurred on a calendar-month basis, did not increase. The consolidated gross margin for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is slightly lower than the consolidated gross margin for fiscal 2020 due to increased promotional activity during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February 2017.</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The baby and young children's apparel market ages zero to 10 in the U.S. is approximately $24 billion. In that market,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brands, have the #1 position with approximately 12% market share and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has approximately 1% market share.</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multi-channel, global business model, which includes retail stores, eCommerce, and wholesale sales channels, as well as omni-channel capabilities in the United States, enables us to reach a broad range of consumers around the world. At the end of fiscal 2020, our channels included 1,101 retail stores, approximately 19,800 wholesale locations, and eCommerce websites in North America, as well as our international wholesale accounts and licensees who operate in over 90 countries.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strategy focuses 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the best value and experience in apparel and related products for young children;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reach of our brands;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profitability.</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2020, the global pandemic caused by the spread of the novel strain of coronavirus (“COVID-19”) negatively affected the global economy, disrupted global supply chains, and created significant disruption of the financial and retail markets, including a disruption in consumer demand for baby and children’s clothing and accessories. For more information on the effects the pandemic had on the Company, and our response to the pandemic, see “Recent Developments.”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segments is contained in Item 8 “Financial Statements and Supplementary Data” under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2019, an outbreak of COVID-19 began in Wuhan, China. In March 2020, the World Health Organization declared COVID-19 a pandemic and former President Trump declared a national emergency. Federal, state and local governments and private entities mandated various restrictions, including travel restrictions as new waves of the pandemic and new strains of the virus spread across the globe,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baby and young children’s clothing and accessories.</w:t>
      </w:r>
    </w:p>
    <w:p>
      <w:pPr>
        <w:spacing w:after="0" w:line="15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COVID-19 pandemic has had, and will likely continue to have, significant adverse effects on our business, financial condition, and results of operations. During fiscal 2020, the impacts of the COVID-19 pandemic included:</w:t>
      </w:r>
    </w:p>
    <w:p>
      <w:pPr>
        <w:spacing w:after="0" w:line="35" w:lineRule="exact"/>
        <w:rPr>
          <w:sz w:val="20"/>
          <w:szCs w:val="20"/>
          <w:color w:val="auto"/>
        </w:rPr>
      </w:pPr>
    </w:p>
    <w:p>
      <w:pPr>
        <w:ind w:left="660" w:righ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seen lower sales both in our retail and wholesale channels, and some of our wholesale customers have unilaterally extended their payment terms with us.</w:t>
      </w:r>
    </w:p>
    <w:p>
      <w:pPr>
        <w:spacing w:after="0" w:line="48"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March and April 2020, for the safety of customers and employees, we suspended retail store operations in North America, which had a material effect on the results of operations in our U.S. Retail segment. Stores began reopening in the second quarter of fiscal 2020. During December 2020, we closed a number of our stores again in Canada and Mexico for the safety of our employees and customers, and to comply with local regulation. As of January 2, 2021, there were approximately 133 stores closed in Canada, and we estimate most will remain closed until the middle of the first quarter of fiscal 2021. As of January 2, 2021, we had 940 stores out of 1,101 stores open in North America; stores were opened subject to safety considerations resulting from the progression of the pandemic and related laws and regulations put in place by state and local governments.</w:t>
      </w:r>
    </w:p>
    <w:p>
      <w:pPr>
        <w:spacing w:after="0" w:line="73" w:lineRule="exact"/>
        <w:rPr>
          <w:rFonts w:ascii="Arial" w:cs="Arial" w:eastAsia="Arial" w:hAnsi="Arial"/>
          <w:sz w:val="18"/>
          <w:szCs w:val="18"/>
          <w:color w:val="auto"/>
        </w:rPr>
      </w:pPr>
    </w:p>
    <w:p>
      <w:pPr>
        <w:ind w:left="660" w:right="260" w:hanging="328"/>
        <w:spacing w:after="0" w:line="334"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consumer preferences shifted to our eCommerce channel, we announced our plan to close approximately 25% of our current stores, when leases come up for renewal or where there is a kick-out provision in the lease. Over 100 of these closures are planned by the end of fiscal 2021.</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improve near-term liquidity in light of the uncertainty and disruption related to COVID-19:</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March 2020, we drew $639.0 million under our secured revolving credit facility;</w:t>
      </w:r>
    </w:p>
    <w:p>
      <w:pPr>
        <w:spacing w:after="0" w:line="103" w:lineRule="exact"/>
        <w:rPr>
          <w:rFonts w:ascii="Arial" w:cs="Arial" w:eastAsia="Arial" w:hAnsi="Arial"/>
          <w:sz w:val="18"/>
          <w:szCs w:val="18"/>
          <w:color w:val="auto"/>
        </w:rPr>
      </w:pPr>
    </w:p>
    <w:p>
      <w:pPr>
        <w:ind w:left="1300" w:hanging="320"/>
        <w:spacing w:after="0" w:line="311" w:lineRule="auto"/>
        <w:tabs>
          <w:tab w:leader="none" w:pos="1296" w:val="left"/>
        </w:tabs>
        <w:numPr>
          <w:ilvl w:val="1"/>
          <w:numId w:val="15"/>
        </w:numPr>
        <w:rPr>
          <w:rFonts w:ascii="Arial" w:cs="Arial" w:eastAsia="Arial" w:hAnsi="Arial"/>
          <w:sz w:val="16"/>
          <w:szCs w:val="16"/>
          <w:color w:val="auto"/>
        </w:rPr>
      </w:pPr>
      <w:r>
        <w:rPr>
          <w:rFonts w:ascii="Arial" w:cs="Arial" w:eastAsia="Arial" w:hAnsi="Arial"/>
          <w:sz w:val="16"/>
          <w:szCs w:val="16"/>
          <w:color w:val="auto"/>
        </w:rPr>
        <w:t>on May 4, 2020, through our wholly owned subsidiary, The William Carter Company (“TWCC”), we successfully amended our revolving credit facility to provide for, among other things, a waiver of financial covenants through the balance of fiscal year 2020, revised covenant requirements through the third quarter of fiscal year 2021, and the ability to raise additional unsecured financing; and</w:t>
      </w:r>
    </w:p>
    <w:p>
      <w:pPr>
        <w:spacing w:after="0" w:line="13" w:lineRule="exact"/>
        <w:rPr>
          <w:rFonts w:ascii="Arial" w:cs="Arial" w:eastAsia="Arial" w:hAnsi="Arial"/>
          <w:sz w:val="16"/>
          <w:szCs w:val="16"/>
          <w:color w:val="auto"/>
        </w:rPr>
      </w:pPr>
    </w:p>
    <w:p>
      <w:pPr>
        <w:ind w:left="1300" w:right="26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May 11, 2020, we completed the sale of $500 million principal amount of senior notes at par issued by TWCC, bearing interest at a rate of 5.500% per annum, and maturing on May 15, 2025.</w:t>
      </w:r>
    </w:p>
    <w:p>
      <w:pPr>
        <w:spacing w:after="0" w:line="48"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second and third quarters of fiscal 2020, we used the net proceeds from the notes, along with cash on hand, to repay all of our outstanding borrowings under our secured revolving credit facility. As of January 2, 2021, we had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ind w:left="660" w:right="280"/>
        <w:spacing w:after="0" w:line="263" w:lineRule="auto"/>
        <w:rPr>
          <w:sz w:val="20"/>
          <w:szCs w:val="20"/>
          <w:color w:val="auto"/>
        </w:rPr>
      </w:pPr>
      <w:r>
        <w:rPr>
          <w:rFonts w:ascii="Arial" w:cs="Arial" w:eastAsia="Arial" w:hAnsi="Arial"/>
          <w:sz w:val="18"/>
          <w:szCs w:val="18"/>
          <w:color w:val="auto"/>
        </w:rPr>
        <w:t>no outstanding borrowings under our secured revolving credit facility, exclusive of $5.0 million of outstanding letters of credit, and we had approximately $1.85 billion in total liquidity, including $1.10 billion cash on hand and $745.0 million available for future borrowing under our secured revolving credit facility.</w:t>
      </w:r>
    </w:p>
    <w:p>
      <w:pPr>
        <w:spacing w:after="0" w:line="62" w:lineRule="exact"/>
        <w:rPr>
          <w:sz w:val="20"/>
          <w:szCs w:val="20"/>
          <w:color w:val="auto"/>
        </w:rPr>
      </w:pPr>
    </w:p>
    <w:p>
      <w:pPr>
        <w:ind w:left="660" w:right="3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Additionally, to create additional financial flexibility, we reduced costs, inventory commitments, and capital expenditures, during a portion of fiscal 2020. For example:</w:t>
      </w:r>
    </w:p>
    <w:p>
      <w:pPr>
        <w:spacing w:after="0" w:line="35" w:lineRule="exact"/>
        <w:rPr>
          <w:rFonts w:ascii="Arial" w:cs="Arial" w:eastAsia="Arial" w:hAnsi="Arial"/>
          <w:sz w:val="18"/>
          <w:szCs w:val="18"/>
          <w:color w:val="auto"/>
        </w:rPr>
      </w:pPr>
    </w:p>
    <w:p>
      <w:pPr>
        <w:ind w:left="1300" w:right="40" w:hanging="320"/>
        <w:spacing w:after="0" w:line="25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furloughed all of our U.S. and Canada store associates and certain office-based employees during a portion of the time that our stores were closed. In addition, in the first and fourth quarters of fiscal 2020, the Company announced several organizational restructuring initiatives which included a reorganization of staffing models across multiple functions to drive labor savings and increase efficiencies, the consolidation of certain functions into our corporate headquarters in Atlanta, Georgia, and over 100 planned store closures by the end of fiscal 2021.</w:t>
      </w:r>
    </w:p>
    <w:p>
      <w:pPr>
        <w:spacing w:after="0" w:line="66" w:lineRule="exact"/>
        <w:rPr>
          <w:rFonts w:ascii="Arial" w:cs="Arial" w:eastAsia="Arial" w:hAnsi="Arial"/>
          <w:sz w:val="18"/>
          <w:szCs w:val="18"/>
          <w:color w:val="auto"/>
        </w:rPr>
      </w:pPr>
    </w:p>
    <w:p>
      <w:pPr>
        <w:ind w:left="1300" w:right="52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implemented temporary tiered salary and Board of Directors' fee reductions and reduced other compensation-related expenses. During the third quarter of fiscal 2020, we reinstated salaries and Board of Directors’ fees.</w:t>
      </w:r>
    </w:p>
    <w:p>
      <w:pPr>
        <w:spacing w:after="0" w:line="48" w:lineRule="exact"/>
        <w:rPr>
          <w:rFonts w:ascii="Arial" w:cs="Arial" w:eastAsia="Arial" w:hAnsi="Arial"/>
          <w:sz w:val="18"/>
          <w:szCs w:val="18"/>
          <w:color w:val="auto"/>
        </w:rPr>
      </w:pPr>
    </w:p>
    <w:p>
      <w:pPr>
        <w:ind w:left="1300" w:right="340" w:hanging="320"/>
        <w:spacing w:after="0" w:line="334" w:lineRule="auto"/>
        <w:tabs>
          <w:tab w:leader="none" w:pos="1296" w:val="left"/>
        </w:tabs>
        <w:numPr>
          <w:ilvl w:val="1"/>
          <w:numId w:val="16"/>
        </w:numPr>
        <w:rPr>
          <w:rFonts w:ascii="Arial" w:cs="Arial" w:eastAsia="Arial" w:hAnsi="Arial"/>
          <w:sz w:val="16"/>
          <w:szCs w:val="16"/>
          <w:color w:val="auto"/>
        </w:rPr>
      </w:pPr>
      <w:r>
        <w:rPr>
          <w:rFonts w:ascii="Arial" w:cs="Arial" w:eastAsia="Arial" w:hAnsi="Arial"/>
          <w:sz w:val="16"/>
          <w:szCs w:val="16"/>
          <w:color w:val="auto"/>
        </w:rPr>
        <w:t>During the second quarter of fiscal 2020, the Company suspended rent payments under the leases for our temporarily closed stores in North America. The Company resumed making the required rent payments under these leases in the third quarter of fiscal 2020.</w:t>
      </w:r>
    </w:p>
    <w:p>
      <w:pPr>
        <w:ind w:left="1300" w:hanging="320"/>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the first half of fiscal 2020, we announced that we suspended our share repurchase program and our quarterly cash dividend.</w:t>
      </w:r>
    </w:p>
    <w:p>
      <w:pPr>
        <w:spacing w:after="0" w:line="115" w:lineRule="exact"/>
        <w:rPr>
          <w:rFonts w:ascii="Arial" w:cs="Arial" w:eastAsia="Arial" w:hAnsi="Arial"/>
          <w:sz w:val="17"/>
          <w:szCs w:val="17"/>
          <w:color w:val="auto"/>
        </w:rPr>
      </w:pPr>
    </w:p>
    <w:p>
      <w:pPr>
        <w:ind w:left="1300" w:right="500" w:hanging="320"/>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also executed substantial reductions in expenses, store occupancy costs, and overall costs, including through reduced inventory purchases. During the third quarter of fiscal 2020, we resumed our strategic investments in information technology, eCommerce, marketing, and omni-channel retail store initiatives.</w:t>
      </w:r>
    </w:p>
    <w:p>
      <w:pPr>
        <w:spacing w:after="0" w:line="62" w:lineRule="exact"/>
        <w:rPr>
          <w:rFonts w:ascii="Arial" w:cs="Arial" w:eastAsia="Arial" w:hAnsi="Arial"/>
          <w:sz w:val="18"/>
          <w:szCs w:val="18"/>
          <w:color w:val="auto"/>
        </w:rPr>
      </w:pPr>
    </w:p>
    <w:p>
      <w:pPr>
        <w:ind w:left="660" w:right="2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manufacturing supply chain, which is primarily in Asia, was disrupted due to delays in textile mill and factory openings, delays in workers being able to return to work, and the spread of the pandemic from China to other parts of the world. In addition, ocean and air freight carriers’ global operations have been disrupted due to the global shift in demand, leading to delays in shipments and increased costs from Asia to North America and elsewhere.</w:t>
      </w:r>
    </w:p>
    <w:p>
      <w:pPr>
        <w:spacing w:after="0" w:line="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cannot estimate with certainty the length or severity of this pandemic, or the extent to which the disruption may materially impact our consolidated financial position, consolidated results of operations, and consolidated cash flows. Refer to risks set forth in “Risk Factors” in Part I, Item 1A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Highlights</w:t>
      </w:r>
    </w:p>
    <w:p>
      <w:pPr>
        <w:spacing w:after="0" w:line="9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net sales decreased $495.0 million, or 14.1%, to $3.02 billion in fiscal 2020.</w:t>
      </w:r>
    </w:p>
    <w:p>
      <w:pPr>
        <w:spacing w:after="0" w:line="63" w:lineRule="exact"/>
        <w:rPr>
          <w:rFonts w:ascii="Arial" w:cs="Arial" w:eastAsia="Arial" w:hAnsi="Arial"/>
          <w:sz w:val="18"/>
          <w:szCs w:val="18"/>
          <w:color w:val="auto"/>
        </w:rPr>
      </w:pPr>
    </w:p>
    <w:p>
      <w:pPr>
        <w:ind w:left="1300" w:right="260" w:hanging="320"/>
        <w:spacing w:after="0" w:line="263"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temporary closure of our retail stores, particularly during the months of March, April, May, and for many stores in Canada and Mexico, in December, and a decrease in sales to certain of our wholesale customers as a result of disruptions related to the COVID-19 pandemic, negatively affected our financial results in fiscal 2020.</w:t>
      </w:r>
    </w:p>
    <w:p>
      <w:pPr>
        <w:spacing w:after="0" w:line="21" w:lineRule="exact"/>
        <w:rPr>
          <w:rFonts w:ascii="Arial" w:cs="Arial" w:eastAsia="Arial" w:hAnsi="Arial"/>
          <w:sz w:val="18"/>
          <w:szCs w:val="18"/>
          <w:color w:val="auto"/>
        </w:rPr>
      </w:pPr>
    </w:p>
    <w:p>
      <w:pPr>
        <w:ind w:left="1300" w:right="380" w:hanging="320"/>
        <w:spacing w:after="0" w:line="316" w:lineRule="auto"/>
        <w:tabs>
          <w:tab w:leader="none" w:pos="1296" w:val="left"/>
        </w:tabs>
        <w:numPr>
          <w:ilvl w:val="1"/>
          <w:numId w:val="17"/>
        </w:numPr>
        <w:rPr>
          <w:rFonts w:ascii="Arial" w:cs="Arial" w:eastAsia="Arial" w:hAnsi="Arial"/>
          <w:sz w:val="16"/>
          <w:szCs w:val="16"/>
          <w:color w:val="auto"/>
        </w:rPr>
      </w:pPr>
      <w:r>
        <w:rPr>
          <w:rFonts w:ascii="Arial" w:cs="Arial" w:eastAsia="Arial" w:hAnsi="Arial"/>
          <w:sz w:val="16"/>
          <w:szCs w:val="16"/>
          <w:color w:val="auto"/>
        </w:rPr>
        <w:t>Our eCommerce operations delivered strong growth in fiscal 2020, reflecting higher online demand, enhanced marketing efforts, the relaunch of our enhanced websites in the second half of fiscal 2019, and the launch of our website in Mexico in late fiscal 2019.</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continue to see good growth with our exclusive brands; U.S. sales of exclusive brands to our top three wholesale customers grew 12.5%.</w:t>
      </w:r>
    </w:p>
    <w:p>
      <w:pPr>
        <w:spacing w:after="0" w:line="8" w:lineRule="exact"/>
        <w:rPr>
          <w:rFonts w:ascii="Arial" w:cs="Arial" w:eastAsia="Arial" w:hAnsi="Arial"/>
          <w:sz w:val="18"/>
          <w:szCs w:val="18"/>
          <w:color w:val="auto"/>
        </w:rPr>
      </w:pPr>
    </w:p>
    <w:p>
      <w:pPr>
        <w:ind w:left="1300" w:right="24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also delivered growth in our omni-channel programs during fiscal 2020 due to increased investments and enhancements, including expanding our curbside pickup program and direct-from-store shipment program.</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$32.1 million in additional consolidated net sales.</w:t>
      </w:r>
    </w:p>
    <w:p>
      <w:pPr>
        <w:spacing w:after="0" w:line="48"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decreased $195.1 million, or 12.9%, to $1.31 billion in fiscal 2020. Gross margin increased 50 basis points (“bps”) to 43.4% in fiscal 2020, primarily due to an increase in eCommerce average selling prices as a result of decreased promotions, as well as decreased product costs, partially offset by the recognition of adverse inventory and fabric purchase commitments from disruptions related to the COVID-19 pandemic, increased inventory provisions, and increased inventory-related handling costs. The Company recorded adverse inventory and fabric purchase commitments of $14.7 million and incremental excess inventory reserve related charges of $4.9 million in fiscal 2020, primarily due to disruptions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8" w:name="page29"/>
    <w:bookmarkEnd w:id="28"/>
    <w:p>
      <w:pPr>
        <w:ind w:left="328" w:right="20" w:hanging="328"/>
        <w:spacing w:after="0" w:line="275" w:lineRule="auto"/>
        <w:tabs>
          <w:tab w:leader="none" w:pos="3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general and administrative (“SG&amp;A”) expenses as a percentage of total net sales (“SG&amp;A rate”) increased 420 bps to 36.6% for fiscal 2020. The increase in the SG&amp;A rate was primarily driven by lower net sales as a result of business disruptions related to the COVID-19 pandemic, increased eCommerce distribution and fulfillment costs due to an increase in eCommerce demand, deleverage of retail store expenses, incremental COVID-19 related charges, organizational restructuring charges, impairment charges on operating lease assets, and increased bad debt expense, all partially offset by decreased marketing costs and other reductions in spending.</w:t>
      </w:r>
    </w:p>
    <w:p>
      <w:pPr>
        <w:spacing w:after="0" w:line="14" w:lineRule="exact"/>
        <w:rPr>
          <w:rFonts w:ascii="Arial" w:cs="Arial" w:eastAsia="Arial" w:hAnsi="Arial"/>
          <w:sz w:val="17"/>
          <w:szCs w:val="17"/>
          <w:color w:val="auto"/>
        </w:rPr>
      </w:pPr>
    </w:p>
    <w:p>
      <w:pPr>
        <w:ind w:left="968" w:right="480" w:hanging="320"/>
        <w:spacing w:after="0" w:line="259"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COVID-19 related SG&amp;A expenses in fiscal 2020 were $21.4 million, which primarily included incremental costs of $12.1 million related to payroll continuation for a period of time for our retail employees and increased employee-related costs at our distribution centers, costs associated with additional protective equipment and cleaning supplies of $8.9 million, and restructuring costs of $2.3 million, partially offset by payroll tax benefits of $3.5 million.</w:t>
      </w:r>
    </w:p>
    <w:p>
      <w:pPr>
        <w:spacing w:after="0" w:line="65" w:lineRule="exact"/>
        <w:rPr>
          <w:rFonts w:ascii="Arial" w:cs="Arial" w:eastAsia="Arial" w:hAnsi="Arial"/>
          <w:sz w:val="18"/>
          <w:szCs w:val="18"/>
          <w:color w:val="auto"/>
        </w:rPr>
      </w:pPr>
    </w:p>
    <w:p>
      <w:pPr>
        <w:ind w:left="328" w:hanging="328"/>
        <w:spacing w:after="0" w:line="257" w:lineRule="auto"/>
        <w:tabs>
          <w:tab w:leader="none" w:pos="324" w:val="left"/>
        </w:tabs>
        <w:numPr>
          <w:ilvl w:val="0"/>
          <w:numId w:val="18"/>
        </w:numPr>
        <w:rPr>
          <w:rFonts w:ascii="Arial" w:cs="Arial" w:eastAsia="Arial" w:hAnsi="Arial"/>
          <w:sz w:val="14"/>
          <w:szCs w:val="14"/>
          <w:color w:val="auto"/>
        </w:rPr>
      </w:pPr>
      <w:r>
        <w:rPr>
          <w:rFonts w:ascii="Arial" w:cs="Arial" w:eastAsia="Arial" w:hAnsi="Arial"/>
          <w:sz w:val="18"/>
          <w:szCs w:val="18"/>
          <w:color w:val="auto"/>
        </w:rPr>
        <w:t xml:space="preserve">Operating income decreased $182.0 million, or 48.9%, to $189.9 million in fiscal 2020, primarily due to the factors discussed above and the recognition of a $17.7 million non-cash goodwill impairment charge to the Other International reporting unit, a $15.5 million non-cash impairment charge related to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tradename, and an $11.0 million non-cash impairment charge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in fiscal 2020, partially offset by the recognition of a $30.8 million non-cash impairment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in fiscal 2019 that did not re-occur in fiscal 2020.</w:t>
      </w:r>
    </w:p>
    <w:p>
      <w:pPr>
        <w:spacing w:after="0" w:line="52" w:lineRule="exact"/>
        <w:rPr>
          <w:rFonts w:ascii="Arial" w:cs="Arial" w:eastAsia="Arial" w:hAnsi="Arial"/>
          <w:sz w:val="14"/>
          <w:szCs w:val="14"/>
          <w:color w:val="auto"/>
        </w:rPr>
      </w:pPr>
    </w:p>
    <w:p>
      <w:pPr>
        <w:ind w:left="328" w:right="40" w:hanging="328"/>
        <w:spacing w:after="0" w:line="263"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decreased $154.1 million, or 58.4%, to $109.7 million in fiscal 2020, primarily due to the factors discussed above and an increase in interest expense due to an increase in weighted-average borrowings during fiscal 2020, partially offset by a $7.8 million loss on extinguishment of debt recognized as part of our senior note refinancing in fiscal 2019 that did not re-occur in fiscal 2020.</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Diluted net income per common share decreased 57.3% to $2.50 in fiscal 2020.</w:t>
      </w:r>
    </w:p>
    <w:p>
      <w:pPr>
        <w:spacing w:after="0" w:line="103" w:lineRule="exact"/>
        <w:rPr>
          <w:rFonts w:ascii="Arial" w:cs="Arial" w:eastAsia="Arial" w:hAnsi="Arial"/>
          <w:sz w:val="18"/>
          <w:szCs w:val="18"/>
          <w:color w:val="auto"/>
        </w:rPr>
      </w:pPr>
    </w:p>
    <w:p>
      <w:pPr>
        <w:ind w:left="328" w:right="400" w:hanging="328"/>
        <w:spacing w:after="0" w:line="277"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total of $71.5 million was returned to our shareholders in fiscal 2020, comprised of $45.3 million in share repurchases and $26.3 million in dividends.</w:t>
      </w:r>
    </w:p>
    <w:p>
      <w:pPr>
        <w:spacing w:after="0" w:line="129" w:lineRule="exact"/>
        <w:rPr>
          <w:rFonts w:ascii="Arial" w:cs="Arial" w:eastAsia="Arial" w:hAnsi="Arial"/>
          <w:sz w:val="18"/>
          <w:szCs w:val="18"/>
          <w:color w:val="auto"/>
        </w:rPr>
      </w:pPr>
    </w:p>
    <w:p>
      <w:pPr>
        <w:ind w:left="328" w:right="80" w:hanging="328"/>
        <w:spacing w:after="0" w:line="263"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pandemic adversely affected our fiscal 2020 results. However, we were able to improve on our gross and operating margins throughout the second half of fiscal 2020 with strong inventory management, continued progress in improving price realization, a better promotion strategy, and our ability to manage costs in response to decreased sales.</w:t>
      </w:r>
    </w:p>
    <w:p>
      <w:pPr>
        <w:spacing w:after="0" w:line="21" w:lineRule="exact"/>
        <w:rPr>
          <w:rFonts w:ascii="Arial" w:cs="Arial" w:eastAsia="Arial" w:hAnsi="Arial"/>
          <w:sz w:val="18"/>
          <w:szCs w:val="18"/>
          <w:color w:val="auto"/>
        </w:rPr>
      </w:pPr>
    </w:p>
    <w:p>
      <w:pPr>
        <w:ind w:left="968" w:right="780" w:hanging="320"/>
        <w:spacing w:after="0" w:line="277"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Inventory increased 0.9%, compared to December 28, 2019, driven by strong inventory management and sell through of excess inventory.</w:t>
      </w:r>
    </w:p>
    <w:p>
      <w:pPr>
        <w:spacing w:after="0" w:line="48" w:lineRule="exact"/>
        <w:rPr>
          <w:rFonts w:ascii="Arial" w:cs="Arial" w:eastAsia="Arial" w:hAnsi="Arial"/>
          <w:sz w:val="18"/>
          <w:szCs w:val="18"/>
          <w:color w:val="auto"/>
        </w:rPr>
      </w:pPr>
    </w:p>
    <w:p>
      <w:pPr>
        <w:ind w:left="328" w:right="40" w:hanging="328"/>
        <w:spacing w:after="0" w:line="277"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cash flow increased 52.3%, compared to fiscal 2019, primarily due to an extension of vendor payment terms and deferrals of retail store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09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2020 FISCAL YEAR ENDED JANUARY 2, 2021 (53 WEEKS) COMPARED TO 2019 FISCAL YEAR ENDED DECEMBER 28, 2019 (52 WEEKS)</w:t>
      </w:r>
    </w:p>
    <w:p>
      <w:pPr>
        <w:spacing w:after="0" w:line="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1080"/>
              <w:spacing w:after="0"/>
              <w:rPr>
                <w:sz w:val="20"/>
                <w:szCs w:val="20"/>
                <w:color w:val="auto"/>
              </w:rPr>
            </w:pPr>
            <w:r>
              <w:rPr>
                <w:rFonts w:ascii="Arial" w:cs="Arial" w:eastAsia="Arial" w:hAnsi="Arial"/>
                <w:sz w:val="16"/>
                <w:szCs w:val="16"/>
                <w:b w:val="1"/>
                <w:bCs w:val="1"/>
                <w:color w:val="auto"/>
              </w:rPr>
              <w:t>Fiscal year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99"/>
              <w:spacing w:after="0" w:line="158" w:lineRule="exact"/>
              <w:rPr>
                <w:sz w:val="20"/>
                <w:szCs w:val="20"/>
                <w:color w:val="auto"/>
              </w:rPr>
            </w:pPr>
            <w:r>
              <w:rPr>
                <w:rFonts w:ascii="Arial" w:cs="Arial" w:eastAsia="Arial" w:hAnsi="Arial"/>
                <w:sz w:val="16"/>
                <w:szCs w:val="16"/>
                <w:b w:val="1"/>
                <w:bCs w:val="1"/>
                <w:color w:val="auto"/>
                <w:w w:val="90"/>
              </w:rPr>
              <w:t>December 28, 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 bps Change</w:t>
            </w:r>
          </w:p>
        </w:tc>
        <w:tc>
          <w:tcPr>
            <w:tcW w:w="0" w:type="dxa"/>
            <w:vAlign w:val="bottom"/>
          </w:tcPr>
          <w:p>
            <w:pPr>
              <w:spacing w:after="0"/>
              <w:rPr>
                <w:sz w:val="1"/>
                <w:szCs w:val="1"/>
                <w:color w:val="auto"/>
              </w:rPr>
            </w:pPr>
          </w:p>
        </w:tc>
      </w:tr>
      <w:tr>
        <w:trPr>
          <w:trHeight w:val="213"/>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(53 weeks)</w:t>
            </w: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3,024,334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3,519,286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(494,952)</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1,696,224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2,008,630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(312,406)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Adverse purchase commitments (inventory and raw</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14,668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2,106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12,562</w:t>
            </w:r>
          </w:p>
        </w:tc>
        <w:tc>
          <w:tcPr>
            <w:tcW w:w="1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1,313,442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1,508,550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(195,108)</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Gross profit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43.4 %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42.9 %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26,276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34,637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(8,361)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Royalty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1,105,607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1,140,515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(34,908)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36.6 %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32.4 %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420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impairment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30,800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189,869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371,872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(182,003)</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Operating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(430)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56,062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37,617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18,445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49.0 %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6"/>
        </w:trPr>
        <w:tc>
          <w:tcPr>
            <w:tcW w:w="4040" w:type="dxa"/>
            <w:vAlign w:val="bottom"/>
          </w:tcPr>
          <w:p>
            <w:pPr>
              <w:ind w:left="6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134,984</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327,952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(192,968)</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25,267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ind w:left="220"/>
              <w:spacing w:after="0" w:line="210" w:lineRule="exact"/>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18.7 %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19.6 %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(90) bps</w:t>
            </w:r>
          </w:p>
        </w:tc>
        <w:tc>
          <w:tcPr>
            <w:tcW w:w="0" w:type="dxa"/>
            <w:vAlign w:val="bottom"/>
          </w:tcPr>
          <w:p>
            <w:pPr>
              <w:spacing w:after="0"/>
              <w:rPr>
                <w:sz w:val="1"/>
                <w:szCs w:val="1"/>
                <w:color w:val="auto"/>
              </w:rPr>
            </w:pPr>
          </w:p>
        </w:tc>
      </w:tr>
      <w:tr>
        <w:trPr>
          <w:trHeight w:val="23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109,717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263,802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(154,085)</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considered not meaningful are denoted with "nm".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10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Consolidated net sales decreased $495.0 million, or 14.1%, to $3.02 billion in fiscal 2020. This decrease primarily reflected the temporary closure of our retail stores, particularly during the months of March, April, May, and for many of our stores in Canada and Mexico, in December, and decreased sales to certain of our wholesale customers as a result of disruptions related to the COVID-19 pandemic, partially offset by an increase in net sales through our eCommerce channel.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$32.1 million in additional consolidated net sales. Changes in foreign currency exchange rates used for translation in fiscal 2020, as compared to fiscal 2019, had an unfavorable effect on our consolidated net sales of approximately $4.7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consolidated gross profit decreased $195.1 million, or 12.9%, to $1.31 billion in fiscal 2020. Consolidated gross margin increased 50 bps to 43.4%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100"/>
        <w:spacing w:after="0" w:line="272" w:lineRule="auto"/>
        <w:rPr>
          <w:sz w:val="20"/>
          <w:szCs w:val="20"/>
          <w:color w:val="auto"/>
        </w:rPr>
      </w:pPr>
      <w:r>
        <w:rPr>
          <w:rFonts w:ascii="Arial" w:cs="Arial" w:eastAsia="Arial" w:hAnsi="Arial"/>
          <w:sz w:val="17"/>
          <w:szCs w:val="17"/>
          <w:color w:val="auto"/>
        </w:rPr>
        <w:t>Gross profit is calculated as consolidated net sales less cost of goods sold,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3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decrease in consolidated gross profit was primarily due to decreased net sales across our businesses. The increase in gross margin was primarily due to an increase in eCommerce average selling prices as a result of decreased promotions, as well as decreased product costs, partially offset by the recognition of adverse inventory and fabric purchase commitments from disruptions related to the COVID-19 pandemic, increased excess inventory provisions, and increased inventory-related handling costs. The Company recorded adverse inventory and fabric purchase commitments of $14.7 million and incremental inventory reserve related charges of $4.9 million in fiscal 2020, primarily due to disruptions related to the COVID-19 pandemic.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Royalty income decreased $8.4 million, or 24.1%, to $26.3 million in fiscal 2020, primarily as a result of decreased licensee sales volume due to business disruptions related to the COVID-19 pandemic. Additionally, in 2019, the Company ended a previous royalty arrangement with Target related to the </w:t>
      </w:r>
      <w:r>
        <w:rPr>
          <w:rFonts w:ascii="Arial" w:cs="Arial" w:eastAsia="Arial" w:hAnsi="Arial"/>
          <w:sz w:val="17"/>
          <w:szCs w:val="17"/>
          <w:i w:val="1"/>
          <w:iCs w:val="1"/>
          <w:color w:val="auto"/>
        </w:rPr>
        <w:t xml:space="preserve">Genuine Kids by OshKosh </w:t>
      </w:r>
      <w:r>
        <w:rPr>
          <w:rFonts w:ascii="Arial" w:cs="Arial" w:eastAsia="Arial" w:hAnsi="Arial"/>
          <w:sz w:val="17"/>
          <w:szCs w:val="17"/>
          <w:color w:val="auto"/>
        </w:rPr>
        <w:t>brand. The Company now sells the</w:t>
      </w:r>
      <w:r>
        <w:rPr>
          <w:rFonts w:ascii="Arial" w:cs="Arial" w:eastAsia="Arial" w:hAnsi="Arial"/>
          <w:sz w:val="17"/>
          <w:szCs w:val="17"/>
          <w:i w:val="1"/>
          <w:iCs w:val="1"/>
          <w:color w:val="auto"/>
        </w:rPr>
        <w:t xml:space="preserve"> OshKosh </w:t>
      </w:r>
      <w:r>
        <w:rPr>
          <w:rFonts w:ascii="Arial" w:cs="Arial" w:eastAsia="Arial" w:hAnsi="Arial"/>
          <w:sz w:val="17"/>
          <w:szCs w:val="17"/>
          <w:color w:val="auto"/>
        </w:rPr>
        <w:t>brand to Target directly under a wholesale business model.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Consolidated SG&amp;A expenses decreased $34.9 million, or 3.1%, to $1.11 billion in fiscal 2020 and increased as a percentage of consolidated net sales by approximately 420 bps to 36.6% in fiscal 2020. This increase as a percentage of consolidated net sales was primarily driven by lower net sales as a result of business disruptions related to the COVID-19 pandemic, increased eCommerce distribution and fulfillment costs due to an increase in eCommerce demand, deleverage of retail store expenses, incremental COVID-19 related charges, organizational restructuring charges, impairment charges on operating lease assets, and increased bad debt expense, all partially offset by decreased marketing costs and other reductions in spending.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during the first quarter of fiscal 2020 which was recorded to the Other International reporting unit in the International segment.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the first quarter of fiscal 2020, the Company recorded non-cash impairment charges of $15.5 million and $11.0 million related to its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Hop </w:t>
      </w:r>
      <w:r>
        <w:rPr>
          <w:rFonts w:ascii="Arial" w:cs="Arial" w:eastAsia="Arial" w:hAnsi="Arial"/>
          <w:sz w:val="18"/>
          <w:szCs w:val="18"/>
          <w:color w:val="auto"/>
        </w:rPr>
        <w:t>tradename assets that were recorded in connection with the acquisition of OshKosh B'Gosh, Inc. in July 2005 and Skip Hop Holdings, Inc.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The impairment reflected lower-than-expected actual sales, and lower projected sales and profitability due to decreased demand as a result of disruptions related to COVID-19.</w:t>
      </w:r>
    </w:p>
    <w:p>
      <w:pPr>
        <w:spacing w:after="0" w:line="1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During the third quarter of fiscal 2019, the Company recorded a non-cash impairment charge of $30.8 million related to its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asset that was recorded in connection with the acquisition of Skip Hop Holdings, Inc. in February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Consolidated operating income decreased $182.0 million, or 48.9%, to $189.9 million in fiscal 2020 and decreased as a percentage of net sales by approximately 430 bps to 6.3% in fiscal 2020,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Interest expense increased $18.4 million, or 49.0%, to $56.1 million in fiscal 2020. Weighted-average borrowings for fiscal 2020 were $1.03 billion at an effective interest rate of 5.39%, compared to weighted-average borrowings for fiscal 2019 of $662.2 million at an effective interest rate of 5.47%.</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The increase in weighted-average borrowings during fiscal 2020 was attributable to the issuance of $500 million in principal amount of senior notes in May 2020, and to temporarily increased borrowings under our secured revolving credit facility. The decrease in the effective interest rate for fiscal 2020 compared to fiscal 2019 was primarily due to lower London Interbank Offered Rate (“LIBOR”) for the outstanding borrowings on our variable-rate secured revolving credit facility during the fiscal 2020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0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During the first quarter of fiscal 2019, loss on extinguishment of debt was $7.8 million due to the early extinguishment of our $400 million in aggregate principal amount of 5.25% senior notes due in 2021. Concurrently, we issued $500 million in aggregate principal amount of 5.625% senior notes due in 2027.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consolidated income taxes decreased $38.9 million, or 60.6%, to $25.3 million in fiscal 2020 and the effective tax rate decreased approximately 90 bps to 18.7% in fiscal 2020 from 19.6% in fiscal 2019. The lower effective tax rate in 2020 primarily reflects a greater portion of our income earned in jurisdictions with a tax rate lower than the U.S. tax rate partially offset by the impact of goodwill impairments in the first quarter of fiscal 2020 with no corresponding tax benefit.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consolidated net income decreased $154.1 million, or 58.4%, to $109.7 million in fiscal 2020. This decrease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Fiscal Year 2020 (53 Weeks) compared to Fiscal Year 2019 (52 Weeks)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fiscal years ended January 2, 2021 and December 28, 2019:</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Fiscal year ended</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3"/>
                <w:szCs w:val="13"/>
                <w:color w:val="auto"/>
              </w:rPr>
            </w:pPr>
          </w:p>
        </w:tc>
        <w:tc>
          <w:tcPr>
            <w:tcW w:w="15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4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December 28, 2019</w:t>
            </w:r>
          </w:p>
        </w:tc>
        <w:tc>
          <w:tcPr>
            <w:tcW w:w="13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 of consolidated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2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(53 weeks)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(52 weeks)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1,671,644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1,884,150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53.5 %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(212,506)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1,205,646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356,602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429,490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(72,888)</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8"/>
        </w:trPr>
        <w:tc>
          <w:tcPr>
            <w:tcW w:w="2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3,519,286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6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of segment net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sales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146,806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225,874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(79,068)</w:t>
            </w:r>
          </w:p>
        </w:tc>
        <w:tc>
          <w:tcPr>
            <w:tcW w:w="124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(71,102)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36,650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(37,874)</w:t>
            </w:r>
          </w:p>
        </w:tc>
        <w:tc>
          <w:tcPr>
            <w:tcW w:w="1240" w:type="dxa"/>
            <w:vAlign w:val="bottom"/>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(97,169)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(103,210)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3"/>
        </w:trPr>
        <w:tc>
          <w:tcPr>
            <w:tcW w:w="2640" w:type="dxa"/>
            <w:vAlign w:val="bottom"/>
          </w:tcPr>
          <w:p>
            <w:pPr>
              <w:ind w:left="220"/>
              <w:spacing w:after="0"/>
              <w:rPr>
                <w:sz w:val="20"/>
                <w:szCs w:val="20"/>
                <w:color w:val="auto"/>
              </w:rPr>
            </w:pPr>
            <w:r>
              <w:rPr>
                <w:rFonts w:ascii="Arial" w:cs="Arial" w:eastAsia="Arial" w:hAnsi="Arial"/>
                <w:sz w:val="16"/>
                <w:szCs w:val="16"/>
                <w:color w:val="auto"/>
              </w:rPr>
              <w:t>Consolidated operating income</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189,869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371,872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(182,003)</w:t>
            </w:r>
          </w:p>
        </w:tc>
        <w:tc>
          <w:tcPr>
            <w:tcW w:w="124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temporary store closures in fiscal 2020 in response to COVID-19, we have not included a discussion of the fiscal 2020 retail comparable sales as we do not believe it is a meaningful metric during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U.S. Retail segment net sales decreased $212.5 million, or 11.3%, to $1.67 billion in fiscal 2020. The decrease in net sales was primarily driven by temporary store closures and decreased retail store traffic in response to the COVID-19 pandemic, partially offset by an increase in eCommerce sales.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$18.2 million in additional sales to the U.S. Retail segment.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 xml:space="preserve">As of January 2, 2021, we operated 864 retail stores in the U.S. compared to 862 (excluding five temporary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stores) in fiscal 2019. All stores were open as of January 2, 2021.</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U.S. Retail segment operating income decreased $79.1 million, or 35.0%, to $146.8 million in fiscal 2020. Operating income in fiscal 2020 included intangible asset impairment charges of $13.6 million and $0.5 million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tradenames, respectively. Operating income in fiscal 2019 included an intangible asset impairment charge of $1.2 million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Operating margin decreased 320 bps to 8.8% in fiscal 2020. The primary drivers of the decrease in operating margin were a 190 bps increase in gross margin, a 20 bps decrease in royalty income, a 420 bps increase in SG&amp;A rate (SG&amp;A as a percentage of net sales), and the incremental intangible asset impairment charges. The increase in gross margin was primarily due to an increase in eCommerce average selling prices, as a result of decreased promotions, and decreased product costs, partially offset by the recognition of adverse inventory and fabric purchase commitments from disruptions related to the COVID-19 pandemic and increased inventory related handling costs. The decrease in royalty income was primarily due to decreased licensee sales volumes due to business disruptions related to the COVID-19 pandemic. The increase in the SG&amp;A rate was primarily due to increased eCommerce distribution and fulfillment costs due to an increase in eCommerce demand, incremental COVID-19 related charges, deleverage of retail store expenses due to store closures and reduced store traffic, impairment charges on operating lease assets, investments in the U.S. Retail business and technology initiatives, and organizational restructuring charges, partially offset by decreased marketing costs and other reductions in spending.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 xml:space="preserve">U.S. Wholesale segment net sales decreased $209.6 million, or 17.4%, to $996.1 million in fiscal 2020, primarily due to decreased sales to certain of our wholesale customers as a result of disruptions related to COVID-19, partially offset by an increase in net sales in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and an increase in average selling price per unit.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$10.6 million in additional sales to the U.S. Wholesale segment.</w:t>
      </w:r>
    </w:p>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U.S. Wholesale segment operating income decreased $71.1 million, or 33.5%, to $141.5 million in fiscal 2020. Operating income in fiscal 2020 included intangible asset impairment charges of $6.8 million and $1.6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tradenames, respectively. Operating income in fiscal 2019 included an intangible asset impairment charge of $19.1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Operating margin decreased 340 bps to 14.2% in fiscal 2020. The primary drivers of the decrease in operating margin were a 210 bps decrease in gross margin, a 20 bps decrease in royalty income, a 190 bps increase in SG&amp;A rate, and decreased intangible asset impairment charges. The decrease in gross margin was primarily due to the recognition of adverse inventory and fabric purchase commitments from disruptions related to the COVID-19 pandemic, increased excess inventory provisions, and unfavorable customer mix, partially offset by an increase in average selling price per unit and decreased product costs. The decrease in royalty income was primarily a result of our customers’ business disruptions and temporary store closures related to COVID-19 and the initiation of wholesale sales of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at Target, which replaced a former royalty business model. The increase in the SG&amp;A rate was primarily due to decreased sales due to customers' business disruptions and temporary store closures as a result of the COVID-19 pandemic, incremental COVID-19 related charges, and increased bad debt expense, partially offset by decreased selling expenses as a result of fewer units sold and other reductions in spending.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International segment net sales decreased $72.9 million, or 17.0%, to $356.6 million in fiscal 2020. Changes in foreign currency exchange rates, primarily between the U.S. dollar and the Mexican peso and between the U.S. dollar and the Canadian dollar, had a $4.7 million unfavorable effect on International segment net sales in fiscal 2020. The decrease in net sales is primarily due to a decrease in retail store sales in Canada and Mexico driven by temporary store closures in response to COVID-19 and decreased wholesale shipments to our international partners as a result of COVID-19, partially offset by growth in Canadian eCommerce and the addition of our Mexico eCommerce business in late fiscal 2019. The 53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week in fiscal 2020 contributed approximately $3.3 million in additional sales to the International segment.</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January 2, 2021, we operated 193 retail stores in Canada, of which 60 were open, compared to 201 in fiscal 2019. The Company expects to reopen most of the closed stores in Canada in the middle of the first quarter of fiscal 2021. As of January 2, 2021, we operated 44 retail stores in Mexico, of which 16 were open, compared to 46 in fiscal 2019.</w:t>
      </w:r>
    </w:p>
    <w:p>
      <w:pPr>
        <w:spacing w:after="0" w:line="14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International segment operating income decreased $37.9 million, or 103.3%, to a $1.2 million operating loss in fiscal 2020. Operating loss in fiscal 2020 included a $17.7 million goodwill impairment charge recorded to the Other International reporting unit, a $3.7 million intangible asset impairment charge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and a $0.3 million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3" w:name="page34"/>
    <w:bookmarkEnd w:id="33"/>
    <w:p>
      <w:pPr>
        <w:ind w:right="320"/>
        <w:spacing w:after="0" w:line="277" w:lineRule="auto"/>
        <w:rPr>
          <w:sz w:val="20"/>
          <w:szCs w:val="20"/>
          <w:color w:val="auto"/>
        </w:rPr>
      </w:pPr>
      <w:r>
        <w:rPr>
          <w:rFonts w:ascii="Arial" w:cs="Arial" w:eastAsia="Arial" w:hAnsi="Arial"/>
          <w:sz w:val="18"/>
          <w:szCs w:val="18"/>
          <w:color w:val="auto"/>
        </w:rPr>
        <w:t xml:space="preserve">impairment charge related to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tradename. Operating income in fiscal 2019 included an intangible asset impairment charge of $10.5 million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Operating margin decreased 880 bps to (0.3)% in fiscal 2020. The decrease in the operating margin was primarily attributable to the goodwill impairment charge partially offset by decreased intangible asset impairment charges, a 160 bps decrease in gross margin, and a 400 bps increase in the SG&amp;A rate. The decrease in gross margin was primarily due to the recognition of adverse inventory and fabric purchase commitments from disruptions related to the COVID-19 pandemic and increased excess inventory provisions, increased inbound transportation costs, and product mix, partially offset by an increase in eCommerce average selling prices and decreased product costs. The increase in the SG&amp;A rate was primarily due to a deleverage of retail stores and distribution expenses as a result of temporary store closures and reduced store traffic, incremental COVID-19 related charges, increased eCommerce distribution and fulfillment costs due to an increase in eCommerce demand, and increased bad debt expense, partially offset by decreased marketing costs and other reductions in spending.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Unallocated corporate expenses decreased $6.0 million, or 5.9%, to $97.2 million in fiscal 2020. Unallocated corporate expenses, as a percentage of consolidated net sales, decreased 30 bps to 3.2% in fiscal 2020. The decrease as a percentage of consolidated net sales was a result of spending reductions, including decreased stock-based compensation expense, partially offset by increased organizational restructuring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be cash and cash equivalents on hand along with available borrowing capacity under our secured revolving credit facility. In May 2020, through our wholly-owned subsidiary TWCC, we issued $500 million principal amount of senior notes at par. During the second quarter of fiscal 2020, net proceeds from this issuance, along with cash on hand, were used to pay down $500 million of then outstanding borrowings under our secured revolving credit facility that was drawn down in March 2020 to improve liquidity. During the third quarter of fiscal 2020, we repaid the remainder of our borrowings under our secured revolving credit facility with cash on hand. Our cash on hand increased by approximately $888.0 million as of January 2, 2021, compared to December 28, 2019.</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further believe that cash on hand, cash flow from operations, access to additional capital and increased flexibility under financial maintenance covenants, along with reductions in costs, and suspension of our share repurchase program and quarterly cash dividend, will allow us to manage the continuing adverse impact of COVID-19 on our business operations for the foreseeable future. Looking ahead, we have developed contingency plans to reduce costs further if our financial condition deteriorates. We will continue to evaluate our financial position in light of future developments, particularly those relating to COVID-19. We believe that our sources of liquidity will fund our projected requirements for at least the next twelve months. These sources of liquidity may be affected by events described in our risk factors, as discussed under the heading “Risk Factors” in Part I, Item 1A of this Annual Report on Form 10-K.</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2, 2021, we had approximately $1.10 billion of cash and cash equivalents held at major financial institutions, including approximately $85.8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08"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Net accounts receivable at January 2, 2021 were $186.5 million compared to $251.0 million at December 28, 2019. The decrease of $64.5 million, or 25.7%, as compared to December 28, 2019, was primarily a result of reduced customer demand and an increase in our bad debt reserves as a result of COVID-19, offset in part by timing of cash receipts.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Inventories at January 2, 2021 were $599.3 million compared to $594.0 million at December 28, 2019. The increase of $5.3 million, or 0.9%, compared to December 28, 2019, was primarily a result of reduced customer demand and temporary retail store closures in Canada and Mexico at the end of fiscal 2020, partially offset by higher excess inventory provisions from disruptions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cash provided by operating activities for fiscal 2020 was $589.9 million, compared to $387.2 million in fiscal 2019. Our cash flow provided by operating activities is dependent on net income and changes in our working capital. The increase in net cash provided by operating activities was primarily due to an extension of payment terms and deferrals of retail store lease payments, partially offset by lower earnings related to COVID-19.</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cash flow is expected to be unfavorably impacted in fiscal 2021 due to a decrease in payment terms to certain of our vendors and due to the payment of deferred retail store rents from fiscal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was $32.9 million in fiscal 2020, compared to $60.7 million in fiscal 2019. This decrease in net cash used in investing activities for fiscal 2020 is primarily due to a decrease in capital expenditures in response to COVID-19. Capital expenditures in fiscal 2020 primarily included $10.6 million for our U.S. and international retail store openings and remodelings, $12.4 million for information technology initiatives, and $8.3 million for our distribution facilities.</w:t>
      </w:r>
    </w:p>
    <w:p>
      <w:pPr>
        <w:spacing w:after="0" w:line="16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We plan to invest approximately $50 million in capital expenditures in fiscal 2021, which primarily relates to critical information technology initiatives, U.S. and international retail store renovations and remodels, investments to strengthen our omni-channel capabilities, and distribution facility initiatives.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Net cash provided by financing activities was $324.8 million in fiscal 2020, compared to net cash used of $283.4 million in fiscal 2019. This increase in net cash provided by financing activities in fiscal 2020 was primarily due to an issuance of $500 million in principal amount of senior notes in May 2020 to improve our cash position in light of the uncertainty and disruption related to COVID-19, decreased repurchases of common stock, and decreased dividend payments, partially offset by the repayment of the remainder of our borrowings under our secured revolving credit facility with cash on hand.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improve our cash position in light of the uncertainty and disruption related to COVID-19, we drew $639.0 million under our secured revolving credit facility in the month of March 2020, and in May 2020 repaid $500 million of the outstanding borrowings with the net proceeds of a new $500 million senior notes offering, as discussed below, and cash on hand. During the third quarter of fiscal 2020, we repaid the remainder of our outstanding borrowings under our secured revolving credit facility with cash on hand. As of January 2, 2021, we had no outstanding borrowings under our secured revolving credit facility, exclusive of $5.0 million of outstanding letters of credit. As of December 28, 2019, we had $100.0 million in outstanding borrowings under our secured revolving credit facility, exclusive of $5.0 million of outstanding letters of credit. As of January 2, 2021 and December 28, 2019, there was approximately $745.0 million and $645.0 million available for future borrowing, respectively. All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Secured Revolving Credit Facility</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25, 2017, TWCC and the syndicate of lenders entered into a fourth amended and restated secured revolving credit agreement, which provided for, among other things:</w:t>
      </w:r>
    </w:p>
    <w:p>
      <w:pPr>
        <w:spacing w:after="0" w:line="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extension of the term of the facility to August 25, 2022.</w:t>
      </w:r>
    </w:p>
    <w:p>
      <w:pPr>
        <w:spacing w:after="0" w:line="103" w:lineRule="exact"/>
        <w:rPr>
          <w:rFonts w:ascii="Arial" w:cs="Arial" w:eastAsia="Arial" w:hAnsi="Arial"/>
          <w:sz w:val="18"/>
          <w:szCs w:val="18"/>
          <w:color w:val="auto"/>
        </w:rPr>
      </w:pPr>
    </w:p>
    <w:p>
      <w:pPr>
        <w:jc w:val="both"/>
        <w:ind w:left="660" w:right="560" w:hanging="328"/>
        <w:spacing w:after="0" w:line="287"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w:t>
      </w:r>
    </w:p>
    <w:p>
      <w:pPr>
        <w:spacing w:after="0" w:line="2"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$100 million multicurrency facility is inclusive of a $40 million sub-limit for letters of credit and a swing line sub-limit of $15 million. In addition, the amendment provided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660" w:right="10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27" w:lineRule="exact"/>
        <w:rPr>
          <w:rFonts w:ascii="Arial" w:cs="Arial" w:eastAsia="Arial" w:hAnsi="Arial"/>
          <w:sz w:val="16"/>
          <w:szCs w:val="16"/>
          <w:color w:val="auto"/>
        </w:rPr>
      </w:pPr>
    </w:p>
    <w:p>
      <w:pPr>
        <w:ind w:left="660" w:right="320" w:hanging="328"/>
        <w:spacing w:after="0" w:line="30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Lease Adjusted Leverage Ratio (defined as, with certain adjustments, the ratio of the Company’s consolidated indebtedness plus six times rent expense, as defined, to consolidated net income before interest, taxes, depreciation, amortization, and rent expense (“EBITDAR”)) and the Consolidated Fixed Charge Coverage Ratio (defined as, with certain adjustments, the ratio of consolidated EBITDAR to consolidated fixed charges (defined as interest plus rent expense)) covenants, which were amended by Amendment No.2 (as defined and described below).</w:t>
      </w:r>
    </w:p>
    <w:p>
      <w:pPr>
        <w:spacing w:after="0" w:line="22" w:lineRule="exact"/>
        <w:rPr>
          <w:rFonts w:ascii="Arial" w:cs="Arial" w:eastAsia="Arial" w:hAnsi="Arial"/>
          <w:sz w:val="16"/>
          <w:szCs w:val="16"/>
          <w:color w:val="auto"/>
        </w:rPr>
      </w:pPr>
    </w:p>
    <w:p>
      <w:pPr>
        <w:ind w:left="660" w:right="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fourth amended and restated secured revolving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September 21, 2018, TWCC and a syndicate of lenders entered into Amendment No. 1 to its fourth amended and restated credit agreement that, among other things, extended the term of the facility from August 25, 2022 to September 21, 2023.</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4, 2020, TWCC entered into Amendment No.2 to its fourth amended and restated credit agreement (“Amendment No. 2”). Amendment No. 2 provided for, among other things, access to additional capital and increased flexibility under financial maintenance covenants, which the Company sought in part due to the unforeseen negative effects of the COVID-19 pandemic.</w:t>
      </w:r>
    </w:p>
    <w:p>
      <w:pPr>
        <w:spacing w:after="0" w:line="1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particular, Amendment No. 2 provided that the Company may issue additional debt securities in an aggregate principal amount of up to $500 million on or prior to the last day of fiscal 2020 (the “Post-Amendment Debt Issuance”), and must use half of the net cash proceeds from the Post-Amendment Debt Issuance to repay outstanding borrowings under the Secured Revolving Credit Facility (or, if such outstanding borrowings do not exceed an amount equal to half of such net cash proceeds, the amount necessary to repay the borrowings in full). The aggregate gross principal amount outstanding of any Post-Amendment Debt issuance will not count as Consolidated Indebtedness for purposes of leverage determinations under the Secured Revolving Credit Agreement to the extent that the Company’s and certain other subsidiaries’ on-hand cash and cash equivalents is at least equal to the aggregate principal gross amount outstanding of that issuance. On May 11, 2020, TWCC issued $500 million principal amount of senior notes at par, bearing interest at a rate of 5.500% per annum, and maturing on May 15, 2025, as more fully described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Amendment No.2 provided that:</w:t>
      </w:r>
    </w:p>
    <w:p>
      <w:pPr>
        <w:spacing w:after="0" w:line="104" w:lineRule="exact"/>
        <w:rPr>
          <w:sz w:val="20"/>
          <w:szCs w:val="20"/>
          <w:color w:val="auto"/>
        </w:rPr>
      </w:pPr>
    </w:p>
    <w:p>
      <w:pPr>
        <w:ind w:left="660" w:right="520" w:hanging="328"/>
        <w:spacing w:after="0" w:line="29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Lease Adjusted Leverage Ratio and the Consolidated Fixed Charge Coverage Ratio covenants were waived during the period from and including the second fiscal quarter of 2020 through and including the fourth fiscal quarter of 2020, and thereafter,</w:t>
      </w:r>
    </w:p>
    <w:p>
      <w:pPr>
        <w:ind w:left="1300" w:right="200" w:hanging="320"/>
        <w:spacing w:after="0" w:line="263"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Lease Adjusted Leverage Ratio was set at 5.50:1.00 for the first fiscal quarter of 2021 and, during the remainder of 2021, gradually steps down to 4.00:1.00 for the fourth fiscal quarter of 2021 and, subject to the consummation of a Material Acquisition (as defined in Amendment No.2), thereafter.</w:t>
      </w:r>
    </w:p>
    <w:p>
      <w:pPr>
        <w:spacing w:after="0" w:line="21" w:lineRule="exact"/>
        <w:rPr>
          <w:rFonts w:ascii="Arial" w:cs="Arial" w:eastAsia="Arial" w:hAnsi="Arial"/>
          <w:sz w:val="18"/>
          <w:szCs w:val="18"/>
          <w:color w:val="auto"/>
        </w:rPr>
      </w:pPr>
    </w:p>
    <w:p>
      <w:pPr>
        <w:ind w:left="1300" w:hanging="320"/>
        <w:spacing w:after="0" w:line="263"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Consolidated Fixed Charge Coverage Ratio was set at 1.25:1.00 for the first fiscal quarter of 2021 and, during the remainder of 2021 and, gradually steps back up to 1.85:1.00 for the fourth fiscal quarter of 2021 and, subject to the consummation of a Material Acquisition, thereafter.</w:t>
      </w:r>
    </w:p>
    <w:p>
      <w:pPr>
        <w:spacing w:after="0" w:line="48"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period from May 4, 2020 through the date the Company delivers its financial statements and associated certificates relating to the third fiscal quarter of 2021 (the “Restricted Period”), the Company must maintain a minimum liquidity (defined as cash-on-hand plus availability under its secured revolving credit facility) on the last day of each fiscal month of at least $700 million.</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Restricted Period, the Company must demonstrate a business need for revolving borrowings if it maintains more than $700 million of cash on-hand at the time of the draw, subject to certain exceptions.</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Restricted Period, the availability of certain exceptions to the lien, investment, indebtedness, and restricted payment negative covenants (including those related to dividend payments and share repurchases) are limited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removed, and any incremental credit extensions and the possibility of collateral and covenant release periods are suspended.</w:t>
      </w:r>
    </w:p>
    <w:p>
      <w:pPr>
        <w:spacing w:after="0" w:line="104" w:lineRule="exact"/>
        <w:rPr>
          <w:sz w:val="20"/>
          <w:szCs w:val="20"/>
          <w:color w:val="auto"/>
        </w:rPr>
      </w:pPr>
    </w:p>
    <w:p>
      <w:pPr>
        <w:ind w:left="660" w:right="60" w:hanging="328"/>
        <w:spacing w:after="0" w:line="29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Restricted Period, interest rate margins applicable to the secured revolving credit facility were initially 2.125% for LIBOR rate loans (which may be adjusted based on a leverage-based pricing grid ranging from 1.125% to 2.375%) and 1.125% for base rate loans (which may be adjusted based on a leverage-based pricing grid ranging from 0.125% to 1.375%). Amendment No. 2 also provided for a commitment fee initially equal to 0.35% per annum, and ranging thereafter from 0.15% per annum to 0.40% per annum based upon a leverage-based pricing grid, which is payable quarterly in arrears with respect to the average daily unused portion of the revolving loan commitments.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Approximately $1.2 million, including both bank fees and other third-party expenses, has been capitalized in connection with Amendment No. 2 and is being amortized over the remaining term of the secured revolving credit facility.</w:t>
      </w:r>
    </w:p>
    <w:p>
      <w:pPr>
        <w:spacing w:after="0" w:line="13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Weighted-average borrowings for fiscal 2020 were $212.2 million compared to weighted-average borrowings for fiscal 2019 of $182.5 million. The increase in weighted-average borrowings for fiscal 2020 was primarily due to increased borrowings in the first half of fiscal 2020 to improve our cash position in light of the uncertainty and disruption related to COVID-19.</w:t>
      </w:r>
    </w:p>
    <w:p>
      <w:pPr>
        <w:spacing w:after="0" w:line="1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January 2, 2021, the interest rate margins applicable to the amended revolving credit facility were 1.625% for LIBOR rate and 0.625% for base rate loans. There were no U.S. dollar borrowings or foreign currency borrowings outstanding on January 2, 2021. As of December 28, 2019, U.S. dollar borrowings outstanding under the secured revolving credit facility accrued interest at a LIBOR rate plus the applicable base rate, which resulted in a weighted-average borrowing rate of 3.42%. The effective interest rate for fiscal 2020 was 2.84% compared to an effective interest rate of 3.76% for fiscal 2019.</w:t>
      </w:r>
    </w:p>
    <w:p>
      <w:pPr>
        <w:spacing w:after="0" w:line="147" w:lineRule="exact"/>
        <w:rPr>
          <w:sz w:val="20"/>
          <w:szCs w:val="20"/>
          <w:color w:val="auto"/>
        </w:rPr>
      </w:pPr>
    </w:p>
    <w:p>
      <w:pPr>
        <w:ind w:right="1960"/>
        <w:spacing w:after="0" w:line="406" w:lineRule="auto"/>
        <w:rPr>
          <w:sz w:val="20"/>
          <w:szCs w:val="20"/>
          <w:color w:val="auto"/>
        </w:rPr>
      </w:pPr>
      <w:r>
        <w:rPr>
          <w:rFonts w:ascii="Arial" w:cs="Arial" w:eastAsia="Arial" w:hAnsi="Arial"/>
          <w:sz w:val="18"/>
          <w:szCs w:val="18"/>
          <w:color w:val="auto"/>
        </w:rPr>
        <w:t xml:space="preserve">As of January 2, 2021, we were in compliance with our financial and other covenants under our secured revolving credit facility. </w:t>
      </w:r>
      <w:r>
        <w:rPr>
          <w:rFonts w:ascii="Arial" w:cs="Arial" w:eastAsia="Arial" w:hAnsi="Arial"/>
          <w:sz w:val="18"/>
          <w:szCs w:val="18"/>
          <w:b w:val="1"/>
          <w:bCs w:val="1"/>
          <w:color w:val="auto"/>
        </w:rPr>
        <w:t>Senior Notes</w:t>
      </w:r>
    </w:p>
    <w:p>
      <w:pPr>
        <w:spacing w:after="0" w:line="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January 2, 2021, we had $500.0 million principal amount of senior notes outstanding, bearing interest at a rate of 5.500% per annum, and maturing on May 15, 2025, and $500.0 million principal amount of senior notes outstanding, bearing interest at a rate of 5.625% per annum, and maturing on March 15, 2027. On our consolidated balance sheet, the $1.00 billion of outstanding senior notes as of January 2, 2021 is reported net of $10.5 million of unamortized issuance-related debt costs, and the $500.0 million of outstanding senior notes as of December 28, 2019 is reported net of $5.3 million of unamortized issuance-related debt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mentioned above are unsecured and are fully and unconditionally guaranteed by Carter’s, Inc. and certain domestic subsidiaries of TWCC.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are 100% owned directly or indirectly by Carter’s, Inc. and all guarantees are joint, several and unconditional.</w:t>
      </w:r>
    </w:p>
    <w:p>
      <w:pPr>
        <w:spacing w:after="0" w:line="18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indentures governing the senior notes provides that 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plus accrued and unpaid interest to (but excluding) the date of purchase.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indentures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Issuance of Senior Notes</w:t>
      </w:r>
    </w:p>
    <w:p>
      <w:pPr>
        <w:spacing w:after="0" w:line="10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May 11, 2020, we issued through TWCC $500 million principal amount of senior notes at par, bearing interest at a rate of 5.500% per annum, and maturing on May 15, 2025, all of which were outstanding as of January 2, 2021. We received net proceeds from the offering of the senior notes of approximately $494.5 million, after deducting underwriting fees, which we used to repay borrowings outstanding under our secured revolving credit facility. Approximately $6.5 million, including both bank fees and other third party expenses, has been capitalized in connection with the issuance and is being amortized over the term of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2019 Redemption and Issuance of Senior Notes</w:t>
      </w:r>
    </w:p>
    <w:p>
      <w:pPr>
        <w:spacing w:after="0" w:line="104"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On March 14, 2019, we redeemed $400.0 million principal amount of senior notes, bearing interest at a rate of 5.25% per annum, and maturing on August 15, 2021, pursuant to the optional redemption provisions of the notes, which required that we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Concurrently, we issued through TWCC $500.0 million principal amount of senior notes at par, bearing interest at a rate of 5.625% per annum, and maturing on March 15, 2027. We received net proceeds from the offering of the senior notes of approximately $494.8 million, after deducting underwriting fees and other expenses, which we used to redeem the senior notes discussed above and repay borrowings outstanding under our secured revolving credit facility. Approximately $5.8 million, including both bank fees and other third party expenses, was capitalized in connection with the issuance and is being amortized over the term of the senior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Restructuring and Office Consolidation</w:t>
      </w:r>
    </w:p>
    <w:p>
      <w:pPr>
        <w:spacing w:after="0" w:line="1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and fourth quarters of fiscal 2020, we announced several organizational restructuring initiatives which included a reorganization of staffing models across multiple functions to drive labor savings and increase efficiencies, the consolidation of certain functions into our corporate headquarters in Atlanta, Georgia, and over 100 planned store closures by the end of fiscal 2021. In conjunction with these initiatives, we incurred restructuring-related charges of approximately $16.6 million for fiscal 2020. The Company paid approximately $4.3 million in severance and other termination benefits during fiscal 2020. As of January 2, 2021, we had approximately $7.7 million in reserves primarily related to severance and other termination benefits expected to be paid in fiscal 2021. We expect to incur additional restructuring-related charges of approximately $2.0 million to $3.0 million through fiscal 2021. These charges primarily relate to accelerated depreciation and severance.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On February 13, 2020, our Board of Directors authorized an additional $500 million of share repurchases, for total authorizations, inclusive of authorizations prior to 2019, of up to $1.96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Open-market repurchases of our common stock during fiscal years 2020 and 2019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For the fiscal year ended</w:t>
            </w: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2,107,472</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45,255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196,910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r>
    </w:tbl>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total remaining capacity under outstanding repurchase authorizations as of January 2, 2021 was approximately $650.4 million, based on settled repurchase transactions. The share repurchase authorizations have no expiration dates.</w:t>
      </w:r>
    </w:p>
    <w:p>
      <w:pPr>
        <w:spacing w:after="0" w:line="13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On March 26, 2020, we announced that, in connection with the COVID-19 pandemic, we suspended our common stock share repurchase program. While we may elect to resume purchases at any time, the timing and amount of any future repurchases will be determined by the Company based on a number of factors, including restrictions under our revolving credit facility, on our evaluation of market conditions, share price, and other investment priorities.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paid a cash dividend of $0.60 per share in the first quarter of fiscal 2020. On May 1, 2020, in connection with the COVID-19 pandemic, we suspended our quarterly cash dividend. The Board of Directors will evaluate future dividend declarations based on a number of factors, including restrictions under our revolving credit facility, business conditions, our financial performance, and other considerations. We paid a quarterly cash dividend of $0.50 per share in each quarter of fiscal 2019. The dividends were paid during the fiscal quarter in which they were declared.</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Provisions in our secured revolving credit facility have the effect of restricting our ability to pay cash dividends on, or make future repurchases of, our common stock through the date we deliver our financial statements and associated certificates relating to the third fiscal quarter of 2021, and could have the effect of restricting our ability to do so thereafter, as described in Item 8 “Financial Statements and Supplementary Data” under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Commitments</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as of January 2, 2021, the maturity or expiration dates of mandatory contractual obligations and commitments for the following fiscal years: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line="216" w:lineRule="exact"/>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306,563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808,654</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obligations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161,140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2,115,890</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Letters of credit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5,018</w:t>
            </w:r>
          </w:p>
        </w:tc>
        <w:tc>
          <w:tcPr>
            <w:tcW w:w="0" w:type="dxa"/>
            <w:vAlign w:val="bottom"/>
          </w:tcPr>
          <w:p>
            <w:pPr>
              <w:spacing w:after="0"/>
              <w:rPr>
                <w:sz w:val="1"/>
                <w:szCs w:val="1"/>
                <w:color w:val="auto"/>
              </w:rPr>
            </w:pPr>
          </w:p>
        </w:tc>
      </w:tr>
      <w:tr>
        <w:trPr>
          <w:trHeight w:val="145"/>
        </w:trPr>
        <w:tc>
          <w:tcPr>
            <w:tcW w:w="330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color w:val="auto"/>
              </w:rPr>
              <w:t>Total financial obligations and commitments</w:t>
            </w:r>
            <w:r>
              <w:rPr>
                <w:rFonts w:ascii="Arial" w:cs="Arial" w:eastAsia="Arial" w:hAnsi="Arial"/>
                <w:sz w:val="16"/>
                <w:szCs w:val="16"/>
                <w:color w:val="auto"/>
                <w:vertAlign w:val="superscript"/>
              </w:rPr>
              <w:t>(3)(4)</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267,688</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215,206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186,482</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161,140</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619,009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671,383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2,120,908</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(5)</w:t>
            </w: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i) a fixed interest rate of 5.500% for the senior notes due 2025, and ii) a fixed interest rate of 5.625% for the senior notes due 2027.</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minimum lease obligation includes all lease and non-lease components that were included in the measurement of the lease liability.</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table above excludes our reserves for income taxes, as we are unable to reasonably predict the ultimate amount or timing of settlement.</w:t>
      </w:r>
    </w:p>
    <w:p>
      <w:pPr>
        <w:spacing w:after="0" w:line="55" w:lineRule="exact"/>
        <w:rPr>
          <w:rFonts w:ascii="Arial" w:cs="Arial" w:eastAsia="Arial" w:hAnsi="Arial"/>
          <w:sz w:val="14"/>
          <w:szCs w:val="14"/>
          <w:color w:val="auto"/>
        </w:rPr>
      </w:pPr>
    </w:p>
    <w:p>
      <w:pPr>
        <w:ind w:left="340" w:right="120" w:hanging="332"/>
        <w:spacing w:after="0" w:line="273"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table above excludes purchase obligations. Our estimate as of January 2, 2021 for commitments to purchase inventory in the normal course of business, which are cancellable (with or without penalty, depending on the stage of production) and span a period of one year or less, was between $300 million and $400 million.</w:t>
      </w:r>
    </w:p>
    <w:p>
      <w:pPr>
        <w:spacing w:after="0" w:line="11" w:lineRule="exact"/>
        <w:rPr>
          <w:rFonts w:ascii="Arial" w:cs="Arial" w:eastAsia="Arial" w:hAnsi="Arial"/>
          <w:sz w:val="14"/>
          <w:szCs w:val="14"/>
          <w:color w:val="auto"/>
        </w:rPr>
      </w:pPr>
    </w:p>
    <w:p>
      <w:pPr>
        <w:ind w:left="340" w:right="280" w:hanging="332"/>
        <w:spacing w:after="0" w:line="257"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table above excludes any potential future Company funding for obligations under our defined benefit retirement plans. Our estimates of such obligations as of January 2, 2021 have been determined in accordance with U.S. GAAP and are included in other current liabilities and other long-term liabilities on our consolidated balance sheet, as described in Item 8 “Financial Statements and Supplementary Data” under Note 11, Employee Benefit Plans,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10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Allowance</w:t>
      </w:r>
    </w:p>
    <w:p>
      <w:pPr>
        <w:spacing w:after="0" w:line="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the beginning of fiscal 2018, we adopted the provisions of Accounting Standards Codification (“ASC”) No. 606, Revenue from Contracts with Customers, and all related amendments (“ASC 606”) using the full retrospective adoption method.</w:t>
      </w:r>
    </w:p>
    <w:p>
      <w:pPr>
        <w:spacing w:after="0" w:line="14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right="140"/>
        <w:spacing w:after="0" w:line="259" w:lineRule="auto"/>
        <w:rPr>
          <w:sz w:val="20"/>
          <w:szCs w:val="20"/>
          <w:color w:val="auto"/>
        </w:rPr>
      </w:pPr>
      <w:r>
        <w:rPr>
          <w:rFonts w:ascii="Arial" w:cs="Arial" w:eastAsia="Arial" w:hAnsi="Arial"/>
          <w:sz w:val="18"/>
          <w:szCs w:val="18"/>
          <w:color w:val="auto"/>
        </w:rPr>
        <w:t>Our retail store revenues, also reported as Net sales, are recognized at the point of sale. Retail sales through our on-line channels are recognized at time of delivery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Our credit and collections department reviews all other balances regularly. Account balances are charged off against the allowance when it is probable that the receivable will not be recovered. Provisions for the allowance for expected credit losses are reflected in Selling, general and administrative expenses on our consolidated statement of operations and provisions for chargebacks are reflected as a reduction in Net sales on our consolidated statement of operations.</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 cooperative advertising arrangements with certain of our major wholesale customers at fair value. Fair value is determined based upon, among other factors, comparable market analysis for similar advertisements. We have included the fair value of these arrangements of approximately $0.5 million for fiscal 2020, $3.1 million for fiscal 2019, and $3.0 million for fiscal 2018 as a component of SG&amp;A expenses on our consolidated statements of operations, rather than as a reduction of net sales. Amounts determined to be in excess of the fair value of these arrangements are recorded as a reduction of net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circumstances, we do not allow our wholesale customers to return goods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0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goods sold when the related inventory item is sold. The Company also has minimum inventory purchase commitments, including fabric commitments, with our suppliers which secure a portion of our raw material needs for future seasons. In the event anticipated market sales prices are lower than these committed costs or customer orders are canceled, the Company records a reserve for these adverse inventory and fabric purchase commitments. Increases to this reserve are reflected in Costs of goods sold on our consolidated statement of operations. Due to the materiality of these charges in fiscal 2020, these charges have been presented separately on our consolidated statement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Tradename</w:t>
      </w:r>
    </w:p>
    <w:p>
      <w:pPr>
        <w:spacing w:after="0" w:line="1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Under a quantitative assessment for goodwill, we compare the fair value of a reporting unit to its carrying value, including goodwill. We use the income approach and the market approach to determine the fair value of a reporting unit. The assumptions used in these approaches include revenue growth and profitability, terminal values, discount rates, and an implied control premium. These assumptions are consistent with those we believe hypothetical marketplace participants would use.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impairment is recorded for any excess carrying value above the fair value of the reporting unit, not to exceed the carrying value of goodwill.</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revenue growth rates and selecting the appropriate terminal value, discount rate, and royalty rate.</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3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Due to the decrease in the Company’s market capitalization, lower than expected actual sales, and lower projected sales and profitability, primarily due to the impacts from the outbreak of COVID-19, the Company concluded that impairment indicators existed for the first quarter of fiscal 2020.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that was recorded in connection with the acquisition of OshKosh B’Gosh Inc. in July 2005 and Skip Hop Holdings, Inc. in February 2017, respectively.</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goodwill impairment assessment for the Other International reporting unit was performed in accordance with ASC 350, “Intangibles--Goodwill and Other” (“ASC 350”) and compares the carrying value of the Other International reporting unit to its fair value. Consistent with prior practice, the fair value of the Other International reporting unit was determined using the income approach and the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 Mexico goodwill, respectively. The carrying value of the Company’s goodwill for the Other International reporting unit as of January 2, 2021 was $11.8 million.</w:t>
      </w:r>
    </w:p>
    <w:p>
      <w:pPr>
        <w:spacing w:after="0" w:line="16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 xml:space="preserve">OshKosh </w:t>
      </w:r>
      <w:r>
        <w:rPr>
          <w:rFonts w:ascii="Arial" w:cs="Arial" w:eastAsia="Arial" w:hAnsi="Arial"/>
          <w:sz w:val="16"/>
          <w:szCs w:val="16"/>
          <w:color w:val="auto"/>
        </w:rPr>
        <w:t>and</w:t>
      </w:r>
      <w:r>
        <w:rPr>
          <w:rFonts w:ascii="Arial" w:cs="Arial" w:eastAsia="Arial" w:hAnsi="Arial"/>
          <w:sz w:val="16"/>
          <w:szCs w:val="16"/>
          <w:i w:val="1"/>
          <w:iCs w:val="1"/>
          <w:color w:val="auto"/>
        </w:rPr>
        <w:t xml:space="preserve"> Skip Hop </w:t>
      </w:r>
      <w:r>
        <w:rPr>
          <w:rFonts w:ascii="Arial" w:cs="Arial" w:eastAsia="Arial" w:hAnsi="Arial"/>
          <w:sz w:val="16"/>
          <w:szCs w:val="16"/>
          <w:color w:val="auto"/>
        </w:rPr>
        <w:t>tradename assets, respectively. The charge recorded on our indefinite-lived</w:t>
      </w:r>
      <w:r>
        <w:rPr>
          <w:rFonts w:ascii="Arial" w:cs="Arial" w:eastAsia="Arial" w:hAnsi="Arial"/>
          <w:sz w:val="16"/>
          <w:szCs w:val="16"/>
          <w:i w:val="1"/>
          <w:iCs w:val="1"/>
          <w:color w:val="auto"/>
        </w:rPr>
        <w:t xml:space="preserve"> OshKosh </w:t>
      </w:r>
      <w:r>
        <w:rPr>
          <w:rFonts w:ascii="Arial" w:cs="Arial" w:eastAsia="Arial" w:hAnsi="Arial"/>
          <w:sz w:val="16"/>
          <w:szCs w:val="16"/>
          <w:color w:val="auto"/>
        </w:rPr>
        <w:t>tradename asset included charges of</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values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as of January 2, 2021 were $70.0 million and $15.0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2019, the Company’s Skip Hop business experienced lower than expected actual and projected sales and profitability due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lower domestic demand, including the loss of a significant customer that declared bankruptcy (Toys “R” Us), lower international demand and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costs primarily driven by tariffs imposed on products sourced from China. As a result, the Company conducted an interim impairment assessment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third quarter of fiscal 2019 on the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that was recorded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Skip Hop Holdings, Inc. in February 2017. The indefinite-lived tradename asset assessment was performed in accordance with ASC 350,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and was determined using a discounted cash flow analysis which examined the hypothetical cost savings that accrue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our ownership of the tradename. Based on this assessment, a charge of $30.8 million was recorded during the third quarter of fiscal 2019 on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charge included charges of $19.1 million, $10.5 million, and $1.2 million in the U.S. Wholesale,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1" w:name="page42"/>
    <w:bookmarkEnd w:id="41"/>
    <w:p>
      <w:pPr>
        <w:ind w:right="20"/>
        <w:spacing w:after="0" w:line="291" w:lineRule="auto"/>
        <w:rPr>
          <w:sz w:val="20"/>
          <w:szCs w:val="20"/>
          <w:color w:val="auto"/>
        </w:rPr>
      </w:pPr>
      <w:r>
        <w:rPr>
          <w:rFonts w:ascii="Arial" w:cs="Arial" w:eastAsia="Arial" w:hAnsi="Arial"/>
          <w:sz w:val="16"/>
          <w:szCs w:val="16"/>
          <w:color w:val="auto"/>
        </w:rPr>
        <w:t xml:space="preserve">Based upon our most recent annual assessment, performed as of January 2, 2021, there were no further impairments in the values of goodwill or indefinite-lived or definite-lived intangible assets. This annual assessment indicated that each reporting unit’s fair value exceeded its carrying value by at least 53%. The annual assessment also indicated that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assets’ fair value exceeded its carrying value by approximately 10% and 40%, respectively. Sensitivity tests on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indefinite-lived tradename asset showed that a 100 basis point increase in the discount rate, a 10% decrease in forecasted revenues, or a 25 basis point decrease in the royalty rate was needed to change the conclusion. Although the Company determined that no further impairment exists for the Company’s goodwill or indefinite-lived or definite-lived intangible assets, these assets could be at risk for impairment should global economic conditions continue to deteriorate as a result of COVID-19.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08"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related to unrecognized tax benefits is recognized as a component of interest expense and associated penalties related to unrecognized tax benefits are recognized as a component of income tax expense.</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also assess permanent and temporary differences resulting from differing basis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3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For current and deferred tax provisions, ASC 740 requires entities to account for the effects of new income tax legislation in the same reporting period that the tax legislation is enacted. Changes to tax laws known as the U.S. Tax Cuts and Jobs Act of 2017 (the “2017 Tax Act”) were enacted on December 22, 2017. SEC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permitted the Company to calculate and recognize provisional tax estimates for the fourth quarter of fiscal 2017 related to the enactment of the 2017 Tax Act. The Company completed its assessment of the implications of the 2017 Tax Act in 2018. The adjustment to income tax expense recorded in 2018 was not material. Additional information is contained in Item 8 “Financial Statements and Supplementary Data” under Note 12, </w:t>
      </w:r>
      <w:r>
        <w:rPr>
          <w:rFonts w:ascii="Arial" w:cs="Arial" w:eastAsia="Arial" w:hAnsi="Arial"/>
          <w:sz w:val="16"/>
          <w:szCs w:val="16"/>
          <w:i w:val="1"/>
          <w:iCs w:val="1"/>
          <w:color w:val="auto"/>
        </w:rPr>
        <w:t>Income Taxes</w:t>
      </w:r>
      <w:r>
        <w:rPr>
          <w:rFonts w:ascii="Arial" w:cs="Arial" w:eastAsia="Arial" w:hAnsi="Arial"/>
          <w:sz w:val="16"/>
          <w:szCs w:val="16"/>
          <w:color w:val="auto"/>
        </w:rPr>
        <w:t>, to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functional currency of substantially all of our foreign operations is the local currency.</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2" w:name="page43"/>
    <w:bookmarkEnd w:id="42"/>
    <w:p>
      <w:pPr>
        <w:ind w:right="400"/>
        <w:spacing w:after="0" w:line="259" w:lineRule="auto"/>
        <w:rPr>
          <w:sz w:val="20"/>
          <w:szCs w:val="20"/>
          <w:color w:val="auto"/>
        </w:rPr>
      </w:pPr>
      <w:r>
        <w:rPr>
          <w:rFonts w:ascii="Arial" w:cs="Arial" w:eastAsia="Arial" w:hAnsi="Arial"/>
          <w:sz w:val="18"/>
          <w:szCs w:val="18"/>
          <w:color w:val="auto"/>
        </w:rPr>
        <w:t>Transaction gains and losses, such as those resulting from the settlement of nonfunctional currency receivables and payables, including intercompany balances, are included in Other expense (income), net in our consolidated statements of operations. Additionally, payable and receivable balances denominated in nonfunctional currencies are marked-to-market at the end of each reporting period, and the gain or loss is recognized in Other expense (income), net in our consolidated statements of operations.</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overall strategy to manage the level of exposure to the risk of foreign currency exchange rate fluctuations, primarily between the U.S. dollar and the currencies of Canada and Mexico, we may use foreign currency forward contracts to hedge purchases that are made in U.S. dollars, primarily for inventory purchases in our Canadian and Mexican businesses. As part of a hedging strategy, we may use foreign currency forward exchange contracts that typically have maturities of less than 12 months and provide continuing coverage throughout the hedging period. Historically, these contracts have not been designated for hedge accounting treatment, and therefore changes in the fair value of these contracts were recorded in our consolidated statement of operations. Such foreign currency gains and losses include the mark-to-market fair value adjustments at the end of each reporting period related to any open contracts, as well as any realized gains and losses on contracts settled during the reporting period. Fair values for open contracts are calculated by using readily observable market inputs (market-quoted currency exchange rates), classified as Level 2 within the fair value hierarchy. At January 2, 2021, there were no unsettled foreign currency forward contracts.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deferred gains and losses in Accumulated other comprehensive income (loss) within stockholder’s equity. Deferred gains and losses that exceed 10% of the greater of the plan’s projected benefit obligations or market value of assets are amortized to earnings over the estimated service life of the remaining plan participants.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Any future obligation under our pension plan not funded from investment returns on plan assets are expected to be funded from cash flows from operations.</w:t>
      </w:r>
    </w:p>
    <w:p>
      <w:pPr>
        <w:spacing w:after="0" w:line="20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49" w:lineRule="exact"/>
        <w:rPr>
          <w:sz w:val="20"/>
          <w:szCs w:val="20"/>
          <w:color w:val="auto"/>
        </w:rPr>
      </w:pPr>
    </w:p>
    <w:p>
      <w:pPr>
        <w:ind w:left="660" w:right="38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 This is a measure of the amount by which a stock price has fluctuated or is expected to fluctuate. We use actual monthly historical changes in the market value of our stock covering the expected life of stock options being valued. An increase in the expected volatility will increase the fair value of the stock option and related compensation expense.</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48" w:lineRule="exact"/>
        <w:rPr>
          <w:rFonts w:ascii="Arial" w:cs="Arial" w:eastAsia="Arial" w:hAnsi="Arial"/>
          <w:sz w:val="18"/>
          <w:szCs w:val="18"/>
          <w:color w:val="auto"/>
        </w:rPr>
      </w:pPr>
    </w:p>
    <w:p>
      <w:pPr>
        <w:ind w:left="660" w:right="38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6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Dividend yield – We estimate a dividend yield based on the current dividend amount as a percentage of our current stock price. An increase in the dividend yield will decrease the fair value of the stock option and related stock-based compensation expense.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Forfeitures – We estimate forfeitures of stock-based awards based on historical experience and expected future activity.</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ind w:right="20"/>
        <w:spacing w:after="0" w:line="263" w:lineRule="auto"/>
        <w:rPr>
          <w:sz w:val="20"/>
          <w:szCs w:val="20"/>
          <w:color w:val="auto"/>
        </w:rPr>
      </w:pPr>
      <w:r>
        <w:rPr>
          <w:rFonts w:ascii="Arial" w:cs="Arial" w:eastAsia="Arial" w:hAnsi="Arial"/>
          <w:sz w:val="18"/>
          <w:szCs w:val="18"/>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153" w:lineRule="exact"/>
        <w:rPr>
          <w:sz w:val="20"/>
          <w:szCs w:val="20"/>
          <w:color w:val="auto"/>
        </w:rPr>
      </w:pPr>
    </w:p>
    <w:p>
      <w:pPr>
        <w:ind w:right="3780"/>
        <w:spacing w:after="0" w:line="354" w:lineRule="auto"/>
        <w:rPr>
          <w:sz w:val="20"/>
          <w:szCs w:val="20"/>
          <w:color w:val="auto"/>
        </w:rPr>
      </w:pPr>
      <w:r>
        <w:rPr>
          <w:rFonts w:ascii="Arial" w:cs="Arial" w:eastAsia="Arial" w:hAnsi="Arial"/>
          <w:sz w:val="18"/>
          <w:szCs w:val="18"/>
          <w:b w:val="1"/>
          <w:bCs w:val="1"/>
          <w:color w:val="auto"/>
        </w:rPr>
        <w:t>ITEM 7A. QUANTITATIVE AND QUALITATIVE DISCLOSURES ABOUT MARKET RISK Currency and Interest Rate Risks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2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fiscal 2020, compared to fiscal 2019, negatively affected our International segment's net sales by approximately $4.7 million.</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may use foreign currency forward exchange contracts with maturities of less than 12 months to provide coverage throughout the hedging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 variable interest rates. Weighted-average variable rate borrowings for the fiscal year ended January 2, 2021 were $212.2 million. An increase or decrease of 1% in the effective interest rate on that amount would have increased or decreased our annual pretax interest cost for fiscal 2020 by approximately $2.1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CARTER’S, INC.</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49"/>
        </w:trPr>
        <w:tc>
          <w:tcPr>
            <w:tcW w:w="8180" w:type="dxa"/>
            <w:vAlign w:val="bottom"/>
            <w:gridSpan w:val="9"/>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Report of Independent Registered Public Accounting Firm</w:t>
              </w:r>
            </w:hyperlink>
          </w:p>
        </w:tc>
        <w:tc>
          <w:tcPr>
            <w:tcW w:w="660" w:type="dxa"/>
            <w:vAlign w:val="bottom"/>
            <w:gridSpan w:val="2"/>
          </w:tcPr>
          <w:p>
            <w:pPr>
              <w:jc w:val="center"/>
              <w:ind w:left="230"/>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190"/>
        </w:trPr>
        <w:tc>
          <w:tcPr>
            <w:tcW w:w="8180" w:type="dxa"/>
            <w:vAlign w:val="bottom"/>
            <w:gridSpan w:val="9"/>
          </w:tcPr>
          <w:p>
            <w:pPr>
              <w:spacing w:after="0" w:line="190" w:lineRule="exact"/>
              <w:rPr>
                <w:sz w:val="20"/>
                <w:szCs w:val="20"/>
                <w:color w:val="auto"/>
              </w:rPr>
            </w:pPr>
            <w:r>
              <w:rPr>
                <w:rFonts w:ascii="Arial" w:cs="Arial" w:eastAsia="Arial" w:hAnsi="Arial"/>
                <w:sz w:val="18"/>
                <w:szCs w:val="18"/>
                <w:color w:val="0000FF"/>
              </w:rPr>
              <w:t>Consolidated Balance Sheets at January 2, 2021 and December 28, 2019</w:t>
            </w:r>
          </w:p>
        </w:tc>
        <w:tc>
          <w:tcPr>
            <w:tcW w:w="660" w:type="dxa"/>
            <w:vAlign w:val="bottom"/>
            <w:gridSpan w:val="2"/>
          </w:tcPr>
          <w:p>
            <w:pPr>
              <w:jc w:val="center"/>
              <w:ind w:left="230"/>
              <w:spacing w:after="0" w:line="190" w:lineRule="exact"/>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9"/>
          </w:tcPr>
          <w:p>
            <w:pPr>
              <w:spacing w:after="0"/>
              <w:rPr>
                <w:sz w:val="20"/>
                <w:szCs w:val="20"/>
                <w:color w:val="auto"/>
              </w:rPr>
            </w:pPr>
            <w:r>
              <w:rPr>
                <w:rFonts w:ascii="Arial" w:cs="Arial" w:eastAsia="Arial" w:hAnsi="Arial"/>
                <w:sz w:val="18"/>
                <w:szCs w:val="18"/>
                <w:color w:val="0000FF"/>
                <w:w w:val="94"/>
              </w:rPr>
              <w:t>Consolidated Statements of Operations for the fiscal years ended January 2, 2021, December 28, 2019, and</w:t>
            </w:r>
          </w:p>
        </w:tc>
        <w:tc>
          <w:tcPr>
            <w:tcW w:w="660" w:type="dxa"/>
            <w:vAlign w:val="bottom"/>
            <w:gridSpan w:val="2"/>
            <w:vMerge w:val="restart"/>
          </w:tcPr>
          <w:p>
            <w:pPr>
              <w:jc w:val="center"/>
              <w:ind w:left="2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156"/>
        </w:trPr>
        <w:tc>
          <w:tcPr>
            <w:tcW w:w="77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December 29, 2018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9"/>
          </w:tcPr>
          <w:p>
            <w:pPr>
              <w:spacing w:after="0"/>
              <w:rPr>
                <w:sz w:val="20"/>
                <w:szCs w:val="20"/>
                <w:color w:val="auto"/>
              </w:rPr>
            </w:pPr>
            <w:r>
              <w:rPr>
                <w:rFonts w:ascii="Arial" w:cs="Arial" w:eastAsia="Arial" w:hAnsi="Arial"/>
                <w:sz w:val="18"/>
                <w:szCs w:val="18"/>
                <w:color w:val="0000FF"/>
                <w:w w:val="92"/>
              </w:rPr>
              <w:t>Consolidated Statements of Comprehensive Income for the fiscal years ended January 2, 2021, December 28,</w:t>
            </w:r>
          </w:p>
        </w:tc>
        <w:tc>
          <w:tcPr>
            <w:tcW w:w="660" w:type="dxa"/>
            <w:vAlign w:val="bottom"/>
            <w:gridSpan w:val="2"/>
            <w:vMerge w:val="restart"/>
          </w:tcPr>
          <w:p>
            <w:pPr>
              <w:jc w:val="center"/>
              <w:ind w:left="23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48</w:t>
              </w:r>
            </w:hyperlink>
          </w:p>
        </w:tc>
        <w:tc>
          <w:tcPr>
            <w:tcW w:w="0" w:type="dxa"/>
            <w:vAlign w:val="bottom"/>
          </w:tcPr>
          <w:p>
            <w:pPr>
              <w:spacing w:after="0"/>
              <w:rPr>
                <w:sz w:val="1"/>
                <w:szCs w:val="1"/>
                <w:color w:val="auto"/>
              </w:rPr>
            </w:pPr>
          </w:p>
        </w:tc>
      </w:tr>
      <w:tr>
        <w:trPr>
          <w:trHeight w:val="156"/>
        </w:trPr>
        <w:tc>
          <w:tcPr>
            <w:tcW w:w="21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7"/>
              </w:rPr>
              <w:t>2019, and December 29, 2018</w:t>
            </w:r>
          </w:p>
        </w:tc>
        <w:tc>
          <w:tcPr>
            <w:tcW w:w="5720" w:type="dxa"/>
            <w:vAlign w:val="bottom"/>
            <w:tcBorders>
              <w:top w:val="single" w:sz="8" w:color="0000FF"/>
            </w:tcBorders>
            <w:gridSpan w:val="6"/>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180" w:type="dxa"/>
            <w:vAlign w:val="bottom"/>
            <w:gridSpan w:val="9"/>
          </w:tcPr>
          <w:p>
            <w:pPr>
              <w:spacing w:after="0"/>
              <w:rPr>
                <w:sz w:val="20"/>
                <w:szCs w:val="20"/>
                <w:color w:val="auto"/>
              </w:rPr>
            </w:pPr>
            <w:r>
              <w:rPr>
                <w:rFonts w:ascii="Arial" w:cs="Arial" w:eastAsia="Arial" w:hAnsi="Arial"/>
                <w:sz w:val="18"/>
                <w:szCs w:val="18"/>
                <w:color w:val="0000FF"/>
                <w:w w:val="93"/>
              </w:rPr>
              <w:t>Consolidated Statements of Cash Flows for the fiscal years ended January 2, 2021, December 28, 2019, and</w:t>
            </w:r>
          </w:p>
        </w:tc>
        <w:tc>
          <w:tcPr>
            <w:tcW w:w="660" w:type="dxa"/>
            <w:vAlign w:val="bottom"/>
            <w:gridSpan w:val="2"/>
            <w:vMerge w:val="restart"/>
          </w:tcPr>
          <w:p>
            <w:pPr>
              <w:jc w:val="center"/>
              <w:ind w:left="23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49</w:t>
              </w:r>
            </w:hyperlink>
          </w:p>
        </w:tc>
        <w:tc>
          <w:tcPr>
            <w:tcW w:w="0" w:type="dxa"/>
            <w:vAlign w:val="bottom"/>
          </w:tcPr>
          <w:p>
            <w:pPr>
              <w:spacing w:after="0"/>
              <w:rPr>
                <w:sz w:val="1"/>
                <w:szCs w:val="1"/>
                <w:color w:val="auto"/>
              </w:rPr>
            </w:pPr>
          </w:p>
        </w:tc>
      </w:tr>
      <w:tr>
        <w:trPr>
          <w:trHeight w:val="156"/>
        </w:trPr>
        <w:tc>
          <w:tcPr>
            <w:tcW w:w="776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December 29, 2018</w:t>
            </w:r>
          </w:p>
        </w:tc>
        <w:tc>
          <w:tcPr>
            <w:tcW w:w="420" w:type="dxa"/>
            <w:vAlign w:val="bottom"/>
            <w:gridSpan w:val="2"/>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9"/>
          </w:tcPr>
          <w:p>
            <w:pPr>
              <w:spacing w:after="0"/>
              <w:rPr>
                <w:sz w:val="20"/>
                <w:szCs w:val="20"/>
                <w:color w:val="auto"/>
              </w:rPr>
            </w:pPr>
            <w:r>
              <w:rPr>
                <w:rFonts w:ascii="Arial" w:cs="Arial" w:eastAsia="Arial" w:hAnsi="Arial"/>
                <w:sz w:val="18"/>
                <w:szCs w:val="18"/>
                <w:color w:val="0000FF"/>
                <w:w w:val="98"/>
              </w:rPr>
              <w:t>Consolidated Statements of Changes in Stockholders' Equity for the fiscal years ended January 2, 2021,</w:t>
            </w:r>
          </w:p>
        </w:tc>
        <w:tc>
          <w:tcPr>
            <w:tcW w:w="660" w:type="dxa"/>
            <w:vAlign w:val="bottom"/>
            <w:gridSpan w:val="2"/>
            <w:vMerge w:val="restart"/>
          </w:tcPr>
          <w:p>
            <w:pPr>
              <w:jc w:val="center"/>
              <w:ind w:left="23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50</w:t>
              </w:r>
            </w:hyperlink>
          </w:p>
        </w:tc>
        <w:tc>
          <w:tcPr>
            <w:tcW w:w="0" w:type="dxa"/>
            <w:vAlign w:val="bottom"/>
          </w:tcPr>
          <w:p>
            <w:pPr>
              <w:spacing w:after="0"/>
              <w:rPr>
                <w:sz w:val="1"/>
                <w:szCs w:val="1"/>
                <w:color w:val="auto"/>
              </w:rPr>
            </w:pPr>
          </w:p>
        </w:tc>
      </w:tr>
      <w:tr>
        <w:trPr>
          <w:trHeight w:val="156"/>
        </w:trPr>
        <w:tc>
          <w:tcPr>
            <w:tcW w:w="322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8"/>
              </w:rPr>
              <w:t>December 28, 2019, and December 29, 2018</w:t>
            </w:r>
          </w:p>
        </w:tc>
        <w:tc>
          <w:tcPr>
            <w:tcW w:w="4220" w:type="dxa"/>
            <w:vAlign w:val="bottom"/>
            <w:tcBorders>
              <w:top w:val="single" w:sz="8" w:color="0000FF"/>
            </w:tcBorders>
            <w:gridSpan w:val="2"/>
          </w:tcPr>
          <w:p>
            <w:pPr>
              <w:spacing w:after="0"/>
              <w:rPr>
                <w:sz w:val="13"/>
                <w:szCs w:val="13"/>
                <w:color w:val="auto"/>
              </w:rPr>
            </w:pPr>
          </w:p>
        </w:tc>
        <w:tc>
          <w:tcPr>
            <w:tcW w:w="740" w:type="dxa"/>
            <w:vAlign w:val="bottom"/>
            <w:gridSpan w:val="4"/>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180" w:type="dxa"/>
            <w:vAlign w:val="bottom"/>
            <w:gridSpan w:val="9"/>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660" w:type="dxa"/>
            <w:vAlign w:val="bottom"/>
            <w:gridSpan w:val="2"/>
          </w:tcPr>
          <w:p>
            <w:pPr>
              <w:jc w:val="center"/>
              <w:ind w:left="230"/>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Carter’s,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0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Carter’s, Inc. and its subsidiaries (the “Company”) as of January 2, 2021 and December 28, 2019, and the related consolidated statements of operations, of comprehensive income, of changes in stockholders’ equity and of cash flows for each of the three years in the period ended January 2, 2021, including the related notes (collectively referred to as the “consolidated financial statements”). We also have audited the Company’s internal control over financial reporting as of January 2, 2021,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2, 2021 and December 28, 2019, and the results of its operations and its cash flows for each of the three years in the period ended January 2, 2021 in conformity with accounting principles generally accepted in the United States of America. Also in our opinion, the Company maintained, in all material respects, effective internal control over financial reporting as of January 2,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6" w:name="page47"/>
    <w:bookmarkEnd w:id="46"/>
    <w:p>
      <w:pPr>
        <w:ind w:right="300"/>
        <w:spacing w:after="0" w:line="263"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Tradename Impairment Assessment for Skip Hop and OshKosh</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As described in Notes 2 and 6 to the consolidated financial statements, the Company’s consolidated indefinite-lived tradename balance was $305.2 million as of January 2, 2021, which includes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of $70.0 million and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of $15.0 million. Management performs a review for potential impairment annually as of the last day of each fiscal year or whenever significant events or changes in circumstances indicate that the carrying value of the assets may not be recoverable. If the carrying amount exceeds the fair value of the tradename, an impairment charge is recognized in the amount of the excess. Due to the decrease in the Company’s market capitalization, lower than expected actual sales, and lower projected sales and profitability primarily due to the impacts from the outbreak of COVID-19, management concluded that impairment indicators existed for the first quarter of fiscal 2020. As a result, during the first quarter of fiscal 2020, management conducted an interim quantitative impairment assessment which indicated an impairment charge of $15.5 million and $11.0 million related to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respectively.</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determines fair value of the tradename using a discounted cash flow model that uses the relief- from-royalty method. Significant assumptions in the impairment model includes estimates of revenue growth rates, terminal value, discount rate, and royalty rate.</w:t>
      </w:r>
    </w:p>
    <w:p>
      <w:pPr>
        <w:spacing w:after="0" w:line="13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The principal considerations for our determination that performing procedures relating to the indefinite-lived tradename impairment assessment for </w:t>
      </w:r>
      <w:r>
        <w:rPr>
          <w:rFonts w:ascii="Arial" w:cs="Arial" w:eastAsia="Arial" w:hAnsi="Arial"/>
          <w:sz w:val="18"/>
          <w:szCs w:val="18"/>
          <w:i w:val="1"/>
          <w:iCs w:val="1"/>
          <w:color w:val="auto"/>
        </w:rPr>
        <w:t xml:space="preserve">OshKosh </w:t>
      </w:r>
      <w:r>
        <w:rPr>
          <w:rFonts w:ascii="Arial" w:cs="Arial" w:eastAsia="Arial" w:hAnsi="Arial"/>
          <w:sz w:val="18"/>
          <w:szCs w:val="18"/>
          <w:color w:val="auto"/>
        </w:rPr>
        <w:t>and</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is a critical audit matter are (i) the significant judgment by management when determining the fair value of the tradenames; (ii) a</w:t>
      </w:r>
      <w:r>
        <w:rPr>
          <w:rFonts w:ascii="Arial" w:cs="Arial" w:eastAsia="Arial" w:hAnsi="Arial"/>
          <w:sz w:val="18"/>
          <w:szCs w:val="18"/>
          <w:i w:val="1"/>
          <w:iCs w:val="1"/>
          <w:color w:val="auto"/>
        </w:rPr>
        <w:t xml:space="preserve"> </w:t>
      </w:r>
      <w:r>
        <w:rPr>
          <w:rFonts w:ascii="Arial" w:cs="Arial" w:eastAsia="Arial" w:hAnsi="Arial"/>
          <w:sz w:val="18"/>
          <w:szCs w:val="18"/>
          <w:color w:val="auto"/>
        </w:rPr>
        <w:t>high degree of auditor judgment, subjectivity, and effort in performing procedures and evaluating management’s significant assumptions related to estimates of revenue growth rates, terminal values, discount rates, and royalty rates; and (iii) the audit effort involved the use of professionals with specialized skill and knowledge.</w:t>
      </w:r>
    </w:p>
    <w:p>
      <w:pPr>
        <w:spacing w:after="0" w:line="14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indefinite- lived tradename impairment assessments, including controls over the valuation of the Company’s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indefinite-lived tradenames. These procedures also included, among others, (i) testing management’s process for determining the fair value estimate of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tradenames, (ii) evaluating the appropriateness of the relief-from-royalty method, (iii) testing the completeness and accuracy of underlying data used in the estimate, and (iv) evaluating the significant assumptions used by management related to revenue growth rates, terminal values, discount rates, and royalty rates. Evaluating management’s assumptions related to revenue growth rates involved evaluating whether the assumptions used by management were reasonable considering</w:t>
      </w:r>
    </w:p>
    <w:p>
      <w:pPr>
        <w:spacing w:after="0" w:line="2" w:lineRule="exact"/>
        <w:rPr>
          <w:sz w:val="20"/>
          <w:szCs w:val="20"/>
          <w:color w:val="auto"/>
        </w:rPr>
      </w:pPr>
    </w:p>
    <w:p>
      <w:pPr>
        <w:jc w:val="both"/>
        <w:ind w:right="60" w:firstLine="8"/>
        <w:spacing w:after="0" w:line="255"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and past performance of the tradename, (ii) the consistency with external market and industry data, and (iii) whether these assumptions were consistent with evidence obtained in other areas of the audit. Professionals with specialized skill and knowledge were used to assist in the evaluation of the Company’s relief-from-royalty method, terminal value, the discount rate, and royalty rate assumptions.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for Other International Reporting Unit</w:t>
      </w:r>
    </w:p>
    <w:p>
      <w:pPr>
        <w:spacing w:after="0" w:line="9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described in Notes 2 and 6 to the consolidated financial statements, the Company’s consolidated goodwill balance was $211.8 million as of January 2, 2021, and the goodwill associated with the Other International reporting unit was $11.5 million. Management performs a review for potential impairment annually as of the last day of each fiscal year or whenever significant events or changes in circumstances indicate that the carrying value of the assets may not be recoverable. If the carrying amount exceeds the fair value of the reporting unit, an impairment charge is recognized in the amount of the excess. Due to the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7" w:name="page48"/>
    <w:bookmarkEnd w:id="47"/>
    <w:p>
      <w:pPr>
        <w:ind w:right="40"/>
        <w:spacing w:after="0" w:line="273" w:lineRule="auto"/>
        <w:rPr>
          <w:sz w:val="20"/>
          <w:szCs w:val="20"/>
          <w:color w:val="auto"/>
        </w:rPr>
      </w:pPr>
      <w:r>
        <w:rPr>
          <w:rFonts w:ascii="Arial" w:cs="Arial" w:eastAsia="Arial" w:hAnsi="Arial"/>
          <w:sz w:val="17"/>
          <w:szCs w:val="17"/>
          <w:color w:val="auto"/>
        </w:rPr>
        <w:t>in the Company’s market capitalization, lower than expected actual sales, and lower projected sales and profitability primarily due to the impacts from the outbreak of a COVID-19, management concluded that impairment indicators existed for the first quarter of fiscal 2020. As a result, during the first quarter of fiscal 2020, management conducted an interim quantitative impairment assessment which indicated a goodwill impairment charge of the Other International reporting unit of $17.7 million. Management determines fair value of the reporting unit using a discounted cash flows (“income approach”) and relevant data from guideline public companies (“market approach”). Significant assumptions in the income approach includes estimates of revenue growth and profitability, terminal value, discount rate, and an implied control premium.</w:t>
      </w:r>
    </w:p>
    <w:p>
      <w:pPr>
        <w:spacing w:after="0" w:line="13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for the Other International reporting unit are (i) the significant judgment by management when determining the fair value measurement of the reporting unit; (ii) a high degree of auditor judgment, subjectivity, and effort in performing procedures and evaluating management’s significant assumptions related to estimates of revenue growth and profitability, terminal value, discount rate, and implied control premium; and (iii) the audit effort involved the use of professionals with specialized skill and knowledge.</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Other International reporting unit. These procedures also included, among others, (i) testing management’s process for determining the fair value estimate of the Other International reporting unit, (ii) evaluating the appropriateness of the income and market approaches, (iii) testing the completeness and accuracy of underlying data used in the estimate, and (iv) evaluating the reasonableness of significant assumptions related to revenue growth and profitability, terminal value, discount rate and implied control premium. Evaluating management’s assumptions related to revenue growth and profitability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income and market approaches and the terminal value, discount rate, and implied control premium assumptions.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5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(dollars in thousands, except for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28, 2019</w:t>
            </w:r>
          </w:p>
        </w:tc>
        <w:tc>
          <w:tcPr>
            <w:tcW w:w="0" w:type="dxa"/>
            <w:vAlign w:val="bottom"/>
          </w:tcPr>
          <w:p>
            <w:pPr>
              <w:spacing w:after="0"/>
              <w:rPr>
                <w:sz w:val="1"/>
                <w:szCs w:val="1"/>
                <w:color w:val="auto"/>
              </w:rPr>
            </w:pP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214,311</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 of allowance for credit losses of $5,940 and $6,354, respectively</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186,512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251,005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Finished goods inventories, net of inventory reserves of $14,206 and $9,283, respectively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593,987</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48,454</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1,946,024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1,107,757</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262,345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320,168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687,024</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Tradenames,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307,893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334,642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229,026</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41,126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33,374</w:t>
            </w:r>
          </w:p>
        </w:tc>
        <w:tc>
          <w:tcPr>
            <w:tcW w:w="0" w:type="dxa"/>
            <w:vAlign w:val="bottom"/>
          </w:tcPr>
          <w:p>
            <w:pPr>
              <w:spacing w:after="0"/>
              <w:rPr>
                <w:sz w:val="1"/>
                <w:szCs w:val="1"/>
                <w:color w:val="auto"/>
              </w:rPr>
            </w:pPr>
          </w:p>
        </w:tc>
      </w:tr>
      <w:tr>
        <w:trPr>
          <w:trHeight w:val="207"/>
        </w:trPr>
        <w:tc>
          <w:tcPr>
            <w:tcW w:w="74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3,392,580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2,753,117</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472,140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183,641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operating lease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160,228</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131,631</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475,500</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594,672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74,370</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554,497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664,372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64,073</w:t>
            </w:r>
          </w:p>
        </w:tc>
        <w:tc>
          <w:tcPr>
            <w:tcW w:w="0" w:type="dxa"/>
            <w:vAlign w:val="bottom"/>
          </w:tcPr>
          <w:p>
            <w:pPr>
              <w:spacing w:after="0"/>
              <w:rPr>
                <w:sz w:val="1"/>
                <w:szCs w:val="1"/>
                <w:color w:val="auto"/>
              </w:rPr>
            </w:pPr>
          </w:p>
        </w:tc>
      </w:tr>
      <w:tr>
        <w:trPr>
          <w:trHeight w:val="207"/>
        </w:trPr>
        <w:tc>
          <w:tcPr>
            <w:tcW w:w="740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2,454,547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1,872,987</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 Note 18</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Preferred stock; par value $0.01 per share; 100,000 shares authorized; none issued or outstanding at January 2,</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and December 28, 2019</w:t>
            </w:r>
          </w:p>
        </w:tc>
        <w:tc>
          <w:tcPr>
            <w:tcW w:w="240" w:type="dxa"/>
            <w:vAlign w:val="bottom"/>
            <w:vMerge w:val="continue"/>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0" w:type="dxa"/>
            <w:vAlign w:val="bottom"/>
          </w:tcPr>
          <w:p>
            <w:pPr>
              <w:ind w:left="20"/>
              <w:spacing w:after="0" w:line="166" w:lineRule="exact"/>
              <w:rPr>
                <w:sz w:val="20"/>
                <w:szCs w:val="20"/>
                <w:color w:val="auto"/>
              </w:rPr>
            </w:pPr>
            <w:r>
              <w:rPr>
                <w:rFonts w:ascii="Arial" w:cs="Arial" w:eastAsia="Arial" w:hAnsi="Arial"/>
                <w:sz w:val="16"/>
                <w:szCs w:val="16"/>
                <w:color w:val="auto"/>
                <w:w w:val="93"/>
              </w:rPr>
              <w:t>Common stock, voting; par value $0.01 per share; 150,000,000 shares authorized; 43,780,075 and 43,963,103</w:t>
            </w: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shares issued and outstanding at January 2, 2021 and December 28, 2019, respectively</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(32,760)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(35,634)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915,324</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938,033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3,392,580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2,753,117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fiscal year ended</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158"/>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2"/>
          </w:tcPr>
          <w:p>
            <w:pPr>
              <w:jc w:val="center"/>
              <w:ind w:right="40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20" w:type="dxa"/>
            <w:vAlign w:val="bottom"/>
          </w:tcPr>
          <w:p>
            <w:pPr>
              <w:spacing w:after="0"/>
              <w:rPr>
                <w:sz w:val="13"/>
                <w:szCs w:val="13"/>
                <w:color w:val="auto"/>
              </w:rPr>
            </w:pPr>
          </w:p>
        </w:tc>
        <w:tc>
          <w:tcPr>
            <w:tcW w:w="1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December 28, 2019</w:t>
            </w:r>
          </w:p>
        </w:tc>
        <w:tc>
          <w:tcPr>
            <w:tcW w:w="220" w:type="dxa"/>
            <w:vAlign w:val="bottom"/>
          </w:tcPr>
          <w:p>
            <w:pPr>
              <w:spacing w:after="0"/>
              <w:rPr>
                <w:sz w:val="13"/>
                <w:szCs w:val="13"/>
                <w:color w:val="auto"/>
              </w:rPr>
            </w:pPr>
          </w:p>
        </w:tc>
        <w:tc>
          <w:tcPr>
            <w:tcW w:w="178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w w:val="98"/>
              </w:rPr>
              <w:t>December 29, 2018</w:t>
            </w:r>
          </w:p>
        </w:tc>
      </w:tr>
      <w:tr>
        <w:trPr>
          <w:trHeight w:val="213"/>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(53 weeks)</w:t>
            </w:r>
          </w:p>
        </w:tc>
        <w:tc>
          <w:tcPr>
            <w:tcW w:w="1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(52 weeks)</w:t>
            </w:r>
          </w:p>
        </w:tc>
        <w:tc>
          <w:tcPr>
            <w:tcW w:w="220" w:type="dxa"/>
            <w:vAlign w:val="bottom"/>
          </w:tcPr>
          <w:p>
            <w:pPr>
              <w:spacing w:after="0"/>
              <w:rPr>
                <w:sz w:val="18"/>
                <w:szCs w:val="18"/>
                <w:color w:val="auto"/>
              </w:rPr>
            </w:pPr>
          </w:p>
        </w:tc>
        <w:tc>
          <w:tcPr>
            <w:tcW w:w="1780" w:type="dxa"/>
            <w:vAlign w:val="bottom"/>
          </w:tcPr>
          <w:p>
            <w:pPr>
              <w:jc w:val="right"/>
              <w:ind w:right="559"/>
              <w:spacing w:after="0"/>
              <w:rPr>
                <w:sz w:val="20"/>
                <w:szCs w:val="20"/>
                <w:color w:val="auto"/>
              </w:rPr>
            </w:pPr>
            <w:r>
              <w:rPr>
                <w:rFonts w:ascii="Arial" w:cs="Arial" w:eastAsia="Arial" w:hAnsi="Arial"/>
                <w:sz w:val="16"/>
                <w:szCs w:val="16"/>
                <w:b w:val="1"/>
                <w:bCs w:val="1"/>
                <w:color w:val="auto"/>
              </w:rPr>
              <w:t>(52 weeks)</w:t>
            </w: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3,519,286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3,462,269</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1,696,224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2,008,630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1,962,113</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Adverse purchase commitments (inventory and raw materials), net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1,313,442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1,508,550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1,497,483</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38,930</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1,105,607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1,140,515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1,144,980</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impairment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391,433</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56,062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37,617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34,569</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1,416</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134,984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327,952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355,975</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73,907</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109,717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263,802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282,068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29"/>
        </w:trPr>
        <w:tc>
          <w:tcPr>
            <w:tcW w:w="50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For the fiscal year ended</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200" w:type="dxa"/>
            <w:vAlign w:val="bottom"/>
          </w:tcPr>
          <w:p>
            <w:pPr>
              <w:spacing w:after="0"/>
              <w:rPr>
                <w:sz w:val="13"/>
                <w:szCs w:val="13"/>
                <w:color w:val="auto"/>
              </w:rPr>
            </w:pPr>
          </w:p>
        </w:tc>
        <w:tc>
          <w:tcPr>
            <w:tcW w:w="17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December 28, 2019</w:t>
            </w:r>
          </w:p>
        </w:tc>
        <w:tc>
          <w:tcPr>
            <w:tcW w:w="180" w:type="dxa"/>
            <w:vAlign w:val="bottom"/>
          </w:tcPr>
          <w:p>
            <w:pPr>
              <w:spacing w:after="0"/>
              <w:rPr>
                <w:sz w:val="13"/>
                <w:szCs w:val="13"/>
                <w:color w:val="auto"/>
              </w:rPr>
            </w:pPr>
          </w:p>
        </w:tc>
        <w:tc>
          <w:tcPr>
            <w:tcW w:w="168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w w:val="95"/>
              </w:rPr>
              <w:t>December 29, 2018</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(53 weeks)</w:t>
            </w: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180" w:type="dxa"/>
            <w:vAlign w:val="bottom"/>
          </w:tcPr>
          <w:p>
            <w:pPr>
              <w:spacing w:after="0"/>
              <w:rPr>
                <w:sz w:val="18"/>
                <w:szCs w:val="18"/>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(52 weeks)</w:t>
            </w: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263,802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282,068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7"/>
              </w:rPr>
              <w:t>Unrealized (loss) gain on OshKosh defined benefit plan, net of tax benefit or</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8"/>
              </w:rPr>
              <w:t>(tax expense) of $680, $(230), and $80 for the fiscal years 2020, 2019, and</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180"/>
              <w:spacing w:after="0" w:line="166" w:lineRule="exact"/>
              <w:rPr>
                <w:sz w:val="20"/>
                <w:szCs w:val="20"/>
                <w:color w:val="auto"/>
              </w:rPr>
            </w:pPr>
            <w:r>
              <w:rPr>
                <w:rFonts w:ascii="Arial" w:cs="Arial" w:eastAsia="Arial" w:hAnsi="Arial"/>
                <w:sz w:val="16"/>
                <w:szCs w:val="16"/>
                <w:color w:val="auto"/>
                <w:w w:val="95"/>
              </w:rPr>
              <w:t>Unrealized (loss) gain on Carter's post-retirement benefit obligation, net of tax</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ind w:left="180"/>
              <w:spacing w:after="0" w:line="162" w:lineRule="exact"/>
              <w:rPr>
                <w:sz w:val="20"/>
                <w:szCs w:val="20"/>
                <w:color w:val="auto"/>
              </w:rPr>
            </w:pPr>
            <w:r>
              <w:rPr>
                <w:rFonts w:ascii="Arial" w:cs="Arial" w:eastAsia="Arial" w:hAnsi="Arial"/>
                <w:sz w:val="16"/>
                <w:szCs w:val="16"/>
                <w:color w:val="auto"/>
                <w:w w:val="92"/>
              </w:rPr>
              <w:t>benefit or (tax expense) of $39, $150, and $(70) for fiscal years 2020, 2019, and</w:t>
            </w: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9"/>
        </w:trPr>
        <w:tc>
          <w:tcPr>
            <w:tcW w:w="5440" w:type="dxa"/>
            <w:vAlign w:val="bottom"/>
          </w:tcPr>
          <w:p>
            <w:pPr>
              <w:ind w:left="180"/>
              <w:spacing w:after="0"/>
              <w:rPr>
                <w:sz w:val="20"/>
                <w:szCs w:val="20"/>
                <w:color w:val="auto"/>
              </w:rPr>
            </w:pPr>
            <w:r>
              <w:rPr>
                <w:rFonts w:ascii="Arial" w:cs="Arial" w:eastAsia="Arial" w:hAnsi="Arial"/>
                <w:sz w:val="16"/>
                <w:szCs w:val="16"/>
                <w:color w:val="auto"/>
              </w:rPr>
              <w:t>2018, respectively</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(11,679)</w:t>
            </w:r>
          </w:p>
        </w:tc>
        <w:tc>
          <w:tcPr>
            <w:tcW w:w="0" w:type="dxa"/>
            <w:vAlign w:val="bottom"/>
          </w:tcPr>
          <w:p>
            <w:pPr>
              <w:spacing w:after="0"/>
              <w:rPr>
                <w:sz w:val="1"/>
                <w:szCs w:val="1"/>
                <w:color w:val="auto"/>
              </w:rPr>
            </w:pPr>
          </w:p>
        </w:tc>
      </w:tr>
      <w:tr>
        <w:trPr>
          <w:trHeight w:val="207"/>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(11,746)</w:t>
            </w:r>
          </w:p>
        </w:tc>
        <w:tc>
          <w:tcPr>
            <w:tcW w:w="0" w:type="dxa"/>
            <w:vAlign w:val="bottom"/>
          </w:tcPr>
          <w:p>
            <w:pPr>
              <w:spacing w:after="0"/>
              <w:rPr>
                <w:sz w:val="1"/>
                <w:szCs w:val="1"/>
                <w:color w:val="auto"/>
              </w:rPr>
            </w:pPr>
          </w:p>
        </w:tc>
      </w:tr>
      <w:tr>
        <w:trPr>
          <w:trHeight w:val="23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270,322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0"/>
              </w:rPr>
              <w:t>For the fiscal year ended</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360"/>
              <w:spacing w:after="0" w:line="146" w:lineRule="exact"/>
              <w:rPr>
                <w:sz w:val="20"/>
                <w:szCs w:val="20"/>
                <w:color w:val="auto"/>
              </w:rPr>
            </w:pPr>
            <w:r>
              <w:rPr>
                <w:rFonts w:ascii="Arial" w:cs="Arial" w:eastAsia="Arial" w:hAnsi="Arial"/>
                <w:sz w:val="15"/>
                <w:szCs w:val="15"/>
                <w:b w:val="1"/>
                <w:bCs w:val="1"/>
                <w:color w:val="auto"/>
                <w:w w:val="93"/>
              </w:rPr>
              <w:t>January 2, 2021</w:t>
            </w:r>
          </w:p>
        </w:tc>
        <w:tc>
          <w:tcPr>
            <w:tcW w:w="100" w:type="dxa"/>
            <w:vAlign w:val="bottom"/>
          </w:tcPr>
          <w:p>
            <w:pPr>
              <w:spacing w:after="0"/>
              <w:rPr>
                <w:sz w:val="12"/>
                <w:szCs w:val="12"/>
                <w:color w:val="auto"/>
              </w:rPr>
            </w:pPr>
          </w:p>
        </w:tc>
        <w:tc>
          <w:tcPr>
            <w:tcW w:w="184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1"/>
              </w:rPr>
              <w:t>December 28, 2019</w:t>
            </w:r>
          </w:p>
        </w:tc>
        <w:tc>
          <w:tcPr>
            <w:tcW w:w="200" w:type="dxa"/>
            <w:vAlign w:val="bottom"/>
          </w:tcPr>
          <w:p>
            <w:pPr>
              <w:spacing w:after="0"/>
              <w:rPr>
                <w:sz w:val="12"/>
                <w:szCs w:val="12"/>
                <w:color w:val="auto"/>
              </w:rPr>
            </w:pPr>
          </w:p>
        </w:tc>
        <w:tc>
          <w:tcPr>
            <w:tcW w:w="1620" w:type="dxa"/>
            <w:vAlign w:val="bottom"/>
          </w:tcPr>
          <w:p>
            <w:pPr>
              <w:jc w:val="right"/>
              <w:ind w:right="224"/>
              <w:spacing w:after="0" w:line="146" w:lineRule="exact"/>
              <w:rPr>
                <w:sz w:val="20"/>
                <w:szCs w:val="20"/>
                <w:color w:val="auto"/>
              </w:rPr>
            </w:pPr>
            <w:r>
              <w:rPr>
                <w:rFonts w:ascii="Arial" w:cs="Arial" w:eastAsia="Arial" w:hAnsi="Arial"/>
                <w:sz w:val="15"/>
                <w:szCs w:val="15"/>
                <w:b w:val="1"/>
                <w:bCs w:val="1"/>
                <w:color w:val="auto"/>
                <w:w w:val="96"/>
              </w:rPr>
              <w:t>December 29, 2018</w:t>
            </w:r>
          </w:p>
        </w:tc>
        <w:tc>
          <w:tcPr>
            <w:tcW w:w="0" w:type="dxa"/>
            <w:vAlign w:val="bottom"/>
          </w:tcPr>
          <w:p>
            <w:pPr>
              <w:spacing w:after="0"/>
              <w:rPr>
                <w:sz w:val="1"/>
                <w:szCs w:val="1"/>
                <w:color w:val="auto"/>
              </w:rPr>
            </w:pPr>
          </w:p>
        </w:tc>
      </w:tr>
      <w:tr>
        <w:trPr>
          <w:trHeight w:val="200"/>
        </w:trPr>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(53 weeks)</w:t>
            </w:r>
          </w:p>
        </w:tc>
        <w:tc>
          <w:tcPr>
            <w:tcW w:w="10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(52 weeks)</w:t>
            </w:r>
          </w:p>
        </w:tc>
        <w:tc>
          <w:tcPr>
            <w:tcW w:w="200" w:type="dxa"/>
            <w:vAlign w:val="bottom"/>
          </w:tcPr>
          <w:p>
            <w:pPr>
              <w:spacing w:after="0"/>
              <w:rPr>
                <w:sz w:val="17"/>
                <w:szCs w:val="17"/>
                <w:color w:val="auto"/>
              </w:rPr>
            </w:pPr>
          </w:p>
        </w:tc>
        <w:tc>
          <w:tcPr>
            <w:tcW w:w="1620" w:type="dxa"/>
            <w:vAlign w:val="bottom"/>
          </w:tcPr>
          <w:p>
            <w:pPr>
              <w:jc w:val="right"/>
              <w:ind w:right="484"/>
              <w:spacing w:after="0"/>
              <w:rPr>
                <w:sz w:val="20"/>
                <w:szCs w:val="20"/>
                <w:color w:val="auto"/>
              </w:rPr>
            </w:pPr>
            <w:r>
              <w:rPr>
                <w:rFonts w:ascii="Arial" w:cs="Arial" w:eastAsia="Arial" w:hAnsi="Arial"/>
                <w:sz w:val="15"/>
                <w:szCs w:val="15"/>
                <w:b w:val="1"/>
                <w:bCs w:val="1"/>
                <w:color w:val="auto"/>
              </w:rPr>
              <w:t>(52 weeks)</w:t>
            </w:r>
          </w:p>
        </w:tc>
        <w:tc>
          <w:tcPr>
            <w:tcW w:w="0" w:type="dxa"/>
            <w:vAlign w:val="bottom"/>
          </w:tcPr>
          <w:p>
            <w:pPr>
              <w:spacing w:after="0"/>
              <w:rPr>
                <w:sz w:val="1"/>
                <w:szCs w:val="1"/>
                <w:color w:val="auto"/>
              </w:rPr>
            </w:pPr>
          </w:p>
        </w:tc>
      </w:tr>
      <w:tr>
        <w:trPr>
          <w:trHeight w:val="185"/>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109,717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263,802</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282,068</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Depreciation or property, plant, and equipment</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90,284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92,207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85,936</w:t>
            </w: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Amortization of intangible 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199"/>
        </w:trPr>
        <w:tc>
          <w:tcPr>
            <w:tcW w:w="5560" w:type="dxa"/>
            <w:vAlign w:val="bottom"/>
          </w:tcPr>
          <w:p>
            <w:pPr>
              <w:ind w:left="180"/>
              <w:spacing w:after="0"/>
              <w:rPr>
                <w:sz w:val="20"/>
                <w:szCs w:val="20"/>
                <w:color w:val="auto"/>
              </w:rPr>
            </w:pPr>
            <w:r>
              <w:rPr>
                <w:rFonts w:ascii="Arial" w:cs="Arial" w:eastAsia="Arial" w:hAnsi="Arial"/>
                <w:sz w:val="15"/>
                <w:szCs w:val="15"/>
                <w:color w:val="auto"/>
              </w:rPr>
              <w:t>Provisions for (recoveries of) excess and obsolete inventory, net</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4,866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5,791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(6,954)</w:t>
            </w: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Goodwill impairment</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560" w:type="dxa"/>
            <w:vAlign w:val="bottom"/>
          </w:tcPr>
          <w:p>
            <w:pPr>
              <w:ind w:left="180"/>
              <w:spacing w:after="0"/>
              <w:rPr>
                <w:sz w:val="20"/>
                <w:szCs w:val="20"/>
                <w:color w:val="auto"/>
              </w:rPr>
            </w:pPr>
            <w:r>
              <w:rPr>
                <w:rFonts w:ascii="Arial" w:cs="Arial" w:eastAsia="Arial" w:hAnsi="Arial"/>
                <w:sz w:val="15"/>
                <w:szCs w:val="15"/>
                <w:color w:val="auto"/>
              </w:rPr>
              <w:t>Intangible asset impairments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26,500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30,800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5560" w:type="dxa"/>
            <w:vAlign w:val="bottom"/>
            <w:shd w:val="clear" w:color="auto" w:fill="CCEEFF"/>
          </w:tcPr>
          <w:p>
            <w:pPr>
              <w:ind w:left="180"/>
              <w:spacing w:after="0" w:line="153" w:lineRule="exact"/>
              <w:rPr>
                <w:sz w:val="20"/>
                <w:szCs w:val="20"/>
                <w:color w:val="auto"/>
              </w:rPr>
            </w:pPr>
            <w:r>
              <w:rPr>
                <w:rFonts w:ascii="Arial" w:cs="Arial" w:eastAsia="Arial" w:hAnsi="Arial"/>
                <w:sz w:val="15"/>
                <w:szCs w:val="15"/>
                <w:color w:val="auto"/>
                <w:w w:val="94"/>
              </w:rPr>
              <w:t>Other asset impairments and loss on disposal of property, plant and equipment, net of</w:t>
            </w:r>
          </w:p>
        </w:tc>
        <w:tc>
          <w:tcPr>
            <w:tcW w:w="24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12,785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995</w:t>
            </w: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recoveries</w:t>
            </w:r>
          </w:p>
        </w:tc>
        <w:tc>
          <w:tcPr>
            <w:tcW w:w="24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Amortization of debt issuance costs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2,372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1,746</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Stock-based compensation expense</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14,673</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Unrealized foreign currency exchange loss (gain), net</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Provisions for doubtful (recoveries of) accounts receivable from customers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15,801</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Loss on extinguishment of debt</w:t>
            </w:r>
          </w:p>
        </w:tc>
        <w:tc>
          <w:tcPr>
            <w:tcW w:w="2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7,823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income tax (benefit)</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Effect of changes in operating assets and liabilities, net of acquisitions: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(34,448)</w:t>
            </w:r>
          </w:p>
        </w:tc>
        <w:tc>
          <w:tcPr>
            <w:tcW w:w="0" w:type="dxa"/>
            <w:vAlign w:val="bottom"/>
          </w:tcPr>
          <w:p>
            <w:pPr>
              <w:spacing w:after="0"/>
              <w:rPr>
                <w:sz w:val="1"/>
                <w:szCs w:val="1"/>
                <w:color w:val="auto"/>
              </w:rPr>
            </w:pPr>
          </w:p>
        </w:tc>
      </w:tr>
      <w:tr>
        <w:trPr>
          <w:trHeight w:val="198"/>
        </w:trPr>
        <w:tc>
          <w:tcPr>
            <w:tcW w:w="5560" w:type="dxa"/>
            <w:vAlign w:val="bottom"/>
          </w:tcPr>
          <w:p>
            <w:pPr>
              <w:ind w:left="360"/>
              <w:spacing w:after="0"/>
              <w:rPr>
                <w:sz w:val="20"/>
                <w:szCs w:val="20"/>
                <w:color w:val="auto"/>
              </w:rPr>
            </w:pPr>
            <w:r>
              <w:rPr>
                <w:rFonts w:ascii="Arial" w:cs="Arial" w:eastAsia="Arial" w:hAnsi="Arial"/>
                <w:sz w:val="15"/>
                <w:szCs w:val="15"/>
                <w:color w:val="auto"/>
              </w:rPr>
              <w:t>Finished goods inventories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(8,063)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(22,474)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(23,692)</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12,121</w:t>
            </w:r>
          </w:p>
        </w:tc>
        <w:tc>
          <w:tcPr>
            <w:tcW w:w="0" w:type="dxa"/>
            <w:vAlign w:val="bottom"/>
          </w:tcPr>
          <w:p>
            <w:pPr>
              <w:spacing w:after="0"/>
              <w:rPr>
                <w:sz w:val="1"/>
                <w:szCs w:val="1"/>
                <w:color w:val="auto"/>
              </w:rPr>
            </w:pPr>
          </w:p>
        </w:tc>
      </w:tr>
      <w:tr>
        <w:trPr>
          <w:trHeight w:val="198"/>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Accounts payable and other liabilities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284,824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4,982</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589,894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387,215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356,198</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(32,871)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(61,419)</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(63,783)</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Acquisitions of businesses, net of cash acquired</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Disposals and recoveries from property, plant, and equipment</w:t>
            </w:r>
          </w:p>
        </w:tc>
        <w:tc>
          <w:tcPr>
            <w:tcW w:w="2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(32,871)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(60,670)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(63,307)</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Proceeds from senior notes due 2025</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500,000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senior notes due 2027</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Payment of senior notes due 2021</w:t>
            </w:r>
          </w:p>
        </w:tc>
        <w:tc>
          <w:tcPr>
            <w:tcW w:w="2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Premiums paid to extinguish debt</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Payments of debt issuance costs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(7,639)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(5,793)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Borrowings under secured revolving credit facility</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290,000</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Payments on secured revolving credit facility</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(744,000)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(361,000)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(315,000)</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(196,910)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(193,028)</w:t>
            </w:r>
          </w:p>
        </w:tc>
        <w:tc>
          <w:tcPr>
            <w:tcW w:w="0" w:type="dxa"/>
            <w:vAlign w:val="bottom"/>
          </w:tcPr>
          <w:p>
            <w:pPr>
              <w:spacing w:after="0"/>
              <w:rPr>
                <w:sz w:val="1"/>
                <w:szCs w:val="1"/>
                <w:color w:val="auto"/>
              </w:rPr>
            </w:pPr>
          </w:p>
        </w:tc>
      </w:tr>
      <w:tr>
        <w:trPr>
          <w:trHeight w:val="198"/>
        </w:trPr>
        <w:tc>
          <w:tcPr>
            <w:tcW w:w="5560" w:type="dxa"/>
            <w:vAlign w:val="bottom"/>
          </w:tcPr>
          <w:p>
            <w:pPr>
              <w:ind w:left="180"/>
              <w:spacing w:after="0"/>
              <w:rPr>
                <w:sz w:val="20"/>
                <w:szCs w:val="20"/>
                <w:color w:val="auto"/>
              </w:rPr>
            </w:pPr>
            <w:r>
              <w:rPr>
                <w:rFonts w:ascii="Arial" w:cs="Arial" w:eastAsia="Arial" w:hAnsi="Arial"/>
                <w:sz w:val="15"/>
                <w:szCs w:val="15"/>
                <w:color w:val="auto"/>
              </w:rPr>
              <w:t>Dividends paid</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(26,260)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(89,591)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(83,717)</w:t>
            </w: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Withholdings from vesting of restricted stock</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(6,830)</w:t>
            </w:r>
          </w:p>
        </w:tc>
        <w:tc>
          <w:tcPr>
            <w:tcW w:w="0" w:type="dxa"/>
            <w:vAlign w:val="bottom"/>
          </w:tcPr>
          <w:p>
            <w:pPr>
              <w:spacing w:after="0"/>
              <w:rPr>
                <w:sz w:val="1"/>
                <w:szCs w:val="1"/>
                <w:color w:val="auto"/>
              </w:rPr>
            </w:pPr>
          </w:p>
        </w:tc>
      </w:tr>
      <w:tr>
        <w:trPr>
          <w:trHeight w:val="198"/>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Proceeds from exercise of stock options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14,490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10,597</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324,843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(283,384)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(298,946)</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effect of exchange rate changes on cash and cash equivalents</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(2,362)</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888,012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44,234</w:t>
            </w:r>
          </w:p>
        </w:tc>
        <w:tc>
          <w:tcPr>
            <w:tcW w:w="12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(8,417)</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fiscal year</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170,077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178,494</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Arial" w:cs="Arial" w:eastAsia="Arial" w:hAnsi="Arial"/>
                <w:sz w:val="15"/>
                <w:szCs w:val="15"/>
                <w:color w:val="auto"/>
              </w:rPr>
              <w:t>Cash and cash equivalents, end of fiscal year</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1,102,323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214,311</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170,077</w:t>
            </w: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2" w:name="page53"/>
    <w:bookmarkEnd w:id="52"/>
    <w:p>
      <w:pPr>
        <w:jc w:val="center"/>
        <w:ind w:right="-11"/>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(dollars in thousands)</w:t>
      </w:r>
    </w:p>
    <w:p>
      <w:pPr>
        <w:spacing w:after="0" w:line="49"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Common stock -</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stock -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30, 2017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47,178,346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886,037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857,416</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261,113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10,597</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 of restricted</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(57,554)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(6,830)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5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tcPr>
          <w:p>
            <w:pPr>
              <w:jc w:val="right"/>
              <w:spacing w:after="0"/>
              <w:rPr>
                <w:sz w:val="20"/>
                <w:szCs w:val="20"/>
                <w:color w:val="auto"/>
              </w:rPr>
            </w:pPr>
            <w:r>
              <w:rPr>
                <w:rFonts w:ascii="Arial" w:cs="Arial" w:eastAsia="Arial" w:hAnsi="Arial"/>
                <w:sz w:val="16"/>
                <w:szCs w:val="16"/>
                <w:color w:val="auto"/>
              </w:rPr>
              <w:t>126,638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w:t>
            </w:r>
          </w:p>
        </w:tc>
        <w:tc>
          <w:tcPr>
            <w:tcW w:w="0" w:type="dxa"/>
            <w:vAlign w:val="bottom"/>
          </w:tcPr>
          <w:p>
            <w:pPr>
              <w:spacing w:after="0"/>
              <w:rPr>
                <w:sz w:val="1"/>
                <w:szCs w:val="1"/>
                <w:color w:val="auto"/>
              </w:rPr>
            </w:pPr>
          </w:p>
        </w:tc>
      </w:tr>
      <w:tr>
        <w:trPr>
          <w:trHeight w:val="213"/>
        </w:trPr>
        <w:tc>
          <w:tcPr>
            <w:tcW w:w="298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(1,879,529)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(193,028)</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and paid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(83,717)</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270,322</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45,629,014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869,433</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274,960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14,490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Withholdings from vesting of restricted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tcPr>
          <w:p>
            <w:pPr>
              <w:jc w:val="right"/>
              <w:spacing w:after="0"/>
              <w:rPr>
                <w:sz w:val="20"/>
                <w:szCs w:val="20"/>
                <w:color w:val="auto"/>
              </w:rPr>
            </w:pPr>
            <w:r>
              <w:rPr>
                <w:rFonts w:ascii="Arial" w:cs="Arial" w:eastAsia="Arial" w:hAnsi="Arial"/>
                <w:sz w:val="16"/>
                <w:szCs w:val="16"/>
                <w:color w:val="auto"/>
              </w:rPr>
              <w:t>213,030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16,529</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(2,107,472)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(196,910)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and paid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(89,591)</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270,507</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43,963,103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915,324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3"/>
              </w:rPr>
              <w:t>Withholdings from vesting of restricted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(47,337)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145,348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12,830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Cash dividends declared and paid</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(26,260)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112,591</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43,780,075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952,603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32" w:right="80" w:hanging="332"/>
        <w:spacing w:after="0" w:line="257" w:lineRule="auto"/>
        <w:tabs>
          <w:tab w:leader="none" w:pos="3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2019, the Company reclassified $1.5 million of tax benefits from “Accumulated other comprehensive loss” to “Retained earnings” for the tax effects resulting from the December 22, 2017 enactment of the Tax Cut and Jobs Act in accordance with the adoption of Accounting Standards Update 2018-02, </w:t>
      </w:r>
      <w:r>
        <w:rPr>
          <w:rFonts w:ascii="Arial" w:cs="Arial" w:eastAsia="Arial" w:hAnsi="Arial"/>
          <w:sz w:val="14"/>
          <w:szCs w:val="14"/>
          <w:i w:val="1"/>
          <w:iCs w:val="1"/>
          <w:color w:val="auto"/>
        </w:rPr>
        <w:t>Reclassification of Certain Tax Effects from</w:t>
      </w:r>
      <w:r>
        <w:rPr>
          <w:rFonts w:ascii="Arial" w:cs="Arial" w:eastAsia="Arial" w:hAnsi="Arial"/>
          <w:sz w:val="14"/>
          <w:szCs w:val="14"/>
          <w:color w:val="auto"/>
        </w:rPr>
        <w:t xml:space="preserve"> </w:t>
      </w:r>
      <w:r>
        <w:rPr>
          <w:rFonts w:ascii="Arial" w:cs="Arial" w:eastAsia="Arial" w:hAnsi="Arial"/>
          <w:sz w:val="14"/>
          <w:szCs w:val="14"/>
          <w:i w:val="1"/>
          <w:iCs w:val="1"/>
          <w:color w:val="auto"/>
        </w:rPr>
        <w:t>Accumulated Other Comprehensive Income</w:t>
      </w:r>
      <w:r>
        <w:rPr>
          <w:rFonts w:ascii="Arial" w:cs="Arial" w:eastAsia="Arial" w:hAnsi="Arial"/>
          <w:sz w:val="14"/>
          <w:szCs w:val="14"/>
          <w:color w:val="auto"/>
        </w:rPr>
        <w:t>.</w:t>
      </w:r>
    </w:p>
    <w:p>
      <w:pPr>
        <w:spacing w:after="0" w:line="2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48"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Skip Hop,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little baby basics</w:t>
      </w:r>
      <w:r>
        <w:rPr>
          <w:rFonts w:ascii="Arial" w:cs="Arial" w:eastAsia="Arial" w:hAnsi="Arial"/>
          <w:sz w:val="18"/>
          <w:szCs w:val="18"/>
          <w:color w:val="auto"/>
        </w:rPr>
        <w:t>, and other brands. The Company’s products are sourced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Carter’s, Inc. and its wholly owned subsidiaries. All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08"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or 53</w:t>
      </w:r>
      <w:r>
        <w:rPr>
          <w:rFonts w:ascii="Arial" w:cs="Arial" w:eastAsia="Arial" w:hAnsi="Arial"/>
          <w:sz w:val="23"/>
          <w:szCs w:val="23"/>
          <w:color w:val="auto"/>
          <w:vertAlign w:val="superscript"/>
        </w:rPr>
        <w:t>rd</w:t>
      </w:r>
      <w:r>
        <w:rPr>
          <w:rFonts w:ascii="Arial" w:cs="Arial" w:eastAsia="Arial" w:hAnsi="Arial"/>
          <w:sz w:val="18"/>
          <w:szCs w:val="18"/>
          <w:color w:val="auto"/>
        </w:rPr>
        <w:t>, week of results. Fiscal 2020, ended on January 2, 2021, contained 53 calendar weeks. Fiscal 2019, ended on December 28, 2019, and fiscal 2018, ended on December 29, 2018, contained 52 calendar weeks.</w:t>
      </w:r>
    </w:p>
    <w:p>
      <w:pPr>
        <w:spacing w:after="0" w:line="15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Certain expenses increased in relationship to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while other expenses, such as fixed costs and expenses incurred on a calendar-month basis, did not increase. The consolidated gross margin for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is slightly lower than the consolidated gross margin for fiscal 2020 due to increased promotional activity during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Consolidated Financial Statements</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During the second quarter of fiscal year 2020, it was determined that there were amounts presented incorrectly in the statement of cash flows for the annual and interim year to date periods subsequent to the December 30, 2018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due to the presentation of the non-cash impact of the initial and subsequent recognition of the Right of Use (“ROU”) assets and lease liabilities within the “Prepaid expenses and other assets” and “Accounts payable and other liabilities” line items, respectively, within operating cash flows. This incorrect presentation had no impact on net cash (used in) provided by operating activities for any of the periods. We assessed the materiality of the incorrect presentation and concluded that the previously issued financial statements were not materially misstated. The presentation errors resulted in an offsetting overstatement of cash used for prepaid expenses and other assets and cash provided by accounts payable and other liabilities of $739 million, $773 million and $815 million for the three, six and nine-months ended March 30, 2019, June 29, 2019 and September 28, 2019, respectively, $828 million for the year ended December 28, 2019 and $29 million for the three months ended March 28, 2020. The accompanying consolidated statement of cash flows appropriately reflect the corrected presentation of these non-cash activities. In addition, the Company has reclassified prior comparable period amounts to present ROU asset amortization and lease liability payment activity on a net basis within the “Accounts payable and other liabilities” line item. The revisions to the three, six and nine-months ended March 30, 2019, June 29, 2019 and September 28, 2019 have been presented in previous Form 10-Q filings. The revisions to the year ended December 31, 2019 have been presented in this Form 10-K. Revisions to the three months ended March 31, 2020 will be presented in a future Form 10-Q filing. We will continue to provide supplemental noncash cash flow disclosure information in the notes to the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an outbreak of a new strain of coronavirus (“COVID-19”) began in Wuhan, China. In March 2020, the World Health Organization declared COVID-19 a pandemic and former President Trump declared a national emergency. As a result of COVID-19, the Company temporarily closed its retail stores in North America and implemented several actions during fiscal 2020 to enhance liquidity and financial flexibility including the deferral of lease payments, reductions in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spending, amending its revolving credit facility, issuing $500 million principal amount of senior notes, and suspending dividends and share repurchases.</w:t>
      </w:r>
    </w:p>
    <w:p>
      <w:pPr>
        <w:spacing w:after="0" w:line="20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Beginning in April 2020, the Company suspended rent payments under the leases for our temporarily closed stores in North America and initiated discussions with landlords to obtain rent concessions. The Company considered the Financial Accounting Standards Board’s (“FASB”) recent guidance regarding lease concessions as a result of the effects of the COVID-19 pandemic and has elected to treat these rent concessions as lease modifications. As of January 2, 2021, lease modifications resulting from COVID-19 related rent concessions decreased the Company’s operating lease liabilities by $23.7 million during fiscal 2020. The Company continues to negotiate lease concessions with landlords. As of the end of the third fiscal quarter, the Company resumed making the required rent payments under these leases.</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On May 4, 2020, the Company, through its wholly owned subsidiary, The William Carter Company (“TWCC”), amended its revolving credit facility. This amendment provided for, among other things, a waiver of financial covenants through the balance of fiscal year 2020, revised covenant requirements through the third quarter of fiscal year 2021, and the ability to raise additional unsecured financing at the Company’s discretion. Additionally, on May 11, 2020, TWCC issued $500 million principal amount of senior notes at par, bearing interest at a rate of 5.500% per annum, and maturing on May 15, 2025.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details on the amendment to the revolving credit facility and the issuance of $500 million principal amount of senior notes.</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announced in the first half of fiscal 2020, that in connection with the COVID-19 pandemic, it suspended its common stock share repurchase program and its quarterly cash dividend.</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also assessed certain accounting matters that generally require consideration of forecasted financial information in context with the information reasonably available to us and the unknown future impacts of COVID-19 as of January 2, 2021 and through the date of this report filing. The accounting matters assessed included, but were not limited to, our allowance for credit losses, inventory reserves, adverse inventory and fabric purchase commitments, stock based compensation, and the carrying value of our goodwill and other long-lived assets. Based on these assessments, in fiscal 2020, the Company recorded impairments on operating lease assets and other long-lived assets for our underperforming retail stores of $9.0 million, adverse inventory and fabric purchase commitments of $14.7 million, incremental excess inventory reserve related charges of $4.9 million, intangible asset impairments of $26.5 million, and goodwill impairment of $17.7 million. There could be a further material impact to our consolidated financial statements in future reporting periods if, at a future date, the Company determines that these assessments of the magnitude and duration of COVID-19, as well as other factors, were incorrect.</w:t>
      </w:r>
    </w:p>
    <w:p>
      <w:pPr>
        <w:spacing w:after="0" w:line="16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Additional COVID-19 related charges in fiscal 2020 were $21.4 million, which primarily included incremental costs of $12.1 million related to payroll continuation for a period of time for our retail employees and increased employee-related costs at our distribution centers, costs associated with additional protective equipment and cleaning supplies of $8.9 million, and restructuring costs of $2.3 million, partially offset by a payroll tax benefit of $3.5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Adjustments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Adjustments</w:t>
      </w:r>
    </w:p>
    <w:p>
      <w:pPr>
        <w:spacing w:after="0" w:line="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also recognizes gains and losses on transactions that are denominated in a currency other than the respective entity’s functional currency. Foreign currency transaction gains and losses also include the impact of intercompany loans with foreign subsidiaries that are marked to market. Foreign currency transaction gains and losses are recognized in earnings, as a separate component of Other expense (income), net, within the consolidated statements of operations. Foreign currency transaction gains and losses related to intercompany loans with foreign subsidiaries that are of a long-term nature are accounted for as translation adjustments and are included in Accumulated other comprehensive income (loss) within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the Company’s overall strategy to manage the level of exposure to the risk of foreign currency exchange rate fluctuations, primarily between the U.S. dollar and the currencies of Canada and Mexico, the Company may use foreign currency forward contracts to hedge purchases that are made in U.S. dollars, primarily for inventory purchases in its Canadian and Mexican operations. As part of this hedging strategy, the Company may use foreign currency forward exchange contracts with maturities of less than 12 months to provide continuing coverage throughout the hedging period. Historically, these contracts were not designated for hedge accounting treatment, and therefore changes in the fair value of these contracts have been recorded in Other (income) expense, net in the Company’s consolidated statements of operations. Such foreign currency gains and losses typically include the mark-to-market fair value adjustments at the end of each reporting period related to open contracts, as well as any realized gains and losses on contracts settled during the reporting period. The fair values of any unsettled currency contracts are included in other current assets or other current liabilities on the Company’s consolidated balance sheet. On the consolidated statement of cash flows, the Company includes all activity, including cash settlement of any contracts, as a component of cash flows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Cash Deposits Risk</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January 2, 2021, the Company had approximately $1.10 billion of cash and cash equivalents in major financial institutions, including approximately $85.8 million in financial institutions located outside of the United States.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2019, and 2018, no one customer accounted for 10% or more of the Company’s consolidated net sales.</w:t>
      </w:r>
    </w:p>
    <w:p>
      <w:pPr>
        <w:spacing w:after="0" w:line="19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At January 2, 2021, three wholesale customers each had individual receivable balances in excess of 10% of gross accounts receivable, and the total receivable balances due from these three wholesale customers in the aggregate equaled approximately 69% of total gross trade receivables outstanding. At December 28, 2019, three wholesale customers each had individual receivable balances in excess of 10% of gross accounts receivable, and the total receivable balances due from these three wholesale customers in the aggregate equaled approximately 52% of total gross trade receivables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Accounts for Wholesale Accounts Receivable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Reserves</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Provisions for the allowance for expected credit losses are reflected in Selling, general and administrative expenses on the consolidated statement of operations and provisions for chargebacks are reflected as a reduction in Net sales on the consolidated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instances, the Company does not allow its wholesale customers to return goods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which consist primarily of finished goods, are stated approximately at the lower of cost (first-in, first-out basis for wholesale inventory and average cost for retail inventory) or net realizable value. Obsolete, damaged, and excess inventory 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At the beginning of fiscal 2019, the Company adopted the provisions of ASC No.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a modified retrospective approach. This approach allows the Company to apply the standard and related disclosures to the financial statements for the period of adoption and to apply the old guidance in the comparative periods.</w:t>
      </w:r>
    </w:p>
    <w:p>
      <w:pPr>
        <w:spacing w:after="0" w:line="1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standard had a material impact on our consolidated balance sheets, but did not have a material impact on our consolidated income statements or statement of cash flows. The most significant impact was the recognition of right of use (“ROU”) assets and lease liabilities for operating leases. Finance leases are not material to the Company’s consolidated balance sheets, consolidated statements of operations or statements of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Presentation</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14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operating lease ROU asset also includes initial direct costs and excludes lease incentives. Lease expense is recognized on a straight-line basis over the lease term.</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Practical Expedient Package - The Company has elected the following expedients and applied them consistently to all leases:</w:t>
      </w:r>
    </w:p>
    <w:p>
      <w:pPr>
        <w:spacing w:after="0" w:line="10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revisit whether a contract is, or contains, a lease under the ASC 842 definition of a lease.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lease classification determined under prior guidance will not be reevaluated under ASC 842.</w:t>
      </w:r>
    </w:p>
    <w:p>
      <w:pPr>
        <w:spacing w:after="0" w:line="90"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capitalized initial direct costs under prior guidance will be carried forward. Any initial direct costs after the effective date will be included within the ROU asset under ASC 842.</w:t>
      </w:r>
    </w:p>
    <w:p>
      <w:pPr>
        <w:spacing w:after="0" w:line="14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Non-lease component - The Company has lease agreements with lease and non-lease components. The Company has elected a policy to account for lease and non-lease components as a single component for all asset classes.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 Leases with an initial term of 12 months or less are not recorded on the balance sheets.</w:t>
      </w:r>
    </w:p>
    <w:p>
      <w:pPr>
        <w:spacing w:after="0" w:line="19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and amortization. When fixed assets are sold or otherwise disposed of, the accounts are relieved of the original cost of the assets and the related accumulated depreciation or</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57" w:name="page58"/>
    <w:bookmarkEnd w:id="5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10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purchases software licenses from external vendors and also develops software internally using Company employees and consultants. Software license costs, including certain costs to internally develop software, that meet the applicable criteria are capitalized while all other costs are expensed as incurred. Capitalized software is depreciated or amortized on the straight-line method over its estimated useful lives, from 3 to 10 years. If a software application does not include a purchased license for the software, such as a cloud-based software application, the arrangement is accounted for as a service contract. Cloud computing implementation costs incurred in a hosting arrangement that is a service contract and that meet the applicable criteria are capitalized and reported in Prepaid expenses and other current assets on the consolidated balances sheets. Any capitalized costs are amortized over the term of the hosting arrangement, and the expense is presented in the same line item within the consolidated statements of operations as the expense for the service contract's fees.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Reviews</w:t>
      </w:r>
    </w:p>
    <w:p>
      <w:pPr>
        <w:spacing w:after="0" w:line="10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revenue growth and profitability, terminal values, discount rates, an implied control premium, and, in the case of tradenames, royalty rates.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 and the Company documents the relevant qualitative factors that support the strength in the fair value.</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 quantitative assessment for goodwill, the Company compares the fair value of a reporting unit to its carrying value, including goodwill. The Company uses the income approach and the market approach to determine the fair value of a reporting unit. The assumptions used in these approaches include revenue growth and profitability, terminal values, discount rates, and an implied control premium. These assumptions are consistent with those of hypothetical marketplace participants. An impairment is recorded for any excess carrying value above the fair value of the reporting unit, not to exceed the carrying value of goodwill.</w:t>
      </w:r>
    </w:p>
    <w:p>
      <w:pPr>
        <w:spacing w:after="0" w:line="16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Due to the decrease in the Company’s market capitalization, lower than expected actual sales, and lower projected sales and profitability, primarily due to the impacts from the outbreak of COVID-19, the Company concluded that impairment indicators existed for the first quarter of fiscal 2020.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that was recorded in connection with the acquisition of OshKosh B’Gosh Inc. in July 2005 and Skip Hop Holdings, Inc. in February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goodwill impairment assessment for the Other International reporting unit was performed in accordance with ASC 350, “</w:t>
      </w:r>
      <w:r>
        <w:rPr>
          <w:rFonts w:ascii="Arial" w:cs="Arial" w:eastAsia="Arial" w:hAnsi="Arial"/>
          <w:sz w:val="18"/>
          <w:szCs w:val="18"/>
          <w:i w:val="1"/>
          <w:iCs w:val="1"/>
          <w:color w:val="auto"/>
        </w:rPr>
        <w:t>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(“ASC 350”) and compares the carrying value of the Other International reporting unit to its fair value. Consistent with prior practice,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Other International reporting unit was determined using the income approach and the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 Mexico goodwill, respectively. The carrying value of the Company’s goodwill for the Other International reporting unit as of January 2, 2021 was $11.8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Tradenames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As discussed above, during the first quarter of fiscal 2020, the Company conducted interim quantitative impairment assessments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respectively. The charge recorded on our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included charges of $13.6 million, $1.6 million, and $0.3 million in the U.S. Retail, U.S. Wholesale, and International segments, respectively, to reflect the impairment of the value ascribed to the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The charge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values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as of January 2, 2021 were $70.0 million and $15.0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2019, the Company’s Skip Hop business experienced lower than expected actual and projected sales and profitability due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lower domestic demand, including the loss of a significant customer that declared bankruptcy (Toys “R” Us), lower international demand and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costs primarily driven by tariffs imposed on products sourced from China. As a result, the Company conducted an interim impairment assessment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third quarter of fiscal 2019 on the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that was recorded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Skip Hop Holdings, Inc. in February 2017. The indefinite-lived tradename asset assessment was performed in accordance with ASC 350,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and was determined using a discounted cash flow analysis which examined the hypothetical cost savings that accrue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our ownership of the tradename. Based on this assessment, a charge of $30.8 million was recorded during the third quarter of fiscal 2019 on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charge included charges of $19.1 million, $10.5 million, and $1.2 million in the U.S. Wholesale,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w:t>
      </w:r>
    </w:p>
    <w:p>
      <w:pPr>
        <w:spacing w:after="0" w:line="18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Based upon our most recent annual assessment, performed as of January 2, 2021, there were no further impairments in the values of goodwill or indefinite-lived or definite-lived intangible assets. This annual assessment indicated that each reporting unit’s fair value exceeded its carrying value by at least 53%. The annual assessment also indicated that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assets’ fair value exceeded its carrying value by approximately 10% and 40%, respectively. Sensitivity tests on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indefinite-lived tradename asset showed that a 100 basis point increase in the discount rate, a 10% decrease in forecasted revenues, or a 25 basis point decrease in the royalty rate was needed to change the conclusion. Although the Company determined that no further impairment exists for the Company’s goodwill or indefinite-lived or definite-lived intangible assets, these assets could be at risk for impairment should global economic conditions continue to deteriorate as a result of COVID-19.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Other Long-Lived Assets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reviews other long-lived assets, including operating lease assets,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in the business by comparing anticipated undiscounted future cash flows from the use and eventual disposition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impact of the COVID-19 pandemic resulted in a qualitative indication of impairment related to our store long-lived assets. In fiscal 2020, the Company recorded impairment charges of operating lease assets and other long-lived assets for our underperforming retail stores of $9.0 million. The impairment charges were recorded in Selling, general and administrative expenses on the Company’s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Debt issuance costs associated with the Company’s secured revolving credit facility and senior term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sheets and classified as either current or non-current based on the expiration date of the credit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8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color w:val="auto"/>
        </w:rPr>
        <w:t>Quoted prices for similar assets and liabilities in active markets or inputs that are observable.</w:t>
      </w:r>
    </w:p>
    <w:p>
      <w:pPr>
        <w:spacing w:after="0" w:line="23"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reflecting management’s own assumptions about the inputs used in pricing the asset or liability.</w:t>
      </w:r>
    </w:p>
    <w:p>
      <w:pPr>
        <w:spacing w:after="0" w:line="27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 Had the Company been required to remeasure and adjust the carrying values of its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to fair value at the end of each reporting period, such fair value measurements would have been disclosed as a Level 2 liability in the fair value hierarchy.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fiscal 2018, the Company adopted the provisions of ASC 606 using the full retrospective adoption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five-step model to recognize revenue:</w:t>
      </w:r>
    </w:p>
    <w:p>
      <w:pPr>
        <w:spacing w:after="0" w:line="90"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0" w:lineRule="exact"/>
        <w:rPr>
          <w:rFonts w:ascii="Arial" w:cs="Arial" w:eastAsia="Arial" w:hAnsi="Arial"/>
          <w:sz w:val="18"/>
          <w:szCs w:val="18"/>
          <w:color w:val="auto"/>
        </w:rPr>
      </w:pPr>
    </w:p>
    <w:p>
      <w:pPr>
        <w:ind w:left="960" w:hanging="30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 and</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 the revenue when the performance obligations are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Performance Obligations Are Satisfied</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Retail Revenues - For transactions in stores, the Company satisfies its performance obligation at point of sale when the customer takes possession of the goods and tenders payment. For purchases made through the Company's eCommerce channel, revenue is recognized when the goods are physically delivered to the customer.</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Loyalty program - Retail customers can earn loyalty points that accumulate towards earning reward certificates that are redeemable for a specified amount off of future purchases for a specified period of time. Points and reward certificates earned by retail customers under the Company’s loyalty program represent a separate performance obligation. For transactions where a customer earns loyalty points, the Company allocates revenue between the goods sold and the loyalty points expected to be earned towards a reward certificate based upon the relative standalone selling price. The revenue that is deferred is recorded within Other current liabilities on the Company’s consolidated balance sheets and then recognized as revenue upon redemption of the reward certificate. Loyalty program breakage is recognized as revenue based on the customer redemption pattern.</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Gift Cards - Customer purchases of gift cards are not recognized as revenue until the gift card is redeemed. The revenue that is deferred is recorded within Other current liabilities on the Company’s consolidated balance sheets. Gift card breakage is recognized as revenue based on the customer redemption pattern.</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Royalty Revenues - The Company satisfies its performance obligations with licensees over time as customers have the right to use the intellectual property over the contract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establishes return provisions for retail customers. Except in very limited instances, the Company does not allow its wholesale customers to return goods to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0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most retail transactions in stores, no significant judgments are involved since revenue is recognized at the point of sale when tender is exchanged and the customer receives the goods. For retail transactions made through the Company's eCommerce channel, revenue is recognized when the goods are physically delivered to the customer. The Company recognizes revenue from omni-channel sales, including buy on-line and pick up in store, buy-on-line, ship-to-store, and buy-on-line, deliver-from-store, when the product is physically delivered to the customer or when the product arrives at the store and has been picked up by the customer.</w:t>
      </w:r>
    </w:p>
    <w:p>
      <w:pPr>
        <w:spacing w:after="0" w:line="12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13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Standalone Selling Prices - For arrangements that contain multiple performance obligations, the Company allocates the transaction price to each performance obligation on a relative standalone selling price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90" w:lineRule="exact"/>
        <w:rPr>
          <w:sz w:val="20"/>
          <w:szCs w:val="20"/>
          <w:color w:val="auto"/>
        </w:rPr>
      </w:pPr>
    </w:p>
    <w:p>
      <w:pPr>
        <w:ind w:left="660" w:right="7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Taxes - The Company excludes from the transaction price any taxes collected from customers that are remitted to taxing authorities.</w:t>
      </w:r>
    </w:p>
    <w:p>
      <w:pPr>
        <w:spacing w:after="0" w:line="115"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Shipping and Handling Charges - Charges that are incurred before and after the customer obtains control of goods are deemed to be fulfillment costs.</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4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$0.5 million for fiscal 2020, $3.1 million for fiscal 2019, and $3.0 million for fiscal 2018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Selling, General and Administrative Expenses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cost of product, cost of goods sold include changes to our inventory reserve and expenses related to the merchandising, design, and procurement of product, including inbound freight costs, purchasing and receiving costs, and inspection costs. Also included in costs of goods sold are the costs of shipping eCommerce product to end consumers. For omni-channel transactions, costs of goods sold include the costs of shipping product to end customers or to retail stores.</w:t>
      </w:r>
    </w:p>
    <w:p>
      <w:pPr>
        <w:spacing w:after="0" w:line="16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Retail store occupancy costs, distribution expenses, and generally all expenses other than interest and income taxes are included in Selling, general, and administrative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Distribution expenses included in SG&amp;A totaled $190.7 million, $191.1 million, and $188.9 million for fiscal years 2020, 2019, and 2018,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Gross profit is calculated as consolidated net sales less cost of goods sold, and gross margin is calculated as gross profit divided by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Definitions of gross profit and gross margin vary across the industry and, as such, our metrics may not be comparable to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Royalties and License Fees</w:t>
      </w:r>
    </w:p>
    <w:p>
      <w:pPr>
        <w:spacing w:after="0" w:line="1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license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w:t>
      </w:r>
      <w:r>
        <w:rPr>
          <w:rFonts w:ascii="Arial" w:cs="Arial" w:eastAsia="Arial" w:hAnsi="Arial"/>
          <w:sz w:val="18"/>
          <w:szCs w:val="18"/>
          <w:i w:val="1"/>
          <w:iCs w:val="1"/>
          <w:color w:val="auto"/>
        </w:rPr>
        <w:t>and Carter's little baby basics</w:t>
      </w:r>
      <w:r>
        <w:rPr>
          <w:rFonts w:ascii="Arial" w:cs="Arial" w:eastAsia="Arial" w:hAnsi="Arial"/>
          <w:sz w:val="18"/>
          <w:szCs w:val="18"/>
          <w:color w:val="auto"/>
        </w:rPr>
        <w:t xml:space="preserve"> brands to partners to expand our product offerings to include bedding, cribs, diaper bags, footwear, gift sets, hair accessories, jewelry, outerwear, paper goods, socks, shoes, swimwear, and toys. These royalties are recorded as earned, based upon the sales of licensed products by licensees and reported as royalty income in the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Costs associated with the production of advertising, such as writing, copy, printing, and other costs, are expensed as incurred. Costs associated with communicating advertising that has been produced, such as magazine costs and eCommerce site banners, are expensed when the advertising event takes place.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recognizes the cost resulting from all stock-based payment transactions in the financial statements at grant date fair value. Stock-based compensation expense is recognized over the requisite service period, net of estimated forfeitures. During the requisite service period, the Company also recognizes a deferred income tax benefit for the expense recognized for U.S. GAAP. At time of subsequent vesting, exercise, forfeiture, or expiration of an award, the difference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Company’s actual income tax deduction, if any, and the previously accrued income tax benefit is recognized in income tax expense/benefit during the current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determines the fair value of stock options using the Black-Scholes option pricing model, which requires the use of the following subjective assumptions:</w:t>
      </w:r>
    </w:p>
    <w:p>
      <w:pPr>
        <w:spacing w:after="0" w:line="49" w:lineRule="exact"/>
        <w:rPr>
          <w:sz w:val="20"/>
          <w:szCs w:val="20"/>
          <w:color w:val="auto"/>
        </w:rPr>
      </w:pPr>
    </w:p>
    <w:p>
      <w:pPr>
        <w:jc w:val="both"/>
        <w:ind w:left="660" w:right="22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 This is a measure of the amount by which a stock price has fluctuated or is expected to fluctuate. The Company uses actual monthly historical changes in the market value of its stock covering the expected life of options being valued. An increase in the expected volatility will increase the fair value of the stock option and related compensation expense.</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48"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65"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Dividend yield - The Company estimates a dividend yield based on the current dividend amount as a percentage of the current stock price. An increase in the dividend yield will decrease the fair value of the stock option and the related compensation expenses.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Forfeitures - The Company estimates forfeitures of stock-based awards based on historical experience and expected future activity.</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Changes in these subjective assumptions can materially affect the estimate of fair value of stock-based compensation expense and the related amount recognized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adjusts stock-based compensation expense based on its probability assessment.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The accompanying consolidated financial statements reflect current and deferred tax provisions,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deferred tax provision is determined under the liability method. Deferred tax assets and liabilities are recognized based on differences between the book and tax basis of assets and liabilities using presently enacted tax rates. Deferred tax assets are a component of non-current Other assets in the Company’s consolidated balance sheet.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paid in cash approximated $55.1 million, $36.5 million, and $33.6 million for fiscal years 2020, 2019, and 2018, respectively. Income taxes paid in cash approximated $54.7 million, $67.6 million and $55.9 million for fiscal years 2020, 2019, and 2018, respectively.</w:t>
      </w:r>
    </w:p>
    <w:p>
      <w:pPr>
        <w:spacing w:after="0" w:line="13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Additions to property, plant and equipment of approximately $6.0 million, $1.2 million, and $1.9 million were excluded from capital expenditures on the Company’s consolidated statements of cash flows for fiscal years 2020, 2019, and 2018, respectively, since these amounts were accrued and unpaid at the end of each respective 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4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Repurchases of Common Stock</w:t>
      </w:r>
    </w:p>
    <w:p>
      <w:pPr>
        <w:spacing w:after="0" w:line="10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Shares of the Company’s common stock that are repurchased by the Company through open market transactions are retired. Through the end of fiscal 2020,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8"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w:t>
      </w:r>
    </w:p>
    <w:p>
      <w:pPr>
        <w:spacing w:after="0" w:line="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Any service costs that arise during the period are presented in the same statement line item as other employee compensation on the consolidated statement of operations. All other components of current period costs related to defined benefit plans, such as prior service costs and actuarial gains and losses, are presented in Other (income) expense, net on the consolidated statement of operations. The actuarial gains or losses that arise during the period are recognized as a component of comprehensive income, net of tax. These costs are then subsequently recognized as components of net periodic benefit cost in the consolidated statements of operations. Under the provisions of ASU No. 2015-04, </w:t>
      </w:r>
      <w:r>
        <w:rPr>
          <w:rFonts w:ascii="Arial" w:cs="Arial" w:eastAsia="Arial" w:hAnsi="Arial"/>
          <w:sz w:val="17"/>
          <w:szCs w:val="17"/>
          <w:i w:val="1"/>
          <w:iCs w:val="1"/>
          <w:color w:val="auto"/>
        </w:rPr>
        <w:t>Practical Expedient for the Measurement Date of an 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Defined Benefit Obligation and Plan Assets</w:t>
      </w:r>
      <w:r>
        <w:rPr>
          <w:rFonts w:ascii="Arial" w:cs="Arial" w:eastAsia="Arial" w:hAnsi="Arial"/>
          <w:sz w:val="17"/>
          <w:szCs w:val="17"/>
          <w:color w:val="auto"/>
        </w:rPr>
        <w:t>, the Company is permitted to use December 31 of each year, as opposed to the Company’s last day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as an alternate measurement date for its defined benefit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and Severance Costs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Useful lives assigned to fixed assets at the facility to be closed are revised based on the specifics of the exit plan, resulting in accelerated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in Fiscal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At the beginning of fiscal 2020, the Company adopted Accounting Standards Update (“ASU”) No. 2016-13, </w:t>
      </w:r>
      <w:r>
        <w:rPr>
          <w:rFonts w:ascii="Arial" w:cs="Arial" w:eastAsia="Arial" w:hAnsi="Arial"/>
          <w:sz w:val="17"/>
          <w:szCs w:val="17"/>
          <w:i w:val="1"/>
          <w:iCs w:val="1"/>
          <w:color w:val="auto"/>
        </w:rPr>
        <w:t>Financial Instruments-Credit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326): 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This new guidance changed how entities account for credit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trade and other receivables, as well as for certain financial assets and other instruments. ASU 2016-13 replaced the previous “incurred loss” model with an “expected loss” model, that requires an entity to recognize a loss (or allowance) upon initial recognition of the asset that reflects all future events that will lead to a loss being realized, regardless of whether it is probable that the future event will occur. The Company estimates current expected credit losses based on collection history and management’s assessment of the current economic trends, business environment, customers’ financial condition, accounts receivable aging, and customer disputes that may impact the level of future credit losses. The effect of the adoption of ASU 2016-13 was not material to the Company's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At the beginning of fiscal 2020, the Company adopted ASU No. 2017-04, </w:t>
      </w:r>
      <w:r>
        <w:rPr>
          <w:rFonts w:ascii="Arial" w:cs="Arial" w:eastAsia="Arial" w:hAnsi="Arial"/>
          <w:sz w:val="17"/>
          <w:szCs w:val="17"/>
          <w:i w:val="1"/>
          <w:iCs w:val="1"/>
          <w:color w:val="auto"/>
        </w:rPr>
        <w:t>Intangibles-Goodwill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(“ASU 2017-04”)</w:t>
      </w:r>
      <w:r>
        <w:rPr>
          <w:rFonts w:ascii="Arial" w:cs="Arial" w:eastAsia="Arial" w:hAnsi="Arial"/>
          <w:sz w:val="17"/>
          <w:szCs w:val="17"/>
          <w:i w:val="1"/>
          <w:iCs w:val="1"/>
          <w:color w:val="auto"/>
        </w:rPr>
        <w:t xml:space="preserve">. </w:t>
      </w:r>
      <w:r>
        <w:rPr>
          <w:rFonts w:ascii="Arial" w:cs="Arial" w:eastAsia="Arial" w:hAnsi="Arial"/>
          <w:sz w:val="17"/>
          <w:szCs w:val="17"/>
          <w:color w:val="auto"/>
        </w:rPr>
        <w:t>ASU 2017-04 eliminated the requirement to calculate the implied fair value of goodwill to measure a goodwill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charge. Instead, entities will record an impairment charge based on the excess of a reporting unit’s carrying amount over its fair value. Any impairment charge will be limited to the amount of goodwill allocated to an impacted reporting unit. The effect of the adoption of ASU 2017-04 had no impact to the Company’s consolidated financial statements. During the first quarter of fiscal 2020, the Company conducted an interim quantitative impairment assessment on the goodwill ascribed to the Other International reporting unit. As a result of this assessment and based on the application of ASU 2017-04, a goodwill impairment charge of $17.7 million was recorded to our Other International reporting unit. See Note 6,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for further details on the impairment charge and valuation methodology.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 (ASU 2019-12)</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r>
        <w:rPr>
          <w:rFonts w:ascii="Arial" w:cs="Arial" w:eastAsia="Arial" w:hAnsi="Arial"/>
          <w:sz w:val="18"/>
          <w:szCs w:val="18"/>
          <w:i w:val="1"/>
          <w:iCs w:val="1"/>
          <w:color w:val="auto"/>
        </w:rPr>
        <w:t>,</w:t>
      </w:r>
      <w:r>
        <w:rPr>
          <w:rFonts w:ascii="Arial" w:cs="Arial" w:eastAsia="Arial" w:hAnsi="Arial"/>
          <w:sz w:val="18"/>
          <w:szCs w:val="18"/>
          <w:color w:val="auto"/>
        </w:rPr>
        <w:t xml:space="preserve"> as part of its overall simplification initiative to reduce costs and complexity of applying accounting standards while maintaining or improving the usefulness of the information provided to users of financial statements. Amendments include removal of certain exceptions to the general principles of Topic 740, “Income Taxes,” and simplification in several other areas. ASU 2019-12 is effective for annual reporting periods beginning after December 15, 2020, and interim periods therein, with early adoption permitted. The Company elected to early adopt this guidance in the first quarter of fiscal 2020. The Company retrospectively adopted the provision related to the classification of taxes partially based on income and has determined that the adoption of this standard did not have a material impact on its prior period financial statements. The provisions related to intraperiod tax allocation and interim recognition of enactment of tax laws are being adopted on a prospective basis. The effect of the adoption of ASU 2019-12 was not material to the Company’s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Be Adopted After Fiscal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2020-04)</w:t>
      </w:r>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(“ASU 2020-04”). ASU 2020-04 provides optional expedients and exceptions for applying GAAP to contracts, hedging relationships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affected by reference rate reform if certain criteria are met. The optional guidance is provided to ease the potential burden of accounting for reference rate reform. ASU 2020-04 is effective for all entities as of March 12, 2020 through December 31, 2022. The Company is currently evaluating the effect of adopting ASU 2020-04, but does not expect adoption will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customers. The Company also earns royalties from its licensees. Disaggregated revenues from these sources for fiscal years 2020, 2019, and 2018 were as follows:</w:t>
      </w:r>
    </w:p>
    <w:p>
      <w:pPr>
        <w:sectPr>
          <w:pgSz w:w="11900" w:h="16838" w:orient="portrait"/>
          <w:cols w:equalWidth="0" w:num="1">
            <w:col w:w="11220"/>
          </w:cols>
          <w:pgMar w:left="320" w:top="121" w:right="359" w:bottom="1440" w:gutter="0" w:footer="0" w:header="0"/>
        </w:sect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(dollars in thousands)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Wholesale channel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(dollars in thousands)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(dollars in thousands)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Royalty income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Fiscal year ended January 2, 2021 (53 weeks)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4"/>
          </w:tcPr>
          <w:p>
            <w:pPr>
              <w:ind w:left="100"/>
              <w:spacing w:after="0" w:line="175" w:lineRule="exact"/>
              <w:rPr>
                <w:sz w:val="20"/>
                <w:szCs w:val="20"/>
                <w:color w:val="auto"/>
              </w:rPr>
            </w:pPr>
            <w:r>
              <w:rPr>
                <w:rFonts w:ascii="Arial" w:cs="Arial" w:eastAsia="Arial" w:hAnsi="Arial"/>
                <w:sz w:val="16"/>
                <w:szCs w:val="16"/>
                <w:b w:val="1"/>
                <w:bCs w:val="1"/>
                <w:color w:val="auto"/>
              </w:rPr>
              <w:t>U.S. Wholesale</w:t>
            </w: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4"/>
          </w:tcPr>
          <w:p>
            <w:pPr>
              <w:ind w:left="140"/>
              <w:spacing w:after="0" w:line="175" w:lineRule="exact"/>
              <w:rPr>
                <w:sz w:val="20"/>
                <w:szCs w:val="20"/>
                <w:color w:val="auto"/>
              </w:rPr>
            </w:pPr>
            <w:r>
              <w:rPr>
                <w:rFonts w:ascii="Arial" w:cs="Arial" w:eastAsia="Arial" w:hAnsi="Arial"/>
                <w:sz w:val="16"/>
                <w:szCs w:val="16"/>
                <w:b w:val="1"/>
                <w:bCs w:val="1"/>
                <w:color w:val="auto"/>
              </w:rPr>
              <w:t>International</w:t>
            </w: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0"/>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996,088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120,244</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1,116,332</w:t>
            </w:r>
          </w:p>
        </w:tc>
      </w:tr>
      <w:tr>
        <w:trPr>
          <w:trHeight w:val="219"/>
        </w:trPr>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1,671,644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236,358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1,908,002</w:t>
            </w:r>
          </w:p>
        </w:tc>
      </w:tr>
      <w:tr>
        <w:trPr>
          <w:trHeight w:val="210"/>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1,671,644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996,088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356,602</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3,024,334</w:t>
            </w:r>
          </w:p>
        </w:tc>
      </w:tr>
      <w:tr>
        <w:trPr>
          <w:trHeight w:val="23"/>
        </w:trPr>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13,120</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4,424</w:t>
            </w:r>
          </w:p>
        </w:tc>
        <w:tc>
          <w:tcPr>
            <w:tcW w:w="120" w:type="dxa"/>
            <w:vAlign w:val="bottom"/>
          </w:tcPr>
          <w:p>
            <w:pPr>
              <w:spacing w:after="0"/>
              <w:rPr>
                <w:sz w:val="24"/>
                <w:szCs w:val="24"/>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26,276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-673100</wp:posOffset>
            </wp:positionV>
            <wp:extent cx="711517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-398780</wp:posOffset>
            </wp:positionV>
            <wp:extent cx="711517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-132715</wp:posOffset>
            </wp:positionV>
            <wp:extent cx="71151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8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Fiscal year ended December 28, 2019 (52 weeks)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1"/>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1,205,646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163,793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1,369,439</w:t>
            </w:r>
          </w:p>
        </w:tc>
      </w:tr>
      <w:tr>
        <w:trPr>
          <w:trHeight w:val="219"/>
        </w:trPr>
        <w:tc>
          <w:tcPr>
            <w:tcW w:w="4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1,884,150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265,697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2,149,847</w:t>
            </w:r>
          </w:p>
        </w:tc>
      </w:tr>
      <w:tr>
        <w:trPr>
          <w:trHeight w:val="209"/>
        </w:trPr>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1,884,150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1,205,646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429,490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3,519,286</w:t>
            </w:r>
          </w:p>
        </w:tc>
      </w:tr>
      <w:tr>
        <w:trPr>
          <w:trHeight w:val="23"/>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9"/>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12,990</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17,670</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34,637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-673100</wp:posOffset>
            </wp:positionV>
            <wp:extent cx="70980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-398780</wp:posOffset>
            </wp:positionV>
            <wp:extent cx="709803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-132715</wp:posOffset>
            </wp:positionV>
            <wp:extent cx="70980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8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Fiscal year ended December 29, 2018 (52 weeks)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0"/>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1,180,687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163,637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1,344,324</w:t>
            </w:r>
          </w:p>
        </w:tc>
      </w:tr>
      <w:tr>
        <w:trPr>
          <w:trHeight w:val="219"/>
        </w:trPr>
        <w:tc>
          <w:tcPr>
            <w:tcW w:w="4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1,851,193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266,752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2,117,945</w:t>
            </w:r>
          </w:p>
        </w:tc>
      </w:tr>
      <w:tr>
        <w:trPr>
          <w:trHeight w:val="210"/>
        </w:trPr>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1,851,193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1,180,687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430,389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3,462,269</w:t>
            </w:r>
          </w:p>
        </w:tc>
      </w:tr>
      <w:tr>
        <w:trPr>
          <w:trHeight w:val="23"/>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9"/>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12,877</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22,511</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38,930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-672465</wp:posOffset>
            </wp:positionV>
            <wp:extent cx="709803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-398780</wp:posOffset>
            </wp:positionV>
            <wp:extent cx="709803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-132715</wp:posOffset>
            </wp:positionV>
            <wp:extent cx="709803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880"/>
          </w:cols>
          <w:pgMar w:left="320" w:top="121" w:right="35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2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2, 2021</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28, 2019</w:t>
            </w:r>
          </w:p>
        </w:tc>
      </w:tr>
      <w:tr>
        <w:trPr>
          <w:trHeight w:val="213"/>
        </w:trPr>
        <w:tc>
          <w:tcPr>
            <w:tcW w:w="720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Trade receivables from wholesale customers, net</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239,059</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Royalties receivable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6,982</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allowances and 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16,247</w:t>
            </w:r>
          </w:p>
        </w:tc>
      </w:tr>
      <w:tr>
        <w:trPr>
          <w:trHeight w:val="206"/>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gross receivables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198,878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262,288</w:t>
            </w:r>
          </w:p>
        </w:tc>
      </w:tr>
      <w:tr>
        <w:trPr>
          <w:trHeight w:val="213"/>
        </w:trPr>
        <w:tc>
          <w:tcPr>
            <w:tcW w:w="72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(1)(2)</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(11,283)</w:t>
            </w:r>
          </w:p>
        </w:tc>
      </w:tr>
      <w:tr>
        <w:trPr>
          <w:trHeight w:val="209"/>
        </w:trPr>
        <w:tc>
          <w:tcPr>
            <w:tcW w:w="720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251,005</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right="140" w:hanging="332"/>
        <w:spacing w:after="0" w:line="273" w:lineRule="auto"/>
        <w:tabs>
          <w:tab w:leader="none" w:pos="3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 reclassified $1.7 million of customer support related items from Wholesale accounts receivable reserves into Trade receivables from wholesale customers, net for the period ended December 28, 2019.</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allowance for credit losses of $5.9 million and $6.4 million for the periods ended January 2, 2021 and December 28,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6" w:name="page67"/>
    <w:bookmarkEnd w:id="6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Wholesale accounts receivable reserves is as follows: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30, 2017</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provisions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Reclassification to Trade receivables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Balance at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Additional provisions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January 2,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Wholesale accounts</w:t>
      </w:r>
    </w:p>
    <w:p>
      <w:pPr>
        <w:ind w:left="240"/>
        <w:spacing w:after="0"/>
        <w:rPr>
          <w:sz w:val="20"/>
          <w:szCs w:val="20"/>
          <w:color w:val="auto"/>
        </w:rPr>
      </w:pPr>
      <w:r>
        <w:rPr>
          <w:rFonts w:ascii="Arial" w:cs="Arial" w:eastAsia="Arial" w:hAnsi="Arial"/>
          <w:sz w:val="16"/>
          <w:szCs w:val="16"/>
          <w:b w:val="1"/>
          <w:bCs w:val="1"/>
          <w:color w:val="auto"/>
        </w:rPr>
        <w:t>receivable reserves</w:t>
      </w:r>
    </w:p>
    <w:p>
      <w:pPr>
        <w:spacing w:after="0" w:line="32" w:lineRule="exact"/>
        <w:rPr>
          <w:sz w:val="20"/>
          <w:szCs w:val="20"/>
          <w:color w:val="auto"/>
        </w:rPr>
      </w:pPr>
    </w:p>
    <w:p>
      <w:pPr>
        <w:ind w:left="1260" w:hanging="1258"/>
        <w:spacing w:after="0"/>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13,736</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30,280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(32,150)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1398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6" w:lineRule="exact"/>
        <w:rPr>
          <w:sz w:val="20"/>
          <w:szCs w:val="20"/>
          <w:color w:val="auto"/>
        </w:rPr>
      </w:pPr>
    </w:p>
    <w:p>
      <w:pPr>
        <w:ind w:left="1280" w:hanging="1278"/>
        <w:spacing w:after="0"/>
        <w:tabs>
          <w:tab w:leader="none" w:pos="1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11,866</w:t>
      </w:r>
    </w:p>
    <w:p>
      <w:pPr>
        <w:spacing w:after="0" w:line="43"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6"/>
          <w:szCs w:val="16"/>
          <w:color w:val="auto"/>
        </w:rPr>
        <w:t>9,047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(7,939)</w:t>
      </w:r>
    </w:p>
    <w:p>
      <w:pPr>
        <w:spacing w:after="0" w:line="32" w:lineRule="exact"/>
        <w:rPr>
          <w:sz w:val="20"/>
          <w:szCs w:val="20"/>
          <w:color w:val="auto"/>
        </w:rPr>
      </w:pPr>
    </w:p>
    <w:p>
      <w:pPr>
        <w:ind w:left="1280" w:hanging="1278"/>
        <w:spacing w:after="0"/>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(1,691)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11398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7" w:lineRule="exact"/>
        <w:rPr>
          <w:sz w:val="20"/>
          <w:szCs w:val="20"/>
          <w:color w:val="auto"/>
        </w:rPr>
      </w:pPr>
    </w:p>
    <w:p>
      <w:pPr>
        <w:ind w:left="1280" w:hanging="1278"/>
        <w:spacing w:after="0"/>
        <w:tabs>
          <w:tab w:leader="none" w:pos="12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11,283</w:t>
      </w:r>
    </w:p>
    <w:p>
      <w:pPr>
        <w:spacing w:after="0" w:line="43"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6"/>
          <w:szCs w:val="16"/>
          <w:color w:val="auto"/>
        </w:rPr>
        <w:t>9,625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(8,542)</w:t>
      </w:r>
    </w:p>
    <w:p>
      <w:pPr>
        <w:spacing w:after="0" w:line="46" w:lineRule="exact"/>
        <w:rPr>
          <w:sz w:val="20"/>
          <w:szCs w:val="20"/>
          <w:color w:val="auto"/>
        </w:rPr>
      </w:pPr>
    </w:p>
    <w:p>
      <w:pPr>
        <w:ind w:left="1260" w:hanging="1258"/>
        <w:spacing w:after="0"/>
        <w:tabs>
          <w:tab w:leader="none" w:pos="1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12,366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11398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8740" w:space="720"/>
            <w:col w:w="1780"/>
          </w:cols>
          <w:pgMar w:left="320" w:top="121" w:right="339" w:bottom="1440" w:gutter="0" w:footer="0" w:header="0"/>
        </w:sectPr>
      </w:pPr>
    </w:p>
    <w:p>
      <w:pPr>
        <w:ind w:left="340" w:right="160" w:hanging="332"/>
        <w:spacing w:after="0" w:line="273" w:lineRule="auto"/>
        <w:tabs>
          <w:tab w:leader="none" w:pos="3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reclassified $1.7 million of customer support related items from Wholesale accounts receivable reserves into Trade receivables from wholesale customers, net for the period December 28, 2019.</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Charges to the reserve include total write-offs of $6.5 million related to the bankruptcy of customers during fiscal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28, 2019</w:t>
            </w:r>
          </w:p>
        </w:tc>
      </w:tr>
      <w:tr>
        <w:trPr>
          <w:trHeight w:val="19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liabilities-current:</w:t>
            </w: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18,300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17,563</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w:t>
            </w:r>
          </w:p>
        </w:tc>
      </w:tr>
      <w:tr>
        <w:trPr>
          <w:trHeight w:val="216"/>
        </w:trPr>
        <w:tc>
          <w:tcPr>
            <w:tcW w:w="71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5"/>
        </w:trPr>
        <w:tc>
          <w:tcPr>
            <w:tcW w:w="7180" w:type="dxa"/>
            <w:vAlign w:val="bottom"/>
            <w:tcBorders>
              <w:bottom w:val="single" w:sz="8" w:color="CCEEFF"/>
            </w:tcBorders>
            <w:shd w:val="clear" w:color="auto" w:fill="CCEEFF"/>
          </w:tcPr>
          <w:p>
            <w:pPr>
              <w:ind w:left="480"/>
              <w:spacing w:after="0" w:line="210"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r>
      <w:tr>
        <w:trPr>
          <w:trHeight w:val="213"/>
        </w:trPr>
        <w:tc>
          <w:tcPr>
            <w:tcW w:w="7180" w:type="dxa"/>
            <w:vAlign w:val="bottom"/>
          </w:tcPr>
          <w:p>
            <w:pPr>
              <w:ind w:left="580"/>
              <w:spacing w:after="0"/>
              <w:rPr>
                <w:sz w:val="20"/>
                <w:szCs w:val="20"/>
                <w:color w:val="auto"/>
              </w:rPr>
            </w:pPr>
            <w:r>
              <w:rPr>
                <w:rFonts w:ascii="Arial" w:cs="Arial" w:eastAsia="Arial" w:hAnsi="Arial"/>
                <w:sz w:val="16"/>
                <w:szCs w:val="16"/>
                <w:color w:val="auto"/>
              </w:rPr>
              <w:t>Total contract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27,463</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40" w:right="300" w:hanging="332"/>
        <w:spacing w:after="0" w:line="273" w:lineRule="auto"/>
        <w:tabs>
          <w:tab w:leader="none" w:pos="3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Carter's credit card - upfront bonus - the Company received an upfront signing bonus from a third-party financial institution, which will be recognized as revenue on a straight-line basis over the term of the agreement. This amount reflects the current portion of this bonus to be recognized as revenue in 2021.</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4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Unredeemed loyalty rewards - points and reward certificates earned by customers under the Company’s loyalty program represent obligations of the Company to transfer goods to the customer upon redemption. Periodic changes in the loyalty program contract liability result from reward certificate redemptions and expirations. The earning and redemption cycles for our loyalty program are under one year in duration.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January 2, 2021, the Company’s finance leases were not material to the consolidated balance sheets, consolidated statements of operations or statement of cash flows.</w:t>
      </w:r>
    </w:p>
    <w:p>
      <w:pPr>
        <w:spacing w:after="0" w:line="13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a result of the COVID-19 pandemic, during the second quarter of fiscal 2020 the Company suspended rent payments under the leases for our temporarily closed stores in North America. The Company resumed making the required rent payments under these leases in the third quarter of fiscal 2020.</w:t>
      </w:r>
    </w:p>
    <w:p>
      <w:pPr>
        <w:spacing w:after="0" w:line="1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Additionally, as a result of the effects COVID-19 pandemic, the Company renegotiated approximately 725 lease agreements with landlords. Lease modifications resulting from COVID-19 related rent concessions increased the Company’s operating lease liabilities by $23.7 million during fiscal 2020, primarily due to addition of the deferred lease payments to the updated lease terms and due to a decrease in the discount rates used for the remeasurement of the lease liabilities. The Company continues to negotiate lease concessions with landlords.</w:t>
      </w:r>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In fiscal 2020, the Company recorded operating lease asset impairment charges totaling $7.4 million related to underperforming stores primarily as a result of decreased net revenues and cash flow projections resulting from the COVID-19 disruption and other facility and office closures. See Note 15,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for further details on the fair value calculations for operating lease assets for the retail stores.</w:t>
      </w:r>
    </w:p>
    <w:p>
      <w:pPr>
        <w:spacing w:after="0" w:line="1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fiscal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28, 2019</w:t>
            </w:r>
          </w:p>
        </w:tc>
      </w:tr>
      <w:tr>
        <w:trPr>
          <w:trHeight w:val="212"/>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180,056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179,982</w:t>
            </w:r>
          </w:p>
        </w:tc>
      </w:tr>
      <w:tr>
        <w:trPr>
          <w:trHeight w:val="216"/>
        </w:trPr>
        <w:tc>
          <w:tcPr>
            <w:tcW w:w="72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63,043</w:t>
            </w: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lease cost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252,027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243,025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operating lease impairment charges, and short-term leases, which are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80" w:type="dxa"/>
            <w:vAlign w:val="bottom"/>
          </w:tcPr>
          <w:p>
            <w:pPr>
              <w:spacing w:after="0"/>
              <w:rPr>
                <w:sz w:val="19"/>
                <w:szCs w:val="19"/>
                <w:color w:val="auto"/>
              </w:rPr>
            </w:pPr>
          </w:p>
        </w:tc>
        <w:tc>
          <w:tcPr>
            <w:tcW w:w="208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January 2, 2021</w:t>
            </w:r>
          </w:p>
        </w:tc>
        <w:tc>
          <w:tcPr>
            <w:tcW w:w="1980" w:type="dxa"/>
            <w:vAlign w:val="bottom"/>
            <w:tcBorders>
              <w:top w:val="single" w:sz="8" w:color="auto"/>
            </w:tcBorders>
          </w:tcPr>
          <w:p>
            <w:pPr>
              <w:ind w:left="340"/>
              <w:spacing w:after="0"/>
              <w:rPr>
                <w:sz w:val="20"/>
                <w:szCs w:val="20"/>
                <w:color w:val="auto"/>
              </w:rPr>
            </w:pPr>
            <w:r>
              <w:rPr>
                <w:rFonts w:ascii="Arial" w:cs="Arial" w:eastAsia="Arial" w:hAnsi="Arial"/>
                <w:sz w:val="16"/>
                <w:szCs w:val="16"/>
                <w:b w:val="1"/>
                <w:bCs w:val="1"/>
                <w:color w:val="auto"/>
              </w:rPr>
              <w:t>December 28, 2019</w:t>
            </w:r>
          </w:p>
        </w:tc>
      </w:tr>
      <w:tr>
        <w:trPr>
          <w:trHeight w:val="212"/>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operating lease term (years)</w:t>
            </w:r>
          </w:p>
        </w:tc>
        <w:tc>
          <w:tcPr>
            <w:tcW w:w="1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6.0</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Weighted average discount rate for operating leases</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4.35%</w:t>
            </w:r>
          </w:p>
        </w:tc>
      </w:tr>
    </w:tbl>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fiscal 2020 and fiscal 2019 was $161.7 million and $193.5 million, respectively.</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Non-cash transactions to recognize operating assets and liabilities for new leases in fiscal 2020 and fiscal 2019 were $62.6 million and $110.0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9600" w:type="dxa"/>
            <w:vAlign w:val="bottom"/>
          </w:tcPr>
          <w:p>
            <w:pPr>
              <w:ind w:left="5100"/>
              <w:spacing w:after="0"/>
              <w:rPr>
                <w:sz w:val="20"/>
                <w:szCs w:val="20"/>
                <w:color w:val="auto"/>
              </w:rPr>
            </w:pPr>
            <w:r>
              <w:rPr>
                <w:rFonts w:ascii="Arial" w:cs="Arial" w:eastAsia="Arial" w:hAnsi="Arial"/>
                <w:sz w:val="18"/>
                <w:szCs w:val="18"/>
                <w:b w:val="1"/>
                <w:bCs w:val="1"/>
                <w:color w:val="auto"/>
              </w:rPr>
              <w:t>CARTER’S, INC.</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960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56"/>
        </w:trPr>
        <w:tc>
          <w:tcPr>
            <w:tcW w:w="9600" w:type="dxa"/>
            <w:vAlign w:val="bottom"/>
          </w:tcPr>
          <w:p>
            <w:pPr>
              <w:spacing w:after="0"/>
              <w:rPr>
                <w:sz w:val="20"/>
                <w:szCs w:val="20"/>
                <w:color w:val="auto"/>
              </w:rPr>
            </w:pPr>
            <w:r>
              <w:rPr>
                <w:rFonts w:ascii="Arial" w:cs="Arial" w:eastAsia="Arial" w:hAnsi="Arial"/>
                <w:sz w:val="18"/>
                <w:szCs w:val="18"/>
                <w:color w:val="auto"/>
              </w:rPr>
              <w:t>As of January 2, 2021, the maturities of lease liabilities were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5"/>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Operating leases</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206,814</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159,350</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130,646</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105,515</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77,134</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2025</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129,195</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808,654</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(69,005)</w:t>
            </w:r>
          </w:p>
        </w:tc>
      </w:tr>
      <w:tr>
        <w:trPr>
          <w:trHeight w:val="238"/>
        </w:trPr>
        <w:tc>
          <w:tcPr>
            <w:tcW w:w="960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739,649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right="280" w:hanging="332"/>
        <w:spacing w:after="0" w:line="273"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5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January 2, 2021, the minimum rental commitments for additional operating lease contracts that have not yet commenced, primarily for retail stores, are $10.9 million. These operating leases will commence between fiscal year 2021 and fiscal year 2023 with lease terms of 7 years to 11 years.</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Rent expense under operating leases (including properties and computer and office equipment) was approximately $165.6 million for the fiscal year ended December 29,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28, 2019</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 and leasehold improvements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358,121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363,428</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Fixtures, equipment, and computer hardware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308,260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297,930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161,104</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Marketing fixtures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9,819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11,160</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w:t>
            </w:r>
          </w:p>
        </w:tc>
      </w:tr>
      <w:tr>
        <w:trPr>
          <w:trHeight w:val="210"/>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846,325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844,016</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(583,980)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(523,848)</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262,345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320,168</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was approximately $90.3 million, $92.2 million, and $85.9 million for fiscal years 2020,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29, 2018</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28, 2019</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229,026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line="230" w:lineRule="exact"/>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3"/>
        </w:trPr>
        <w:tc>
          <w:tcPr>
            <w:tcW w:w="5240" w:type="dxa"/>
            <w:vAlign w:val="bottom"/>
          </w:tcPr>
          <w:p>
            <w:pPr>
              <w:spacing w:after="0" w:line="213" w:lineRule="exact"/>
              <w:rPr>
                <w:sz w:val="20"/>
                <w:szCs w:val="20"/>
                <w:color w:val="auto"/>
              </w:rPr>
            </w:pPr>
            <w:r>
              <w:rPr>
                <w:rFonts w:ascii="Arial" w:cs="Arial" w:eastAsia="Arial" w:hAnsi="Arial"/>
                <w:sz w:val="16"/>
                <w:szCs w:val="16"/>
                <w:b w:val="1"/>
                <w:bCs w:val="1"/>
                <w:color w:val="auto"/>
              </w:rPr>
              <w:t>Balance at January 2, 2021</w:t>
            </w:r>
            <w:r>
              <w:rPr>
                <w:rFonts w:ascii="Arial" w:cs="Arial" w:eastAsia="Arial" w:hAnsi="Arial"/>
                <w:sz w:val="21"/>
                <w:szCs w:val="21"/>
                <w:b w:val="1"/>
                <w:bCs w:val="1"/>
                <w:color w:val="auto"/>
                <w:vertAlign w:val="superscript"/>
              </w:rPr>
              <w:t>(2)</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53,388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211,776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460" w:hanging="332"/>
        <w:spacing w:after="0" w:line="273"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Goodwill balance for the International reporting unit is net of accumulated impairment losses of $17.7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January 2, 2021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December 28, 2019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average useful</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14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life</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right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r>
              <w:rPr>
                <w:rFonts w:ascii="Arial" w:cs="Arial" w:eastAsia="Arial" w:hAnsi="Arial"/>
                <w:sz w:val="21"/>
                <w:szCs w:val="21"/>
                <w:color w:val="auto"/>
                <w:vertAlign w:val="superscript"/>
              </w:rPr>
              <w:t>(1)</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(2)(3)</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2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9"/>
              </w:rPr>
              <w:t>5 - 20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tradenames, net</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307,893</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334,642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38,643</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rPr>
              <w:t>Carter’s Mexico customer</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1"/>
              </w:rPr>
              <w:t>10 years</w:t>
            </w: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2,044</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relationships</w:t>
            </w:r>
          </w:p>
        </w:tc>
        <w:tc>
          <w:tcPr>
            <w:tcW w:w="1280" w:type="dxa"/>
            <w:vAlign w:val="bottom"/>
            <w:tcBorders>
              <w:bottom w:val="single" w:sz="8" w:color="CCEEFF"/>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customer relationships, net</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37,510</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00" w:hanging="332"/>
        <w:spacing w:after="0" w:line="273"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340" w:right="160" w:hanging="332"/>
        <w:spacing w:after="0" w:line="273"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340" w:right="20" w:hanging="332"/>
        <w:spacing w:after="0" w:line="273"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 fiscal 2019, a charge of $19.1 million, $10.5 million, and $1.2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Due to the decrease in the Company’s market capitalization, lower than expected actual sales, and lower projected sales and profitability, primarily due to the impacts from the outbreak of COVID-19, the Company concluded that impairment indicators existed for the first quarter of fiscal 2020.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w:t>
      </w:r>
    </w:p>
    <w:p>
      <w:pPr>
        <w:spacing w:after="0" w:line="1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goodwill impairment assessment for the Other International reporting unit was performed in accordance with ASC 350,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w:t>
      </w:r>
      <w:r>
        <w:rPr>
          <w:rFonts w:ascii="Arial" w:cs="Arial" w:eastAsia="Arial" w:hAnsi="Arial"/>
          <w:sz w:val="17"/>
          <w:szCs w:val="17"/>
          <w:color w:val="auto"/>
        </w:rPr>
        <w:t>(“ASC 350”) and compares the carrying value of the Other International reporting unit to its fair value. Consistent with prior practice,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International reporting unit was determined using discounted cash flows (“income approach”) and relevant data from guideline public companies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 Mexico goodwill, respectively. The carrying value of the Company’s goodwill for the Other International reporting unit as of January 2, 2021 was $11.8 million.</w:t>
      </w:r>
    </w:p>
    <w:p>
      <w:pPr>
        <w:spacing w:after="0" w:line="13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 xml:space="preserve">OshKosh </w:t>
      </w:r>
      <w:r>
        <w:rPr>
          <w:rFonts w:ascii="Arial" w:cs="Arial" w:eastAsia="Arial" w:hAnsi="Arial"/>
          <w:sz w:val="16"/>
          <w:szCs w:val="16"/>
          <w:color w:val="auto"/>
        </w:rPr>
        <w:t>and</w:t>
      </w:r>
      <w:r>
        <w:rPr>
          <w:rFonts w:ascii="Arial" w:cs="Arial" w:eastAsia="Arial" w:hAnsi="Arial"/>
          <w:sz w:val="16"/>
          <w:szCs w:val="16"/>
          <w:i w:val="1"/>
          <w:iCs w:val="1"/>
          <w:color w:val="auto"/>
        </w:rPr>
        <w:t xml:space="preserve"> Skip Hop </w:t>
      </w:r>
      <w:r>
        <w:rPr>
          <w:rFonts w:ascii="Arial" w:cs="Arial" w:eastAsia="Arial" w:hAnsi="Arial"/>
          <w:sz w:val="16"/>
          <w:szCs w:val="16"/>
          <w:color w:val="auto"/>
        </w:rPr>
        <w:t>tradename assets, respectively. The charge recorded on our indefinite-lived</w:t>
      </w:r>
      <w:r>
        <w:rPr>
          <w:rFonts w:ascii="Arial" w:cs="Arial" w:eastAsia="Arial" w:hAnsi="Arial"/>
          <w:sz w:val="16"/>
          <w:szCs w:val="16"/>
          <w:i w:val="1"/>
          <w:iCs w:val="1"/>
          <w:color w:val="auto"/>
        </w:rPr>
        <w:t xml:space="preserve"> OshKosh </w:t>
      </w:r>
      <w:r>
        <w:rPr>
          <w:rFonts w:ascii="Arial" w:cs="Arial" w:eastAsia="Arial" w:hAnsi="Arial"/>
          <w:sz w:val="16"/>
          <w:szCs w:val="16"/>
          <w:color w:val="auto"/>
        </w:rPr>
        <w:t>tradename asset included charges of</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values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as of January 2, 2021 were $70.0 million and $15.0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2019, the Company’s Skip Hop business experienced lower than expected actual and projected sales and profitability due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lower domestic demand, including the loss of a significant customer that declared bankruptcy (Toys “R” Us), lower international demand and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costs primarily driven by tariffs imposed on products sourced from China. As a result, the Company conducted an interim impairment assessment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third quarter of fiscal 2019 on the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that was recorded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Skip Hop Holdings, Inc. in February 2017. The indefinite-lived tradename asset assessment was performed in accordance with ASC 350,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and was determined using a discounted cash flow analysis which examined the hypothetical cost savings that accrue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our ownership of the tradename. Based on this assessment, a charge of $30.8 million was recorded during the third quarter of fiscal 2019 on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charge included charges of $19.1 million, $10.5 million, and $1.2 million in the U.S. Wholesale,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upon our most recent annual assessment, performed as of January 2, 2021, there were no further impairments in the values of goodwill or indefinite-lived or definite-lived intangible assets. Although the Company determined that no further impairment exists for the Company’s goodwill or indefinite-lived or definite-lived intangible assets, these assets could be at risk for impairment should global economic conditions continue to deteriorate as a result of COVID-19.</w:t>
      </w:r>
    </w:p>
    <w:p>
      <w:pPr>
        <w:spacing w:after="0" w:line="1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Changes in the carrying values between comparative periods for goodwill related to the International segment were due to fluctuations in the foreign currency exchange rates between the Canadian and U.S. dollar that were used in the remeasurement process for preparing the Company’s consolidated financial statements. The changes in the carrying values of goodwill for Skip Hop and Carter’s Mexico and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subject to amortization was approximately $3.7 million for each of fiscal years 2020, 2019, and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6"/>
              </w:rPr>
              <w:t>Amortization expense</w:t>
            </w:r>
          </w:p>
        </w:tc>
      </w:tr>
      <w:tr>
        <w:trPr>
          <w:trHeight w:val="21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3,737</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3,665</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w:t>
            </w:r>
          </w:p>
        </w:tc>
      </w:tr>
    </w:tbl>
    <w:p>
      <w:pPr>
        <w:spacing w:after="0" w:line="252" w:lineRule="exact"/>
        <w:rPr>
          <w:sz w:val="20"/>
          <w:szCs w:val="20"/>
          <w:color w:val="auto"/>
        </w:rPr>
      </w:pPr>
    </w:p>
    <w:p>
      <w:pPr>
        <w:ind w:right="5200"/>
        <w:spacing w:after="0" w:line="401" w:lineRule="auto"/>
        <w:rPr>
          <w:sz w:val="20"/>
          <w:szCs w:val="20"/>
          <w:color w:val="auto"/>
        </w:rPr>
      </w:pPr>
      <w:r>
        <w:rPr>
          <w:rFonts w:ascii="Arial" w:cs="Arial" w:eastAsia="Arial" w:hAnsi="Arial"/>
          <w:sz w:val="18"/>
          <w:szCs w:val="18"/>
          <w:b w:val="1"/>
          <w:bCs w:val="1"/>
          <w:color w:val="auto"/>
        </w:rPr>
        <w:t xml:space="preserve">NOTE 7 – ACCUMULATED OTHER COMPREHENSIVE (LOSS) INCOME </w:t>
      </w:r>
      <w:r>
        <w:rPr>
          <w:rFonts w:ascii="Arial" w:cs="Arial" w:eastAsia="Arial" w:hAnsi="Arial"/>
          <w:sz w:val="18"/>
          <w:szCs w:val="18"/>
          <w:color w:val="auto"/>
        </w:rPr>
        <w:t>Accumulated other comprehensive (loss) income is summarized as follows:</w:t>
      </w:r>
    </w:p>
    <w:tbl>
      <w:tblPr>
        <w:tblLayout w:type="fixed"/>
        <w:tblInd w:w="0" w:type="dxa"/>
        <w:tblCellMar>
          <w:top w:w="0" w:type="dxa"/>
          <w:left w:w="0" w:type="dxa"/>
          <w:bottom w:w="0" w:type="dxa"/>
          <w:right w:w="0" w:type="dxa"/>
        </w:tblCellMar>
      </w:tblPr>
      <w:tr>
        <w:trPr>
          <w:trHeight w:val="164"/>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Pension liability</w:t>
            </w:r>
          </w:p>
        </w:tc>
        <w:tc>
          <w:tcPr>
            <w:tcW w:w="160" w:type="dxa"/>
            <w:vAlign w:val="bottom"/>
          </w:tcPr>
          <w:p>
            <w:pPr>
              <w:spacing w:after="0"/>
              <w:rPr>
                <w:sz w:val="14"/>
                <w:szCs w:val="14"/>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Post-retirement</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line="164" w:lineRule="exact"/>
              <w:rPr>
                <w:sz w:val="20"/>
                <w:szCs w:val="20"/>
                <w:color w:val="auto"/>
              </w:rPr>
            </w:pPr>
            <w:r>
              <w:rPr>
                <w:rFonts w:ascii="Arial" w:cs="Arial" w:eastAsia="Arial" w:hAnsi="Arial"/>
                <w:sz w:val="16"/>
                <w:szCs w:val="16"/>
                <w:b w:val="1"/>
                <w:bCs w:val="1"/>
                <w:color w:val="auto"/>
                <w:w w:val="92"/>
              </w:rPr>
              <w:t>Cumulative</w:t>
            </w:r>
          </w:p>
        </w:tc>
        <w:tc>
          <w:tcPr>
            <w:tcW w:w="1500" w:type="dxa"/>
            <w:vAlign w:val="bottom"/>
            <w:gridSpan w:val="2"/>
          </w:tcPr>
          <w:p>
            <w:pPr>
              <w:jc w:val="right"/>
              <w:spacing w:after="0" w:line="164" w:lineRule="exact"/>
              <w:rPr>
                <w:sz w:val="20"/>
                <w:szCs w:val="20"/>
                <w:color w:val="auto"/>
              </w:rPr>
            </w:pPr>
            <w:r>
              <w:rPr>
                <w:rFonts w:ascii="Arial" w:cs="Arial" w:eastAsia="Arial" w:hAnsi="Arial"/>
                <w:sz w:val="16"/>
                <w:szCs w:val="16"/>
                <w:b w:val="1"/>
                <w:bCs w:val="1"/>
                <w:color w:val="auto"/>
                <w:w w:val="96"/>
              </w:rPr>
              <w:t>Accumulated other</w:t>
            </w:r>
          </w:p>
        </w:tc>
        <w:tc>
          <w:tcPr>
            <w:tcW w:w="0" w:type="dxa"/>
            <w:vAlign w:val="bottom"/>
          </w:tcPr>
          <w:p>
            <w:pPr>
              <w:spacing w:after="0"/>
              <w:rPr>
                <w:sz w:val="1"/>
                <w:szCs w:val="1"/>
                <w:color w:val="auto"/>
              </w:rPr>
            </w:pPr>
          </w:p>
        </w:tc>
      </w:tr>
      <w:tr>
        <w:trPr>
          <w:trHeight w:val="162"/>
        </w:trPr>
        <w:tc>
          <w:tcPr>
            <w:tcW w:w="4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5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3"/>
        </w:trPr>
        <w:tc>
          <w:tcPr>
            <w:tcW w:w="4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adjustments</w:t>
            </w: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liability adjustments</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30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30,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year 2018 change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(11,746)</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2018</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line="216" w:lineRule="exact"/>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2019 change</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0" w:type="dxa"/>
            <w:vAlign w:val="bottom"/>
          </w:tcPr>
          <w:p>
            <w:pPr>
              <w:spacing w:after="0"/>
              <w:rPr>
                <w:sz w:val="1"/>
                <w:szCs w:val="1"/>
                <w:color w:val="auto"/>
              </w:rPr>
            </w:pPr>
          </w:p>
        </w:tc>
      </w:tr>
      <w:tr>
        <w:trPr>
          <w:trHeight w:val="206"/>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(26,522)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(35,634)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2020 change</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(21,307)</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right="300" w:hanging="332"/>
        <w:spacing w:after="0" w:line="312" w:lineRule="auto"/>
        <w:tabs>
          <w:tab w:leader="none" w:pos="3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In fiscal 2019, 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3"/>
          <w:szCs w:val="13"/>
          <w:i w:val="1"/>
          <w:iCs w:val="1"/>
          <w:color w:val="auto"/>
        </w:rPr>
        <w:t>Reclassification of Certain Tax Effects from Accumulated Other Comprehensive Income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January 2, 2021 and December 28, 2019, the cumulative tax effect on the pension liability adjustments were $4.0 million and $3.3 million, respectively. As of January 2, 2021 and December 28, 2019, the cumulative tax effect on the post-retirement liability adjustments were approximately $0.5 million and $0.5 million, respectively.`</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fiscal years ended January 2, 2021 and December 28, 2019,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For additional information, see Note 11</w:t>
      </w:r>
      <w:r>
        <w:rPr>
          <w:rFonts w:ascii="Arial" w:cs="Arial" w:eastAsia="Arial" w:hAnsi="Arial"/>
          <w:sz w:val="18"/>
          <w:szCs w:val="18"/>
          <w:i w:val="1"/>
          <w:iCs w:val="1"/>
          <w:color w:val="auto"/>
        </w:rPr>
        <w:t>, Employee Benefit Plans</w:t>
      </w:r>
      <w:r>
        <w:rPr>
          <w:rFonts w:ascii="Arial" w:cs="Arial" w:eastAsia="Arial" w:hAnsi="Arial"/>
          <w:sz w:val="18"/>
          <w:szCs w:val="18"/>
          <w:color w:val="auto"/>
        </w:rPr>
        <w:t>, to the consolidated financial statements.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28, 2019</w:t>
            </w:r>
          </w:p>
        </w:tc>
      </w:tr>
      <w:tr>
        <w:trPr>
          <w:trHeight w:val="212"/>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5.500% Senior Notes due 2025</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5.625% Senior Notes due 2027</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senior notes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w:t>
            </w:r>
          </w:p>
        </w:tc>
      </w:tr>
      <w:tr>
        <w:trPr>
          <w:trHeight w:val="213"/>
        </w:trPr>
        <w:tc>
          <w:tcPr>
            <w:tcW w:w="7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494,672</w:t>
            </w: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Secured revolving credit facility</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34"/>
        </w:trPr>
        <w:tc>
          <w:tcPr>
            <w:tcW w:w="77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594,672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improve the Company’s cash position in light of the uncertainty and disruption related to COVID-19, the Company drew $639.0 million under its secured revolving credit facility in the month of March 2020, and in May 2020 repaid $500 million of the outstanding borrowings with the net proceeds of a new $500 million senior notes offering, as discussed below, and cash on hand. During the third quarter of fiscal 2020, the Company repaid the remainder of its outstanding borrowings under its secured revolving credit facility with cash on hand. As of January 2, 2021, the Company had no outstanding borrowings under its secured revolving credit facility, exclusive of $5.0 million of outstanding letters of credit. As of December 28, 2019, the Company had $100.0 million in outstanding borrowings under its secured revolving credit facility, exclusive of $5.0 million of outstanding letters of credit. As of January 2, 2021 and December 28, 2019, there was approximately $745.0 million and $645.0 million available for future borrowing, respectively. All outstanding borrowings under the Company’s secured revolving credit facility are classified as non-current liabilities on the Company’s consolidated balance sheets due to contractual repayment terms under the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Secured Revolving Credit Facility</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25, 2017, the Company’s wholly owned subsidiary, The William Carter Company (“TWCC”) and the syndicate of lenders entered into a fourth amended and restated secured revolving credit agreement, which provided for, among other things:</w:t>
      </w:r>
    </w:p>
    <w:p>
      <w:pPr>
        <w:spacing w:after="0" w:line="3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extension of the term of the facility to August 25, 2022.</w:t>
      </w:r>
    </w:p>
    <w:p>
      <w:pPr>
        <w:spacing w:after="0" w:line="103" w:lineRule="exact"/>
        <w:rPr>
          <w:rFonts w:ascii="Arial" w:cs="Arial" w:eastAsia="Arial" w:hAnsi="Arial"/>
          <w:sz w:val="18"/>
          <w:szCs w:val="18"/>
          <w:color w:val="auto"/>
        </w:rPr>
      </w:pPr>
    </w:p>
    <w:p>
      <w:pPr>
        <w:jc w:val="both"/>
        <w:ind w:left="660" w:right="560" w:hanging="328"/>
        <w:spacing w:after="0" w:line="287"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w:t>
      </w:r>
    </w:p>
    <w:p>
      <w:pPr>
        <w:spacing w:after="0" w:line="2"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$100 million multicurrency facility is inclusive of a $40 million sub-limit for letters of credit and a swing line sub-limit of $15 million. In addition, the amendment provided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69" w:lineRule="exact"/>
        <w:rPr>
          <w:rFonts w:ascii="Arial" w:cs="Arial" w:eastAsia="Arial" w:hAnsi="Arial"/>
          <w:sz w:val="16"/>
          <w:szCs w:val="16"/>
          <w:color w:val="auto"/>
        </w:rPr>
      </w:pPr>
    </w:p>
    <w:p>
      <w:pPr>
        <w:ind w:left="660" w:right="120" w:hanging="328"/>
        <w:spacing w:after="0" w:line="311"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3" w:lineRule="exact"/>
        <w:rPr>
          <w:rFonts w:ascii="Arial" w:cs="Arial" w:eastAsia="Arial" w:hAnsi="Arial"/>
          <w:sz w:val="16"/>
          <w:szCs w:val="16"/>
          <w:color w:val="auto"/>
        </w:rPr>
      </w:pPr>
    </w:p>
    <w:p>
      <w:pPr>
        <w:ind w:left="660" w:right="34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Lease Adjusted Leverage Ratio (defined as, with certain adjustments, the ratio of the Company’s consolidated indebtedness plus six times rent expense, as defined, to consolidated net income before interest, taxes, depreciation,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left="660" w:right="60"/>
        <w:spacing w:after="0" w:line="263" w:lineRule="auto"/>
        <w:rPr>
          <w:sz w:val="20"/>
          <w:szCs w:val="20"/>
          <w:color w:val="auto"/>
        </w:rPr>
      </w:pPr>
      <w:r>
        <w:rPr>
          <w:rFonts w:ascii="Arial" w:cs="Arial" w:eastAsia="Arial" w:hAnsi="Arial"/>
          <w:sz w:val="18"/>
          <w:szCs w:val="18"/>
          <w:color w:val="auto"/>
        </w:rPr>
        <w:t>amortization, and rent expense (“EBITDAR”)) and the Consolidated Fixed Charge Coverage Ratio (defined as, with certain adjustments, the ratio of consolidated EBITDAR to consolidated fixed charges (defined as interest plus rent expense)) covenants, which were amended by Amendment No.2 (as defined and described below).</w:t>
      </w:r>
    </w:p>
    <w:p>
      <w:pPr>
        <w:spacing w:after="0" w:line="62" w:lineRule="exact"/>
        <w:rPr>
          <w:sz w:val="20"/>
          <w:szCs w:val="20"/>
          <w:color w:val="auto"/>
        </w:rPr>
      </w:pPr>
    </w:p>
    <w:p>
      <w:pPr>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fourth amended and restated secured revolving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September 21, 2018, TWCC and a syndicate of lenders entered into Amendment No. 1 to its fourth amended and restated credit agreement that, among other things, extended the term of the facility from August 25, 2022 to September 21, 2023.</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4, 2020, TWCC entered into Amendment No.2 to its fourth amended and restated credit agreement (“Amendment No. 2”). Amendment No. 2 provided for, among other things, access to additional capital and increased flexibility under financial maintenance covenants, which the Company sought in part due to the unforeseen negative effects of the COVID-19 pandemic.</w:t>
      </w:r>
    </w:p>
    <w:p>
      <w:pPr>
        <w:spacing w:after="0" w:line="14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particular, Amendment No. 2 provided that the Company may issue additional debt securities in an aggregate principal amount of up to $500 million on or prior to the last day of fiscal 2020 (the “Post-Amendment Debt Issuance”), and must use half of the net cash proceeds from the Post-Amendment Debt Issuance to repay outstanding borrowings under the Secured Revolving Credit Facility (or, if such outstanding borrowings do not exceed an amount equal to half of such net cash proceeds, the amount necessary to repay the borrowings in full). The aggregate gross principal amount outstanding of any Post-Amendment Debt issuance will not count as Consolidated Indebtedness for purposes of leverage determinations under the Secured Revolving Credit Agreement to the extent that the Company’s and certain other subsidiaries’ on-hand cash and cash equivalents is at least equal to the aggregate principal gross amount outstanding of that issuance. On May 11, 2020, TWCC issued $500 million principal amount of senior notes at par, bearing interest at a rate of 5.500% per annum, and maturing on May 15, 2025, as more fully described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Amendment No.2 provided that:</w:t>
      </w:r>
    </w:p>
    <w:p>
      <w:pPr>
        <w:spacing w:after="0" w:line="104" w:lineRule="exact"/>
        <w:rPr>
          <w:sz w:val="20"/>
          <w:szCs w:val="20"/>
          <w:color w:val="auto"/>
        </w:rPr>
      </w:pPr>
    </w:p>
    <w:p>
      <w:pPr>
        <w:ind w:left="660" w:right="520" w:hanging="328"/>
        <w:spacing w:after="0" w:line="29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Lease Adjusted Leverage Ratio and the Consolidated Fixed Charge Coverage Ratio covenants were waived during the period from and including the second fiscal quarter of 2020 through and including the fourth fiscal quarter of 2020, and thereafter,</w:t>
      </w:r>
    </w:p>
    <w:p>
      <w:pPr>
        <w:ind w:left="1300" w:right="200" w:hanging="320"/>
        <w:spacing w:after="0" w:line="263" w:lineRule="auto"/>
        <w:tabs>
          <w:tab w:leader="none" w:pos="12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Lease Adjusted Leverage Ratio was set at 5.50:1.00 for the first fiscal quarter of 2021 and, during the remainder of 2021, gradually steps down to 4.00:1.00 for the fourth fiscal quarter of 2021 and, subject to the consummation of a Material Acquisition (as defined in Amendment No.2), thereafter.</w:t>
      </w:r>
    </w:p>
    <w:p>
      <w:pPr>
        <w:spacing w:after="0" w:line="21" w:lineRule="exact"/>
        <w:rPr>
          <w:rFonts w:ascii="Arial" w:cs="Arial" w:eastAsia="Arial" w:hAnsi="Arial"/>
          <w:sz w:val="18"/>
          <w:szCs w:val="18"/>
          <w:color w:val="auto"/>
        </w:rPr>
      </w:pPr>
    </w:p>
    <w:p>
      <w:pPr>
        <w:ind w:left="1300" w:hanging="320"/>
        <w:spacing w:after="0" w:line="263" w:lineRule="auto"/>
        <w:tabs>
          <w:tab w:leader="none" w:pos="12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Consolidated Fixed Charge Coverage Ratio was set at 1.25:1.00 for the first fiscal quarter of 2021 and, during the remainder of 2021 and, gradually steps back up to 1.85:1.00 for the fourth fiscal quarter of 2021 and, subject to the consummation of a Material Acquisition, thereafter.</w:t>
      </w:r>
    </w:p>
    <w:p>
      <w:pPr>
        <w:spacing w:after="0" w:line="62"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period from May 4, 2020 through the date the Company delivers its financial statements and associated certificates relating to the third fiscal quarter of 2021 (the “Restricted Period”), the Company must maintain a minimum liquidity (defined as cash-on-hand plus availability under its secured revolving credit facility) on the last day of each fiscal month of at least $700 million.</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Restricted Period, the Company must demonstrate a business need for revolving borrowings if it maintains more than $700 million of cash on-hand at the time of the draw, subject to certain exceptions.</w:t>
      </w:r>
    </w:p>
    <w:p>
      <w:pPr>
        <w:spacing w:after="0" w:line="48"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Restricted Period, the availability of certain exceptions to the lien, investment, indebtedness, and restricted payment negative covenants (including those related to dividend payments and share repurchases) are limited or removed, and any incremental credit extensions and the possibility of collateral and covenant release periods are suspended.</w:t>
      </w:r>
    </w:p>
    <w:p>
      <w:pPr>
        <w:spacing w:after="0" w:line="6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Restricted Period, interest rate margins applicable to the secured revolving credit facility were initially 2.125% for LIBOR rate loans (which may be adjusted based on a leverage-based pricing grid ranging from 1.125% to 2.375%) and 1.125% for base rate loans (which may be adjusted based on a leverage-based pricing grid ranging from 0.125% to 1.375%). Amendment No. 2 also provided for a commitment fee initially equal to 0.35% per annum,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ranging thereafter from 0.15% per annum to 0.40% per annum based upon a leverage-based pricing grid, which is payable quarterly in arrears with respect to the average daily unused portion of the revolving loan commitments.</w:t>
      </w:r>
    </w:p>
    <w:p>
      <w:pPr>
        <w:spacing w:after="0" w:line="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Approximately $1.2 million, including both bank fees and other third party expenses, has been capitalized in connection with Amendment No. 2 and is being amortized over the remaining term of the secured revolving credit facility.</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January 2, 2021, the interest rate margins applicable to the amended revolving credit facility were 1.625% for LIBOR (London Interbank Offered Rate) rate loans and 0.625% for base rate loans. There were no U.S. dollar borrowings or foreign currency borrowings outstanding on January 2, 2021. As of December 28, 2019, U.S. dollar borrowings outstanding under the secured revolving credit facility accrued interest at a LIBOR rate plus the applicable base rate, which resulted in a weighted-average borrowing rate of 3.42%. There were no Canadian borrowings outstanding on January 2, 2021 or December 28,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 2021, the Company was in compliance with its financial and other covenants under the secured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Issuance of Senior Notes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11, 2020, TWCC issued $500 million principal amount of senior notes at par, bearing interest at a rate of 5.500% per annum, and maturing on May 15, 2025, all of which were outstanding as of January 2, 2021. TWCC received net proceeds from the offering of the senior notes of approximately $494.5 million, after deducting underwriting fees, which TWCC used to repay borrowings outstanding under the Company’s secured revolving credit facility. Approximately $6.5 million, including both bank fees and other third party expenses, has been capitalized in connection with the issuance and is being amortized over the term of the senior notes.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and after May 15, 2022,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May 15 of each of the years indicated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Percentage</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102.75 %</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2023</w:t>
            </w:r>
          </w:p>
        </w:tc>
        <w:tc>
          <w:tcPr>
            <w:tcW w:w="5640" w:type="dxa"/>
            <w:vAlign w:val="bottom"/>
          </w:tcPr>
          <w:p>
            <w:pPr>
              <w:jc w:val="right"/>
              <w:spacing w:after="0"/>
              <w:rPr>
                <w:sz w:val="20"/>
                <w:szCs w:val="20"/>
                <w:color w:val="auto"/>
              </w:rPr>
            </w:pPr>
            <w:r>
              <w:rPr>
                <w:rFonts w:ascii="Arial" w:cs="Arial" w:eastAsia="Arial" w:hAnsi="Arial"/>
                <w:sz w:val="16"/>
                <w:szCs w:val="16"/>
                <w:color w:val="auto"/>
              </w:rPr>
              <w:t>101.38 %</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and thereafter</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Redemption and Issuance of Senior Notes</w:t>
      </w:r>
    </w:p>
    <w:p>
      <w:pPr>
        <w:spacing w:after="0" w:line="10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On March 14, 2019,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1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Concurrently, TWCC issued $500 million principal amount of senior notes at par, bearing interest at a rate of 5.625% per annum, and maturing on March 15, 2027. TWCC received net proceeds from the offering of the senior notes of approximately $494.8 million, after deducting underwriting fees and other expenses, which TWCC used to redeem the senior notes discussed above and repay borrowings outstanding under the Company’s secured revolving credit facility. Approximately $5.8 million, including both bank fees and other third party expenses, was capitalized in connection with the issuance and is being amortized over the term of the senior notes.</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and after March 15, 2022, TWCC may redeem all or part of the senior notes at the redemption prices (expressed as percentages of principal amount of the senior notes to be redeemed) set forth below, plus accrued and unpaid interest.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redemption price is applicable when the redemption occurs during the twelve-month period beginning on March 15 of each of the years indicated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Percentage</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102.81 %</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2023</w:t>
            </w:r>
          </w:p>
        </w:tc>
        <w:tc>
          <w:tcPr>
            <w:tcW w:w="5640" w:type="dxa"/>
            <w:vAlign w:val="bottom"/>
          </w:tcPr>
          <w:p>
            <w:pPr>
              <w:jc w:val="right"/>
              <w:spacing w:after="0"/>
              <w:rPr>
                <w:sz w:val="20"/>
                <w:szCs w:val="20"/>
                <w:color w:val="auto"/>
              </w:rPr>
            </w:pPr>
            <w:r>
              <w:rPr>
                <w:rFonts w:ascii="Arial" w:cs="Arial" w:eastAsia="Arial" w:hAnsi="Arial"/>
                <w:sz w:val="16"/>
                <w:szCs w:val="16"/>
                <w:color w:val="auto"/>
              </w:rPr>
              <w:t>101.41 %</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and thereafter</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mentioned above are unsecured and are fully and unconditionally guaranteed by Carter’s, Inc. and certain domestic subsidiaries of TWCC.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are 100% owned directly or indirectly by Carter’s, Inc. and all guarantees are joint, several and unconditional.</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both February 13, 2020 and February 22, 2018, the Company’s Board of Directors authorized an additional $500 million of share repurchases, for total authorizations, inclusive of authorizations prior to 2018, of up to $1.96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29, 2018</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2,107,472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1,879,529</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45,255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196,910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193,028</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102.70</w:t>
            </w:r>
          </w:p>
        </w:tc>
      </w:tr>
    </w:tbl>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total remaining capacity under outstanding repurchase authorizations as of January 2, 2021 was approximately $650.4 million, based on settled repurchase transactions. The share repurchase authorizations have no expiration dates.</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26, 2020, the Company announced that, in connection with the COVID-19 pandemic, it suspended its common stock share repurchase program. While we may elect to resume purchases at any time, the timing and amount of any future repurchases will be determined by the Company based on its evaluation of market conditions, share price, other investment priorities, and other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first fiscal quarter of 2020, the Company declared and paid cash dividends of $0.60 per share. On May 1, 2020, in connection with the COVID-19 pandemic, the Company suspended its quarterly cash dividend. As a result, the Company did not declare or pay cash dividends for the remainder of fiscal 2020. The Board of Directors will evaluate future dividend declarations based on a number of factors, including restrictions under the Company’s revolving credit facility, business conditions, the Company’s financial performance, and other considerations. In fiscal 2019, the Company declared and paid cash dividends of $0.50 per share during all four quarters.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Provisions in the Company’s secured revolving credit facility have the effect of restricting the Company’s ability to pay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dividends on, or make future repurchases of, its common stock through the date the Company delivers its financial statements and associated certificates relating to the third fiscal quarter of 2021, and could have the effect of restricting the Company’s ability to do so thereafter, as further described in Note 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Company’s May 17, 2018 shareholders’ meeting, the shareholders approved an amendment to the Plan to increase the maximum number of shares of stock available under the Plan by 3,000,000 shares from a cumulative total of 15,778,392 shares to 18,778,392 shares. As of January 2, 2021, there were 3,293,796 remaining shares available for grant under the Plan. The Plan makes a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cost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For the fiscal years ended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29, 2018</w:t>
            </w:r>
          </w:p>
        </w:tc>
      </w:tr>
      <w:tr>
        <w:trPr>
          <w:trHeight w:val="212"/>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4,788</w:t>
            </w:r>
          </w:p>
        </w:tc>
      </w:tr>
      <w:tr>
        <w:trPr>
          <w:trHeight w:val="213"/>
        </w:trPr>
        <w:tc>
          <w:tcPr>
            <w:tcW w:w="5600" w:type="dxa"/>
            <w:vAlign w:val="bottom"/>
          </w:tcPr>
          <w:p>
            <w:pPr>
              <w:spacing w:after="0"/>
              <w:rPr>
                <w:sz w:val="20"/>
                <w:szCs w:val="20"/>
                <w:color w:val="auto"/>
              </w:rPr>
            </w:pPr>
            <w:r>
              <w:rPr>
                <w:rFonts w:ascii="Arial" w:cs="Arial" w:eastAsia="Arial" w:hAnsi="Arial"/>
                <w:sz w:val="16"/>
                <w:szCs w:val="16"/>
                <w:color w:val="auto"/>
              </w:rPr>
              <w:t>Restricted stock:</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Time-based awards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7,938</w:t>
            </w:r>
          </w:p>
        </w:tc>
      </w:tr>
      <w:tr>
        <w:trPr>
          <w:trHeight w:val="213"/>
        </w:trPr>
        <w:tc>
          <w:tcPr>
            <w:tcW w:w="5600" w:type="dxa"/>
            <w:vAlign w:val="bottom"/>
          </w:tcPr>
          <w:p>
            <w:pPr>
              <w:ind w:left="120"/>
              <w:spacing w:after="0"/>
              <w:rPr>
                <w:sz w:val="20"/>
                <w:szCs w:val="20"/>
                <w:color w:val="auto"/>
              </w:rPr>
            </w:pPr>
            <w:r>
              <w:rPr>
                <w:rFonts w:ascii="Arial" w:cs="Arial" w:eastAsia="Arial" w:hAnsi="Arial"/>
                <w:sz w:val="16"/>
                <w:szCs w:val="16"/>
                <w:color w:val="auto"/>
              </w:rPr>
              <w:t>Performance-based awards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awards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r>
      <w:tr>
        <w:trPr>
          <w:trHeight w:val="213"/>
        </w:trPr>
        <w:tc>
          <w:tcPr>
            <w:tcW w:w="560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12,830</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14,673</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fiscal 2020, the achievement of performance target estimates was revised resulting in a reversal of previously recognized stock-based compensation expense for outstanding performance-based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Stock options vest in equal annual installments over a four-year period. The Company issues new shares to satisfy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stock options for the fiscal year ended January 2, 2021 were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00" w:type="dxa"/>
            <w:vAlign w:val="bottom"/>
          </w:tcPr>
          <w:p>
            <w:pPr>
              <w:spacing w:after="0"/>
              <w:rPr>
                <w:sz w:val="16"/>
                <w:szCs w:val="16"/>
                <w:color w:val="auto"/>
              </w:rPr>
            </w:pPr>
          </w:p>
        </w:tc>
        <w:tc>
          <w:tcPr>
            <w:tcW w:w="14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Aggregate intrinsic</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remaining</w:t>
            </w: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 terms</w:t>
            </w:r>
          </w:p>
        </w:tc>
        <w:tc>
          <w:tcPr>
            <w:tcW w:w="100" w:type="dxa"/>
            <w:vAlign w:val="bottom"/>
          </w:tcPr>
          <w:p>
            <w:pPr>
              <w:spacing w:after="0"/>
              <w:rPr>
                <w:sz w:val="14"/>
                <w:szCs w:val="14"/>
                <w:color w:val="auto"/>
              </w:rPr>
            </w:pPr>
          </w:p>
        </w:tc>
        <w:tc>
          <w:tcPr>
            <w:tcW w:w="1420" w:type="dxa"/>
            <w:vAlign w:val="bottom"/>
          </w:tcPr>
          <w:p>
            <w:pPr>
              <w:jc w:val="right"/>
              <w:ind w:right="519"/>
              <w:spacing w:after="0" w:line="162" w:lineRule="exact"/>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December 28, 2019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1,128,607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Exercised</w:t>
            </w:r>
          </w:p>
        </w:tc>
        <w:tc>
          <w:tcPr>
            <w:tcW w:w="1520" w:type="dxa"/>
            <w:vAlign w:val="bottom"/>
          </w:tcPr>
          <w:p>
            <w:pPr>
              <w:jc w:val="right"/>
              <w:spacing w:after="0"/>
              <w:rPr>
                <w:sz w:val="20"/>
                <w:szCs w:val="20"/>
                <w:color w:val="auto"/>
              </w:rPr>
            </w:pPr>
            <w:r>
              <w:rPr>
                <w:rFonts w:ascii="Arial" w:cs="Arial" w:eastAsia="Arial" w:hAnsi="Arial"/>
                <w:sz w:val="16"/>
                <w:szCs w:val="16"/>
                <w:color w:val="auto"/>
              </w:rPr>
              <w:t>(193,645)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46.52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(42,493)</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96.96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Outstanding, January 2,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860,711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Vested and expected to vest, January 2,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13,154</w:t>
            </w:r>
          </w:p>
        </w:tc>
        <w:tc>
          <w:tcPr>
            <w:tcW w:w="0" w:type="dxa"/>
            <w:vAlign w:val="bottom"/>
          </w:tcPr>
          <w:p>
            <w:pPr>
              <w:spacing w:after="0"/>
              <w:rPr>
                <w:sz w:val="1"/>
                <w:szCs w:val="1"/>
                <w:color w:val="auto"/>
              </w:rPr>
            </w:pPr>
          </w:p>
        </w:tc>
      </w:tr>
      <w:tr>
        <w:trPr>
          <w:trHeight w:val="210"/>
        </w:trPr>
        <w:tc>
          <w:tcPr>
            <w:tcW w:w="4760" w:type="dxa"/>
            <w:vAlign w:val="bottom"/>
          </w:tcPr>
          <w:p>
            <w:pPr>
              <w:ind w:left="40"/>
              <w:spacing w:after="0"/>
              <w:rPr>
                <w:sz w:val="20"/>
                <w:szCs w:val="20"/>
                <w:color w:val="auto"/>
              </w:rPr>
            </w:pPr>
            <w:r>
              <w:rPr>
                <w:rFonts w:ascii="Arial" w:cs="Arial" w:eastAsia="Arial" w:hAnsi="Arial"/>
                <w:sz w:val="16"/>
                <w:szCs w:val="16"/>
                <w:b w:val="1"/>
                <w:bCs w:val="1"/>
                <w:color w:val="auto"/>
              </w:rPr>
              <w:t>Exercisable, January 2, 2021</w:t>
            </w:r>
          </w:p>
        </w:tc>
        <w:tc>
          <w:tcPr>
            <w:tcW w:w="1520" w:type="dxa"/>
            <w:vAlign w:val="bottom"/>
          </w:tcPr>
          <w:p>
            <w:pPr>
              <w:jc w:val="right"/>
              <w:spacing w:after="0"/>
              <w:rPr>
                <w:sz w:val="20"/>
                <w:szCs w:val="20"/>
                <w:color w:val="auto"/>
              </w:rPr>
            </w:pPr>
            <w:r>
              <w:rPr>
                <w:rFonts w:ascii="Arial" w:cs="Arial" w:eastAsia="Arial" w:hAnsi="Arial"/>
                <w:sz w:val="16"/>
                <w:szCs w:val="16"/>
                <w:color w:val="auto"/>
              </w:rPr>
              <w:t>709,690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79.74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 did not grant any stock options in fiscal 2020.</w:t>
      </w:r>
    </w:p>
    <w:p>
      <w:pPr>
        <w:spacing w:after="0" w:line="19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intrinsic value of stock options exercised during the fiscal years ended January 2, 2021, December 28, 2019, and December 29, 2018 was approximately $8.2 million, $13.3 million, and $16.6 million, respectively. At January 2, 2021, there was approximately $1.6 million of unrecognized compensation cost (net of estimated forfeitures) related to stock options, which is expected to be recognized over a weighted-average period of approximately 1.1 years.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weighted-average assumptions used to calculate the fair value of options granted in each of the respective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For the fiscal years ended</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3"/>
        </w:trPr>
        <w:tc>
          <w:tcPr>
            <w:tcW w:w="51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16"/>
                <w:szCs w:val="16"/>
                <w:b w:val="1"/>
                <w:bCs w:val="1"/>
                <w:color w:val="auto"/>
              </w:rPr>
              <w:t>January 2, 2021</w:t>
            </w:r>
            <w:r>
              <w:rPr>
                <w:rFonts w:ascii="Arial" w:cs="Arial" w:eastAsia="Arial" w:hAnsi="Arial"/>
                <w:sz w:val="21"/>
                <w:szCs w:val="21"/>
                <w:b w:val="1"/>
                <w:bCs w:val="1"/>
                <w:color w:val="auto"/>
                <w:vertAlign w:val="superscript"/>
              </w:rPr>
              <w:t>(*)</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79"/>
              <w:spacing w:after="0" w:line="213" w:lineRule="exact"/>
              <w:rPr>
                <w:sz w:val="20"/>
                <w:szCs w:val="20"/>
                <w:color w:val="auto"/>
              </w:rPr>
            </w:pPr>
            <w:r>
              <w:rPr>
                <w:rFonts w:ascii="Arial" w:cs="Arial" w:eastAsia="Arial" w:hAnsi="Arial"/>
                <w:sz w:val="16"/>
                <w:szCs w:val="16"/>
                <w:b w:val="1"/>
                <w:bCs w:val="1"/>
                <w:color w:val="auto"/>
                <w:w w:val="94"/>
              </w:rPr>
              <w:t>December 28, 2019</w:t>
            </w:r>
            <w:r>
              <w:rPr>
                <w:rFonts w:ascii="Arial" w:cs="Arial" w:eastAsia="Arial" w:hAnsi="Arial"/>
                <w:sz w:val="21"/>
                <w:szCs w:val="21"/>
                <w:b w:val="1"/>
                <w:bCs w:val="1"/>
                <w:color w:val="auto"/>
                <w:w w:val="94"/>
                <w:vertAlign w:val="superscript"/>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December 29, 2018</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 %</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22.93 %</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6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 %</w:t>
            </w:r>
          </w:p>
        </w:tc>
        <w:tc>
          <w:tcPr>
            <w:tcW w:w="20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2.75 %</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6.0</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6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 %</w:t>
            </w:r>
          </w:p>
        </w:tc>
        <w:tc>
          <w:tcPr>
            <w:tcW w:w="20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1.47 %</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27.36</w:t>
            </w:r>
          </w:p>
        </w:tc>
      </w:tr>
    </w:tbl>
    <w:p>
      <w:pPr>
        <w:spacing w:after="0" w:line="116"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There were no stock options granted in fiscal 2020 and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Restricted stock awards issued under the Plan vest based upon: 1) continued service (time-based) or 2) a combination of continued service and performance targets (performance-based).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all restricted stock awards during the fiscal year ended January 2,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420" w:type="dxa"/>
            <w:vAlign w:val="bottom"/>
          </w:tcPr>
          <w:p>
            <w:pPr>
              <w:jc w:val="center"/>
              <w:ind w:left="599"/>
              <w:spacing w:after="0"/>
              <w:rPr>
                <w:sz w:val="20"/>
                <w:szCs w:val="20"/>
                <w:color w:val="auto"/>
              </w:rPr>
            </w:pPr>
            <w:r>
              <w:rPr>
                <w:rFonts w:ascii="Arial" w:cs="Arial" w:eastAsia="Arial" w:hAnsi="Arial"/>
                <w:sz w:val="16"/>
                <w:szCs w:val="16"/>
                <w:b w:val="1"/>
                <w:bCs w:val="1"/>
                <w:color w:val="auto"/>
                <w:w w:val="89"/>
              </w:rPr>
              <w:t>Restricted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Weighted-average grant-date</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420" w:type="dxa"/>
            <w:vAlign w:val="bottom"/>
          </w:tcPr>
          <w:p>
            <w:pPr>
              <w:jc w:val="center"/>
              <w:ind w:left="619"/>
              <w:spacing w:after="0" w:line="162" w:lineRule="exact"/>
              <w:rPr>
                <w:sz w:val="20"/>
                <w:szCs w:val="20"/>
                <w:color w:val="auto"/>
              </w:rPr>
            </w:pPr>
            <w:r>
              <w:rPr>
                <w:rFonts w:ascii="Arial" w:cs="Arial" w:eastAsia="Arial" w:hAnsi="Arial"/>
                <w:sz w:val="16"/>
                <w:szCs w:val="16"/>
                <w:b w:val="1"/>
                <w:bCs w:val="1"/>
                <w:color w:val="auto"/>
                <w:w w:val="86"/>
              </w:rPr>
              <w:t>stock</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w w:val="90"/>
              </w:rPr>
              <w:t>awards</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December 28, 2019</w:t>
            </w: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458,500</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94.58</w:t>
            </w:r>
          </w:p>
        </w:tc>
        <w:tc>
          <w:tcPr>
            <w:tcW w:w="0" w:type="dxa"/>
            <w:vAlign w:val="bottom"/>
          </w:tcPr>
          <w:p>
            <w:pPr>
              <w:spacing w:after="0"/>
              <w:rPr>
                <w:sz w:val="1"/>
                <w:szCs w:val="1"/>
                <w:color w:val="auto"/>
              </w:rPr>
            </w:pPr>
          </w:p>
        </w:tc>
      </w:tr>
      <w:tr>
        <w:trPr>
          <w:trHeight w:val="213"/>
        </w:trPr>
        <w:tc>
          <w:tcPr>
            <w:tcW w:w="83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680" w:type="dxa"/>
            <w:vAlign w:val="bottom"/>
          </w:tcPr>
          <w:p>
            <w:pPr>
              <w:jc w:val="right"/>
              <w:spacing w:after="0"/>
              <w:rPr>
                <w:sz w:val="20"/>
                <w:szCs w:val="20"/>
                <w:color w:val="auto"/>
              </w:rPr>
            </w:pPr>
            <w:r>
              <w:rPr>
                <w:rFonts w:ascii="Arial" w:cs="Arial" w:eastAsia="Arial" w:hAnsi="Arial"/>
                <w:sz w:val="16"/>
                <w:szCs w:val="16"/>
                <w:color w:val="auto"/>
              </w:rPr>
              <w:t>226,970</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105.48</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(140,345)</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(82,588)</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91.83</w:t>
            </w:r>
          </w:p>
        </w:tc>
        <w:tc>
          <w:tcPr>
            <w:tcW w:w="0" w:type="dxa"/>
            <w:vAlign w:val="bottom"/>
          </w:tcPr>
          <w:p>
            <w:pPr>
              <w:spacing w:after="0"/>
              <w:rPr>
                <w:sz w:val="1"/>
                <w:szCs w:val="1"/>
                <w:color w:val="auto"/>
              </w:rPr>
            </w:pPr>
          </w:p>
        </w:tc>
      </w:tr>
      <w:tr>
        <w:trPr>
          <w:trHeight w:val="233"/>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2, 2020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462,537</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During fiscal 2019, a total of 131,924 shares of restricted stock vested with a weighted-average fair value of $93.03 per share. During fiscal 2018, a total of 151,321 shares of restricted stock vested with a weighted-average fair value of $84.56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January 2, 2021, there was approximately $19.8 million of unrecognized compensation cost (net of estimated forfeitures) related to all restricted stock awards which is expected to be recognized over a weighted-average period of approximately 2.6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Time-based restricted stock awards vest in equal annual installments or cliff vest after a three-year or four-year period. During fiscal years 2020, 2019, and 2018, a total of 125,209 shares, 102,492 shares, and 100,625 shares, respectively, of time-based restricted stock vested with a weighted-average fair value of $90.52 per share, $93.70 per share, and $85.64 per share, respectively. At January 2, 2021, there was approximately $19.8 million of unrecognized compensation cost (net of estimated forfeitures) related to time-based restricted stock which is expected to be recognized over a weighted-average period of approximately 2.6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20" w:type="dxa"/>
            <w:vAlign w:val="bottom"/>
            <w:gridSpan w:val="2"/>
            <w:vMerge w:val="restart"/>
          </w:tcPr>
          <w:p>
            <w:pPr>
              <w:ind w:left="2940"/>
              <w:spacing w:after="0"/>
              <w:rPr>
                <w:sz w:val="20"/>
                <w:szCs w:val="20"/>
                <w:color w:val="auto"/>
              </w:rPr>
            </w:pPr>
            <w:r>
              <w:rPr>
                <w:rFonts w:ascii="Arial" w:cs="Arial" w:eastAsia="Arial" w:hAnsi="Arial"/>
                <w:sz w:val="16"/>
                <w:szCs w:val="16"/>
                <w:b w:val="1"/>
                <w:bCs w:val="1"/>
                <w:color w:val="auto"/>
              </w:rPr>
              <w:t>Fiscal year</w:t>
            </w:r>
          </w:p>
        </w:tc>
        <w:tc>
          <w:tcPr>
            <w:tcW w:w="23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Number of shares granted</w:t>
            </w:r>
          </w:p>
        </w:tc>
        <w:tc>
          <w:tcPr>
            <w:tcW w:w="100" w:type="dxa"/>
            <w:vAlign w:val="bottom"/>
          </w:tcPr>
          <w:p>
            <w:pPr>
              <w:spacing w:after="0"/>
              <w:rPr>
                <w:sz w:val="16"/>
                <w:szCs w:val="16"/>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Weighted-average fair value</w:t>
            </w:r>
          </w:p>
        </w:tc>
        <w:tc>
          <w:tcPr>
            <w:tcW w:w="0" w:type="dxa"/>
            <w:vAlign w:val="bottom"/>
          </w:tcPr>
          <w:p>
            <w:pPr>
              <w:spacing w:after="0"/>
              <w:rPr>
                <w:sz w:val="1"/>
                <w:szCs w:val="1"/>
                <w:color w:val="auto"/>
              </w:rPr>
            </w:pPr>
          </w:p>
        </w:tc>
      </w:tr>
      <w:tr>
        <w:trPr>
          <w:trHeight w:val="213"/>
        </w:trPr>
        <w:tc>
          <w:tcPr>
            <w:tcW w:w="672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right"/>
              <w:ind w:right="679"/>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2"/>
        </w:trPr>
        <w:tc>
          <w:tcPr>
            <w:tcW w:w="6620" w:type="dxa"/>
            <w:vAlign w:val="bottom"/>
            <w:tcBorders>
              <w:top w:val="single" w:sz="8" w:color="auto"/>
            </w:tcBorders>
            <w:shd w:val="clear" w:color="auto" w:fill="CCEEFF"/>
          </w:tcPr>
          <w:p>
            <w:pPr>
              <w:jc w:val="right"/>
              <w:ind w:right="6199"/>
              <w:spacing w:after="0"/>
              <w:rPr>
                <w:sz w:val="20"/>
                <w:szCs w:val="20"/>
                <w:color w:val="auto"/>
              </w:rPr>
            </w:pPr>
            <w:r>
              <w:rPr>
                <w:rFonts w:ascii="Arial" w:cs="Arial" w:eastAsia="Arial" w:hAnsi="Arial"/>
                <w:sz w:val="16"/>
                <w:szCs w:val="16"/>
                <w:color w:val="auto"/>
                <w:w w:val="89"/>
              </w:rPr>
              <w:t>2018</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w:t>
            </w:r>
          </w:p>
        </w:tc>
        <w:tc>
          <w:tcPr>
            <w:tcW w:w="0" w:type="dxa"/>
            <w:vAlign w:val="bottom"/>
          </w:tcPr>
          <w:p>
            <w:pPr>
              <w:spacing w:after="0"/>
              <w:rPr>
                <w:sz w:val="1"/>
                <w:szCs w:val="1"/>
                <w:color w:val="auto"/>
              </w:rPr>
            </w:pPr>
          </w:p>
        </w:tc>
      </w:tr>
      <w:tr>
        <w:trPr>
          <w:trHeight w:val="213"/>
        </w:trPr>
        <w:tc>
          <w:tcPr>
            <w:tcW w:w="6620" w:type="dxa"/>
            <w:vAlign w:val="bottom"/>
          </w:tcPr>
          <w:p>
            <w:pPr>
              <w:jc w:val="right"/>
              <w:ind w:right="619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60,700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88.87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jc w:val="right"/>
              <w:ind w:right="6199"/>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Performance-based restricted stock awards cliff vest after a three-year period, subject to the achievement of the performance target. During the fiscal year ended January 2, 2021, a total of 15,136 performance shares vested with a weighted-average fair value of $83.84 per share. As of January 2, 2021, a total of 153,744 performance shares were unvested with a weighted-average fair value of $104.16 per share. Vesting of these 153,744 performance shares is based on the performance targets for the shares granted in fiscal 2020, 2019, and 2018. As of January 2, 2021, there was no unrecognized compensation cost related to the unvested performance-based restricted stock awards based on the current estimates of the number of awards that will vest.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Included in restricted stock awards are grants to non-management members of the Company’s Board of Directors. At issuance, these awards were fully vested and issued as shares of the Company’s common stock. During fiscal years 2020, 2019, and 2018, such awards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gridSpan w:val="2"/>
            <w:vMerge w:val="restart"/>
          </w:tcPr>
          <w:p>
            <w:pPr>
              <w:ind w:left="1800"/>
              <w:spacing w:after="0"/>
              <w:rPr>
                <w:sz w:val="20"/>
                <w:szCs w:val="20"/>
                <w:color w:val="auto"/>
              </w:rPr>
            </w:pPr>
            <w:r>
              <w:rPr>
                <w:rFonts w:ascii="Arial" w:cs="Arial" w:eastAsia="Arial" w:hAnsi="Arial"/>
                <w:sz w:val="16"/>
                <w:szCs w:val="16"/>
                <w:b w:val="1"/>
                <w:bCs w:val="1"/>
                <w:color w:val="auto"/>
              </w:rPr>
              <w:t>Fiscal year</w:t>
            </w:r>
          </w:p>
        </w:tc>
        <w:tc>
          <w:tcPr>
            <w:tcW w:w="2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Number of shares issued</w:t>
            </w:r>
          </w:p>
        </w:tc>
        <w:tc>
          <w:tcPr>
            <w:tcW w:w="240" w:type="dxa"/>
            <w:vAlign w:val="bottom"/>
          </w:tcPr>
          <w:p>
            <w:pPr>
              <w:spacing w:after="0"/>
              <w:rPr>
                <w:sz w:val="16"/>
                <w:szCs w:val="16"/>
                <w:color w:val="auto"/>
              </w:rPr>
            </w:pPr>
          </w:p>
        </w:tc>
        <w:tc>
          <w:tcPr>
            <w:tcW w:w="2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Fair value per share</w:t>
            </w:r>
          </w:p>
        </w:tc>
        <w:tc>
          <w:tcPr>
            <w:tcW w:w="300" w:type="dxa"/>
            <w:vAlign w:val="bottom"/>
          </w:tcPr>
          <w:p>
            <w:pPr>
              <w:spacing w:after="0"/>
              <w:rPr>
                <w:sz w:val="16"/>
                <w:szCs w:val="16"/>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b w:val="1"/>
                <w:bCs w:val="1"/>
                <w:color w:val="auto"/>
              </w:rPr>
              <w:t>Aggregate value</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4360" w:type="dxa"/>
            <w:vAlign w:val="bottom"/>
            <w:tcBorders>
              <w:top w:val="single" w:sz="8" w:color="auto"/>
            </w:tcBorders>
            <w:shd w:val="clear" w:color="auto" w:fill="CCEEFF"/>
          </w:tcPr>
          <w:p>
            <w:pPr>
              <w:jc w:val="right"/>
              <w:ind w:right="3919"/>
              <w:spacing w:after="0"/>
              <w:rPr>
                <w:sz w:val="20"/>
                <w:szCs w:val="20"/>
                <w:color w:val="auto"/>
              </w:rPr>
            </w:pPr>
            <w:r>
              <w:rPr>
                <w:rFonts w:ascii="Arial" w:cs="Arial" w:eastAsia="Arial" w:hAnsi="Arial"/>
                <w:sz w:val="16"/>
                <w:szCs w:val="16"/>
                <w:color w:val="auto"/>
                <w:w w:val="95"/>
              </w:rPr>
              <w:t>2018</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3"/>
        </w:trPr>
        <w:tc>
          <w:tcPr>
            <w:tcW w:w="4360" w:type="dxa"/>
            <w:vAlign w:val="bottom"/>
          </w:tcPr>
          <w:p>
            <w:pPr>
              <w:jc w:val="right"/>
              <w:ind w:right="3919"/>
              <w:spacing w:after="0"/>
              <w:rPr>
                <w:sz w:val="20"/>
                <w:szCs w:val="20"/>
                <w:color w:val="auto"/>
              </w:rPr>
            </w:pPr>
            <w:r>
              <w:rPr>
                <w:rFonts w:ascii="Arial" w:cs="Arial" w:eastAsia="Arial" w:hAnsi="Arial"/>
                <w:sz w:val="16"/>
                <w:szCs w:val="16"/>
                <w:color w:val="auto"/>
                <w:w w:val="95"/>
              </w:rPr>
              <w:t>2019</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16,097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91.63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jc w:val="right"/>
              <w:ind w:right="3919"/>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no proceeds from the issuance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OshKosh B’Gosh Pension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retirement benefits under the OshKosh B’Gosh pension plan were frozen as of December 31, 2005. A reconciliation of changes in the projected pension benefit obligation and plan assets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18"/>
                <w:szCs w:val="18"/>
                <w:color w:val="auto"/>
              </w:rPr>
            </w:pPr>
          </w:p>
        </w:tc>
        <w:tc>
          <w:tcPr>
            <w:tcW w:w="2140" w:type="dxa"/>
            <w:vAlign w:val="bottom"/>
            <w:gridSpan w:val="2"/>
          </w:tcPr>
          <w:p>
            <w:pPr>
              <w:ind w:left="260"/>
              <w:spacing w:after="0"/>
              <w:rPr>
                <w:sz w:val="20"/>
                <w:szCs w:val="20"/>
                <w:color w:val="auto"/>
              </w:rPr>
            </w:pPr>
            <w:r>
              <w:rPr>
                <w:rFonts w:ascii="Arial" w:cs="Arial" w:eastAsia="Arial" w:hAnsi="Arial"/>
                <w:sz w:val="16"/>
                <w:szCs w:val="16"/>
                <w:b w:val="1"/>
                <w:bCs w:val="1"/>
                <w:color w:val="auto"/>
              </w:rPr>
              <w:t>January 2, 2021</w:t>
            </w:r>
          </w:p>
        </w:tc>
        <w:tc>
          <w:tcPr>
            <w:tcW w:w="300" w:type="dxa"/>
            <w:vAlign w:val="bottom"/>
          </w:tcPr>
          <w:p>
            <w:pPr>
              <w:spacing w:after="0"/>
              <w:rPr>
                <w:sz w:val="18"/>
                <w:szCs w:val="18"/>
                <w:color w:val="auto"/>
              </w:rPr>
            </w:pPr>
          </w:p>
        </w:tc>
        <w:tc>
          <w:tcPr>
            <w:tcW w:w="2020" w:type="dxa"/>
            <w:vAlign w:val="bottom"/>
          </w:tcPr>
          <w:p>
            <w:pPr>
              <w:jc w:val="right"/>
              <w:ind w:right="419"/>
              <w:spacing w:after="0"/>
              <w:rPr>
                <w:sz w:val="20"/>
                <w:szCs w:val="20"/>
                <w:color w:val="auto"/>
              </w:rPr>
            </w:pPr>
            <w:r>
              <w:rPr>
                <w:rFonts w:ascii="Arial" w:cs="Arial" w:eastAsia="Arial" w:hAnsi="Arial"/>
                <w:sz w:val="16"/>
                <w:szCs w:val="16"/>
                <w:b w:val="1"/>
                <w:bCs w:val="1"/>
                <w:color w:val="auto"/>
              </w:rPr>
              <w:t>December 28, 2019</w:t>
            </w: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projected benefit obligation:</w:t>
            </w:r>
          </w:p>
        </w:tc>
        <w:tc>
          <w:tcPr>
            <w:tcW w:w="38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Projected benefit obligation at beginning of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68,331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62,297</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3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6,666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6,039</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Benefits paid</w:t>
            </w:r>
          </w:p>
        </w:tc>
        <w:tc>
          <w:tcPr>
            <w:tcW w:w="3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74,128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plan assets at beginning of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55,564</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Actual return on plan assets</w:t>
            </w:r>
          </w:p>
        </w:tc>
        <w:tc>
          <w:tcPr>
            <w:tcW w:w="3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6,496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8,834</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Benefits paid</w:t>
            </w:r>
          </w:p>
        </w:tc>
        <w:tc>
          <w:tcPr>
            <w:tcW w:w="3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61,961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Unfunded status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accumulated benefit obligation is equal to the projected benefit obligation as of January 2, 2021 and December 28, 2019 because the plan is frozen. The unfunded status is included in Other long-term liabilities in the Company’s consolidated balance sheet. The Company does not expect to make any contributions to the OshKosh B’Gosh pension plan during fiscal 2021 as the plan’s funding exceeds the minimum funding requirements. The actuarial loss incurred in both fiscal 2020 and fiscal 2019 was primarily attributable to lower discount rates in each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Pension Cost and Changes Recognized in Other Comprehensive Income</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net periodic pension cost recognized in the statement of operations and changes recognized in other comprehensive income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For the fiscal year ended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28, 2019</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29, 2018</w:t>
            </w:r>
          </w:p>
        </w:tc>
      </w:tr>
      <w:tr>
        <w:trPr>
          <w:trHeight w:val="199"/>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2,287</w:t>
            </w:r>
          </w:p>
        </w:tc>
      </w:tr>
      <w:tr>
        <w:trPr>
          <w:trHeight w:val="219"/>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r>
      <w:tr>
        <w:trPr>
          <w:trHeight w:val="216"/>
        </w:trPr>
        <w:tc>
          <w:tcPr>
            <w:tcW w:w="56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07"/>
        </w:trPr>
        <w:tc>
          <w:tcPr>
            <w:tcW w:w="5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pension (benefit)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145"/>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Net loss (gain) arising during the fiscal year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219"/>
        </w:trPr>
        <w:tc>
          <w:tcPr>
            <w:tcW w:w="56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06"/>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changes recognized in other comprehensive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r>
      <w:tr>
        <w:trPr>
          <w:trHeight w:val="23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Total net periodic cost and changes recognized in other comprehensive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right="340" w:hanging="332"/>
        <w:spacing w:after="0" w:line="273"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2021, approximately $0.4 million is expected to be reclassified from accumulated other comprehensive loss to a component of net periodic pension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actuarial computations utilized the following assumptions, using year-end measurement dates: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80" w:type="dxa"/>
            <w:vAlign w:val="bottom"/>
            <w:gridSpan w:val="3"/>
          </w:tcPr>
          <w:p>
            <w:pPr>
              <w:spacing w:after="0"/>
              <w:rPr>
                <w:sz w:val="20"/>
                <w:szCs w:val="20"/>
                <w:color w:val="auto"/>
              </w:rPr>
            </w:pPr>
            <w:r>
              <w:rPr>
                <w:rFonts w:ascii="Arial" w:cs="Arial" w:eastAsia="Arial" w:hAnsi="Arial"/>
                <w:sz w:val="16"/>
                <w:szCs w:val="16"/>
                <w:b w:val="1"/>
                <w:bCs w:val="1"/>
                <w:color w:val="auto"/>
              </w:rPr>
              <w:t>Benefit obligation</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7"/>
              </w:rPr>
              <w:t>Net periodic pension cost</w:t>
            </w:r>
          </w:p>
        </w:tc>
        <w:tc>
          <w:tcPr>
            <w:tcW w:w="45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95"/>
              </w:rPr>
              <w:t>2018</w:t>
            </w:r>
          </w:p>
        </w:tc>
      </w:tr>
      <w:tr>
        <w:trPr>
          <w:trHeight w:val="207"/>
        </w:trPr>
        <w:tc>
          <w:tcPr>
            <w:tcW w:w="20" w:type="dxa"/>
            <w:vAlign w:val="bottom"/>
          </w:tcPr>
          <w:p>
            <w:pPr>
              <w:spacing w:after="0"/>
              <w:rPr>
                <w:sz w:val="17"/>
                <w:szCs w:val="17"/>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3.50%</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Expected long-term rate of return on assets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r>
    </w:tbl>
    <w:p>
      <w:pPr>
        <w:spacing w:after="0" w:line="25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discount rates used at January 2, 2021, December 28, 2019, and December 29, 2018 were determined with consideration given to the Citigroup Pension Discount and Liability Index and the Barclays Capital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0.25% change in the assumed discount rate would result in an increase or decrease in the amount of the pension plan's projected benefit obligation of approximately $2.5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benefit payments for its defined benefit pension plans as follows for the next ten fiscal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2022</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2,860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2024</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3,160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color w:val="auto"/>
              </w:rPr>
              <w:t>2026-2030</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18,710</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investment strategy is to invest in a well-diversified portfolio consisting of mutual funds or group annuity contracts that minimize concentration of risks by utilizing a variety of asset types, fund strategies, and fund managers. The target allocation for plan assets is 45% equity securities, 50% bond funds, and 5% real estate investments. The plan expects to gradually reduce its equity exposure.</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investment policy anticipates a rate of return sufficient to fund pension plan benefits while minimizing the risk to the Company of additional funding. Based on actual returns over a long-term basis, the Company believes that a 6.00% annual return on plan assets can be achieved based on the current allocation and investment strategy.</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Equity securities primarily include funds invested in large-cap and mid-cap companies, primarily located in the U.S., with a small exposure to international equities. Fixed income securities include funds holding corporate bonds of companies from diverse industries, and U.S. Treasuries. Real estate funds include investments in actively managed mutual funds that invest in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January 2, 2021 and December 28, 2019, by asset category,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January 2, 2021</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28, 2019</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358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Asset category</w:t>
            </w:r>
          </w:p>
        </w:tc>
        <w:tc>
          <w:tcPr>
            <w:tcW w:w="260" w:type="dxa"/>
            <w:vAlign w:val="bottom"/>
          </w:tcPr>
          <w:p>
            <w:pPr>
              <w:spacing w:after="0"/>
              <w:rPr>
                <w:sz w:val="14"/>
                <w:szCs w:val="14"/>
                <w:color w:val="auto"/>
              </w:rPr>
            </w:pPr>
          </w:p>
        </w:tc>
        <w:tc>
          <w:tcPr>
            <w:tcW w:w="1000" w:type="dxa"/>
            <w:vAlign w:val="bottom"/>
            <w:gridSpan w:val="2"/>
          </w:tcPr>
          <w:p>
            <w:pPr>
              <w:ind w:left="140"/>
              <w:spacing w:after="0" w:line="169"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4"/>
                <w:szCs w:val="14"/>
                <w:color w:val="auto"/>
              </w:rPr>
            </w:pPr>
          </w:p>
        </w:tc>
        <w:tc>
          <w:tcPr>
            <w:tcW w:w="1060" w:type="dxa"/>
            <w:vAlign w:val="bottom"/>
            <w:gridSpan w:val="2"/>
          </w:tcPr>
          <w:p>
            <w:pPr>
              <w:ind w:left="120"/>
              <w:spacing w:after="0" w:line="169" w:lineRule="exact"/>
              <w:rPr>
                <w:sz w:val="20"/>
                <w:szCs w:val="20"/>
                <w:color w:val="auto"/>
              </w:rPr>
            </w:pPr>
            <w:r>
              <w:rPr>
                <w:rFonts w:ascii="Arial" w:cs="Arial" w:eastAsia="Arial" w:hAnsi="Arial"/>
                <w:sz w:val="16"/>
                <w:szCs w:val="16"/>
                <w:b w:val="1"/>
                <w:bCs w:val="1"/>
                <w:color w:val="auto"/>
              </w:rPr>
              <w:t>Level 1</w:t>
            </w: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9"/>
              <w:spacing w:after="0" w:line="169"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w w:val="92"/>
              </w:rPr>
              <w:t>Level 1</w:t>
            </w:r>
          </w:p>
        </w:tc>
        <w:tc>
          <w:tcPr>
            <w:tcW w:w="220" w:type="dxa"/>
            <w:vAlign w:val="bottom"/>
          </w:tcPr>
          <w:p>
            <w:pPr>
              <w:spacing w:after="0"/>
              <w:rPr>
                <w:sz w:val="14"/>
                <w:szCs w:val="14"/>
                <w:color w:val="auto"/>
              </w:rPr>
            </w:pPr>
          </w:p>
        </w:tc>
        <w:tc>
          <w:tcPr>
            <w:tcW w:w="94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Equity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U.S. Large-Cap blend</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U.S. Large-Cap growth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Mid-Cap growth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U.S. Small-Cap blend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blend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Fixed income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Corporate bonds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6"/>
        </w:trPr>
        <w:tc>
          <w:tcPr>
            <w:tcW w:w="2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Real estate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category comprises low-cost equity index funds not actively managed that track the Standard &amp; Poor's 500 Index.</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category invests in both U.S. Treasuries and mid-term corporate debt from U.S. issuers from diverse industries.</w:t>
      </w:r>
    </w:p>
    <w:p>
      <w:pPr>
        <w:spacing w:after="0" w:line="55" w:lineRule="exact"/>
        <w:rPr>
          <w:rFonts w:ascii="Arial" w:cs="Arial" w:eastAsia="Arial" w:hAnsi="Arial"/>
          <w:sz w:val="14"/>
          <w:szCs w:val="14"/>
          <w:color w:val="auto"/>
        </w:rPr>
      </w:pPr>
    </w:p>
    <w:p>
      <w:pPr>
        <w:ind w:left="340" w:right="200" w:hanging="332"/>
        <w:spacing w:after="0" w:line="273"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category represents an investment in a mutual fund that invests primarily in real estate securities, including common stocks, preferred stock and other equity securities issued by real estate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Life and Medical Plan</w:t>
      </w:r>
    </w:p>
    <w:p>
      <w:pPr>
        <w:spacing w:after="0" w:line="9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Post-Retirement Benefit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accumulated post-retirement benefit obligation ("APBO") under this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For the fiscal years ended</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28, 2019</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beginning of fiscal year</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end of fiscal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Approximately $2.7 million and $3.0 million of the APBO at the end of fiscal 2020 and 2019, respectively, were classified as other long term liabilities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Post-Retirement (Benefit) Cost and Changes Recognized in Other Comprehensive Income</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components of net periodic post-retirement cost (benefit) recognized in the statement of operations and changes recognized in other comprehensive income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For the fiscal year ended</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29, 2018</w:t>
            </w:r>
          </w:p>
        </w:tc>
        <w:tc>
          <w:tcPr>
            <w:tcW w:w="0" w:type="dxa"/>
            <w:vAlign w:val="bottom"/>
          </w:tcPr>
          <w:p>
            <w:pPr>
              <w:spacing w:after="0"/>
              <w:rPr>
                <w:sz w:val="1"/>
                <w:szCs w:val="1"/>
                <w:color w:val="auto"/>
              </w:rPr>
            </w:pPr>
          </w:p>
        </w:tc>
      </w:tr>
      <w:tr>
        <w:trPr>
          <w:trHeight w:val="19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60"/>
              <w:spacing w:after="0" w:line="216" w:lineRule="exact"/>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periodic post-retirement (benefit)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Net (gain) loss arising during the fiscal year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changes recognized in other comprehensive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45"/>
        </w:trPr>
        <w:tc>
          <w:tcPr>
            <w:tcW w:w="5620" w:type="dxa"/>
            <w:vAlign w:val="bottom"/>
            <w:shd w:val="clear" w:color="auto" w:fill="CCEEFF"/>
          </w:tcPr>
          <w:p>
            <w:pPr>
              <w:ind w:left="400"/>
              <w:spacing w:after="0" w:line="145" w:lineRule="exact"/>
              <w:rPr>
                <w:sz w:val="20"/>
                <w:szCs w:val="20"/>
                <w:color w:val="auto"/>
              </w:rPr>
            </w:pPr>
            <w:r>
              <w:rPr>
                <w:rFonts w:ascii="Arial" w:cs="Arial" w:eastAsia="Arial" w:hAnsi="Arial"/>
                <w:sz w:val="16"/>
                <w:szCs w:val="16"/>
                <w:b w:val="1"/>
                <w:bCs w:val="1"/>
                <w:color w:val="auto"/>
              </w:rPr>
              <w:t>Total net periodic cost (benefit) and changes recognized in other</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360" w:hanging="332"/>
        <w:spacing w:after="0" w:line="273" w:lineRule="auto"/>
        <w:tabs>
          <w:tab w:leader="none" w:pos="3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2021, approximately $0.3 million is expected to be reclassified from accumulated other comprehensive loss as a credit to periodic net periodic pension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actuarial computations utilized the following assumptions, using year-end measurement dates: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560" w:type="dxa"/>
            <w:vAlign w:val="bottom"/>
            <w:gridSpan w:val="3"/>
          </w:tcPr>
          <w:p>
            <w:pPr>
              <w:spacing w:after="0"/>
              <w:rPr>
                <w:sz w:val="20"/>
                <w:szCs w:val="20"/>
                <w:color w:val="auto"/>
              </w:rPr>
            </w:pPr>
            <w:r>
              <w:rPr>
                <w:rFonts w:ascii="Arial" w:cs="Arial" w:eastAsia="Arial" w:hAnsi="Arial"/>
                <w:sz w:val="16"/>
                <w:szCs w:val="16"/>
                <w:b w:val="1"/>
                <w:bCs w:val="1"/>
                <w:color w:val="auto"/>
              </w:rPr>
              <w:t>Benefit obligation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7"/>
              </w:rPr>
              <w:t>Net periodic pension cost</w:t>
            </w:r>
          </w:p>
        </w:tc>
        <w:tc>
          <w:tcPr>
            <w:tcW w:w="48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479"/>
              <w:spacing w:after="0" w:line="175" w:lineRule="exact"/>
              <w:rPr>
                <w:sz w:val="20"/>
                <w:szCs w:val="20"/>
                <w:color w:val="auto"/>
              </w:rPr>
            </w:pPr>
            <w:r>
              <w:rPr>
                <w:rFonts w:ascii="Arial" w:cs="Arial" w:eastAsia="Arial" w:hAnsi="Arial"/>
                <w:sz w:val="16"/>
                <w:szCs w:val="16"/>
                <w:b w:val="1"/>
                <w:bCs w:val="1"/>
                <w:color w:val="auto"/>
              </w:rPr>
              <w:t>2018</w:t>
            </w:r>
          </w:p>
        </w:tc>
      </w:tr>
      <w:tr>
        <w:trPr>
          <w:trHeight w:val="203"/>
        </w:trPr>
        <w:tc>
          <w:tcPr>
            <w:tcW w:w="2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4.00%</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3.25%</w:t>
            </w:r>
          </w:p>
        </w:tc>
      </w:tr>
    </w:tbl>
    <w:p>
      <w:pPr>
        <w:spacing w:after="0" w:line="2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discount rates used at January 2, 2021, December 28, 2019, and December 29, 2018,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contribution for these post-retirement benefit obligations was approximately $0.3 million for fiscal years 2020, 2019, and 2018. The Company expects that its contribution and benefit payments for post-retirement benefit obligations will be approximately $0.3 million for fiscal years 2021, 2022, and 2023 and approximately $0.2 million for fiscal years 2024 and 2025. For the five years subsequent to fiscal 2025, the aggregate contributions and benefit payments for post-retirement benefit obligations is expected to be approximately $0.9 million. The Company does not pre-fund this plan and as a result there are no plan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any subsequent calendar year. The plan provides for a discretionary employer match of employee contributions. The Company’s expense for the U.S. defined contribution savings plan totaled approximately $7.7 million, $8.0 million, and $8.0 million for the fiscal years ended January 2, 2021, December 28, 2019, and December 29, 2018, respectively. Expenses related to the Canadian defined contribution savings plan were approximately $0.2 million in fiscal year 2020, $0.1 million in fiscal year 2019, and $0.1 million in fiscal year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0"/>
              </w:rPr>
              <w:t>For the fiscal year ended</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28, 2019</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29, 2018</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560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Current tax provision:</w:t>
            </w:r>
          </w:p>
        </w:tc>
        <w:tc>
          <w:tcPr>
            <w:tcW w:w="2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Federal</w:t>
            </w:r>
          </w:p>
        </w:tc>
        <w:tc>
          <w:tcPr>
            <w:tcW w:w="404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31,085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50,162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48,129</w:t>
            </w:r>
          </w:p>
        </w:tc>
      </w:tr>
      <w:tr>
        <w:trPr>
          <w:trHeight w:val="219"/>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9,437</w:t>
            </w:r>
          </w:p>
        </w:tc>
      </w:tr>
      <w:tr>
        <w:trPr>
          <w:trHeight w:val="213"/>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Deferred tax provision (benefit):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Federal</w:t>
            </w:r>
          </w:p>
        </w:tc>
        <w:tc>
          <w:tcPr>
            <w:tcW w:w="3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(18,449)</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(10,775)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(760)</w:t>
            </w:r>
          </w:p>
        </w:tc>
      </w:tr>
      <w:tr>
        <w:trPr>
          <w:trHeight w:val="219"/>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r>
      <w:tr>
        <w:trPr>
          <w:trHeight w:val="210"/>
        </w:trPr>
        <w:tc>
          <w:tcPr>
            <w:tcW w:w="2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provision</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r>
      <w:tr>
        <w:trPr>
          <w:trHeight w:val="212"/>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6"/>
                <w:szCs w:val="16"/>
                <w:color w:val="auto"/>
              </w:rPr>
              <w:t>Total provision</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73,907</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14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approximately $70 million. Unrecognized deferred tax liability related to undistributed earnings from the Company’s subsidiaries in Canada and Mexico is estimated to be approximately $3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For the fiscal year ended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December 28, 2019</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29, 2018</w:t>
            </w:r>
          </w:p>
        </w:tc>
      </w:tr>
      <w:tr>
        <w:trPr>
          <w:trHeight w:val="212"/>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260,722</w:t>
            </w:r>
          </w:p>
        </w:tc>
      </w:tr>
      <w:tr>
        <w:trPr>
          <w:trHeight w:val="213"/>
        </w:trPr>
        <w:tc>
          <w:tcPr>
            <w:tcW w:w="5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95,253</w:t>
            </w:r>
          </w:p>
        </w:tc>
      </w:tr>
      <w:tr>
        <w:trPr>
          <w:trHeight w:val="23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355,975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Rate Reconciliation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Company’s effective income tax rate and the federal statutory tax rate is reconciled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For the fiscal year ended</w:t>
            </w:r>
          </w:p>
        </w:tc>
        <w:tc>
          <w:tcPr>
            <w:tcW w:w="1880" w:type="dxa"/>
            <w:vAlign w:val="bottom"/>
            <w:tcBorders>
              <w:bottom w:val="single" w:sz="8" w:color="auto"/>
            </w:tcBorders>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1980" w:type="dxa"/>
            <w:vAlign w:val="bottom"/>
            <w:gridSpan w:val="2"/>
          </w:tcPr>
          <w:p>
            <w:pPr>
              <w:ind w:left="380"/>
              <w:spacing w:after="0"/>
              <w:rPr>
                <w:sz w:val="20"/>
                <w:szCs w:val="20"/>
                <w:color w:val="auto"/>
              </w:rPr>
            </w:pPr>
            <w:r>
              <w:rPr>
                <w:rFonts w:ascii="Arial" w:cs="Arial" w:eastAsia="Arial" w:hAnsi="Arial"/>
                <w:sz w:val="16"/>
                <w:szCs w:val="16"/>
                <w:b w:val="1"/>
                <w:bCs w:val="1"/>
                <w:color w:val="auto"/>
              </w:rPr>
              <w:t>January 2, 2021</w:t>
            </w: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December 28, 2019</w:t>
            </w:r>
          </w:p>
        </w:tc>
        <w:tc>
          <w:tcPr>
            <w:tcW w:w="188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29, 2018</w:t>
            </w:r>
          </w:p>
        </w:tc>
      </w:tr>
      <w:tr>
        <w:trPr>
          <w:trHeight w:val="212"/>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Statutory federal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State income taxes, net of federal income tax benefit</w:t>
            </w:r>
          </w:p>
        </w:tc>
        <w:tc>
          <w:tcPr>
            <w:tcW w:w="18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foreign operations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Settlement of uncertain tax positions</w:t>
            </w:r>
          </w:p>
        </w:tc>
        <w:tc>
          <w:tcPr>
            <w:tcW w:w="1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stock-based compensation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Goodwill impairments and other</w:t>
            </w:r>
          </w:p>
        </w:tc>
        <w:tc>
          <w:tcPr>
            <w:tcW w:w="188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reflects the Company's calculation of the components of deferred tax assets and liabilities as of January 2, 2021 and December 28,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28, 2019</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line="138" w:lineRule="exact"/>
              <w:rPr>
                <w:sz w:val="20"/>
                <w:szCs w:val="20"/>
                <w:color w:val="auto"/>
              </w:rPr>
            </w:pPr>
            <w:r>
              <w:rPr>
                <w:rFonts w:ascii="Arial" w:cs="Arial" w:eastAsia="Arial" w:hAnsi="Arial"/>
                <w:sz w:val="16"/>
                <w:szCs w:val="16"/>
                <w:b w:val="1"/>
                <w:bCs w:val="1"/>
                <w:color w:val="auto"/>
                <w:w w:val="88"/>
              </w:rPr>
              <w:t>Deferred tax assets:</w:t>
            </w:r>
          </w:p>
        </w:tc>
        <w:tc>
          <w:tcPr>
            <w:tcW w:w="61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480" w:type="dxa"/>
            <w:vAlign w:val="bottom"/>
            <w:tcBorders>
              <w:bottom w:val="single" w:sz="8" w:color="CCEEFF"/>
            </w:tcBorders>
            <w:gridSpan w:val="4"/>
            <w:shd w:val="clear" w:color="auto" w:fill="CCEEFF"/>
          </w:tcPr>
          <w:p>
            <w:pPr>
              <w:jc w:val="right"/>
              <w:ind w:right="1159"/>
              <w:spacing w:after="0" w:line="142" w:lineRule="exact"/>
              <w:rPr>
                <w:sz w:val="20"/>
                <w:szCs w:val="20"/>
                <w:color w:val="auto"/>
              </w:rPr>
            </w:pPr>
            <w:r>
              <w:rPr>
                <w:rFonts w:ascii="Arial" w:cs="Arial" w:eastAsia="Arial" w:hAnsi="Arial"/>
                <w:sz w:val="16"/>
                <w:szCs w:val="16"/>
                <w:color w:val="auto"/>
              </w:rPr>
              <w:t>Assets (Liabilities)</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Accounts receivable allowance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3,437</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10,219</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Equity-based compensation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Deferred employee benefits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7,220</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Leasing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178,356</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r>
      <w:tr>
        <w:trPr>
          <w:trHeight w:val="213"/>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178,358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216,116</w:t>
            </w:r>
          </w:p>
        </w:tc>
      </w:tr>
      <w:tr>
        <w:trPr>
          <w:trHeight w:val="155"/>
        </w:trPr>
        <w:tc>
          <w:tcPr>
            <w:tcW w:w="20" w:type="dxa"/>
            <w:vAlign w:val="bottom"/>
          </w:tcPr>
          <w:p>
            <w:pPr>
              <w:spacing w:after="0"/>
              <w:rPr>
                <w:sz w:val="13"/>
                <w:szCs w:val="13"/>
                <w:color w:val="auto"/>
              </w:rPr>
            </w:pPr>
          </w:p>
        </w:tc>
        <w:tc>
          <w:tcPr>
            <w:tcW w:w="750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Deferred tax liabilities:</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(52,664)</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Leasing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(107,269)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(149,085)</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Tradename and licensing agreements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(82,592)</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(4,084)</w:t>
            </w: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(288,425)</w:t>
            </w:r>
          </w:p>
        </w:tc>
      </w:tr>
      <w:tr>
        <w:trPr>
          <w:trHeight w:val="145"/>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deferred tax liability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December 28, 2019</w:t>
            </w:r>
          </w:p>
        </w:tc>
      </w:tr>
      <w:tr>
        <w:trPr>
          <w:trHeight w:val="213"/>
        </w:trPr>
        <w:tc>
          <w:tcPr>
            <w:tcW w:w="7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1000"/>
              <w:spacing w:after="0"/>
              <w:rPr>
                <w:sz w:val="20"/>
                <w:szCs w:val="20"/>
                <w:color w:val="auto"/>
              </w:rPr>
            </w:pPr>
            <w:r>
              <w:rPr>
                <w:rFonts w:ascii="Arial" w:cs="Arial" w:eastAsia="Arial" w:hAnsi="Arial"/>
                <w:sz w:val="16"/>
                <w:szCs w:val="16"/>
                <w:color w:val="auto"/>
              </w:rPr>
              <w:t>Assets (Liabilities)</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ind w:left="1140"/>
              <w:spacing w:after="0"/>
              <w:rPr>
                <w:sz w:val="20"/>
                <w:szCs w:val="20"/>
                <w:color w:val="auto"/>
              </w:rPr>
            </w:pPr>
            <w:r>
              <w:rPr>
                <w:rFonts w:ascii="Arial" w:cs="Arial" w:eastAsia="Arial" w:hAnsi="Arial"/>
                <w:sz w:val="16"/>
                <w:szCs w:val="16"/>
                <w:color w:val="auto"/>
                <w:w w:val="99"/>
              </w:rPr>
              <w:t>3,080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2,061</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93"/>
              </w:rPr>
              <w:t>(52,770)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(74,370)</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Net deferred tax liability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93"/>
              </w:rPr>
              <w:t>(49,690)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(72,309)</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9440" w:type="dxa"/>
            <w:vAlign w:val="bottom"/>
          </w:tcPr>
          <w:p>
            <w:pPr>
              <w:ind w:left="5100"/>
              <w:spacing w:after="0"/>
              <w:rPr>
                <w:sz w:val="20"/>
                <w:szCs w:val="20"/>
                <w:color w:val="auto"/>
              </w:rPr>
            </w:pPr>
            <w:r>
              <w:rPr>
                <w:rFonts w:ascii="Arial" w:cs="Arial" w:eastAsia="Arial" w:hAnsi="Arial"/>
                <w:sz w:val="18"/>
                <w:szCs w:val="18"/>
                <w:b w:val="1"/>
                <w:bCs w:val="1"/>
                <w:color w:val="auto"/>
              </w:rPr>
              <w:t>CARTER’S, INC.</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944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6"/>
        </w:trPr>
        <w:tc>
          <w:tcPr>
            <w:tcW w:w="9440" w:type="dxa"/>
            <w:vAlign w:val="bottom"/>
          </w:tcPr>
          <w:p>
            <w:pPr>
              <w:spacing w:after="0"/>
              <w:rPr>
                <w:sz w:val="20"/>
                <w:szCs w:val="20"/>
                <w:color w:val="auto"/>
              </w:rPr>
            </w:pPr>
            <w:r>
              <w:rPr>
                <w:rFonts w:ascii="Arial" w:cs="Arial" w:eastAsia="Arial" w:hAnsi="Arial"/>
                <w:sz w:val="18"/>
                <w:szCs w:val="18"/>
                <w:b w:val="1"/>
                <w:bCs w:val="1"/>
                <w:color w:val="auto"/>
              </w:rPr>
              <w:t>Uncertain Tax Positions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1"/>
        </w:trPr>
        <w:tc>
          <w:tcPr>
            <w:tcW w:w="9440" w:type="dxa"/>
            <w:vAlign w:val="bottom"/>
          </w:tcPr>
          <w:p>
            <w:pPr>
              <w:spacing w:after="0"/>
              <w:rPr>
                <w:sz w:val="20"/>
                <w:szCs w:val="20"/>
                <w:color w:val="auto"/>
              </w:rPr>
            </w:pPr>
            <w:r>
              <w:rPr>
                <w:rFonts w:ascii="Arial" w:cs="Arial" w:eastAsia="Arial" w:hAnsi="Arial"/>
                <w:sz w:val="18"/>
                <w:szCs w:val="18"/>
                <w:color w:val="auto"/>
              </w:rPr>
              <w:t>The following is a reconciliation of the beginning and ending amount of unrecognized tax benefits: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1"/>
        </w:trPr>
        <w:tc>
          <w:tcPr>
            <w:tcW w:w="94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30, 2017</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12,193</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2018</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3,350</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prior year tax positions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2018</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2019</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2,197</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r>
      <w:tr>
        <w:trPr>
          <w:trHeight w:val="207"/>
        </w:trPr>
        <w:tc>
          <w:tcPr>
            <w:tcW w:w="94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13,923</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2020</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r>
      <w:tr>
        <w:trPr>
          <w:trHeight w:val="212"/>
        </w:trPr>
        <w:tc>
          <w:tcPr>
            <w:tcW w:w="944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12,523</w:t>
            </w:r>
          </w:p>
        </w:tc>
      </w:tr>
      <w:tr>
        <w:trPr>
          <w:trHeight w:val="21"/>
        </w:trPr>
        <w:tc>
          <w:tcPr>
            <w:tcW w:w="9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of January 2, 2021, the Company had gross unrecognized tax benefits of approximately $12.5 million, of which $10.9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Included in the reserves for unrecognized tax benefits are approximately $3.3 million of reserves for which the statute of limitations is expected to expire within the next fiscal year. If these tax benefits are ultimately recognized, such recognition, net of federal income taxes, may affect the annual effective tax rate for fiscal 2021 and the effective tax rate in the quarter in which the benefits are recognized.</w:t>
      </w:r>
    </w:p>
    <w:p>
      <w:pPr>
        <w:spacing w:after="0" w:line="14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recognizes interest related to unrecognized tax benefits as a component of interest expense and penalties related to unrecognized tax benefits as a component of income tax expense. During fiscal 2020 and 2019, expense recorded on uncertain tax positions was approximately $0.4 million and $0.5 million, respectively. During fiscal 2018, interest expense recorded on uncertain tax positions was not significant. The Company had accrued interest on uncertain tax positions of approximately $2.7 million and $2.3 million as of January 2, 2021 and December 28, 2019,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959"/>
              <w:spacing w:after="0"/>
              <w:rPr>
                <w:sz w:val="20"/>
                <w:szCs w:val="20"/>
                <w:color w:val="auto"/>
              </w:rPr>
            </w:pPr>
            <w:r>
              <w:rPr>
                <w:rFonts w:ascii="Arial" w:cs="Arial" w:eastAsia="Arial" w:hAnsi="Arial"/>
                <w:sz w:val="16"/>
                <w:szCs w:val="16"/>
                <w:b w:val="1"/>
                <w:bCs w:val="1"/>
                <w:color w:val="auto"/>
                <w:w w:val="90"/>
              </w:rPr>
              <w:t>For the fiscal year ended</w:t>
            </w:r>
          </w:p>
        </w:tc>
        <w:tc>
          <w:tcPr>
            <w:tcW w:w="11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January 2, 2021</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28, 2019</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29, 2018</w:t>
            </w:r>
          </w:p>
        </w:tc>
      </w:tr>
      <w:tr>
        <w:trPr>
          <w:trHeight w:val="21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(53 weeks)</w:t>
            </w:r>
          </w:p>
        </w:tc>
        <w:tc>
          <w:tcPr>
            <w:tcW w:w="2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(52 weeks)</w:t>
            </w:r>
          </w:p>
        </w:tc>
        <w:tc>
          <w:tcPr>
            <w:tcW w:w="22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(52 weeks)</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4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rPr>
              <w:t>Weighted-average number of common and common equivalent shares outstanding:</w:t>
            </w: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Basic number of common shares outstanding</w:t>
            </w:r>
          </w:p>
        </w:tc>
        <w:tc>
          <w:tcPr>
            <w:tcW w:w="1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43,242,967</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44,402,438</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46,160,935</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Dilutive effect of equity awards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487,485</w:t>
            </w: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43,407,721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44,707,952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46,648,420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spacing w:after="0" w:line="145" w:lineRule="exact"/>
              <w:rPr>
                <w:sz w:val="20"/>
                <w:szCs w:val="20"/>
                <w:color w:val="auto"/>
              </w:rPr>
            </w:pPr>
            <w:r>
              <w:rPr>
                <w:rFonts w:ascii="Arial" w:cs="Arial" w:eastAsia="Arial" w:hAnsi="Arial"/>
                <w:sz w:val="16"/>
                <w:szCs w:val="16"/>
                <w:color w:val="auto"/>
                <w:w w:val="88"/>
              </w:rPr>
              <w:t>Earnings per share:</w:t>
            </w:r>
          </w:p>
        </w:tc>
        <w:tc>
          <w:tcPr>
            <w:tcW w:w="554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800" w:type="dxa"/>
            <w:vAlign w:val="bottom"/>
            <w:gridSpan w:val="4"/>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109,717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263,802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282,068</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Income allocated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 available to common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261,372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Basic net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109,717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263,802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282,068</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Income allocated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 available to common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108,602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261,383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Diluted net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80"/>
              <w:spacing w:after="0" w:line="216" w:lineRule="exact"/>
              <w:rPr>
                <w:sz w:val="20"/>
                <w:szCs w:val="20"/>
                <w:color w:val="auto"/>
              </w:rPr>
            </w:pPr>
            <w:r>
              <w:rPr>
                <w:rFonts w:ascii="Arial" w:cs="Arial" w:eastAsia="Arial" w:hAnsi="Arial"/>
                <w:sz w:val="16"/>
                <w:szCs w:val="16"/>
                <w:color w:val="auto"/>
              </w:rPr>
              <w:t>Anti-dilutive shares excluded from dilutive earnings per share calculations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289,839</w:t>
            </w:r>
          </w:p>
        </w:tc>
      </w:tr>
    </w:tbl>
    <w:p>
      <w:pPr>
        <w:spacing w:after="0" w:line="13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volume of antidilutive shares is, in part, due to the related unamortized compensation costs.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 grants shares of its common stock in the form of restricted stock awards to certain key employees under the Company’s Amended and Restated Equity Incentive Plan (see Note 10,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to the consolidated financial statements). Prior to vesting of the restricted stock awards, the grant recipients are entitled to receive non-forfeitable cash dividends if the Company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60" w:lineRule="exact"/>
        <w:rPr>
          <w:sz w:val="20"/>
          <w:szCs w:val="20"/>
          <w:color w:val="auto"/>
        </w:rPr>
      </w:pPr>
    </w:p>
    <w:p>
      <w:pPr>
        <w:jc w:val="both"/>
        <w:ind w:right="340"/>
        <w:spacing w:after="0" w:line="296" w:lineRule="auto"/>
        <w:rPr>
          <w:sz w:val="20"/>
          <w:szCs w:val="20"/>
          <w:color w:val="auto"/>
        </w:rPr>
      </w:pPr>
      <w:r>
        <w:rPr>
          <w:rFonts w:ascii="Arial" w:cs="Arial" w:eastAsia="Arial" w:hAnsi="Arial"/>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segment information for our reportable segments and unallocated corporate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For the fiscal year ended</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7"/>
              </w:rPr>
              <w:t>January 2, 2021</w:t>
            </w: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1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0"/>
              </w:rPr>
              <w:t>December 28, 2019</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 of Consolidated</w:t>
            </w:r>
          </w:p>
        </w:tc>
        <w:tc>
          <w:tcPr>
            <w:tcW w:w="120" w:type="dxa"/>
            <w:vAlign w:val="bottom"/>
          </w:tcPr>
          <w:p>
            <w:pPr>
              <w:spacing w:after="0"/>
              <w:rPr>
                <w:sz w:val="13"/>
                <w:szCs w:val="13"/>
                <w:color w:val="auto"/>
              </w:rPr>
            </w:pPr>
          </w:p>
        </w:tc>
        <w:tc>
          <w:tcPr>
            <w:tcW w:w="14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December 29, 2018</w:t>
            </w: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 of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Consolidated Net</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(53 weeks)</w:t>
            </w: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120" w:type="dxa"/>
            <w:vAlign w:val="bottom"/>
          </w:tcPr>
          <w:p>
            <w:pPr>
              <w:spacing w:after="0"/>
              <w:rPr>
                <w:sz w:val="18"/>
                <w:szCs w:val="18"/>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(52 weeks)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Net Sales</w:t>
            </w:r>
          </w:p>
        </w:tc>
        <w:tc>
          <w:tcPr>
            <w:tcW w:w="120" w:type="dxa"/>
            <w:vAlign w:val="bottom"/>
          </w:tcPr>
          <w:p>
            <w:pPr>
              <w:spacing w:after="0"/>
              <w:rPr>
                <w:sz w:val="18"/>
                <w:szCs w:val="18"/>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(52 weeks)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Net sales:</w:t>
            </w: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color w:val="auto"/>
              </w:rPr>
              <w:t>U.S. Retail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1,671,644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55.3 %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1,884,150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53.5 %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1,851,193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53.5 %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Wholesale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1,205,646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1,180,687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356,602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429,490</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430,389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ind w:left="340"/>
              <w:spacing w:after="0" w:line="148" w:lineRule="exact"/>
              <w:rPr>
                <w:sz w:val="20"/>
                <w:szCs w:val="20"/>
                <w:color w:val="auto"/>
              </w:rPr>
            </w:pPr>
            <w:r>
              <w:rPr>
                <w:rFonts w:ascii="Arial" w:cs="Arial" w:eastAsia="Arial" w:hAnsi="Arial"/>
                <w:sz w:val="16"/>
                <w:szCs w:val="16"/>
                <w:color w:val="auto"/>
                <w:w w:val="95"/>
              </w:rPr>
              <w:t>Total consolidated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00" w:type="dxa"/>
            <w:vAlign w:val="bottom"/>
            <w:vMerge w:val="restart"/>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3,519,286</w:t>
            </w:r>
          </w:p>
        </w:tc>
        <w:tc>
          <w:tcPr>
            <w:tcW w:w="120" w:type="dxa"/>
            <w:vAlign w:val="bottom"/>
            <w:vMerge w:val="restart"/>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3,462,269</w:t>
            </w:r>
          </w:p>
        </w:tc>
        <w:tc>
          <w:tcPr>
            <w:tcW w:w="100" w:type="dxa"/>
            <w:vAlign w:val="bottom"/>
            <w:vMerge w:val="restart"/>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sales</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7"/>
              </w:rPr>
              <w:t>Operating income (loss):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8"/>
              </w:rPr>
              <w:t>Net Sales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Net Sales</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225,874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224,784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141,456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212,558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224,194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39,253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tcPr>
          <w:p>
            <w:pPr>
              <w:spacing w:after="0" w:line="162" w:lineRule="exact"/>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(97,169)</w:t>
            </w:r>
          </w:p>
        </w:tc>
        <w:tc>
          <w:tcPr>
            <w:tcW w:w="100" w:type="dxa"/>
            <w:vAlign w:val="bottom"/>
          </w:tcPr>
          <w:p>
            <w:pPr>
              <w:spacing w:after="0"/>
              <w:rPr>
                <w:sz w:val="14"/>
                <w:szCs w:val="14"/>
                <w:color w:val="auto"/>
              </w:rPr>
            </w:pPr>
          </w:p>
        </w:tc>
        <w:tc>
          <w:tcPr>
            <w:tcW w:w="1460" w:type="dxa"/>
            <w:vAlign w:val="bottom"/>
            <w:gridSpan w:val="2"/>
            <w:vMerge w:val="restart"/>
          </w:tcPr>
          <w:p>
            <w:pPr>
              <w:ind w:left="114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(103,210)</w:t>
            </w:r>
          </w:p>
        </w:tc>
        <w:tc>
          <w:tcPr>
            <w:tcW w:w="120" w:type="dxa"/>
            <w:vAlign w:val="bottom"/>
          </w:tcPr>
          <w:p>
            <w:pPr>
              <w:spacing w:after="0"/>
              <w:rPr>
                <w:sz w:val="14"/>
                <w:szCs w:val="14"/>
                <w:color w:val="auto"/>
              </w:rPr>
            </w:pPr>
          </w:p>
        </w:tc>
        <w:tc>
          <w:tcPr>
            <w:tcW w:w="1460" w:type="dxa"/>
            <w:vAlign w:val="bottom"/>
            <w:gridSpan w:val="2"/>
            <w:vMerge w:val="restart"/>
          </w:tcPr>
          <w:p>
            <w:pPr>
              <w:ind w:left="114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(96,798)</w:t>
            </w: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Total operating income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391,433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right="40" w:hanging="332"/>
        <w:spacing w:after="0" w:line="273"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additional segment information for our reportable segments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January 2, 2021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Charges:</w:t>
            </w:r>
          </w:p>
        </w:tc>
        <w:tc>
          <w:tcPr>
            <w:tcW w:w="10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6"/>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13"/>
        </w:trPr>
        <w:tc>
          <w:tcPr>
            <w:tcW w:w="7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Wholesale</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Incremental costs associated with COVID-19 pandemic</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line="216" w:lineRule="exact"/>
              <w:rPr>
                <w:sz w:val="20"/>
                <w:szCs w:val="20"/>
                <w:color w:val="auto"/>
              </w:rPr>
            </w:pPr>
            <w:r>
              <w:rPr>
                <w:rFonts w:ascii="Arial" w:cs="Arial" w:eastAsia="Arial" w:hAnsi="Arial"/>
                <w:sz w:val="16"/>
                <w:szCs w:val="16"/>
                <w:color w:val="auto"/>
              </w:rPr>
              <w:t>Retail store operating leases and other long-lived asset impairments, net of gain</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5"/>
        </w:trPr>
        <w:tc>
          <w:tcPr>
            <w:tcW w:w="7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charges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fiscal year ended January 2, 2021 also includes corporate charges related to organizational restructuring of $7.4 million.</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Impairments include an immaterial gain on the remeasurement of retail store operating leases.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6"/>
                <w:szCs w:val="16"/>
                <w:b w:val="1"/>
                <w:bCs w:val="1"/>
                <w:color w:val="auto"/>
                <w:w w:val="95"/>
              </w:rPr>
              <w:t>December 28, 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6"/>
                <w:szCs w:val="16"/>
                <w:b w:val="1"/>
                <w:bCs w:val="1"/>
                <w:color w:val="auto"/>
                <w:w w:val="94"/>
              </w:rPr>
              <w:t>December 29, 2018</w:t>
            </w: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Charges:</w:t>
            </w:r>
          </w:p>
        </w:tc>
        <w:tc>
          <w:tcPr>
            <w:tcW w:w="100" w:type="dxa"/>
            <w:vAlign w:val="bottom"/>
          </w:tcPr>
          <w:p>
            <w:pPr>
              <w:spacing w:after="0"/>
              <w:rPr>
                <w:sz w:val="13"/>
                <w:szCs w:val="13"/>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3"/>
              </w:rPr>
              <w:t>U.S. 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rPr>
              <w:t>U.S. 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Wholesale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Wholesale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Customer bankruptcy charges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 business model change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w w:val="96"/>
              </w:rPr>
              <w:t>Benefit related to sale of inventory previously reserved in China</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3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Reversal of store restructuring costs previously recorded during</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third quarter of fiscal 2017</w:t>
            </w: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Customer bankruptcy recovery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Insurance recovery associated with storm-related store closures.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7"/>
              </w:rPr>
              <w:t>(0.4)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line="213" w:lineRule="exact"/>
              <w:rPr>
                <w:sz w:val="20"/>
                <w:szCs w:val="20"/>
                <w:color w:val="auto"/>
              </w:rPr>
            </w:pPr>
            <w:r>
              <w:rPr>
                <w:rFonts w:ascii="Arial" w:cs="Arial" w:eastAsia="Arial" w:hAnsi="Arial"/>
                <w:sz w:val="16"/>
                <w:szCs w:val="16"/>
                <w:color w:val="auto"/>
              </w:rPr>
              <w:t>Total charges</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520"/>
              <w:spacing w:after="0"/>
              <w:rPr>
                <w:sz w:val="20"/>
                <w:szCs w:val="20"/>
                <w:color w:val="auto"/>
              </w:rPr>
            </w:pPr>
            <w:r>
              <w:rPr>
                <w:rFonts w:ascii="Arial" w:cs="Arial" w:eastAsia="Arial" w:hAnsi="Arial"/>
                <w:sz w:val="16"/>
                <w:szCs w:val="16"/>
                <w:color w:val="auto"/>
                <w:w w:val="97"/>
              </w:rPr>
              <w:t>(0.4)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fiscal year ended December 28, 2019 also includes corporate charges related to organizational restructuring of $1.6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 by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inventory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75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427,387</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U.S. Retail</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87,721</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78,879</w:t>
            </w:r>
          </w:p>
        </w:tc>
      </w:tr>
      <w:tr>
        <w:trPr>
          <w:trHeight w:val="213"/>
        </w:trPr>
        <w:tc>
          <w:tcPr>
            <w:tcW w:w="754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593,987</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U.S. Wholesale inventories also include inventory produced and warehoused for the U.S. Retail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consolidated net sales by product: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0"/>
              </w:rPr>
              <w:t>For the fiscal year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60" w:type="dxa"/>
            <w:vAlign w:val="bottom"/>
          </w:tcPr>
          <w:p>
            <w:pPr>
              <w:spacing w:after="0"/>
              <w:rPr>
                <w:sz w:val="13"/>
                <w:szCs w:val="13"/>
                <w:color w:val="auto"/>
              </w:rPr>
            </w:pPr>
          </w:p>
        </w:tc>
        <w:tc>
          <w:tcPr>
            <w:tcW w:w="17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December 28, 2019</w:t>
            </w:r>
          </w:p>
        </w:tc>
        <w:tc>
          <w:tcPr>
            <w:tcW w:w="160" w:type="dxa"/>
            <w:vAlign w:val="bottom"/>
          </w:tcPr>
          <w:p>
            <w:pPr>
              <w:spacing w:after="0"/>
              <w:rPr>
                <w:sz w:val="13"/>
                <w:szCs w:val="13"/>
                <w:color w:val="auto"/>
              </w:rPr>
            </w:pPr>
          </w:p>
        </w:tc>
        <w:tc>
          <w:tcPr>
            <w:tcW w:w="160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4"/>
              </w:rPr>
              <w:t>December 29, 2018</w:t>
            </w:r>
          </w:p>
        </w:tc>
        <w:tc>
          <w:tcPr>
            <w:tcW w:w="0" w:type="dxa"/>
            <w:vAlign w:val="bottom"/>
          </w:tcPr>
          <w:p>
            <w:pPr>
              <w:spacing w:after="0"/>
              <w:rPr>
                <w:sz w:val="1"/>
                <w:szCs w:val="1"/>
                <w:color w:val="auto"/>
              </w:rPr>
            </w:pPr>
          </w:p>
        </w:tc>
      </w:tr>
      <w:tr>
        <w:trPr>
          <w:trHeight w:val="213"/>
        </w:trPr>
        <w:tc>
          <w:tcPr>
            <w:tcW w:w="5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(53 weeks)</w:t>
            </w: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(52 weeks)</w:t>
            </w:r>
          </w:p>
        </w:tc>
        <w:tc>
          <w:tcPr>
            <w:tcW w:w="160" w:type="dxa"/>
            <w:vAlign w:val="bottom"/>
          </w:tcPr>
          <w:p>
            <w:pPr>
              <w:spacing w:after="0"/>
              <w:rPr>
                <w:sz w:val="18"/>
                <w:szCs w:val="18"/>
                <w:color w:val="auto"/>
              </w:rPr>
            </w:pPr>
          </w:p>
        </w:tc>
        <w:tc>
          <w:tcPr>
            <w:tcW w:w="1600" w:type="dxa"/>
            <w:vAlign w:val="bottom"/>
          </w:tcPr>
          <w:p>
            <w:pPr>
              <w:jc w:val="right"/>
              <w:ind w:right="439"/>
              <w:spacing w:after="0"/>
              <w:rPr>
                <w:sz w:val="20"/>
                <w:szCs w:val="20"/>
                <w:color w:val="auto"/>
              </w:rPr>
            </w:pPr>
            <w:r>
              <w:rPr>
                <w:rFonts w:ascii="Arial" w:cs="Arial" w:eastAsia="Arial" w:hAnsi="Arial"/>
                <w:sz w:val="16"/>
                <w:szCs w:val="16"/>
                <w:b w:val="1"/>
                <w:bCs w:val="1"/>
                <w:color w:val="auto"/>
              </w:rPr>
              <w:t>(52 weeks)</w:t>
            </w:r>
          </w:p>
        </w:tc>
        <w:tc>
          <w:tcPr>
            <w:tcW w:w="0" w:type="dxa"/>
            <w:vAlign w:val="bottom"/>
          </w:tcPr>
          <w:p>
            <w:pPr>
              <w:spacing w:after="0"/>
              <w:rPr>
                <w:sz w:val="1"/>
                <w:szCs w:val="1"/>
                <w:color w:val="auto"/>
              </w:rPr>
            </w:pPr>
          </w:p>
        </w:tc>
      </w:tr>
      <w:tr>
        <w:trPr>
          <w:trHeight w:val="212"/>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Baby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1,026,910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1,228,905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1,239,009</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Playclothes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1,052,178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1,362,847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1,303,610</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Sleepwear</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431,961</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487,689</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3,519,286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3,462,269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Other product offerings include bedding, outerwear, swimwear, shoes, socks, diaper bags, gift sets, toys, and hair accessories.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international sales principally represent sales to customers in Canada. Such sales were 70.3%, 65.6%, and 64.2% of total international net sales in fiscal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property, plant, and equipment, net, by geographic area: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232,655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283,371</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36,797</w:t>
            </w:r>
          </w:p>
        </w:tc>
      </w:tr>
      <w:tr>
        <w:trPr>
          <w:trHeight w:val="237"/>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Long-lived assets in the international segment relate principally to Canada. Long-lived assets in Canada were 84.0% and 84.3% of total international long-lived assets at the end of fiscal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invests in marketable securities, principally equity based mutual funds, to mitigate the risk associated with the investment return on employee deferrals of compensation. All of the marketable securities are included in Other assets on the accompanying consolidated balance sheets, and their aggregate fair values were approximately $20.2 million and $19.7 million at the end of fiscal 2020 and fiscal 2019, respectively. These investments are classified as Level 1 within the fair value hierarchy. Investments in marketable securities incurred a net gain of approximately $2.0 million for fiscal 2020 and a net gain of approximately $4.0 million for fiscal 2019.</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fair value of the Company’s pension plan assets at January 2, 2021 and December 28, 2019, by asset category, are disclosed in Note 11,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 Plans</w:t>
      </w:r>
      <w:r>
        <w:rPr>
          <w:rFonts w:ascii="Arial" w:cs="Arial" w:eastAsia="Arial" w:hAnsi="Arial"/>
          <w:sz w:val="18"/>
          <w:szCs w:val="18"/>
          <w:color w:val="auto"/>
        </w:rPr>
        <w:t>,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Forward Contracts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Fair values of any unsettled foreign exchange forward contracts are calculated by using readily observable market inputs (market-quoted currency exchange rates in effect between the U.S. dollar and the currencies of Canada and Mexico) and are classified as Level 2 within the fair value hierarchy. Any unsettled foreign exchange forward contracts are included in other current assets or other current liabilities on the Company’s consolidated balance sheet at the end of each fiscal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 2021 and December 28, 2019, there were no open foreign currency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gains and losses on foreign currency contracts were not material for fiscal 2020, 2019, and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 2021, the Company had no outstanding borrowings under its secured revolving credit facility.</w:t>
      </w:r>
    </w:p>
    <w:p>
      <w:pPr>
        <w:spacing w:after="0" w:line="19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fair value of the Company’s senior notes at January 2, 2021 was approximately $1.06 billion. The fair value of these senior notes with a notional value and carrying value (gross of debt issuance costs) of $1.00 billion was estimated using a quoted price as provided in the secondary market, which considers the Company’s credit risk and market related conditions, and is therefore within Level 2 of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Tangible assets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Long-lived assets, which for the Company primarily consist of operating lease assets and store assets, are reviewed for impairment whenever events or changes in circumstances indicate that the carrying amount of the assets may not be recoverable. The asset group is defined as the lowest level for which identifiable cash flows are available and is largely independent of cash flows of other groups of assets, which for our retail stores, is at the store level. For impaired assets, the Company recognized a loss equal to the difference between the carrying amount of the asset or asset group and its estimated fair value, which is recorded in Selling, general and administrative expenses on the Company’s consolidated statements of operations. For operating lease assets, the Company determines the fair value of the assets by discounting the estimated market rental rates over the remaining term of the lease. These estimates can be affected by factors such as future store results, real estate demand, store closure plans, property specific discount rates, and economic conditions that can be difficult to predict. These fair value measurements qualify as level 3 measurements in the fair value hierarchy.</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impact of the COVID-19 pandemic resulted in a qualitative indication of impairment related to our store long-lived assets. In fiscal 2020, the Company recorded impairment charges of operating lease assets and other long-lived assets for our underperforming retail stores of $9.0 million. The impairment charges were recorded in Selling, general and administrative expenses on the Company’s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and indefinite-lived intangible assets are tested annually or if a triggering event occurs that indicates an impairment loss may have been incurred using fair value measurements with unobservable inputs (Level 3).</w:t>
      </w:r>
    </w:p>
    <w:p>
      <w:pPr>
        <w:spacing w:after="0" w:line="13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Due to the decrease in the Company’s market capitalization, lower than expected actual sales, and lower projected sales and profitability, primarily due to the impacts from the outbreak of COVID-19, the Company concluded that impairment indicators existed for the first quarter of fiscal 2020.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that was recorded in connection with the acquisition of OshKosh B’Gosh Inc. in July 2005 and Skip Hop Holdings, Inc. in February 2017, respectively.</w:t>
      </w:r>
    </w:p>
    <w:p>
      <w:pPr>
        <w:spacing w:after="0" w:line="15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Based on these assessments, a goodwill impairment charge of $17.7 million was recorded during the first quarter of fiscal 2020 to our Other International reporting unit in the International segment and charges of $15.5 million and $11.0 million were recorded on our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respectively. The charge recorded on our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included charges of $13.6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 of the Company’s goodwill for the Other International reporting unit as of January 2, 2021 was $11.8 million. The carrying values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as of January 2, 2021 were $70.0 million and $15.0 million, respectively.</w:t>
      </w:r>
    </w:p>
    <w:p>
      <w:pPr>
        <w:spacing w:after="0" w:line="1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the third quarter of fiscal 2019, the Company’s Skip Hop business experienced lower than expected actual and projected sales and profitability due to lower domestic demand, including the loss of a significant customer (Toys “R” Us), lower international demand and higher product costs primarily driven by tariffs imposed on products sourced from China. As a result, the Company conducted an interim impairment assessment in the third quarter of fiscal 2019 on the value of the Company’s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that was recorded in connection with the acquisition of Skip Hop Holdings, Inc. in February 2017. Based on this assessment, a charge of $30.8 million was recorded during the third quarter of fiscal 2019 on our indefinite-lived </w:t>
      </w:r>
      <w:r>
        <w:rPr>
          <w:rFonts w:ascii="Arial" w:cs="Arial" w:eastAsia="Arial" w:hAnsi="Arial"/>
          <w:sz w:val="16"/>
          <w:szCs w:val="16"/>
          <w:i w:val="1"/>
          <w:iCs w:val="1"/>
          <w:color w:val="auto"/>
        </w:rPr>
        <w:t>Skip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Hop </w:t>
      </w:r>
      <w:r>
        <w:rPr>
          <w:rFonts w:ascii="Arial" w:cs="Arial" w:eastAsia="Arial" w:hAnsi="Arial"/>
          <w:sz w:val="16"/>
          <w:szCs w:val="16"/>
          <w:color w:val="auto"/>
        </w:rPr>
        <w:t>tradename asset. The charge included charges of $19.1 million, $10.5 million, and $1.2 million in the U.S. Wholesale, International, and U.S. Retail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details on the impairment charge and valuation methodologies.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28, 2019</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employee benefits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16,556</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23,269</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17,563</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12,092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8,579</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15,036</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4,695</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39,258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45,933</w:t>
            </w:r>
          </w:p>
        </w:tc>
      </w:tr>
      <w:tr>
        <w:trPr>
          <w:trHeight w:val="212"/>
        </w:trPr>
        <w:tc>
          <w:tcPr>
            <w:tcW w:w="75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131,631</w:t>
            </w:r>
          </w:p>
        </w:tc>
      </w:tr>
      <w:tr>
        <w:trPr>
          <w:trHeight w:val="21"/>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ORGANIZATIONAL RESTRUCTURING AND OFFICE CONSOLIDATION</w:t>
      </w:r>
    </w:p>
    <w:p>
      <w:pPr>
        <w:spacing w:after="0" w:line="10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first and fourth quarters of fiscal 2020, the Company announced several organizational restructuring initiatives which included a reorganization of staffing models across multiple functions to drive labor savings and increase efficiencies, the consolidation of certain functions into our corporate headquarters in Atlanta, Georgia, and over 100 planned store closures by the end of fiscal 2021. In conjunction with these initiatives, the Company recorded the following charges in selling, general and administrative expenses: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Severance and other termination benefits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 exit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Relocation and recruiting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closure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 the fiscal 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January 2, 2021</w:t>
            </w:r>
          </w:p>
        </w:tc>
      </w:tr>
      <w:tr>
        <w:trPr>
          <w:trHeight w:val="206"/>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12,029</w:t>
            </w:r>
          </w:p>
        </w:tc>
      </w:tr>
      <w:tr>
        <w:trPr>
          <w:trHeight w:val="216"/>
        </w:trPr>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2,727</w:t>
            </w:r>
          </w:p>
        </w:tc>
      </w:tr>
      <w:tr>
        <w:trPr>
          <w:trHeight w:val="216"/>
        </w:trPr>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19"/>
        </w:trPr>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16,636</w:t>
            </w:r>
          </w:p>
        </w:tc>
      </w:tr>
      <w:tr>
        <w:trPr>
          <w:trHeight w:val="24"/>
        </w:trPr>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spacing w:after="0" w:line="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paid approximately $4.3 million in severance and other termination benefits during fiscal 2020. As of January 2, 2021 there was approximately $7.7 million in reserves related to severance and other termination benefits expected to be paid during fiscal 2021 included in Other current liabilities in the Company’s consolidated balance sheets. The Company expects to incur additional restructuring-related charges of approximately $2.0 million to $3.0 million in fiscal 2021. These charges primarily relate to accelerated depreciation and severance.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contractual obligations and commitments include obligations associated with leases, the secured revolving credit agreement, senior notes, employee benefit plans, and facility consolidations/closures as disclosed in Note 17, Organizational Restructuring and Office Consolidation, to the consolidated financial statements.</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minimum inventory purchase commitments, including fabric commitments, with our suppliers which secure a portion of our material needs for future seasons. In light of the COVID-19 pandemic, some of our orders may be canceled. As of January 2, 2021, the Company had an outstanding reserve of $13.3 million for adverse inventory and fabric 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1" w:name="page92"/>
    <w:bookmarkEnd w:id="9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102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January 2,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36" w:lineRule="exact"/>
        <w:rPr>
          <w:sz w:val="20"/>
          <w:szCs w:val="20"/>
          <w:color w:val="auto"/>
        </w:rPr>
      </w:pPr>
    </w:p>
    <w:p>
      <w:pPr>
        <w:ind w:left="660" w:right="2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4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Management, including our Chief Executive Officer and Chief Financial Officer, assessed the effectiveness of the Company’s internal control over financial reporting as of January 2, 2021. In making this assessment, management used the criteria set forth by the Committee of Sponsoring Organizations of the Treadway Commission (“COSO”)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this assessment, management has concluded that the Company’s internal control over financial reporting was effective as of January 2, 2021.</w:t>
      </w:r>
    </w:p>
    <w:p>
      <w:pPr>
        <w:spacing w:after="0" w:line="14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effectiveness of Carter’s, Inc. and its subsidiaries’ internal control over financial reporting as of January 2, 2021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fourth quarter of fiscal 2020 that have materially affected, or are reasonably likely to materially affect, the Company’s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0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relating to the Annual Meeting of Stockholders of Carter’s, Inc. scheduled to be held on May 20, 2021. We intend to file such definitive proxy statement with the SEC pursuant to Regulation 14A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18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equity compensation plan as of our most recent fiscal year end: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securities to be</w:t>
            </w:r>
          </w:p>
        </w:tc>
        <w:tc>
          <w:tcPr>
            <w:tcW w:w="100" w:type="dxa"/>
            <w:vAlign w:val="bottom"/>
          </w:tcPr>
          <w:p>
            <w:pPr>
              <w:spacing w:after="0"/>
              <w:rPr>
                <w:sz w:val="14"/>
                <w:szCs w:val="14"/>
                <w:color w:val="auto"/>
              </w:rPr>
            </w:pPr>
          </w:p>
        </w:tc>
        <w:tc>
          <w:tcPr>
            <w:tcW w:w="1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Weighted-average exercise</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issued upon exercise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price of outstanding</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equity compensation plans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outstanding 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options, warrants, and</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(excluding securities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vMerge w:val="continue"/>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warrants, and rights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4"/>
              </w:rPr>
              <w:t>rights</w:t>
            </w:r>
          </w:p>
        </w:tc>
        <w:tc>
          <w:tcPr>
            <w:tcW w:w="100" w:type="dxa"/>
            <w:vAlign w:val="bottom"/>
          </w:tcPr>
          <w:p>
            <w:pPr>
              <w:spacing w:after="0"/>
              <w:rPr>
                <w:sz w:val="15"/>
                <w:szCs w:val="15"/>
                <w:color w:val="auto"/>
              </w:rPr>
            </w:pPr>
          </w:p>
        </w:tc>
        <w:tc>
          <w:tcPr>
            <w:tcW w:w="20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reflected in first column)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860,711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3,293,796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860,711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3,293,796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stock options that are outstanding or that are available for future issuance pursuant to the Carter’s, Inc. Amended and Restated Equity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called for by Item 12 is incorporated herein by reference to the definitive proxy statement referenced above in Item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PART IV</w:t>
      </w:r>
    </w:p>
    <w:p>
      <w:pPr>
        <w:sectPr>
          <w:pgSz w:w="11900" w:h="16838" w:orient="portrait"/>
          <w:cols w:equalWidth="0" w:num="1">
            <w:col w:w="9019"/>
          </w:cols>
          <w:pgMar w:left="1440" w:top="10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10840" w:type="dxa"/>
            <w:vAlign w:val="bottom"/>
            <w:gridSpan w:val="2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(A)</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9"/>
          </w:tcPr>
          <w:p>
            <w:pPr>
              <w:jc w:val="center"/>
              <w:ind w:right="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4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1"/>
                <w:szCs w:val="21"/>
                <w:color w:val="auto"/>
              </w:rPr>
            </w:pPr>
          </w:p>
        </w:tc>
        <w:tc>
          <w:tcPr>
            <w:tcW w:w="8900" w:type="dxa"/>
            <w:vAlign w:val="bottom"/>
            <w:gridSpan w:val="25"/>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Financial Statements filed as part of this report</w:t>
              </w:r>
            </w:hyperlink>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gridSpan w:val="4"/>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42</w:t>
              </w:r>
            </w:hyperlink>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960" w:type="dxa"/>
            <w:vAlign w:val="bottom"/>
            <w:gridSpan w:val="26"/>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Report of Independent Registered Public Accounting Firm</w:t>
              </w:r>
            </w:hyperlink>
          </w:p>
        </w:tc>
        <w:tc>
          <w:tcPr>
            <w:tcW w:w="200" w:type="dxa"/>
            <w:vAlign w:val="bottom"/>
            <w:gridSpan w:val="4"/>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20" w:type="dxa"/>
            <w:vAlign w:val="bottom"/>
            <w:tcBorders>
              <w:bottom w:val="single" w:sz="8" w:color="0000FF"/>
            </w:tcBorders>
            <w:gridSpan w:val="16"/>
          </w:tcPr>
          <w:p>
            <w:pPr>
              <w:spacing w:after="0" w:line="190" w:lineRule="exact"/>
              <w:rPr>
                <w:sz w:val="20"/>
                <w:szCs w:val="20"/>
                <w:color w:val="auto"/>
              </w:rPr>
            </w:pPr>
            <w:r>
              <w:rPr>
                <w:rFonts w:ascii="Arial" w:cs="Arial" w:eastAsia="Arial" w:hAnsi="Arial"/>
                <w:sz w:val="18"/>
                <w:szCs w:val="18"/>
                <w:color w:val="0000FF"/>
                <w:w w:val="88"/>
              </w:rPr>
              <w:t>Consolidated Balance Sheets at January 2, 2021 and December 28, 2019</w:t>
            </w:r>
          </w:p>
        </w:tc>
        <w:tc>
          <w:tcPr>
            <w:tcW w:w="3740" w:type="dxa"/>
            <w:vAlign w:val="bottom"/>
            <w:gridSpan w:val="10"/>
          </w:tcPr>
          <w:p>
            <w:pPr>
              <w:spacing w:after="0"/>
              <w:rPr>
                <w:sz w:val="16"/>
                <w:szCs w:val="16"/>
                <w:color w:val="auto"/>
              </w:rPr>
            </w:pPr>
          </w:p>
        </w:tc>
        <w:tc>
          <w:tcPr>
            <w:tcW w:w="200" w:type="dxa"/>
            <w:vAlign w:val="bottom"/>
            <w:gridSpan w:val="4"/>
          </w:tcPr>
          <w:p>
            <w:pPr>
              <w:jc w:val="center"/>
              <w:spacing w:after="0" w:line="190" w:lineRule="exact"/>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46</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6"/>
          </w:tcPr>
          <w:p>
            <w:pPr>
              <w:spacing w:after="0"/>
              <w:rPr>
                <w:sz w:val="20"/>
                <w:szCs w:val="20"/>
                <w:color w:val="auto"/>
              </w:rPr>
            </w:pPr>
            <w:r>
              <w:rPr>
                <w:rFonts w:ascii="Arial" w:cs="Arial" w:eastAsia="Arial" w:hAnsi="Arial"/>
                <w:sz w:val="18"/>
                <w:szCs w:val="18"/>
                <w:color w:val="0000FF"/>
                <w:w w:val="91"/>
              </w:rPr>
              <w:t>Consolidated Statements of Operations for the fiscal years ended January 2, 2021, December 28, 2019, and December 29,</w:t>
            </w:r>
          </w:p>
        </w:tc>
        <w:tc>
          <w:tcPr>
            <w:tcW w:w="200" w:type="dxa"/>
            <w:vAlign w:val="bottom"/>
            <w:gridSpan w:val="4"/>
            <w:vMerge w:val="restart"/>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47</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4"/>
              </w:rPr>
              <w:t>2018</w:t>
            </w: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6"/>
          </w:tcPr>
          <w:p>
            <w:pPr>
              <w:spacing w:after="0"/>
              <w:rPr>
                <w:sz w:val="20"/>
                <w:szCs w:val="20"/>
                <w:color w:val="auto"/>
              </w:rPr>
            </w:pPr>
            <w:r>
              <w:rPr>
                <w:rFonts w:ascii="Arial" w:cs="Arial" w:eastAsia="Arial" w:hAnsi="Arial"/>
                <w:sz w:val="18"/>
                <w:szCs w:val="18"/>
                <w:color w:val="0000FF"/>
                <w:w w:val="92"/>
              </w:rPr>
              <w:t>Consolidated Statements of Comprehensive Income for the fiscal years ended January 2, 2021, December 28, 2019, and</w:t>
            </w:r>
          </w:p>
        </w:tc>
        <w:tc>
          <w:tcPr>
            <w:tcW w:w="200" w:type="dxa"/>
            <w:vAlign w:val="bottom"/>
            <w:gridSpan w:val="4"/>
            <w:vMerge w:val="restart"/>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48</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2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December 29, 2018</w:t>
            </w: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6"/>
          </w:tcPr>
          <w:p>
            <w:pPr>
              <w:spacing w:after="0"/>
              <w:rPr>
                <w:sz w:val="20"/>
                <w:szCs w:val="20"/>
                <w:color w:val="auto"/>
              </w:rPr>
            </w:pPr>
            <w:r>
              <w:rPr>
                <w:rFonts w:ascii="Arial" w:cs="Arial" w:eastAsia="Arial" w:hAnsi="Arial"/>
                <w:sz w:val="18"/>
                <w:szCs w:val="18"/>
                <w:color w:val="0000FF"/>
                <w:w w:val="93"/>
              </w:rPr>
              <w:t>Consolidated Statements of Cash Flows for the fiscal years ended January 2, 2021, December 28, 2019, and December</w:t>
            </w:r>
          </w:p>
        </w:tc>
        <w:tc>
          <w:tcPr>
            <w:tcW w:w="200" w:type="dxa"/>
            <w:vAlign w:val="bottom"/>
            <w:gridSpan w:val="4"/>
            <w:vMerge w:val="restart"/>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49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5"/>
              </w:rPr>
              <w:t>29, 2018</w:t>
            </w: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6"/>
          </w:tcPr>
          <w:p>
            <w:pPr>
              <w:spacing w:after="0"/>
              <w:rPr>
                <w:sz w:val="20"/>
                <w:szCs w:val="20"/>
                <w:color w:val="auto"/>
              </w:rPr>
            </w:pPr>
            <w:r>
              <w:rPr>
                <w:rFonts w:ascii="Arial" w:cs="Arial" w:eastAsia="Arial" w:hAnsi="Arial"/>
                <w:sz w:val="18"/>
                <w:szCs w:val="18"/>
                <w:color w:val="0000FF"/>
                <w:w w:val="94"/>
              </w:rPr>
              <w:t>Consolidated Statements of Changes in Stockholders' Equity for the fiscal years ended January 2, 2021, December 28,</w:t>
            </w:r>
          </w:p>
        </w:tc>
        <w:tc>
          <w:tcPr>
            <w:tcW w:w="200" w:type="dxa"/>
            <w:vAlign w:val="bottom"/>
            <w:gridSpan w:val="4"/>
            <w:vMerge w:val="restart"/>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50</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50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2019, and December 29, 2018</w:t>
            </w:r>
          </w:p>
        </w:tc>
        <w:tc>
          <w:tcPr>
            <w:tcW w:w="3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960" w:type="dxa"/>
            <w:vAlign w:val="bottom"/>
            <w:gridSpan w:val="26"/>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200" w:type="dxa"/>
            <w:vAlign w:val="bottom"/>
            <w:gridSpan w:val="4"/>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51</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0"/>
                <w:szCs w:val="20"/>
                <w:color w:val="auto"/>
              </w:rPr>
            </w:pPr>
          </w:p>
        </w:tc>
        <w:tc>
          <w:tcPr>
            <w:tcW w:w="8960" w:type="dxa"/>
            <w:vAlign w:val="bottom"/>
            <w:gridSpan w:val="26"/>
          </w:tcPr>
          <w:p>
            <w:pPr>
              <w:spacing w:after="0"/>
              <w:rPr>
                <w:sz w:val="20"/>
                <w:szCs w:val="20"/>
                <w:color w:val="auto"/>
              </w:rPr>
            </w:pPr>
            <w:r>
              <w:rPr>
                <w:rFonts w:ascii="Arial" w:cs="Arial" w:eastAsia="Arial" w:hAnsi="Arial"/>
                <w:sz w:val="18"/>
                <w:szCs w:val="18"/>
                <w:color w:val="auto"/>
              </w:rPr>
              <w:t>Financial Statement Schedules: 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(B)</w:t>
            </w:r>
          </w:p>
        </w:tc>
        <w:tc>
          <w:tcPr>
            <w:tcW w:w="8960" w:type="dxa"/>
            <w:vAlign w:val="bottom"/>
            <w:gridSpan w:val="26"/>
          </w:tcPr>
          <w:p>
            <w:pPr>
              <w:spacing w:after="0"/>
              <w:rPr>
                <w:sz w:val="20"/>
                <w:szCs w:val="20"/>
                <w:color w:val="auto"/>
              </w:rPr>
            </w:pPr>
            <w:r>
              <w:rPr>
                <w:rFonts w:ascii="Arial" w:cs="Arial" w:eastAsia="Arial" w:hAnsi="Arial"/>
                <w:sz w:val="18"/>
                <w:szCs w:val="18"/>
                <w:color w:val="auto"/>
              </w:rPr>
              <w:t>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Number</w:t>
            </w:r>
          </w:p>
        </w:tc>
        <w:tc>
          <w:tcPr>
            <w:tcW w:w="8960" w:type="dxa"/>
            <w:vAlign w:val="bottom"/>
            <w:gridSpan w:val="26"/>
          </w:tcPr>
          <w:p>
            <w:pPr>
              <w:spacing w:after="0" w:line="194" w:lineRule="exact"/>
              <w:rPr>
                <w:sz w:val="20"/>
                <w:szCs w:val="20"/>
                <w:color w:val="auto"/>
              </w:rPr>
            </w:pPr>
            <w:r>
              <w:rPr>
                <w:rFonts w:ascii="Arial" w:cs="Arial" w:eastAsia="Arial" w:hAnsi="Arial"/>
                <w:sz w:val="18"/>
                <w:szCs w:val="18"/>
                <w:b w:val="1"/>
                <w:bCs w:val="1"/>
                <w:color w:val="auto"/>
              </w:rPr>
              <w:t>Description of Exhibits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9300" w:type="dxa"/>
            <w:vAlign w:val="bottom"/>
            <w:gridSpan w:val="33"/>
          </w:tcPr>
          <w:p>
            <w:pPr>
              <w:spacing w:after="0"/>
              <w:rPr>
                <w:rFonts w:ascii="Arial" w:cs="Arial" w:eastAsia="Arial" w:hAnsi="Arial"/>
                <w:sz w:val="18"/>
                <w:szCs w:val="18"/>
                <w:u w:val="single" w:color="auto"/>
                <w:color w:val="0000FF"/>
                <w:w w:val="92"/>
              </w:rPr>
            </w:pPr>
            <w:hyperlink r:id="rId126">
              <w:r>
                <w:rPr>
                  <w:rFonts w:ascii="Arial" w:cs="Arial" w:eastAsia="Arial" w:hAnsi="Arial"/>
                  <w:sz w:val="18"/>
                  <w:szCs w:val="18"/>
                  <w:u w:val="single" w:color="auto"/>
                  <w:color w:val="0000FF"/>
                  <w:w w:val="92"/>
                </w:rPr>
                <w:t>Certificate of Incorporation of Carter’s, Inc., as amended on May 22, 2017 (incorporated by reference to Exhibit 3.1 of Carter’s,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60" w:type="dxa"/>
            <w:vAlign w:val="bottom"/>
            <w:gridSpan w:val="26"/>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 xml:space="preserve">Inc.’s </w:t>
              </w:r>
              <w:r>
                <w:rPr>
                  <w:rFonts w:ascii="Arial" w:cs="Arial" w:eastAsia="Arial" w:hAnsi="Arial"/>
                  <w:sz w:val="18"/>
                  <w:szCs w:val="18"/>
                  <w:u w:val="single" w:color="auto"/>
                  <w:color w:val="0000FF"/>
                </w:rPr>
                <w:t>Current Report on Form 8-K filed on May 23, 2017).</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8960" w:type="dxa"/>
            <w:vAlign w:val="bottom"/>
            <w:gridSpan w:val="26"/>
          </w:tcPr>
          <w:p>
            <w:pPr>
              <w:spacing w:after="0"/>
              <w:rPr>
                <w:rFonts w:ascii="Arial" w:cs="Arial" w:eastAsia="Arial" w:hAnsi="Arial"/>
                <w:sz w:val="18"/>
                <w:szCs w:val="18"/>
                <w:color w:val="0000FF"/>
                <w:w w:val="91"/>
              </w:rPr>
            </w:pPr>
            <w:hyperlink r:id="rId127">
              <w:r>
                <w:rPr>
                  <w:rFonts w:ascii="Arial" w:cs="Arial" w:eastAsia="Arial" w:hAnsi="Arial"/>
                  <w:sz w:val="18"/>
                  <w:szCs w:val="18"/>
                  <w:u w:val="single" w:color="auto"/>
                  <w:color w:val="0000FF"/>
                  <w:w w:val="91"/>
                </w:rPr>
                <w:t>Amended and Restated By-laws of Carter’s,</w:t>
              </w:r>
              <w:r>
                <w:rPr>
                  <w:rFonts w:ascii="Arial" w:cs="Arial" w:eastAsia="Arial" w:hAnsi="Arial"/>
                  <w:sz w:val="18"/>
                  <w:szCs w:val="18"/>
                  <w:color w:val="0000FF"/>
                  <w:w w:val="91"/>
                </w:rPr>
                <w:t xml:space="preserve"> Inc., as amended on May 22, 2017 (incorporated by reference to Exhibit 3.2 of</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60" w:type="dxa"/>
            <w:vAlign w:val="bottom"/>
            <w:gridSpan w:val="10"/>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 xml:space="preserve">Carter’s, </w:t>
              </w:r>
              <w:r>
                <w:rPr>
                  <w:rFonts w:ascii="Arial" w:cs="Arial" w:eastAsia="Arial" w:hAnsi="Arial"/>
                  <w:sz w:val="18"/>
                  <w:szCs w:val="18"/>
                  <w:u w:val="single" w:color="auto"/>
                  <w:color w:val="0000FF"/>
                  <w:w w:val="91"/>
                </w:rPr>
                <w:t>Inc.’s Current Report on Form 8-</w:t>
              </w:r>
            </w:hyperlink>
          </w:p>
        </w:tc>
        <w:tc>
          <w:tcPr>
            <w:tcW w:w="5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7">
              <w:r>
                <w:rPr>
                  <w:rFonts w:ascii="Arial" w:cs="Arial" w:eastAsia="Arial" w:hAnsi="Arial"/>
                  <w:sz w:val="18"/>
                  <w:szCs w:val="18"/>
                  <w:u w:val="single" w:color="auto"/>
                  <w:color w:val="0000FF"/>
                </w:rPr>
                <w:t>K filed on May 23, 2017)</w:t>
              </w:r>
              <w:r>
                <w:rPr>
                  <w:rFonts w:ascii="Arial" w:cs="Arial" w:eastAsia="Arial" w:hAnsi="Arial"/>
                  <w:sz w:val="18"/>
                  <w:szCs w:val="18"/>
                  <w:color w:val="0000FF"/>
                </w:rPr>
                <w:t>.</w:t>
              </w:r>
            </w:hyperlink>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8"/>
                <w:szCs w:val="18"/>
                <w:color w:val="auto"/>
              </w:rPr>
            </w:pPr>
          </w:p>
        </w:tc>
        <w:tc>
          <w:tcPr>
            <w:tcW w:w="9300" w:type="dxa"/>
            <w:vAlign w:val="bottom"/>
            <w:gridSpan w:val="33"/>
          </w:tcPr>
          <w:p>
            <w:pPr>
              <w:spacing w:after="0"/>
              <w:rPr>
                <w:rFonts w:ascii="Arial" w:cs="Arial" w:eastAsia="Arial" w:hAnsi="Arial"/>
                <w:sz w:val="18"/>
                <w:szCs w:val="18"/>
                <w:color w:val="0000FF"/>
                <w:w w:val="93"/>
              </w:rPr>
            </w:pPr>
            <w:hyperlink r:id="rId128">
              <w:r>
                <w:rPr>
                  <w:rFonts w:ascii="Arial" w:cs="Arial" w:eastAsia="Arial" w:hAnsi="Arial"/>
                  <w:sz w:val="18"/>
                  <w:szCs w:val="18"/>
                  <w:u w:val="single" w:color="auto"/>
                  <w:color w:val="0000FF"/>
                  <w:w w:val="93"/>
                </w:rPr>
                <w:t>Specimen Certificate of Common Stock (incorporated by reference to Exhibit 4.1 of Carter’s, Inc.’s</w:t>
              </w:r>
              <w:r>
                <w:rPr>
                  <w:rFonts w:ascii="Arial" w:cs="Arial" w:eastAsia="Arial" w:hAnsi="Arial"/>
                  <w:sz w:val="18"/>
                  <w:szCs w:val="18"/>
                  <w:color w:val="0000FF"/>
                  <w:w w:val="93"/>
                </w:rPr>
                <w:t xml:space="preserve"> Registration Statement 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100" w:type="dxa"/>
            <w:vAlign w:val="bottom"/>
            <w:gridSpan w:val="18"/>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Form S-1A (No. 333-98679) filed on October 10, 2003).</w:t>
              </w:r>
            </w:hyperlink>
          </w:p>
        </w:tc>
        <w:tc>
          <w:tcPr>
            <w:tcW w:w="1760" w:type="dxa"/>
            <w:vAlign w:val="bottom"/>
            <w:tcBorders>
              <w:top w:val="single" w:sz="8" w:color="0000FF"/>
            </w:tcBorders>
            <w:gridSpan w:val="5"/>
          </w:tcPr>
          <w:p>
            <w:pPr>
              <w:spacing w:after="0"/>
              <w:rPr>
                <w:sz w:val="13"/>
                <w:szCs w:val="13"/>
                <w:color w:val="auto"/>
              </w:rPr>
            </w:pPr>
          </w:p>
        </w:tc>
        <w:tc>
          <w:tcPr>
            <w:tcW w:w="10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9300" w:type="dxa"/>
            <w:vAlign w:val="bottom"/>
            <w:tcBorders>
              <w:bottom w:val="single" w:sz="8" w:color="0000FF"/>
            </w:tcBorders>
            <w:gridSpan w:val="33"/>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Indenture, dated March 14, 2019, by and among The William Carter Company, certain guarantors from time to time party thereto</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960" w:type="dxa"/>
            <w:vAlign w:val="bottom"/>
            <w:gridSpan w:val="26"/>
          </w:tcPr>
          <w:p>
            <w:pPr>
              <w:spacing w:after="0" w:line="142" w:lineRule="exact"/>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and Wells Fargo Bank, National Association, as Trustee (incorporated by reference to Exhibit 4.1 of Carter's, Inc.’s Current</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960" w:type="dxa"/>
            <w:vAlign w:val="bottom"/>
            <w:gridSpan w:val="26"/>
          </w:tcPr>
          <w:p>
            <w:pPr>
              <w:spacing w:after="0" w:line="189" w:lineRule="exact"/>
              <w:rPr>
                <w:rFonts w:ascii="Arial" w:cs="Arial" w:eastAsia="Arial" w:hAnsi="Arial"/>
                <w:sz w:val="18"/>
                <w:szCs w:val="18"/>
                <w:color w:val="0000FF"/>
              </w:rPr>
            </w:pPr>
            <w:hyperlink r:id="rId129">
              <w:r>
                <w:rPr>
                  <w:rFonts w:ascii="Arial" w:cs="Arial" w:eastAsia="Arial" w:hAnsi="Arial"/>
                  <w:sz w:val="18"/>
                  <w:szCs w:val="18"/>
                  <w:color w:val="0000FF"/>
                </w:rPr>
                <w:t>Report on Form 8-K filed on March 14, 2019).</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4.2.1</w:t>
            </w:r>
          </w:p>
        </w:tc>
        <w:tc>
          <w:tcPr>
            <w:tcW w:w="600" w:type="dxa"/>
            <w:vAlign w:val="bottom"/>
          </w:tcPr>
          <w:p>
            <w:pPr>
              <w:spacing w:after="0"/>
              <w:rPr>
                <w:sz w:val="24"/>
                <w:szCs w:val="24"/>
                <w:color w:val="auto"/>
              </w:rPr>
            </w:pPr>
          </w:p>
        </w:tc>
        <w:tc>
          <w:tcPr>
            <w:tcW w:w="8960" w:type="dxa"/>
            <w:vAlign w:val="bottom"/>
            <w:gridSpan w:val="26"/>
          </w:tcPr>
          <w:p>
            <w:pPr>
              <w:spacing w:after="0"/>
              <w:rPr>
                <w:rFonts w:ascii="Arial" w:cs="Arial" w:eastAsia="Arial" w:hAnsi="Arial"/>
                <w:sz w:val="18"/>
                <w:szCs w:val="18"/>
                <w:color w:val="0000FF"/>
              </w:rPr>
            </w:pPr>
            <w:hyperlink r:id="rId129">
              <w:r>
                <w:rPr>
                  <w:rFonts w:ascii="Arial" w:cs="Arial" w:eastAsia="Arial" w:hAnsi="Arial"/>
                  <w:sz w:val="18"/>
                  <w:szCs w:val="18"/>
                  <w:u w:val="single" w:color="auto"/>
                  <w:color w:val="0000FF"/>
                </w:rPr>
                <w:t>Form of 5.625% Senior Notes due 2027 (included in Exhibit 4.</w:t>
              </w:r>
            </w:hyperlink>
            <w:r>
              <w:rPr>
                <w:rFonts w:ascii="Arial" w:cs="Arial" w:eastAsia="Arial" w:hAnsi="Arial"/>
                <w:sz w:val="18"/>
                <w:szCs w:val="18"/>
                <w:color w:val="0000FF"/>
              </w:rPr>
              <w:t>2)</w:t>
            </w:r>
            <w:hyperlink r:id="rId129">
              <w:r>
                <w:rPr>
                  <w:rFonts w:ascii="Arial" w:cs="Arial" w:eastAsia="Arial" w:hAnsi="Arial"/>
                  <w:sz w:val="18"/>
                  <w:szCs w:val="18"/>
                  <w:u w:val="single" w:color="auto"/>
                  <w:color w:val="0000FF"/>
                </w:rPr>
                <w:t>.</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4.3</w:t>
            </w:r>
          </w:p>
        </w:tc>
        <w:tc>
          <w:tcPr>
            <w:tcW w:w="600" w:type="dxa"/>
            <w:vAlign w:val="bottom"/>
          </w:tcPr>
          <w:p>
            <w:pPr>
              <w:spacing w:after="0"/>
              <w:rPr>
                <w:sz w:val="16"/>
                <w:szCs w:val="16"/>
                <w:color w:val="auto"/>
              </w:rPr>
            </w:pPr>
          </w:p>
        </w:tc>
        <w:tc>
          <w:tcPr>
            <w:tcW w:w="9300" w:type="dxa"/>
            <w:vAlign w:val="bottom"/>
            <w:gridSpan w:val="33"/>
          </w:tcPr>
          <w:p>
            <w:pPr>
              <w:spacing w:after="0" w:line="190"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Indenture, dated May 11, 2020, by and among The William Carter Company, certain guarantors from time to time party thereto</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960" w:type="dxa"/>
            <w:vAlign w:val="bottom"/>
            <w:tcBorders>
              <w:top w:val="single" w:sz="8" w:color="0000FF"/>
            </w:tcBorders>
            <w:gridSpan w:val="26"/>
          </w:tcPr>
          <w:p>
            <w:pPr>
              <w:spacing w:after="0" w:line="142" w:lineRule="exact"/>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and Wells Fargo Bank, National Association, as Trustee (incorporated by reference to Exhibit 4.1 of Carter’s, Inc.’s Current</w:t>
              </w:r>
            </w:hyperlink>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20" w:type="dxa"/>
            <w:vAlign w:val="bottom"/>
            <w:tcBorders>
              <w:bottom w:val="single" w:sz="8" w:color="0000FF"/>
            </w:tcBorders>
            <w:gridSpan w:val="11"/>
          </w:tcPr>
          <w:p>
            <w:pPr>
              <w:spacing w:after="0" w:line="189"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Report on Form 8-K filed on May 11, 2020).</w:t>
              </w:r>
            </w:hyperlink>
          </w:p>
        </w:tc>
        <w:tc>
          <w:tcPr>
            <w:tcW w:w="5740" w:type="dxa"/>
            <w:vAlign w:val="bottom"/>
            <w:gridSpan w:val="15"/>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4.3.1</w:t>
            </w:r>
          </w:p>
        </w:tc>
        <w:tc>
          <w:tcPr>
            <w:tcW w:w="600" w:type="dxa"/>
            <w:vAlign w:val="bottom"/>
          </w:tcPr>
          <w:p>
            <w:pPr>
              <w:spacing w:after="0"/>
              <w:rPr>
                <w:sz w:val="18"/>
                <w:szCs w:val="18"/>
                <w:color w:val="auto"/>
              </w:rPr>
            </w:pPr>
          </w:p>
        </w:tc>
        <w:tc>
          <w:tcPr>
            <w:tcW w:w="8960" w:type="dxa"/>
            <w:vAlign w:val="bottom"/>
            <w:gridSpan w:val="26"/>
          </w:tcPr>
          <w:p>
            <w:pPr>
              <w:spacing w:after="0"/>
              <w:rPr>
                <w:rFonts w:ascii="Arial" w:cs="Arial" w:eastAsia="Arial" w:hAnsi="Arial"/>
                <w:sz w:val="18"/>
                <w:szCs w:val="18"/>
                <w:color w:val="0000FF"/>
              </w:rPr>
            </w:pPr>
            <w:hyperlink r:id="rId130">
              <w:r>
                <w:rPr>
                  <w:rFonts w:ascii="Arial" w:cs="Arial" w:eastAsia="Arial" w:hAnsi="Arial"/>
                  <w:sz w:val="18"/>
                  <w:szCs w:val="18"/>
                  <w:color w:val="0000FF"/>
                </w:rPr>
                <w:t xml:space="preserve">Form of </w:t>
              </w:r>
            </w:hyperlink>
            <w:r>
              <w:rPr>
                <w:rFonts w:ascii="Arial" w:cs="Arial" w:eastAsia="Arial" w:hAnsi="Arial"/>
                <w:sz w:val="18"/>
                <w:szCs w:val="18"/>
                <w:color w:val="0000FF"/>
              </w:rPr>
              <w:t xml:space="preserve">5.500% </w:t>
            </w:r>
            <w:hyperlink r:id="rId130">
              <w:r>
                <w:rPr>
                  <w:rFonts w:ascii="Arial" w:cs="Arial" w:eastAsia="Arial" w:hAnsi="Arial"/>
                  <w:sz w:val="18"/>
                  <w:szCs w:val="18"/>
                  <w:color w:val="0000FF"/>
                </w:rPr>
                <w:t xml:space="preserve">Senior Notes due 2025 </w:t>
              </w:r>
              <w:r>
                <w:rPr>
                  <w:rFonts w:ascii="Arial" w:cs="Arial" w:eastAsia="Arial" w:hAnsi="Arial"/>
                  <w:sz w:val="18"/>
                  <w:szCs w:val="18"/>
                  <w:u w:val="single" w:color="auto"/>
                  <w:color w:val="0000FF"/>
                </w:rPr>
                <w:t>(included in Exhibit</w:t>
              </w:r>
              <w:r>
                <w:rPr>
                  <w:rFonts w:ascii="Arial" w:cs="Arial" w:eastAsia="Arial" w:hAnsi="Arial"/>
                  <w:sz w:val="18"/>
                  <w:szCs w:val="18"/>
                  <w:color w:val="0000FF"/>
                </w:rPr>
                <w:t xml:space="preserve"> </w:t>
              </w:r>
            </w:hyperlink>
            <w:r>
              <w:rPr>
                <w:rFonts w:ascii="Arial" w:cs="Arial" w:eastAsia="Arial" w:hAnsi="Arial"/>
                <w:sz w:val="18"/>
                <w:szCs w:val="18"/>
                <w:color w:val="0000FF"/>
              </w:rPr>
              <w:t>4.3)</w:t>
            </w:r>
            <w:hyperlink r:id="rId130">
              <w:r>
                <w:rPr>
                  <w:rFonts w:ascii="Arial" w:cs="Arial" w:eastAsia="Arial" w:hAnsi="Arial"/>
                  <w:sz w:val="18"/>
                  <w:szCs w:val="18"/>
                  <w:u w:val="single" w:color="auto"/>
                  <w:color w:val="0000FF"/>
                </w:rPr>
                <w:t>.</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8960" w:type="dxa"/>
            <w:vAlign w:val="bottom"/>
            <w:gridSpan w:val="26"/>
          </w:tcPr>
          <w:p>
            <w:pPr>
              <w:spacing w:after="0"/>
              <w:rPr>
                <w:rFonts w:ascii="Arial" w:cs="Arial" w:eastAsia="Arial" w:hAnsi="Arial"/>
                <w:sz w:val="18"/>
                <w:szCs w:val="18"/>
                <w:color w:val="0000FF"/>
                <w:w w:val="93"/>
              </w:rPr>
            </w:pPr>
            <w:hyperlink r:id="rId131">
              <w:r>
                <w:rPr>
                  <w:rFonts w:ascii="Arial" w:cs="Arial" w:eastAsia="Arial" w:hAnsi="Arial"/>
                  <w:sz w:val="18"/>
                  <w:szCs w:val="18"/>
                  <w:u w:val="single" w:color="auto"/>
                  <w:color w:val="0000FF"/>
                  <w:w w:val="93"/>
                </w:rPr>
                <w:t>Description of Securities (incorporated by reference to Exhibit 4.3 of Carter’s, Inc</w:t>
              </w:r>
              <w:r>
                <w:rPr>
                  <w:rFonts w:ascii="Arial" w:cs="Arial" w:eastAsia="Arial" w:hAnsi="Arial"/>
                  <w:sz w:val="18"/>
                  <w:szCs w:val="18"/>
                  <w:color w:val="0000FF"/>
                  <w:w w:val="93"/>
                </w:rPr>
                <w:t>.</w:t>
              </w:r>
              <w:r>
                <w:rPr>
                  <w:rFonts w:ascii="Arial" w:cs="Arial" w:eastAsia="Arial" w:hAnsi="Arial"/>
                  <w:sz w:val="18"/>
                  <w:szCs w:val="18"/>
                  <w:u w:val="single" w:color="auto"/>
                  <w:color w:val="0000FF"/>
                  <w:w w:val="93"/>
                </w:rPr>
                <w:t>’s</w:t>
              </w:r>
              <w:r>
                <w:rPr>
                  <w:rFonts w:ascii="Arial" w:cs="Arial" w:eastAsia="Arial" w:hAnsi="Arial"/>
                  <w:sz w:val="18"/>
                  <w:szCs w:val="18"/>
                  <w:color w:val="0000FF"/>
                  <w:w w:val="93"/>
                </w:rPr>
                <w:t xml:space="preserve"> Annual Report on Form 10-K filed on</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20" w:type="dxa"/>
            <w:vAlign w:val="bottom"/>
            <w:gridSpan w:val="17"/>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February 24, 2020).</w:t>
              </w:r>
            </w:hyperlink>
          </w:p>
        </w:tc>
        <w:tc>
          <w:tcPr>
            <w:tcW w:w="2840" w:type="dxa"/>
            <w:vAlign w:val="bottom"/>
            <w:tcBorders>
              <w:top w:val="single" w:sz="8" w:color="0000FF"/>
            </w:tcBorders>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7740" w:type="dxa"/>
            <w:vAlign w:val="bottom"/>
            <w:gridSpan w:val="2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8"/>
                <w:szCs w:val="18"/>
                <w:color w:val="auto"/>
              </w:rPr>
            </w:pPr>
          </w:p>
        </w:tc>
        <w:tc>
          <w:tcPr>
            <w:tcW w:w="9300" w:type="dxa"/>
            <w:vAlign w:val="bottom"/>
            <w:gridSpan w:val="33"/>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Fourth Amended and Restated Credit Agreement, dated as of August 25, 2017, by and among The William Carter Company, as</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960" w:type="dxa"/>
            <w:vAlign w:val="bottom"/>
            <w:tcBorders>
              <w:top w:val="single" w:sz="8" w:color="0000FF"/>
            </w:tcBorders>
            <w:gridSpan w:val="26"/>
          </w:tcPr>
          <w:p>
            <w:pPr>
              <w:spacing w:after="0" w:line="142" w:lineRule="exact"/>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U.S. Borrower, The Genuine Canadian Corp., as Canadian Borrower, Carter’s Holdings B.V., as Dutch Borrower, JPMorgan</w:t>
              </w:r>
            </w:hyperlink>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960" w:type="dxa"/>
            <w:vAlign w:val="bottom"/>
            <w:gridSpan w:val="26"/>
          </w:tcPr>
          <w:p>
            <w:pPr>
              <w:spacing w:after="0" w:line="191" w:lineRule="exact"/>
              <w:rPr>
                <w:rFonts w:ascii="Arial" w:cs="Arial" w:eastAsia="Arial" w:hAnsi="Arial"/>
                <w:sz w:val="18"/>
                <w:szCs w:val="18"/>
                <w:u w:val="single" w:color="auto"/>
                <w:color w:val="0000FF"/>
                <w:w w:val="95"/>
              </w:rPr>
            </w:pPr>
            <w:hyperlink r:id="rId132">
              <w:r>
                <w:rPr>
                  <w:rFonts w:ascii="Arial" w:cs="Arial" w:eastAsia="Arial" w:hAnsi="Arial"/>
                  <w:sz w:val="18"/>
                  <w:szCs w:val="18"/>
                  <w:u w:val="single" w:color="auto"/>
                  <w:color w:val="0000FF"/>
                  <w:w w:val="95"/>
                </w:rPr>
                <w:t>Chase Bank, N.A., as Administrative Agent, U.S. Dollar Facility Swing Line Lender, U.S. Dollar Facility L/C Issuer and</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80"/>
        <w:spacing w:after="0" w:line="221" w:lineRule="auto"/>
        <w:rPr>
          <w:rFonts w:ascii="Arial" w:cs="Arial" w:eastAsia="Arial" w:hAnsi="Arial"/>
          <w:sz w:val="17"/>
          <w:szCs w:val="17"/>
          <w:u w:val="single" w:color="auto"/>
          <w:color w:val="0000FF"/>
        </w:rPr>
      </w:pPr>
      <w:hyperlink r:id="rId132">
        <w:r>
          <w:rPr>
            <w:rFonts w:ascii="Arial" w:cs="Arial" w:eastAsia="Arial" w:hAnsi="Arial"/>
            <w:sz w:val="17"/>
            <w:szCs w:val="17"/>
            <w:u w:val="single" w:color="auto"/>
            <w:color w:val="0000FF"/>
          </w:rPr>
          <w:t>Collateral Agent, JPMorgan Chase Bank, N.A., Toronto Branch, as Canadian Agent, a Multicurrency Facility Swing Line Lender</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and a Multicurrency Facility L/C Issuer, J.P. Morgan Europe Limited, as European Agent, JPMorgan Chase Bank, N.A., London</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Branch, as a Multicurrency Facility Swing Line Lender and a Multicurrency Facility L/C Issuer, Bank of America, N.A. and</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Bank of Montreal, as Co-Syndication Agents, JPMorgan Chase Bank, N.A., Merrill Lynch, Pierce, Fenner &amp; Smith Incorporated</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and BMO Capital Markets Corp., as Joint Lead Arrangers and Bookrunners, Branch Banking &amp; Trust Company, HSBC</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Securities (USA) Inc., Royal Bank of Canada, SunTrust Bank, U.S. Bank National Association and Wells Fargo Bank, National</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Association, as Co-Documentation Agents and certain other lenders party thereto (incorporated by reference to Exhibit 10.1 of</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Carter’s, Inc.’s Current Report on Form 8-K filed on August 31, 2017).</w:t>
        </w:r>
      </w:hyperlink>
    </w:p>
    <w:p>
      <w:pPr>
        <w:spacing w:after="0" w:line="353"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880" w:type="dxa"/>
            <w:vAlign w:val="bottom"/>
          </w:tcPr>
          <w:p>
            <w:pPr>
              <w:ind w:left="20"/>
              <w:spacing w:after="0"/>
              <w:rPr>
                <w:sz w:val="20"/>
                <w:szCs w:val="20"/>
                <w:color w:val="auto"/>
              </w:rPr>
            </w:pPr>
            <w:r>
              <w:rPr>
                <w:rFonts w:ascii="Arial" w:cs="Arial" w:eastAsia="Arial" w:hAnsi="Arial"/>
                <w:sz w:val="18"/>
                <w:szCs w:val="18"/>
                <w:color w:val="auto"/>
              </w:rPr>
              <w:t>10.1.1</w:t>
            </w:r>
          </w:p>
        </w:tc>
        <w:tc>
          <w:tcPr>
            <w:tcW w:w="9400" w:type="dxa"/>
            <w:vAlign w:val="bottom"/>
            <w:gridSpan w:val="34"/>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Amendment No. 1, dated as of September 21, 2018, to the Fourth Amended and Restated Credit Agreement dated as of</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80" w:type="dxa"/>
            <w:vAlign w:val="bottom"/>
          </w:tcPr>
          <w:p>
            <w:pPr>
              <w:spacing w:after="0"/>
              <w:rPr>
                <w:sz w:val="13"/>
                <w:szCs w:val="13"/>
                <w:color w:val="auto"/>
              </w:rPr>
            </w:pPr>
          </w:p>
        </w:tc>
        <w:tc>
          <w:tcPr>
            <w:tcW w:w="8980" w:type="dxa"/>
            <w:vAlign w:val="bottom"/>
            <w:tcBorders>
              <w:bottom w:val="single" w:sz="8" w:color="0000FF"/>
            </w:tcBorders>
            <w:gridSpan w:val="22"/>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August 25, 2017, by and among The William Carter Company, as U.S. Borrower, The Genuine Canadian Corp., as Canadian</w:t>
              </w:r>
            </w:hyperlink>
          </w:p>
        </w:tc>
        <w:tc>
          <w:tcPr>
            <w:tcW w:w="4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9400" w:type="dxa"/>
            <w:vAlign w:val="bottom"/>
            <w:gridSpan w:val="34"/>
          </w:tcPr>
          <w:p>
            <w:pPr>
              <w:spacing w:after="0" w:line="156"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Borrower, Carter</w:t>
              </w:r>
              <w:r>
                <w:rPr>
                  <w:rFonts w:ascii="Arial" w:cs="Arial" w:eastAsia="Arial" w:hAnsi="Arial"/>
                  <w:sz w:val="18"/>
                  <w:szCs w:val="18"/>
                  <w:u w:val="single" w:color="auto"/>
                  <w:color w:val="0000FF"/>
                  <w:w w:val="93"/>
                </w:rPr>
                <w:t>’s</w:t>
              </w:r>
              <w:r>
                <w:rPr>
                  <w:rFonts w:ascii="Arial" w:cs="Arial" w:eastAsia="Arial" w:hAnsi="Arial"/>
                  <w:sz w:val="18"/>
                  <w:szCs w:val="18"/>
                  <w:color w:val="0000FF"/>
                  <w:w w:val="93"/>
                </w:rPr>
                <w:t xml:space="preserve"> Holdings B.V., as Dutch Borrower, JPMorgan Chase Bank, N.A., as Administrative Agent, Collateral Agent,</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80" w:type="dxa"/>
            <w:vAlign w:val="bottom"/>
          </w:tcPr>
          <w:p>
            <w:pPr>
              <w:spacing w:after="0"/>
              <w:rPr>
                <w:sz w:val="13"/>
                <w:szCs w:val="13"/>
                <w:color w:val="auto"/>
              </w:rPr>
            </w:pPr>
          </w:p>
        </w:tc>
        <w:tc>
          <w:tcPr>
            <w:tcW w:w="9400" w:type="dxa"/>
            <w:vAlign w:val="bottom"/>
            <w:gridSpan w:val="34"/>
          </w:tcPr>
          <w:p>
            <w:pPr>
              <w:spacing w:after="0" w:line="156" w:lineRule="exact"/>
              <w:rPr>
                <w:rFonts w:ascii="Arial" w:cs="Arial" w:eastAsia="Arial" w:hAnsi="Arial"/>
                <w:sz w:val="18"/>
                <w:szCs w:val="18"/>
                <w:color w:val="0000FF"/>
                <w:w w:val="95"/>
              </w:rPr>
            </w:pPr>
            <w:hyperlink r:id="rId134">
              <w:r>
                <w:rPr>
                  <w:rFonts w:ascii="Arial" w:cs="Arial" w:eastAsia="Arial" w:hAnsi="Arial"/>
                  <w:sz w:val="18"/>
                  <w:szCs w:val="18"/>
                  <w:color w:val="0000FF"/>
                  <w:w w:val="95"/>
                </w:rPr>
                <w:t>U.S. Dollar Facility Swing Line Lender and U.S. Dollar Facility L/C Issuer, JPMorgan Chase Bank, N.A., Toronto Branch, as</w:t>
              </w:r>
            </w:hyperlink>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w w:val="95"/>
              </w:rPr>
            </w:pPr>
            <w:hyperlink r:id="rId134">
              <w:r>
                <w:rPr>
                  <w:rFonts w:ascii="Arial" w:cs="Arial" w:eastAsia="Arial" w:hAnsi="Arial"/>
                  <w:sz w:val="18"/>
                  <w:szCs w:val="18"/>
                  <w:color w:val="0000FF"/>
                  <w:w w:val="95"/>
                </w:rPr>
                <w:t>Canadian Agent, a Multicurrency Facility Swing Line Lender and a Multicurrency Facility L/C Issuer, J.P. Morgan Europe</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882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Limited, as European Agent, JPMorgan Chase Bank, N.A., London Branch, as a Multicurrency Facility Swing Line Lender</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15"/>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and a</w:t>
              </w:r>
            </w:hyperlink>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9340" w:type="dxa"/>
            <w:vAlign w:val="bottom"/>
            <w:tcBorders>
              <w:top w:val="single" w:sz="8" w:color="0000FF"/>
            </w:tcBorders>
            <w:gridSpan w:val="31"/>
          </w:tcPr>
          <w:p>
            <w:pPr>
              <w:spacing w:after="0" w:line="142" w:lineRule="exact"/>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Multicurrency Facility L/C Issuer, each lender from time to time party thereto and the other parties party thereto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88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9400" w:type="dxa"/>
            <w:vAlign w:val="bottom"/>
            <w:gridSpan w:val="34"/>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reference to Exhibit 10.1 of Carter’s, Inc.'s Current Report on Form 8-K filed on September 26, 2018).</w:t>
              </w:r>
            </w:hyperlink>
          </w:p>
        </w:tc>
        <w:tc>
          <w:tcPr>
            <w:tcW w:w="0" w:type="dxa"/>
            <w:vAlign w:val="bottom"/>
          </w:tcPr>
          <w:p>
            <w:pPr>
              <w:spacing w:after="0"/>
              <w:rPr>
                <w:sz w:val="1"/>
                <w:szCs w:val="1"/>
                <w:color w:val="auto"/>
              </w:rPr>
            </w:pPr>
          </w:p>
        </w:tc>
      </w:tr>
      <w:tr>
        <w:trPr>
          <w:trHeight w:val="202"/>
        </w:trPr>
        <w:tc>
          <w:tcPr>
            <w:tcW w:w="1880" w:type="dxa"/>
            <w:vAlign w:val="bottom"/>
            <w:vMerge w:val="continue"/>
          </w:tcPr>
          <w:p>
            <w:pPr>
              <w:spacing w:after="0"/>
              <w:rPr>
                <w:sz w:val="17"/>
                <w:szCs w:val="17"/>
                <w:color w:val="auto"/>
              </w:rPr>
            </w:pPr>
          </w:p>
        </w:tc>
        <w:tc>
          <w:tcPr>
            <w:tcW w:w="9400" w:type="dxa"/>
            <w:vAlign w:val="bottom"/>
            <w:gridSpan w:val="34"/>
          </w:tcPr>
          <w:p>
            <w:pPr>
              <w:spacing w:after="0" w:line="201"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Amendment No. 2, dated as of May 4, 2020, to the Fourth Amended and Restated Credit Agreement dated as of August 25, 2017,</w:t>
              </w:r>
            </w:hyperlink>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906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by and among The William Carter Company, as U.S. Borrower, The Genuine Canadian Corp., as Canadian Borrower, Carter's</w:t>
              </w:r>
            </w:hyperlink>
          </w:p>
        </w:tc>
        <w:tc>
          <w:tcPr>
            <w:tcW w:w="3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9400" w:type="dxa"/>
            <w:vAlign w:val="bottom"/>
            <w:gridSpan w:val="34"/>
          </w:tcPr>
          <w:p>
            <w:pPr>
              <w:spacing w:after="0" w:line="182"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Holdings B.V., as Dutch Borrower, JPMorgan Chase Bank, N.A., as Administrative Agent, Collateral Agent, U.S. Dollar Facility</w:t>
              </w:r>
            </w:hyperlink>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9300" w:type="dxa"/>
            <w:vAlign w:val="bottom"/>
            <w:tcBorders>
              <w:top w:val="single" w:sz="8" w:color="0000FF"/>
            </w:tcBorders>
            <w:gridSpan w:val="29"/>
          </w:tcPr>
          <w:p>
            <w:pPr>
              <w:spacing w:after="0" w:line="182" w:lineRule="exact"/>
              <w:rPr>
                <w:rFonts w:ascii="Arial" w:cs="Arial" w:eastAsia="Arial" w:hAnsi="Arial"/>
                <w:sz w:val="18"/>
                <w:szCs w:val="18"/>
                <w:color w:val="0000FF"/>
                <w:w w:val="94"/>
              </w:rPr>
            </w:pPr>
            <w:hyperlink r:id="rId135">
              <w:r>
                <w:rPr>
                  <w:rFonts w:ascii="Arial" w:cs="Arial" w:eastAsia="Arial" w:hAnsi="Arial"/>
                  <w:sz w:val="18"/>
                  <w:szCs w:val="18"/>
                  <w:color w:val="0000FF"/>
                  <w:w w:val="94"/>
                </w:rPr>
                <w:t>Swing Line Lender and U.S. Dollar Facility L/C Issuer, JPMorgan Chase Bank, N.A., Toronto Branch, as Canadian Agent, a</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Multicurrency Facility Swing Line Lender and a Multicurrency Facility L/C Issuer, J.P. Morgan Europe Limited, as European</w:t>
              </w:r>
            </w:hyperlink>
          </w:p>
        </w:tc>
        <w:tc>
          <w:tcPr>
            <w:tcW w:w="80" w:type="dxa"/>
            <w:vAlign w:val="bottom"/>
            <w:tcBorders>
              <w:bottom w:val="single" w:sz="8" w:color="0000FF"/>
            </w:tcBorders>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9040" w:type="dxa"/>
            <w:vAlign w:val="bottom"/>
            <w:gridSpan w:val="23"/>
          </w:tcPr>
          <w:p>
            <w:pPr>
              <w:spacing w:after="0" w:line="195" w:lineRule="exact"/>
              <w:rPr>
                <w:rFonts w:ascii="Arial" w:cs="Arial" w:eastAsia="Arial" w:hAnsi="Arial"/>
                <w:sz w:val="18"/>
                <w:szCs w:val="18"/>
                <w:u w:val="single" w:color="auto"/>
                <w:color w:val="0000FF"/>
                <w:w w:val="94"/>
              </w:rPr>
            </w:pPr>
            <w:hyperlink r:id="rId135">
              <w:r>
                <w:rPr>
                  <w:rFonts w:ascii="Arial" w:cs="Arial" w:eastAsia="Arial" w:hAnsi="Arial"/>
                  <w:sz w:val="18"/>
                  <w:szCs w:val="18"/>
                  <w:u w:val="single" w:color="auto"/>
                  <w:color w:val="0000FF"/>
                  <w:w w:val="94"/>
                </w:rPr>
                <w:t>Agent, JPMorgan Chase Bank, N.A., London Branch, as a Multicurrency Facility Swing Line Lender and a Multicurrency</w:t>
              </w:r>
            </w:hyperlink>
          </w:p>
        </w:tc>
        <w:tc>
          <w:tcPr>
            <w:tcW w:w="2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400" w:type="dxa"/>
            <w:vAlign w:val="bottom"/>
            <w:gridSpan w:val="34"/>
          </w:tcPr>
          <w:p>
            <w:pPr>
              <w:spacing w:after="0" w:line="202" w:lineRule="exact"/>
              <w:rPr>
                <w:rFonts w:ascii="Arial" w:cs="Arial" w:eastAsia="Arial" w:hAnsi="Arial"/>
                <w:sz w:val="18"/>
                <w:szCs w:val="18"/>
                <w:u w:val="single" w:color="auto"/>
                <w:color w:val="0000FF"/>
                <w:w w:val="93"/>
              </w:rPr>
            </w:pPr>
            <w:hyperlink r:id="rId135">
              <w:r>
                <w:rPr>
                  <w:rFonts w:ascii="Arial" w:cs="Arial" w:eastAsia="Arial" w:hAnsi="Arial"/>
                  <w:sz w:val="18"/>
                  <w:szCs w:val="18"/>
                  <w:u w:val="single" w:color="auto"/>
                  <w:color w:val="0000FF"/>
                  <w:w w:val="93"/>
                </w:rPr>
                <w:t>Facility L/C Issuer, each lender from time to time party thereto and the other parties party thereto (incorporated by reference to</w:t>
              </w:r>
            </w:hyperlink>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9400" w:type="dxa"/>
            <w:vAlign w:val="bottom"/>
            <w:gridSpan w:val="34"/>
          </w:tcPr>
          <w:p>
            <w:pPr>
              <w:spacing w:after="0" w:line="190" w:lineRule="exact"/>
              <w:rPr>
                <w:rFonts w:ascii="Arial" w:cs="Arial" w:eastAsia="Arial" w:hAnsi="Arial"/>
                <w:sz w:val="18"/>
                <w:szCs w:val="18"/>
                <w:color w:val="0000FF"/>
              </w:rPr>
            </w:pPr>
            <w:hyperlink r:id="rId135">
              <w:r>
                <w:rPr>
                  <w:rFonts w:ascii="Arial" w:cs="Arial" w:eastAsia="Arial" w:hAnsi="Arial"/>
                  <w:sz w:val="18"/>
                  <w:szCs w:val="18"/>
                  <w:color w:val="0000FF"/>
                </w:rPr>
                <w:t xml:space="preserve">Exhibit 10.1 of Carter’s, </w:t>
              </w:r>
              <w:r>
                <w:rPr>
                  <w:rFonts w:ascii="Arial" w:cs="Arial" w:eastAsia="Arial" w:hAnsi="Arial"/>
                  <w:sz w:val="18"/>
                  <w:szCs w:val="18"/>
                  <w:u w:val="single" w:color="auto"/>
                  <w:color w:val="0000FF"/>
                </w:rPr>
                <w:t>Inc.’s Quarterly Report on Form 10-Q filed on July 24, 2020).</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Pr>
          <w:p>
            <w:pPr>
              <w:ind w:left="20"/>
              <w:spacing w:after="0"/>
              <w:rPr>
                <w:sz w:val="20"/>
                <w:szCs w:val="20"/>
                <w:color w:val="auto"/>
              </w:rPr>
            </w:pPr>
            <w:r>
              <w:rPr>
                <w:rFonts w:ascii="Arial" w:cs="Arial" w:eastAsia="Arial" w:hAnsi="Arial"/>
                <w:sz w:val="18"/>
                <w:szCs w:val="18"/>
                <w:color w:val="auto"/>
              </w:rPr>
              <w:t>10.2 *</w:t>
            </w:r>
          </w:p>
        </w:tc>
        <w:tc>
          <w:tcPr>
            <w:tcW w:w="9400" w:type="dxa"/>
            <w:vAlign w:val="bottom"/>
            <w:gridSpan w:val="34"/>
          </w:tcPr>
          <w:p>
            <w:pPr>
              <w:spacing w:after="0"/>
              <w:rPr>
                <w:rFonts w:ascii="Arial" w:cs="Arial" w:eastAsia="Arial" w:hAnsi="Arial"/>
                <w:sz w:val="18"/>
                <w:szCs w:val="18"/>
                <w:color w:val="0000FF"/>
                <w:w w:val="96"/>
              </w:rPr>
            </w:pPr>
            <w:hyperlink r:id="rId136">
              <w:r>
                <w:rPr>
                  <w:rFonts w:ascii="Arial" w:cs="Arial" w:eastAsia="Arial" w:hAnsi="Arial"/>
                  <w:sz w:val="18"/>
                  <w:szCs w:val="18"/>
                  <w:color w:val="0000FF"/>
                  <w:w w:val="96"/>
                </w:rPr>
                <w:t>Form of Severance Agreement entered into from time to time between The William Carter Company and executive officers</w:t>
              </w:r>
            </w:hyperlink>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8880" w:type="dxa"/>
            <w:vAlign w:val="bottom"/>
            <w:tcBorders>
              <w:top w:val="single" w:sz="8" w:color="0000FF"/>
            </w:tcBorders>
            <w:gridSpan w:val="18"/>
          </w:tcPr>
          <w:p>
            <w:pPr>
              <w:spacing w:after="0" w:line="195" w:lineRule="exact"/>
              <w:rPr>
                <w:rFonts w:ascii="Arial" w:cs="Arial" w:eastAsia="Arial" w:hAnsi="Arial"/>
                <w:sz w:val="18"/>
                <w:szCs w:val="18"/>
                <w:u w:val="single" w:color="auto"/>
                <w:color w:val="0000FF"/>
                <w:w w:val="94"/>
              </w:rPr>
            </w:pPr>
            <w:hyperlink r:id="rId136">
              <w:r>
                <w:rPr>
                  <w:rFonts w:ascii="Arial" w:cs="Arial" w:eastAsia="Arial" w:hAnsi="Arial"/>
                  <w:sz w:val="18"/>
                  <w:szCs w:val="18"/>
                  <w:u w:val="single" w:color="auto"/>
                  <w:color w:val="0000FF"/>
                  <w:w w:val="94"/>
                </w:rPr>
                <w:t>(incorporated by reference to Exhibit 10.2 of Carter’s,Inc.’s Quarterly Report on Form 10-Q filed on October 29, 2015).</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80" w:type="dxa"/>
            <w:vAlign w:val="bottom"/>
          </w:tcPr>
          <w:p>
            <w:pPr>
              <w:ind w:left="20"/>
              <w:spacing w:after="0" w:line="190" w:lineRule="exact"/>
              <w:rPr>
                <w:sz w:val="20"/>
                <w:szCs w:val="20"/>
                <w:color w:val="auto"/>
              </w:rPr>
            </w:pPr>
            <w:r>
              <w:rPr>
                <w:rFonts w:ascii="Arial" w:cs="Arial" w:eastAsia="Arial" w:hAnsi="Arial"/>
                <w:sz w:val="18"/>
                <w:szCs w:val="18"/>
                <w:color w:val="auto"/>
              </w:rPr>
              <w:t>10.3 *</w:t>
            </w:r>
          </w:p>
        </w:tc>
        <w:tc>
          <w:tcPr>
            <w:tcW w:w="9400" w:type="dxa"/>
            <w:vAlign w:val="bottom"/>
            <w:gridSpan w:val="34"/>
          </w:tcPr>
          <w:p>
            <w:pPr>
              <w:spacing w:after="0" w:line="190" w:lineRule="exact"/>
              <w:rPr>
                <w:rFonts w:ascii="Arial" w:cs="Arial" w:eastAsia="Arial" w:hAnsi="Arial"/>
                <w:sz w:val="18"/>
                <w:szCs w:val="18"/>
                <w:color w:val="0000FF"/>
                <w:w w:val="92"/>
              </w:rPr>
            </w:pPr>
            <w:hyperlink r:id="rId137">
              <w:r>
                <w:rPr>
                  <w:rFonts w:ascii="Arial" w:cs="Arial" w:eastAsia="Arial" w:hAnsi="Arial"/>
                  <w:sz w:val="18"/>
                  <w:szCs w:val="18"/>
                  <w:u w:val="single" w:color="auto"/>
                  <w:color w:val="0000FF"/>
                  <w:w w:val="92"/>
                </w:rPr>
                <w:t>Amended and Restated Equity Incentive Plan (incorporated by reference to Appendix B of Carter’s, Inc.’s</w:t>
              </w:r>
              <w:r>
                <w:rPr>
                  <w:rFonts w:ascii="Arial" w:cs="Arial" w:eastAsia="Arial" w:hAnsi="Arial"/>
                  <w:sz w:val="18"/>
                  <w:szCs w:val="18"/>
                  <w:color w:val="0000FF"/>
                  <w:w w:val="92"/>
                </w:rPr>
                <w:t xml:space="preserve"> Schedule 14A filed on</w:t>
              </w:r>
            </w:hyperlink>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7500" w:type="dxa"/>
            <w:vAlign w:val="bottom"/>
            <w:gridSpan w:val="11"/>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April 4, 2018).</w:t>
              </w:r>
            </w:hyperlink>
          </w:p>
        </w:tc>
        <w:tc>
          <w:tcPr>
            <w:tcW w:w="11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7"/>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880" w:type="dxa"/>
            <w:vAlign w:val="bottom"/>
          </w:tcPr>
          <w:p>
            <w:pPr>
              <w:ind w:left="20"/>
              <w:spacing w:after="0"/>
              <w:rPr>
                <w:sz w:val="20"/>
                <w:szCs w:val="20"/>
                <w:color w:val="auto"/>
              </w:rPr>
            </w:pPr>
            <w:r>
              <w:rPr>
                <w:rFonts w:ascii="Arial" w:cs="Arial" w:eastAsia="Arial" w:hAnsi="Arial"/>
                <w:sz w:val="18"/>
                <w:szCs w:val="18"/>
                <w:color w:val="auto"/>
              </w:rPr>
              <w:t>10.4 *</w:t>
            </w:r>
          </w:p>
        </w:tc>
        <w:tc>
          <w:tcPr>
            <w:tcW w:w="9400" w:type="dxa"/>
            <w:vAlign w:val="bottom"/>
            <w:gridSpan w:val="34"/>
          </w:tcPr>
          <w:p>
            <w:pPr>
              <w:spacing w:after="0"/>
              <w:rPr>
                <w:rFonts w:ascii="Arial" w:cs="Arial" w:eastAsia="Arial" w:hAnsi="Arial"/>
                <w:sz w:val="18"/>
                <w:szCs w:val="18"/>
                <w:u w:val="single" w:color="auto"/>
                <w:color w:val="0000FF"/>
                <w:w w:val="97"/>
              </w:rPr>
            </w:pPr>
            <w:hyperlink r:id="rId138">
              <w:r>
                <w:rPr>
                  <w:rFonts w:ascii="Arial" w:cs="Arial" w:eastAsia="Arial" w:hAnsi="Arial"/>
                  <w:sz w:val="18"/>
                  <w:szCs w:val="18"/>
                  <w:u w:val="single" w:color="auto"/>
                  <w:color w:val="0000FF"/>
                  <w:w w:val="97"/>
                </w:rPr>
                <w:t>Amended and Restated Annual Incentive Compensation Plan (incorporated by reference to Appendix C of Carter’s, Inc.’s</w:t>
              </w:r>
            </w:hyperlink>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8640" w:type="dxa"/>
            <w:vAlign w:val="bottom"/>
            <w:gridSpan w:val="14"/>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Schedule 14A filed on March 31, 2016).</w:t>
              </w:r>
            </w:hyperlink>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Pr>
          <w:p>
            <w:pPr>
              <w:ind w:left="20"/>
              <w:spacing w:after="0"/>
              <w:rPr>
                <w:sz w:val="20"/>
                <w:szCs w:val="20"/>
                <w:color w:val="auto"/>
              </w:rPr>
            </w:pPr>
            <w:r>
              <w:rPr>
                <w:rFonts w:ascii="Arial" w:cs="Arial" w:eastAsia="Arial" w:hAnsi="Arial"/>
                <w:sz w:val="18"/>
                <w:szCs w:val="18"/>
                <w:color w:val="auto"/>
              </w:rPr>
              <w:t>10.5 *</w:t>
            </w:r>
          </w:p>
        </w:tc>
        <w:tc>
          <w:tcPr>
            <w:tcW w:w="9400" w:type="dxa"/>
            <w:vAlign w:val="bottom"/>
            <w:gridSpan w:val="34"/>
          </w:tcPr>
          <w:p>
            <w:pPr>
              <w:spacing w:after="0"/>
              <w:rPr>
                <w:rFonts w:ascii="Arial" w:cs="Arial" w:eastAsia="Arial" w:hAnsi="Arial"/>
                <w:sz w:val="18"/>
                <w:szCs w:val="18"/>
                <w:color w:val="0000FF"/>
                <w:w w:val="94"/>
              </w:rPr>
            </w:pPr>
            <w:hyperlink r:id="rId139">
              <w:r>
                <w:rPr>
                  <w:rFonts w:ascii="Arial" w:cs="Arial" w:eastAsia="Arial" w:hAnsi="Arial"/>
                  <w:sz w:val="18"/>
                  <w:szCs w:val="18"/>
                  <w:u w:val="single" w:color="auto"/>
                  <w:color w:val="0000FF"/>
                  <w:w w:val="94"/>
                </w:rPr>
                <w:t>The William Carter Company Severance Plan, amended and restated effective January 1, 2020 (incorporated by reference</w:t>
              </w:r>
              <w:r>
                <w:rPr>
                  <w:rFonts w:ascii="Arial" w:cs="Arial" w:eastAsia="Arial" w:hAnsi="Arial"/>
                  <w:sz w:val="18"/>
                  <w:szCs w:val="18"/>
                  <w:color w:val="0000FF"/>
                  <w:w w:val="94"/>
                </w:rPr>
                <w:t xml:space="preserve"> to</w:t>
              </w:r>
            </w:hyperlink>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8800" w:type="dxa"/>
            <w:vAlign w:val="bottom"/>
            <w:gridSpan w:val="16"/>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 xml:space="preserve">Exhibit 10.5 of Carter’s, </w:t>
              </w:r>
              <w:r>
                <w:rPr>
                  <w:rFonts w:ascii="Arial" w:cs="Arial" w:eastAsia="Arial" w:hAnsi="Arial"/>
                  <w:sz w:val="18"/>
                  <w:szCs w:val="18"/>
                  <w:u w:val="single" w:color="auto"/>
                  <w:color w:val="0000FF"/>
                </w:rPr>
                <w:t>Inc,’s Annual Report on Form 10-K filed on February 24, 2020).</w:t>
              </w:r>
            </w:hyperlink>
          </w:p>
        </w:tc>
        <w:tc>
          <w:tcPr>
            <w:tcW w:w="1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Pr>
          <w:p>
            <w:pPr>
              <w:ind w:left="20"/>
              <w:spacing w:after="0"/>
              <w:rPr>
                <w:sz w:val="20"/>
                <w:szCs w:val="20"/>
                <w:color w:val="auto"/>
              </w:rPr>
            </w:pPr>
            <w:r>
              <w:rPr>
                <w:rFonts w:ascii="Arial" w:cs="Arial" w:eastAsia="Arial" w:hAnsi="Arial"/>
                <w:sz w:val="18"/>
                <w:szCs w:val="18"/>
                <w:color w:val="auto"/>
              </w:rPr>
              <w:t>10.6 *</w:t>
            </w:r>
          </w:p>
        </w:tc>
        <w:tc>
          <w:tcPr>
            <w:tcW w:w="9400" w:type="dxa"/>
            <w:vAlign w:val="bottom"/>
            <w:gridSpan w:val="34"/>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The William Carter Company Deferred Compensation Plan, dated as of November 10, 2010 (incorporated by reference to Exhibit</w:t>
              </w:r>
            </w:hyperlink>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93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of Carter’s, </w:t>
              </w:r>
              <w:r>
                <w:rPr>
                  <w:rFonts w:ascii="Arial" w:cs="Arial" w:eastAsia="Arial" w:hAnsi="Arial"/>
                  <w:sz w:val="18"/>
                  <w:szCs w:val="18"/>
                  <w:u w:val="single" w:color="auto"/>
                  <w:color w:val="0000FF"/>
                </w:rPr>
                <w:t>Inc.’s Annual Report on Form 10-K filed on March 2,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Pr>
          <w:p>
            <w:pPr>
              <w:ind w:left="20"/>
              <w:spacing w:after="0"/>
              <w:rPr>
                <w:sz w:val="20"/>
                <w:szCs w:val="20"/>
                <w:color w:val="auto"/>
              </w:rPr>
            </w:pPr>
            <w:r>
              <w:rPr>
                <w:rFonts w:ascii="Arial" w:cs="Arial" w:eastAsia="Arial" w:hAnsi="Arial"/>
                <w:sz w:val="18"/>
                <w:szCs w:val="18"/>
                <w:color w:val="auto"/>
              </w:rPr>
              <w:t>10.7</w:t>
            </w:r>
          </w:p>
        </w:tc>
        <w:tc>
          <w:tcPr>
            <w:tcW w:w="9400" w:type="dxa"/>
            <w:vAlign w:val="bottom"/>
            <w:gridSpan w:val="34"/>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Lease Agreement dated March 29, 2012, between The William Carter Company and Duke Secured Financing 2009-1 ALZ, LLC</w:t>
              </w:r>
            </w:hyperlink>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9280" w:type="dxa"/>
            <w:vAlign w:val="bottom"/>
            <w:tcBorders>
              <w:top w:val="single" w:sz="8" w:color="0000FF"/>
            </w:tcBorders>
            <w:gridSpan w:val="28"/>
          </w:tcPr>
          <w:p>
            <w:pPr>
              <w:spacing w:after="0" w:line="195" w:lineRule="exact"/>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(incorporated by reference to Exhibit 10.21 of Carter’s, Inc.’s Quarterly Report on Form 10-Q filed on April 27, 2012).</w:t>
              </w:r>
            </w:hyperlink>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80" w:type="dxa"/>
            <w:vAlign w:val="bottom"/>
          </w:tcPr>
          <w:p>
            <w:pPr>
              <w:ind w:left="20"/>
              <w:spacing w:after="0" w:line="190" w:lineRule="exact"/>
              <w:rPr>
                <w:sz w:val="20"/>
                <w:szCs w:val="20"/>
                <w:color w:val="auto"/>
              </w:rPr>
            </w:pPr>
            <w:r>
              <w:rPr>
                <w:rFonts w:ascii="Arial" w:cs="Arial" w:eastAsia="Arial" w:hAnsi="Arial"/>
                <w:sz w:val="18"/>
                <w:szCs w:val="18"/>
                <w:color w:val="auto"/>
              </w:rPr>
              <w:t>10.8</w:t>
            </w:r>
          </w:p>
        </w:tc>
        <w:tc>
          <w:tcPr>
            <w:tcW w:w="9400" w:type="dxa"/>
            <w:vAlign w:val="bottom"/>
            <w:gridSpan w:val="34"/>
          </w:tcPr>
          <w:p>
            <w:pPr>
              <w:spacing w:after="0" w:line="190" w:lineRule="exact"/>
              <w:rPr>
                <w:rFonts w:ascii="Arial" w:cs="Arial" w:eastAsia="Arial" w:hAnsi="Arial"/>
                <w:sz w:val="18"/>
                <w:szCs w:val="18"/>
                <w:color w:val="0000FF"/>
                <w:w w:val="98"/>
              </w:rPr>
            </w:pPr>
            <w:hyperlink r:id="rId142">
              <w:r>
                <w:rPr>
                  <w:rFonts w:ascii="Arial" w:cs="Arial" w:eastAsia="Arial" w:hAnsi="Arial"/>
                  <w:sz w:val="18"/>
                  <w:szCs w:val="18"/>
                  <w:color w:val="0000FF"/>
                  <w:w w:val="98"/>
                </w:rPr>
                <w:t>Lease Agreement dated December 14, 2012, between The William Carter Company and Phipps Tower Associates, LLC</w:t>
              </w:r>
            </w:hyperlink>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862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w w:val="91"/>
              </w:rPr>
            </w:pPr>
            <w:hyperlink r:id="rId142">
              <w:r>
                <w:rPr>
                  <w:rFonts w:ascii="Arial" w:cs="Arial" w:eastAsia="Arial" w:hAnsi="Arial"/>
                  <w:sz w:val="18"/>
                  <w:szCs w:val="18"/>
                  <w:u w:val="single" w:color="auto"/>
                  <w:color w:val="0000FF"/>
                  <w:w w:val="91"/>
                </w:rPr>
                <w:t>(incorporated by reference to Exhibit 10.1 of Carter’s, Inc.’s Current Report on Form 8-K filed on December 14, 2012).</w:t>
              </w:r>
            </w:hyperlink>
          </w:p>
        </w:tc>
        <w:tc>
          <w:tcPr>
            <w:tcW w:w="300" w:type="dxa"/>
            <w:vAlign w:val="bottom"/>
            <w:gridSpan w:val="6"/>
          </w:tcPr>
          <w:p>
            <w:pPr>
              <w:spacing w:after="0"/>
              <w:rPr>
                <w:sz w:val="16"/>
                <w:szCs w:val="16"/>
                <w:color w:val="auto"/>
              </w:rPr>
            </w:pPr>
          </w:p>
        </w:tc>
        <w:tc>
          <w:tcPr>
            <w:tcW w:w="320" w:type="dxa"/>
            <w:vAlign w:val="bottom"/>
            <w:gridSpan w:val="8"/>
          </w:tcPr>
          <w:p>
            <w:pPr>
              <w:spacing w:after="0"/>
              <w:rPr>
                <w:sz w:val="16"/>
                <w:szCs w:val="16"/>
                <w:color w:val="auto"/>
              </w:rPr>
            </w:pPr>
          </w:p>
        </w:tc>
        <w:tc>
          <w:tcPr>
            <w:tcW w:w="1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80" w:type="dxa"/>
            <w:vAlign w:val="bottom"/>
          </w:tcPr>
          <w:p>
            <w:pPr>
              <w:ind w:left="20"/>
              <w:spacing w:after="0" w:line="190" w:lineRule="exact"/>
              <w:rPr>
                <w:sz w:val="20"/>
                <w:szCs w:val="20"/>
                <w:color w:val="auto"/>
              </w:rPr>
            </w:pPr>
            <w:r>
              <w:rPr>
                <w:rFonts w:ascii="Arial" w:cs="Arial" w:eastAsia="Arial" w:hAnsi="Arial"/>
                <w:sz w:val="18"/>
                <w:szCs w:val="18"/>
                <w:color w:val="auto"/>
              </w:rPr>
              <w:t>10.8.1</w:t>
            </w:r>
          </w:p>
        </w:tc>
        <w:tc>
          <w:tcPr>
            <w:tcW w:w="9400" w:type="dxa"/>
            <w:vAlign w:val="bottom"/>
            <w:gridSpan w:val="34"/>
          </w:tcPr>
          <w:p>
            <w:pPr>
              <w:spacing w:after="0" w:line="190"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Second Amendment to the Lease Agreement dated June 17, 2013, between The William Carter Company and Phipps Tower</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gridSpan w:val="9"/>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80" w:type="dxa"/>
            <w:vAlign w:val="bottom"/>
          </w:tcPr>
          <w:p>
            <w:pPr>
              <w:spacing w:after="0"/>
              <w:rPr>
                <w:sz w:val="13"/>
                <w:szCs w:val="13"/>
                <w:color w:val="auto"/>
              </w:rPr>
            </w:pPr>
          </w:p>
        </w:tc>
        <w:tc>
          <w:tcPr>
            <w:tcW w:w="9400" w:type="dxa"/>
            <w:vAlign w:val="bottom"/>
            <w:gridSpan w:val="34"/>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Associates, LLC (incorporated by reference to Exhibit 10.19 of Carter</w:t>
              </w:r>
              <w:r>
                <w:rPr>
                  <w:rFonts w:ascii="Arial" w:cs="Arial" w:eastAsia="Arial" w:hAnsi="Arial"/>
                  <w:sz w:val="18"/>
                  <w:szCs w:val="18"/>
                  <w:u w:val="single" w:color="auto"/>
                  <w:color w:val="0000FF"/>
                  <w:w w:val="93"/>
                </w:rPr>
                <w:t>’s, Inc.’s</w:t>
              </w:r>
              <w:r>
                <w:rPr>
                  <w:rFonts w:ascii="Arial" w:cs="Arial" w:eastAsia="Arial" w:hAnsi="Arial"/>
                  <w:sz w:val="18"/>
                  <w:szCs w:val="18"/>
                  <w:color w:val="0000FF"/>
                  <w:w w:val="93"/>
                </w:rPr>
                <w:t xml:space="preserve"> Quarterly Report on Form 10-Q filed on October</w:t>
              </w:r>
            </w:hyperlink>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24, 2013).</w:t>
              </w:r>
            </w:hyperlink>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Arial" w:cs="Arial" w:eastAsia="Arial" w:hAnsi="Arial"/>
                <w:sz w:val="18"/>
                <w:szCs w:val="18"/>
                <w:color w:val="auto"/>
              </w:rPr>
              <w:t>21</w:t>
            </w:r>
          </w:p>
        </w:tc>
        <w:tc>
          <w:tcPr>
            <w:tcW w:w="9400" w:type="dxa"/>
            <w:vAlign w:val="bottom"/>
            <w:gridSpan w:val="3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 xml:space="preserve">Subsidiaries of Carter’s, </w:t>
              </w:r>
              <w:r>
                <w:rPr>
                  <w:rFonts w:ascii="Arial" w:cs="Arial" w:eastAsia="Arial" w:hAnsi="Arial"/>
                  <w:sz w:val="18"/>
                  <w:szCs w:val="18"/>
                  <w:u w:val="single" w:color="auto"/>
                  <w:color w:val="0000FF"/>
                </w:rPr>
                <w:t>Inc.</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6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880" w:type="dxa"/>
            <w:vAlign w:val="bottom"/>
          </w:tcPr>
          <w:p>
            <w:pPr>
              <w:ind w:left="20"/>
              <w:spacing w:after="0"/>
              <w:rPr>
                <w:sz w:val="20"/>
                <w:szCs w:val="20"/>
                <w:color w:val="auto"/>
              </w:rPr>
            </w:pPr>
            <w:r>
              <w:rPr>
                <w:rFonts w:ascii="Arial" w:cs="Arial" w:eastAsia="Arial" w:hAnsi="Arial"/>
                <w:sz w:val="18"/>
                <w:szCs w:val="18"/>
                <w:color w:val="auto"/>
              </w:rPr>
              <w:t>23</w:t>
            </w:r>
          </w:p>
        </w:tc>
        <w:tc>
          <w:tcPr>
            <w:tcW w:w="9400" w:type="dxa"/>
            <w:vAlign w:val="bottom"/>
            <w:gridSpan w:val="34"/>
          </w:tcPr>
          <w:p>
            <w:pPr>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31.1</w:t>
            </w:r>
          </w:p>
        </w:tc>
        <w:tc>
          <w:tcPr>
            <w:tcW w:w="9400" w:type="dxa"/>
            <w:vAlign w:val="bottom"/>
            <w:gridSpan w:val="34"/>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Rule 13a-15(e)/15d-15(e) and 13a-15(f)/15d-15(f) Certification.</w:t>
              </w:r>
            </w:hyperlink>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31.2</w:t>
            </w:r>
          </w:p>
        </w:tc>
        <w:tc>
          <w:tcPr>
            <w:tcW w:w="9400" w:type="dxa"/>
            <w:vAlign w:val="bottom"/>
            <w:gridSpan w:val="34"/>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Rule 13a-15(e)/15d-15(e) and 13a-15(f)/15d-15(f) Certification.</w:t>
              </w:r>
            </w:hyperlink>
          </w:p>
        </w:tc>
        <w:tc>
          <w:tcPr>
            <w:tcW w:w="0" w:type="dxa"/>
            <w:vAlign w:val="bottom"/>
          </w:tcPr>
          <w:p>
            <w:pPr>
              <w:spacing w:after="0"/>
              <w:rPr>
                <w:sz w:val="1"/>
                <w:szCs w:val="1"/>
                <w:color w:val="auto"/>
              </w:rPr>
            </w:pPr>
          </w:p>
        </w:tc>
      </w:tr>
      <w:tr>
        <w:trPr>
          <w:trHeight w:val="190"/>
        </w:trPr>
        <w:tc>
          <w:tcPr>
            <w:tcW w:w="1880" w:type="dxa"/>
            <w:vAlign w:val="bottom"/>
          </w:tcPr>
          <w:p>
            <w:pPr>
              <w:ind w:left="20"/>
              <w:spacing w:after="0" w:line="190" w:lineRule="exact"/>
              <w:rPr>
                <w:sz w:val="20"/>
                <w:szCs w:val="20"/>
                <w:color w:val="auto"/>
              </w:rPr>
            </w:pPr>
            <w:r>
              <w:rPr>
                <w:rFonts w:ascii="Arial" w:cs="Arial" w:eastAsia="Arial" w:hAnsi="Arial"/>
                <w:sz w:val="18"/>
                <w:szCs w:val="18"/>
                <w:color w:val="auto"/>
              </w:rPr>
              <w:t>32</w:t>
            </w:r>
          </w:p>
        </w:tc>
        <w:tc>
          <w:tcPr>
            <w:tcW w:w="1940" w:type="dxa"/>
            <w:vAlign w:val="bottom"/>
            <w:tcBorders>
              <w:bottom w:val="single" w:sz="8" w:color="0000FF"/>
            </w:tcBorders>
            <w:gridSpan w:val="7"/>
          </w:tcPr>
          <w:p>
            <w:pPr>
              <w:spacing w:after="0" w:line="190" w:lineRule="exact"/>
              <w:rPr>
                <w:rFonts w:ascii="Arial" w:cs="Arial" w:eastAsia="Arial" w:hAnsi="Arial"/>
                <w:sz w:val="18"/>
                <w:szCs w:val="18"/>
                <w:color w:val="0000FF"/>
                <w:w w:val="91"/>
              </w:rPr>
            </w:pPr>
            <w:hyperlink w:anchor="page105">
              <w:r>
                <w:rPr>
                  <w:rFonts w:ascii="Arial" w:cs="Arial" w:eastAsia="Arial" w:hAnsi="Arial"/>
                  <w:sz w:val="18"/>
                  <w:szCs w:val="18"/>
                  <w:color w:val="0000FF"/>
                  <w:w w:val="91"/>
                </w:rPr>
                <w:t>Section 1350 Certification.</w:t>
              </w:r>
            </w:hyperlink>
          </w:p>
        </w:tc>
        <w:tc>
          <w:tcPr>
            <w:tcW w:w="746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80" w:type="dxa"/>
            <w:vAlign w:val="bottom"/>
            <w:vMerge w:val="restart"/>
          </w:tcPr>
          <w:p>
            <w:pPr>
              <w:ind w:left="20"/>
              <w:spacing w:after="0"/>
              <w:rPr>
                <w:sz w:val="20"/>
                <w:szCs w:val="20"/>
                <w:color w:val="auto"/>
              </w:rPr>
            </w:pPr>
            <w:r>
              <w:rPr>
                <w:rFonts w:ascii="Arial" w:cs="Arial" w:eastAsia="Arial" w:hAnsi="Arial"/>
                <w:sz w:val="18"/>
                <w:szCs w:val="18"/>
                <w:color w:val="auto"/>
              </w:rPr>
              <w:t>Exhibit No. (101).INS</w:t>
            </w:r>
          </w:p>
        </w:tc>
        <w:tc>
          <w:tcPr>
            <w:tcW w:w="9400" w:type="dxa"/>
            <w:vAlign w:val="bottom"/>
            <w:gridSpan w:val="34"/>
          </w:tcPr>
          <w:p>
            <w:pPr>
              <w:spacing w:after="0" w:line="196" w:lineRule="exact"/>
              <w:rPr>
                <w:sz w:val="20"/>
                <w:szCs w:val="20"/>
                <w:color w:val="auto"/>
              </w:rPr>
            </w:pPr>
            <w:r>
              <w:rPr>
                <w:rFonts w:ascii="Arial" w:cs="Arial" w:eastAsia="Arial" w:hAnsi="Arial"/>
                <w:sz w:val="18"/>
                <w:szCs w:val="18"/>
                <w:color w:val="auto"/>
                <w:w w:val="97"/>
              </w:rPr>
              <w:t>XBRL Instance Document - the instant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1880" w:type="dxa"/>
            <w:vAlign w:val="bottom"/>
            <w:vMerge w:val="continue"/>
          </w:tcPr>
          <w:p>
            <w:pPr>
              <w:spacing w:after="0"/>
              <w:rPr>
                <w:sz w:val="19"/>
                <w:szCs w:val="19"/>
                <w:color w:val="auto"/>
              </w:rPr>
            </w:pPr>
          </w:p>
        </w:tc>
        <w:tc>
          <w:tcPr>
            <w:tcW w:w="9400" w:type="dxa"/>
            <w:vAlign w:val="bottom"/>
            <w:gridSpan w:val="34"/>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Exhibit No. (101).SCH</w:t>
            </w:r>
          </w:p>
        </w:tc>
        <w:tc>
          <w:tcPr>
            <w:tcW w:w="9400" w:type="dxa"/>
            <w:vAlign w:val="bottom"/>
            <w:gridSpan w:val="3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Exhibit No. (101).CAL</w:t>
            </w:r>
          </w:p>
        </w:tc>
        <w:tc>
          <w:tcPr>
            <w:tcW w:w="9400" w:type="dxa"/>
            <w:vAlign w:val="bottom"/>
            <w:gridSpan w:val="3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Exhibit No. (101).DEF</w:t>
            </w:r>
          </w:p>
        </w:tc>
        <w:tc>
          <w:tcPr>
            <w:tcW w:w="9400" w:type="dxa"/>
            <w:vAlign w:val="bottom"/>
            <w:gridSpan w:val="3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67"/>
        </w:trPr>
        <w:tc>
          <w:tcPr>
            <w:tcW w:w="1880" w:type="dxa"/>
            <w:vAlign w:val="bottom"/>
          </w:tcPr>
          <w:p>
            <w:pPr>
              <w:spacing w:after="0"/>
              <w:rPr>
                <w:sz w:val="24"/>
                <w:szCs w:val="24"/>
                <w:color w:val="auto"/>
              </w:rPr>
            </w:pPr>
          </w:p>
        </w:tc>
        <w:tc>
          <w:tcPr>
            <w:tcW w:w="5040" w:type="dxa"/>
            <w:vAlign w:val="bottom"/>
            <w:gridSpan w:val="9"/>
          </w:tcPr>
          <w:p>
            <w:pPr>
              <w:ind w:left="3660"/>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6" w:name="page97"/>
    <w:bookmarkEnd w:id="96"/>
    <w:p>
      <w:pPr>
        <w:jc w:val="both"/>
        <w:ind w:left="20"/>
        <w:spacing w:after="0" w:line="303" w:lineRule="auto"/>
        <w:rPr>
          <w:sz w:val="20"/>
          <w:szCs w:val="20"/>
          <w:color w:val="auto"/>
        </w:rPr>
      </w:pPr>
      <w:r>
        <w:rPr>
          <w:rFonts w:ascii="Arial" w:cs="Arial" w:eastAsia="Arial" w:hAnsi="Arial"/>
          <w:sz w:val="17"/>
          <w:szCs w:val="17"/>
          <w:color w:val="auto"/>
        </w:rPr>
        <w:t>Exhibit No. (101).LAB Exhibit No. (101).PRE Exhibit No.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cover page from this Current Report on Form 10-K formatted as Inline XBRL</w:t>
      </w:r>
    </w:p>
    <w:p>
      <w:pPr>
        <w:spacing w:after="0" w:line="112" w:lineRule="exact"/>
        <w:rPr>
          <w:sz w:val="20"/>
          <w:szCs w:val="20"/>
          <w:color w:val="auto"/>
        </w:rPr>
      </w:pPr>
    </w:p>
    <w:p>
      <w:pPr>
        <w:sectPr>
          <w:pgSz w:w="11900" w:h="16838" w:orient="portrait"/>
          <w:cols w:equalWidth="0" w:num="2">
            <w:col w:w="1700" w:space="180"/>
            <w:col w:w="8259"/>
          </w:cols>
          <w:pgMar w:left="320" w:top="1232" w:right="1440" w:bottom="1440" w:gutter="0" w:footer="0" w:header="0"/>
        </w:sect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32"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their behalf by the undersigned, thereunto duly authorized.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CARTER’S, INC.</w:t>
      </w:r>
    </w:p>
    <w:p>
      <w:pPr>
        <w:spacing w:after="0" w:line="25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36258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1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1360"/>
              <w:spacing w:after="0"/>
              <w:rPr>
                <w:sz w:val="20"/>
                <w:szCs w:val="20"/>
                <w:color w:val="auto"/>
              </w:rPr>
            </w:pPr>
            <w:r>
              <w:rPr>
                <w:rFonts w:ascii="Arial" w:cs="Arial" w:eastAsia="Arial" w:hAnsi="Arial"/>
                <w:sz w:val="18"/>
                <w:szCs w:val="18"/>
                <w:b w:val="1"/>
                <w:bCs w:val="1"/>
                <w:color w:val="auto"/>
              </w:rPr>
              <w:t>Date</w:t>
            </w:r>
          </w:p>
        </w:tc>
      </w:tr>
      <w:tr>
        <w:trPr>
          <w:trHeight w:val="20"/>
        </w:trPr>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MICHAEL D. CASEY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Chairman and Chief Executive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2"/>
              </w:rPr>
              <w:t>Michael D. Casey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RICHARD F. WESTENBERGER</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88"/>
              </w:rPr>
              <w:t>Richard F. Westenberger</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HALI BORENSTEIN</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3"/>
              </w:rPr>
              <w:t>Hali Borenstein</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AMY WOODS BRINKLEY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5"/>
              </w:rPr>
              <w:t>Amy Woods Brinkley</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GIUSEPPINA BUONFANTINO</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2"/>
              </w:rPr>
              <w:t>Giuseppina Buonfantino</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A. BRUCE CLEVERLY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3"/>
              </w:rPr>
              <w:t>A. Bruce Cleverly</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JEVIN S. EAGLE</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8"/>
              </w:rPr>
              <w:t>Jevin S. Eagle</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P. HIPP</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4"/>
              </w:rPr>
              <w:t>Mark P. Hipp</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J. MONTGORIS</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5"/>
              </w:rPr>
              <w:t>William J. Montgoris</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RICHARD A. NOLL</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4"/>
              </w:rPr>
              <w:t>Richard A. Noll</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PULVER</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David Pulver</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GRETCHEN W. SCHAR</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26, 2021</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8"/>
              </w:rPr>
              <w:t>Gretchen W. Schar</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1214"/>
        </w:trPr>
        <w:tc>
          <w:tcPr>
            <w:tcW w:w="3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9940"/>
          </w:cols>
          <w:pgMar w:left="660" w:top="1232" w:right="12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Carter's,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William Carter Company is incorporated in Massachusetts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OshKosh B'Gosh,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Retail,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TWCC Product Development and Sales,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Giftcard Company, Inc. is incorporated in Florida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Holdings,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Inc. is incorporated in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Holdings B.V. is formed in the 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Genuine Canadian Corp. is incorporated in Ontario, Canada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Global Sourcing Limited is formed in Hong Kong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Shanghai Trading Co., Ltd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Shanghai Business Information Consulting Co., Ltd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(Shenzhen) Trading Company Limited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Vietnam Company limited is formed in Vietnam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UK Limited is formed in England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Mexico LLC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Brands, S.A. de C.V. is formed in Mexico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Operación Efficaz,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81" w:right="339" w:bottom="1440" w:gutter="0" w:footer="0" w:header="0"/>
        </w:sectPr>
      </w:pPr>
    </w:p>
    <w:bookmarkStart w:id="101" w:name="page102"/>
    <w:bookmarkEnd w:id="101"/>
    <w:p>
      <w:pPr>
        <w:ind w:left="1800"/>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333-177724, 333-168446, 333-125306, and 333-225144) of Carter's, Inc. of our report dated February 26,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4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240" w:firstLine="180"/>
        <w:spacing w:after="0" w:line="286" w:lineRule="auto"/>
        <w:rPr>
          <w:sz w:val="20"/>
          <w:szCs w:val="20"/>
          <w:color w:val="auto"/>
        </w:rPr>
      </w:pPr>
      <w:r>
        <w:rPr>
          <w:rFonts w:ascii="Arial" w:cs="Arial" w:eastAsia="Arial" w:hAnsi="Arial"/>
          <w:sz w:val="17"/>
          <w:szCs w:val="17"/>
          <w:color w:val="auto"/>
        </w:rPr>
        <w:t>Each of the undersigned in the capacity indicated hereby certifies that, to his knowledge, this Annual Report on Form 10-K for the fiscal year ended January 2, 2021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27946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3"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27946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177"/>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lvl w:ilvl="1">
      <w:lvlJc w:val="left"/>
      <w:lvlText w:val="◦"/>
      <w:numFmt w:val="bullet"/>
      <w:start w:val="1"/>
    </w:lvl>
  </w:abstractNum>
  <w:abstractNum w:abstractNumId="15">
    <w:nsid w:val="5E884ADC"/>
    <w:multiLevelType w:val="hybridMultilevel"/>
    <w:lvl w:ilvl="0">
      <w:lvlJc w:val="left"/>
      <w:lvlText w:val="•"/>
      <w:numFmt w:val="bullet"/>
      <w:start w:val="1"/>
    </w:lvl>
    <w:lvl w:ilvl="1">
      <w:lvlJc w:val="left"/>
      <w:lvlText w:val="◦"/>
      <w:numFmt w:val="bullet"/>
      <w:start w:val="1"/>
    </w:lvl>
  </w:abstractNum>
  <w:abstractNum w:abstractNumId="16">
    <w:nsid w:val="51EAD36B"/>
    <w:multiLevelType w:val="hybridMultilevel"/>
    <w:lvl w:ilvl="0">
      <w:lvlJc w:val="left"/>
      <w:lvlText w:val="•"/>
      <w:numFmt w:val="bullet"/>
      <w:start w:val="1"/>
    </w:lvl>
    <w:lvl w:ilvl="1">
      <w:lvlJc w:val="left"/>
      <w:lvlText w:val="◦"/>
      <w:numFmt w:val="bullet"/>
      <w:start w:val="1"/>
    </w:lvl>
  </w:abstractNum>
  <w:abstractNum w:abstractNumId="17">
    <w:nsid w:val="2D517796"/>
    <w:multiLevelType w:val="hybridMultilevel"/>
    <w:lvl w:ilvl="0">
      <w:lvlJc w:val="left"/>
      <w:lvlText w:val="•"/>
      <w:numFmt w:val="bullet"/>
      <w:start w:val="1"/>
    </w:lvl>
    <w:lvl w:ilvl="1">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lowerRoman"/>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lvl w:ilvl="1">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3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35" Type="http://schemas.openxmlformats.org/officeDocument/2006/relationships/hyperlink" Target="http://www.sec.gov/ix?doc=/Archives/edgar/data/1060822/000106082220000004/a10k-crix20191228.htm#sA9266706902C51CC8F9D6E81148763DF" TargetMode="External"/><Relationship Id="rId126" Type="http://schemas.openxmlformats.org/officeDocument/2006/relationships/hyperlink" Target="http://www.sec.gov/Archives/edgar/data/1060822/000119312517179483/d400342dex31.htm" TargetMode="External"/><Relationship Id="rId127" Type="http://schemas.openxmlformats.org/officeDocument/2006/relationships/hyperlink" Target="http://www.sec.gov/Archives/edgar/data/1060822/000119312517179483/d400342dex32.htm" TargetMode="External"/><Relationship Id="rId128" Type="http://schemas.openxmlformats.org/officeDocument/2006/relationships/hyperlink" Target="http://www.sec.gov/Archives/edgar/data/1060822/000104746903033160/a2120070zex-4_1.txt" TargetMode="External"/><Relationship Id="rId129" Type="http://schemas.openxmlformats.org/officeDocument/2006/relationships/hyperlink" Target="http://www.sec.gov/Archives/edgar/data/1060822/000119312519074908/d718900dex41.htm" TargetMode="External"/><Relationship Id="rId130" Type="http://schemas.openxmlformats.org/officeDocument/2006/relationships/hyperlink" Target="http://www.sec.gov/Archives/edgar/data/1060822/000119312520139193/d893842dex41.htm" TargetMode="External"/><Relationship Id="rId131" Type="http://schemas.openxmlformats.org/officeDocument/2006/relationships/hyperlink" Target="http://www.sec.gov/Archives/edgar/data/1060822/000106082220000004/descriptionofsecuritie.htm" TargetMode="External"/><Relationship Id="rId132" Type="http://schemas.openxmlformats.org/officeDocument/2006/relationships/hyperlink" Target="http://www.sec.gov/Archives/edgar/data/1060822/000119312517273645/d428481dex101.htm" TargetMode="External"/><Relationship Id="rId134" Type="http://schemas.openxmlformats.org/officeDocument/2006/relationships/hyperlink" Target="http://www.sec.gov/Archives/edgar/data/1060822/000119312518283958/d629122dex101.htm" TargetMode="External"/><Relationship Id="rId135" Type="http://schemas.openxmlformats.org/officeDocument/2006/relationships/hyperlink" Target="http://www.sec.gov/Archives/edgar/data/1060822/000106082220000015/carters-amendmentno2to.htm" TargetMode="External"/><Relationship Id="rId136" Type="http://schemas.openxmlformats.org/officeDocument/2006/relationships/hyperlink" Target="http://www.sec.gov/Archives/edgar/data/1060822/000106082215000029/cri-20151003exh102.htm" TargetMode="External"/><Relationship Id="rId137" Type="http://schemas.openxmlformats.org/officeDocument/2006/relationships/hyperlink" Target="http://www.sec.gov/Archives/edgar/data/1060822/000119312518107509/d483958ddef14a.htm#toc483958_22" TargetMode="External"/><Relationship Id="rId138" Type="http://schemas.openxmlformats.org/officeDocument/2006/relationships/hyperlink" Target="http://www.sec.gov/Archives/edgar/data/1060822/000119312516526057/d149556ddef14a.htm#toc149556_23" TargetMode="External"/><Relationship Id="rId139" Type="http://schemas.openxmlformats.org/officeDocument/2006/relationships/hyperlink" Target="http://www.sec.gov/Archives/edgar/data/1060822/000106082220000004/thewilliamcartercompan.htm" TargetMode="External"/><Relationship Id="rId140" Type="http://schemas.openxmlformats.org/officeDocument/2006/relationships/hyperlink" Target="http://www.sec.gov/Archives/edgar/data/1060822/000106082211000006/ex10_20.htm" TargetMode="External"/><Relationship Id="rId141" Type="http://schemas.openxmlformats.org/officeDocument/2006/relationships/hyperlink" Target="http://www.sec.gov/Archives/edgar/data/1060822/000106082212000017/cri-2012331exh1021.htm" TargetMode="External"/><Relationship Id="rId142" Type="http://schemas.openxmlformats.org/officeDocument/2006/relationships/hyperlink" Target="http://www.sec.gov/Archives/edgar/data/1060822/000106082212000036/exhibit101.htm" TargetMode="External"/><Relationship Id="rId143"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2021-02-26T11:33:18Z</dcterms:created>
  <dcterms:modified xsi:type="dcterms:W3CDTF">2021-02-26T11:33:18Z</dcterms:modified>
</cp:coreProperties>
</file>