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380" w:right="1000" w:hanging="345"/>
        <w:spacing w:after="0" w:line="282" w:lineRule="auto"/>
        <w:tabs>
          <w:tab w:leader="none" w:pos="40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 OR</w:t>
      </w:r>
    </w:p>
    <w:p>
      <w:pPr>
        <w:spacing w:after="0" w:line="121"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w:t>
      </w:r>
    </w:p>
    <w:p>
      <w:pPr>
        <w:spacing w:after="0" w:line="29"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EXCHANGE ACT OF 1934 FOR THE TRANSITION PERIOD FROM _____</w:t>
      </w:r>
    </w:p>
    <w:p>
      <w:pPr>
        <w:spacing w:after="0" w:line="7"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TO 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001-31829</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CARTER’S,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7" w:right="239" w:bottom="1440" w:gutter="0" w:footer="0" w:header="0"/>
        </w:sectPr>
      </w:pPr>
    </w:p>
    <w:p>
      <w:pPr>
        <w:spacing w:after="0" w:line="151"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13-3912933</w:t>
      </w:r>
    </w:p>
    <w:p>
      <w:pPr>
        <w:spacing w:after="0" w:line="90" w:lineRule="exact"/>
        <w:rPr>
          <w:sz w:val="24"/>
          <w:szCs w:val="24"/>
          <w:color w:val="auto"/>
        </w:rPr>
      </w:pPr>
    </w:p>
    <w:p>
      <w:pPr>
        <w:sectPr>
          <w:pgSz w:w="11900" w:h="16838" w:orient="portrait"/>
          <w:cols w:equalWidth="0" w:num="2">
            <w:col w:w="6760" w:space="720"/>
            <w:col w:w="3940"/>
          </w:cols>
          <w:pgMar w:left="240" w:top="477" w:right="239"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6"/>
          <w:szCs w:val="16"/>
          <w:color w:val="auto"/>
        </w:rPr>
        <w:t>(I.R.S. Employer Identification No.)</w:t>
      </w:r>
    </w:p>
    <w:p>
      <w:pPr>
        <w:spacing w:after="0" w:line="86" w:lineRule="exact"/>
        <w:rPr>
          <w:sz w:val="24"/>
          <w:szCs w:val="24"/>
          <w:color w:val="auto"/>
        </w:rPr>
      </w:pPr>
    </w:p>
    <w:p>
      <w:pPr>
        <w:sectPr>
          <w:pgSz w:w="11900" w:h="16838" w:orient="portrait"/>
          <w:cols w:equalWidth="0" w:num="2">
            <w:col w:w="5900" w:space="720"/>
            <w:col w:w="4800"/>
          </w:cols>
          <w:pgMar w:left="240" w:top="477" w:right="23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77"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Phipps Tower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3438 Peachtree Road NE, Suite 1800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Atlanta, Georgia 30326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791-1000</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Large Accelerated Filer (X) Accelerated Filer ( )</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 ) (Do not check if a smaller reporting company) Smaller Reporting Company ( )</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Emerging Growth Company ( )</w:t>
      </w:r>
    </w:p>
    <w:p>
      <w:pPr>
        <w:spacing w:after="0" w:line="200" w:lineRule="exact"/>
        <w:rPr>
          <w:sz w:val="24"/>
          <w:szCs w:val="24"/>
          <w:color w:val="auto"/>
        </w:rPr>
      </w:pPr>
    </w:p>
    <w:p>
      <w:pPr>
        <w:spacing w:after="0" w:line="26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w:t>
      </w:r>
      <w:r>
        <w:rPr>
          <w:rFonts w:ascii="Arial" w:cs="Arial" w:eastAsia="Arial" w:hAnsi="Arial"/>
          <w:sz w:val="18"/>
          <w:szCs w:val="18"/>
          <w:color w:val="FFFFFF"/>
        </w:rPr>
        <w:t>X</w:t>
      </w:r>
      <w:r>
        <w:rPr>
          <w:rFonts w:ascii="Arial" w:cs="Arial" w:eastAsia="Arial" w:hAnsi="Arial"/>
          <w:sz w:val="18"/>
          <w:szCs w:val="18"/>
          <w:color w:val="auto"/>
        </w:rPr>
        <w:t>) No (X)</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89"/>
              </w:rPr>
              <w:t>Common Stock</w:t>
            </w:r>
          </w:p>
        </w:tc>
        <w:tc>
          <w:tcPr>
            <w:tcW w:w="4560" w:type="dxa"/>
            <w:vAlign w:val="bottom"/>
          </w:tcPr>
          <w:p>
            <w:pPr>
              <w:jc w:val="right"/>
              <w:ind w:right="810"/>
              <w:spacing w:after="0"/>
              <w:rPr>
                <w:sz w:val="20"/>
                <w:szCs w:val="20"/>
                <w:color w:val="auto"/>
              </w:rPr>
            </w:pPr>
            <w:r>
              <w:rPr>
                <w:rFonts w:ascii="Arial" w:cs="Arial" w:eastAsia="Arial" w:hAnsi="Arial"/>
                <w:sz w:val="18"/>
                <w:szCs w:val="18"/>
                <w:b w:val="1"/>
                <w:bCs w:val="1"/>
                <w:color w:val="auto"/>
              </w:rPr>
              <w:t>Outstanding Shares at July 20, 2018</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jc w:val="center"/>
              <w:ind w:right="2380"/>
              <w:spacing w:after="0"/>
              <w:rPr>
                <w:sz w:val="20"/>
                <w:szCs w:val="20"/>
                <w:color w:val="auto"/>
              </w:rPr>
            </w:pPr>
            <w:r>
              <w:rPr>
                <w:rFonts w:ascii="Arial" w:cs="Arial" w:eastAsia="Arial" w:hAnsi="Arial"/>
                <w:sz w:val="18"/>
                <w:szCs w:val="18"/>
                <w:color w:val="auto"/>
                <w:w w:val="89"/>
              </w:rPr>
              <w:t>Common stock, par value $0.01 per share</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46,470,329</w:t>
            </w:r>
          </w:p>
        </w:tc>
      </w:tr>
      <w:tr>
        <w:trPr>
          <w:trHeight w:val="358"/>
        </w:trPr>
        <w:tc>
          <w:tcPr>
            <w:tcW w:w="44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gridSpan w:val="12"/>
          </w:tcPr>
          <w:p>
            <w:pPr>
              <w:jc w:val="center"/>
              <w:ind w:right="2020"/>
              <w:spacing w:after="0"/>
              <w:rPr>
                <w:sz w:val="20"/>
                <w:szCs w:val="20"/>
                <w:color w:val="auto"/>
              </w:rPr>
            </w:pPr>
            <w:r>
              <w:rPr>
                <w:rFonts w:ascii="Arial" w:cs="Arial" w:eastAsia="Arial" w:hAnsi="Arial"/>
                <w:sz w:val="20"/>
                <w:szCs w:val="20"/>
                <w:b w:val="1"/>
                <w:bCs w:val="1"/>
                <w:color w:val="auto"/>
                <w:w w:val="99"/>
              </w:rPr>
              <w:t>CARTER’S, INC.</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160" w:type="dxa"/>
            <w:vAlign w:val="bottom"/>
            <w:gridSpan w:val="11"/>
          </w:tcPr>
          <w:p>
            <w:pPr>
              <w:jc w:val="center"/>
              <w:ind w:right="3080"/>
              <w:spacing w:after="0"/>
              <w:rPr>
                <w:sz w:val="20"/>
                <w:szCs w:val="20"/>
                <w:color w:val="auto"/>
              </w:rPr>
            </w:pPr>
            <w:r>
              <w:rPr>
                <w:rFonts w:ascii="Arial" w:cs="Arial" w:eastAsia="Arial" w:hAnsi="Arial"/>
                <w:sz w:val="20"/>
                <w:szCs w:val="20"/>
                <w:b w:val="1"/>
                <w:bCs w:val="1"/>
                <w:color w:val="auto"/>
              </w:rPr>
              <w:t>INDEX</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5"/>
          </w:tcPr>
          <w:p>
            <w:pPr>
              <w:ind w:left="6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9340" w:type="dxa"/>
            <w:vAlign w:val="bottom"/>
            <w:gridSpan w:val="31"/>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340" w:type="dxa"/>
            <w:vAlign w:val="bottom"/>
            <w:gridSpan w:val="31"/>
            <w:vMerge w:val="continue"/>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202" w:lineRule="exact"/>
              <w:rPr>
                <w:sz w:val="20"/>
                <w:szCs w:val="20"/>
                <w:color w:val="auto"/>
              </w:rPr>
            </w:pPr>
            <w:r>
              <w:rPr>
                <w:rFonts w:ascii="Arial" w:cs="Arial" w:eastAsia="Arial" w:hAnsi="Arial"/>
                <w:sz w:val="18"/>
                <w:szCs w:val="18"/>
                <w:color w:val="0000FF"/>
                <w:w w:val="90"/>
              </w:rPr>
              <w:t>Unaudited Condensed Consolidated Balance Sheets as of June 30, 2018, December 30, 2017 and July</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86"/>
              </w:rPr>
              <w:t>1, 2017</w:t>
            </w: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18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w w:val="92"/>
                <w:shd w:val="clear" w:color="auto" w:fill="CCEEFF"/>
              </w:rPr>
              <w:t>Unaudited Condensed Consolidated Statements of Operations for the fiscal quarter and two fiscal</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0000FF"/>
            </w:tcBorders>
            <w:gridSpan w:val="13"/>
            <w:shd w:val="clear" w:color="auto" w:fill="CCEEFF"/>
          </w:tcPr>
          <w:p>
            <w:pPr>
              <w:spacing w:after="0" w:line="196" w:lineRule="exact"/>
              <w:rPr>
                <w:sz w:val="20"/>
                <w:szCs w:val="20"/>
                <w:color w:val="auto"/>
              </w:rPr>
            </w:pPr>
            <w:r>
              <w:rPr>
                <w:rFonts w:ascii="Arial" w:cs="Arial" w:eastAsia="Arial" w:hAnsi="Arial"/>
                <w:sz w:val="18"/>
                <w:szCs w:val="18"/>
                <w:color w:val="0000FF"/>
                <w:w w:val="87"/>
                <w:shd w:val="clear" w:color="auto" w:fill="CCEEFF"/>
              </w:rPr>
              <w:t>quarters ended June 30, 2018 and July 1, 2017</w:t>
            </w:r>
          </w:p>
        </w:tc>
        <w:tc>
          <w:tcPr>
            <w:tcW w:w="74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0000FF"/>
            </w:tcBorders>
            <w:shd w:val="clear" w:color="auto" w:fill="CCEEFF"/>
          </w:tcPr>
          <w:p>
            <w:pPr>
              <w:spacing w:after="0"/>
              <w:rPr>
                <w:sz w:val="17"/>
                <w:szCs w:val="17"/>
                <w:color w:val="auto"/>
              </w:rPr>
            </w:pPr>
          </w:p>
        </w:tc>
        <w:tc>
          <w:tcPr>
            <w:tcW w:w="140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gridSpan w:val="4"/>
            <w:shd w:val="clear" w:color="auto" w:fill="CCEEFF"/>
          </w:tcPr>
          <w:p>
            <w:pPr>
              <w:jc w:val="center"/>
              <w:ind w:left="689"/>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7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202" w:lineRule="exact"/>
              <w:rPr>
                <w:sz w:val="20"/>
                <w:szCs w:val="20"/>
                <w:color w:val="auto"/>
              </w:rPr>
            </w:pPr>
            <w:r>
              <w:rPr>
                <w:rFonts w:ascii="Arial" w:cs="Arial" w:eastAsia="Arial" w:hAnsi="Arial"/>
                <w:sz w:val="18"/>
                <w:szCs w:val="18"/>
                <w:color w:val="0000FF"/>
                <w:w w:val="93"/>
              </w:rPr>
              <w:t>Unaudited Condensed Consolidated Statements of Comprehensive Income for the fiscal quarter and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80" w:type="dxa"/>
            <w:vAlign w:val="bottom"/>
            <w:tcBorders>
              <w:top w:val="single" w:sz="8" w:color="0000FF"/>
            </w:tcBorders>
            <w:gridSpan w:val="20"/>
          </w:tcPr>
          <w:p>
            <w:pPr>
              <w:spacing w:after="0" w:line="196" w:lineRule="exact"/>
              <w:rPr>
                <w:sz w:val="20"/>
                <w:szCs w:val="20"/>
                <w:color w:val="auto"/>
              </w:rPr>
            </w:pPr>
            <w:r>
              <w:rPr>
                <w:rFonts w:ascii="Arial" w:cs="Arial" w:eastAsia="Arial" w:hAnsi="Arial"/>
                <w:sz w:val="18"/>
                <w:szCs w:val="18"/>
                <w:color w:val="0000FF"/>
              </w:rPr>
              <w:t>two fiscal quarters ended June 30, 2018 and July 1, 2017</w:t>
            </w:r>
          </w:p>
        </w:tc>
        <w:tc>
          <w:tcPr>
            <w:tcW w:w="320" w:type="dxa"/>
            <w:vAlign w:val="bottom"/>
            <w:gridSpan w:val="4"/>
          </w:tcPr>
          <w:p>
            <w:pPr>
              <w:spacing w:after="0"/>
              <w:rPr>
                <w:sz w:val="17"/>
                <w:szCs w:val="17"/>
                <w:color w:val="auto"/>
              </w:rPr>
            </w:pP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0000FF"/>
            </w:tcBorders>
            <w:gridSpan w:val="21"/>
            <w:shd w:val="clear" w:color="auto" w:fill="CCEEFF"/>
          </w:tcPr>
          <w:p>
            <w:pPr>
              <w:spacing w:after="0" w:line="202" w:lineRule="exact"/>
              <w:rPr>
                <w:sz w:val="20"/>
                <w:szCs w:val="20"/>
                <w:color w:val="auto"/>
              </w:rPr>
            </w:pPr>
            <w:r>
              <w:rPr>
                <w:rFonts w:ascii="Arial" w:cs="Arial" w:eastAsia="Arial" w:hAnsi="Arial"/>
                <w:sz w:val="18"/>
                <w:szCs w:val="18"/>
                <w:color w:val="0000FF"/>
                <w:w w:val="90"/>
                <w:shd w:val="clear" w:color="auto" w:fill="CCEEFF"/>
              </w:rPr>
              <w:t>Unaudited Condensed Consolidated Statement of Changes in Stockholders' Equity for the two fiscal</w:t>
            </w: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100" w:type="dxa"/>
            <w:vAlign w:val="bottom"/>
            <w:gridSpan w:val="11"/>
            <w:shd w:val="clear" w:color="auto" w:fill="CCEEFF"/>
          </w:tcPr>
          <w:p>
            <w:pPr>
              <w:spacing w:after="0" w:line="196" w:lineRule="exact"/>
              <w:rPr>
                <w:sz w:val="20"/>
                <w:szCs w:val="20"/>
                <w:color w:val="auto"/>
              </w:rPr>
            </w:pPr>
            <w:r>
              <w:rPr>
                <w:rFonts w:ascii="Arial" w:cs="Arial" w:eastAsia="Arial" w:hAnsi="Arial"/>
                <w:sz w:val="18"/>
                <w:szCs w:val="18"/>
                <w:color w:val="0000FF"/>
                <w:w w:val="86"/>
                <w:shd w:val="clear" w:color="auto" w:fill="CCEEFF"/>
              </w:rPr>
              <w:t>quarters ended June 30, 2018</w:t>
            </w:r>
          </w:p>
        </w:tc>
        <w:tc>
          <w:tcPr>
            <w:tcW w:w="18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202" w:lineRule="exact"/>
              <w:rPr>
                <w:sz w:val="20"/>
                <w:szCs w:val="20"/>
                <w:color w:val="auto"/>
              </w:rPr>
            </w:pPr>
            <w:r>
              <w:rPr>
                <w:rFonts w:ascii="Arial" w:cs="Arial" w:eastAsia="Arial" w:hAnsi="Arial"/>
                <w:sz w:val="18"/>
                <w:szCs w:val="18"/>
                <w:color w:val="0000FF"/>
                <w:w w:val="92"/>
              </w:rPr>
              <w:t>Unaudited Condensed Consolidated Statements of Cash Flows for the two fiscal quarters ended June</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40" w:type="dxa"/>
            <w:vAlign w:val="bottom"/>
            <w:tcBorders>
              <w:top w:val="single" w:sz="8" w:color="0000FF"/>
            </w:tcBorders>
            <w:gridSpan w:val="22"/>
          </w:tcPr>
          <w:p>
            <w:pPr>
              <w:spacing w:after="0" w:line="196" w:lineRule="exact"/>
              <w:rPr>
                <w:sz w:val="20"/>
                <w:szCs w:val="20"/>
                <w:color w:val="auto"/>
              </w:rPr>
            </w:pPr>
            <w:r>
              <w:rPr>
                <w:rFonts w:ascii="Arial" w:cs="Arial" w:eastAsia="Arial" w:hAnsi="Arial"/>
                <w:sz w:val="18"/>
                <w:szCs w:val="18"/>
                <w:color w:val="0000FF"/>
              </w:rPr>
              <w:t>30, 2018 and July 1, 2017</w:t>
            </w:r>
          </w:p>
        </w:tc>
        <w:tc>
          <w:tcPr>
            <w:tcW w:w="260" w:type="dxa"/>
            <w:vAlign w:val="bottom"/>
            <w:gridSpan w:val="2"/>
          </w:tcPr>
          <w:p>
            <w:pPr>
              <w:spacing w:after="0"/>
              <w:rPr>
                <w:sz w:val="17"/>
                <w:szCs w:val="17"/>
                <w:color w:val="auto"/>
              </w:rPr>
            </w:pP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the Unaudited Condensed Consolidated Financial Statements</w:t>
              </w:r>
            </w:hyperlink>
          </w:p>
        </w:tc>
        <w:tc>
          <w:tcPr>
            <w:tcW w:w="980" w:type="dxa"/>
            <w:vAlign w:val="bottom"/>
            <w:gridSpan w:val="4"/>
            <w:shd w:val="clear" w:color="auto" w:fill="CCEEFF"/>
          </w:tcPr>
          <w:p>
            <w:pPr>
              <w:jc w:val="center"/>
              <w:ind w:left="689"/>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00" w:type="dxa"/>
            <w:vAlign w:val="bottom"/>
            <w:gridSpan w:val="6"/>
          </w:tcPr>
          <w:p>
            <w:pPr>
              <w:ind w:left="56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7500" w:type="dxa"/>
            <w:vAlign w:val="bottom"/>
            <w:gridSpan w:val="24"/>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3</w:t>
              </w:r>
            </w:hyperlink>
          </w:p>
        </w:tc>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7500" w:type="dxa"/>
            <w:vAlign w:val="bottom"/>
            <w:gridSpan w:val="24"/>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340" w:type="dxa"/>
            <w:vAlign w:val="bottom"/>
            <w:gridSpan w:val="31"/>
          </w:tcPr>
          <w:p>
            <w:pPr>
              <w:ind w:left="40"/>
              <w:spacing w:after="0" w:line="202" w:lineRule="exact"/>
              <w:rPr>
                <w:sz w:val="20"/>
                <w:szCs w:val="20"/>
                <w:color w:val="auto"/>
              </w:rPr>
            </w:pPr>
            <w:r>
              <w:rPr>
                <w:rFonts w:ascii="Arial" w:cs="Arial" w:eastAsia="Arial" w:hAnsi="Arial"/>
                <w:sz w:val="18"/>
                <w:szCs w:val="18"/>
                <w:b w:val="1"/>
                <w:bCs w:val="1"/>
                <w:color w:val="0000EE"/>
              </w:rPr>
              <w:t>Part II. Other Information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FF"/>
              </w:rPr>
              <w:t>Item 1</w:t>
            </w:r>
          </w:p>
        </w:tc>
        <w:tc>
          <w:tcPr>
            <w:tcW w:w="7500" w:type="dxa"/>
            <w:vAlign w:val="bottom"/>
            <w:gridSpan w:val="24"/>
            <w:shd w:val="clear" w:color="auto" w:fill="CCEEFF"/>
          </w:tcPr>
          <w:p>
            <w:pPr>
              <w:spacing w:after="0" w:line="202" w:lineRule="exact"/>
              <w:rPr>
                <w:sz w:val="20"/>
                <w:szCs w:val="20"/>
                <w:color w:val="auto"/>
              </w:rPr>
            </w:pPr>
            <w:r>
              <w:rPr>
                <w:rFonts w:ascii="Arial" w:cs="Arial" w:eastAsia="Arial" w:hAnsi="Arial"/>
                <w:sz w:val="18"/>
                <w:szCs w:val="18"/>
                <w:color w:val="0000EE"/>
              </w:rPr>
              <w:t>Legal Proceedings</w:t>
            </w:r>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1A</w:t>
              </w:r>
            </w:hyperlink>
          </w:p>
        </w:tc>
        <w:tc>
          <w:tcPr>
            <w:tcW w:w="7500" w:type="dxa"/>
            <w:vAlign w:val="bottom"/>
            <w:gridSpan w:val="24"/>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Item 2</w:t>
              </w:r>
            </w:hyperlink>
          </w:p>
        </w:tc>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sz w:val="20"/>
                <w:szCs w:val="20"/>
                <w:color w:val="auto"/>
              </w:rPr>
            </w:pPr>
            <w:r>
              <w:rPr>
                <w:rFonts w:ascii="Arial" w:cs="Arial" w:eastAsia="Arial" w:hAnsi="Arial"/>
                <w:sz w:val="18"/>
                <w:szCs w:val="18"/>
                <w:color w:val="0000FF"/>
              </w:rPr>
              <w:t>Item 3</w:t>
            </w:r>
          </w:p>
        </w:tc>
        <w:tc>
          <w:tcPr>
            <w:tcW w:w="7500" w:type="dxa"/>
            <w:vAlign w:val="bottom"/>
            <w:gridSpan w:val="24"/>
          </w:tcPr>
          <w:p>
            <w:pPr>
              <w:spacing w:after="0" w:line="202" w:lineRule="exact"/>
              <w:rPr>
                <w:sz w:val="20"/>
                <w:szCs w:val="20"/>
                <w:color w:val="auto"/>
              </w:rPr>
            </w:pPr>
            <w:r>
              <w:rPr>
                <w:rFonts w:ascii="Arial" w:cs="Arial" w:eastAsia="Arial" w:hAnsi="Arial"/>
                <w:sz w:val="18"/>
                <w:szCs w:val="18"/>
                <w:color w:val="0000FF"/>
              </w:rPr>
              <w:t>Defaults upon Senior Securities</w:t>
            </w:r>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Item 4</w:t>
              </w:r>
            </w:hyperlink>
          </w:p>
        </w:tc>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5</w:t>
              </w:r>
            </w:hyperlink>
          </w:p>
        </w:tc>
        <w:tc>
          <w:tcPr>
            <w:tcW w:w="7500" w:type="dxa"/>
            <w:vAlign w:val="bottom"/>
            <w:gridSpan w:val="24"/>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800" w:type="dxa"/>
            <w:vAlign w:val="bottom"/>
            <w:gridSpan w:val="6"/>
            <w:shd w:val="clear" w:color="auto" w:fill="CCEEFF"/>
          </w:tcPr>
          <w:p>
            <w:pPr>
              <w:ind w:left="56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40" w:type="dxa"/>
            <w:vAlign w:val="bottom"/>
            <w:gridSpan w:val="7"/>
            <w:shd w:val="clear" w:color="auto" w:fill="CCEEFF"/>
          </w:tcPr>
          <w:p>
            <w:pPr>
              <w:ind w:left="40"/>
              <w:spacing w:after="0" w:line="202"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Signatures</w:t>
              </w:r>
            </w:hyperlink>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0000EE"/>
              </w:rPr>
              <w:t>Certifications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048"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December 30, 2017</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July 1, 2017</w:t>
            </w:r>
          </w:p>
        </w:tc>
      </w:tr>
      <w:tr>
        <w:trPr>
          <w:trHeight w:val="231"/>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183,202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178,494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173,564</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165,183</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Finished goods inventories</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663,263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548,722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610,423</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46,402</w:t>
            </w:r>
          </w:p>
        </w:tc>
      </w:tr>
      <w:tr>
        <w:trPr>
          <w:trHeight w:val="217"/>
        </w:trPr>
        <w:tc>
          <w:tcPr>
            <w:tcW w:w="582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1,050,937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1,020,712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995,572</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shd w:val="clear" w:color="auto" w:fill="CCEEFF"/>
              </w:rPr>
              <w:t>Property, plant, and equipment, net of accumulated depreciation of $430,834, $404,173,</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3"/>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and $384,881, 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364,223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377,924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382,472</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Tradenames, net</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365,817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365,551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365,639</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231,709</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Customer relationships, net</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46,222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47,996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35,096</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23,246</w:t>
            </w:r>
          </w:p>
        </w:tc>
      </w:tr>
      <w:tr>
        <w:trPr>
          <w:trHeight w:val="284"/>
        </w:trPr>
        <w:tc>
          <w:tcPr>
            <w:tcW w:w="58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2,083,529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2,071,042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2,033,734</w:t>
            </w:r>
          </w:p>
        </w:tc>
      </w:tr>
      <w:tr>
        <w:trPr>
          <w:trHeight w:val="203"/>
        </w:trPr>
        <w:tc>
          <w:tcPr>
            <w:tcW w:w="5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216,931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182,114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217,340</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149,134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96,460</w:t>
            </w:r>
          </w:p>
        </w:tc>
      </w:tr>
      <w:tr>
        <w:trPr>
          <w:trHeight w:val="217"/>
        </w:trPr>
        <w:tc>
          <w:tcPr>
            <w:tcW w:w="582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312,616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331,248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313,800</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682,778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617,306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661,846</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85,755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133,273</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192,051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180,128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174,867</w:t>
            </w:r>
          </w:p>
        </w:tc>
      </w:tr>
      <w:tr>
        <w:trPr>
          <w:trHeight w:val="33"/>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1,273,200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1,213,626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1,283,786</w:t>
            </w:r>
          </w:p>
        </w:tc>
      </w:tr>
      <w:tr>
        <w:trPr>
          <w:trHeight w:val="189"/>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Commitments and contingencies - Note 14</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176"/>
        </w:trPr>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0"/>
        </w:trPr>
        <w:tc>
          <w:tcPr>
            <w:tcW w:w="5820" w:type="dxa"/>
            <w:vAlign w:val="bottom"/>
          </w:tcPr>
          <w:p>
            <w:pPr>
              <w:ind w:left="40"/>
              <w:spacing w:after="0"/>
              <w:rPr>
                <w:sz w:val="20"/>
                <w:szCs w:val="20"/>
                <w:color w:val="auto"/>
              </w:rPr>
            </w:pPr>
            <w:r>
              <w:rPr>
                <w:rFonts w:ascii="Arial" w:cs="Arial" w:eastAsia="Arial" w:hAnsi="Arial"/>
                <w:sz w:val="16"/>
                <w:szCs w:val="16"/>
                <w:color w:val="auto"/>
                <w:w w:val="95"/>
              </w:rPr>
              <w:t>Preferred stock; par value $.01 per share; 100,000 shares authorized; none issued or</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6"/>
        </w:trPr>
        <w:tc>
          <w:tcPr>
            <w:tcW w:w="5820" w:type="dxa"/>
            <w:vAlign w:val="bottom"/>
          </w:tcPr>
          <w:p>
            <w:pPr>
              <w:ind w:left="40"/>
              <w:spacing w:after="0"/>
              <w:rPr>
                <w:sz w:val="20"/>
                <w:szCs w:val="20"/>
                <w:color w:val="auto"/>
              </w:rPr>
            </w:pPr>
            <w:r>
              <w:rPr>
                <w:rFonts w:ascii="Arial" w:cs="Arial" w:eastAsia="Arial" w:hAnsi="Arial"/>
                <w:sz w:val="16"/>
                <w:szCs w:val="16"/>
                <w:color w:val="auto"/>
              </w:rPr>
              <w:t>outstanding at June 30, 2018, December 30, 2017, and July 1, 2017</w:t>
            </w:r>
          </w:p>
        </w:tc>
        <w:tc>
          <w:tcPr>
            <w:tcW w:w="320" w:type="dxa"/>
            <w:vAlign w:val="bottom"/>
          </w:tcPr>
          <w:p>
            <w:pPr>
              <w:spacing w:after="0"/>
              <w:rPr>
                <w:sz w:val="17"/>
                <w:szCs w:val="17"/>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Common stock, voting; par value $.01 per share; 150,000,000 shares authorized;</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3"/>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shd w:val="clear" w:color="auto" w:fill="CCEEFF"/>
              </w:rPr>
              <w:t>46,565,443, 47,178,346 and 47,971,577 shares issued and outstanding at June 30, 2018,</w:t>
            </w: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December 30, 2017 and July 1, 2017, 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(35,532)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(30,653)</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Retained earnings</w:t>
            </w: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845,395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886,037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780,121</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810,329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857,416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749,948</w:t>
            </w:r>
          </w:p>
        </w:tc>
      </w:tr>
      <w:tr>
        <w:trPr>
          <w:trHeight w:val="33"/>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shd w:val="clear" w:color="auto" w:fill="CCEEFF"/>
              </w:rPr>
              <w:t>Total liabilities and stockholders' equity</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2,083,529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2,071,042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2,033,734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3340" w:type="dxa"/>
            <w:vAlign w:val="bottom"/>
            <w:tcBorders>
              <w:bottom w:val="single" w:sz="8" w:color="CCEEFF"/>
            </w:tcBorders>
            <w:gridSpan w:val="4"/>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shd w:val="clear" w:color="auto" w:fill="CCEEFF"/>
              </w:rPr>
              <w:t>Fiscal quarter ended</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gridSpan w:val="4"/>
            <w:shd w:val="clear" w:color="auto" w:fill="CCEEFF"/>
          </w:tcPr>
          <w:p>
            <w:pPr>
              <w:jc w:val="right"/>
              <w:ind w:right="799"/>
              <w:spacing w:after="0"/>
              <w:rPr>
                <w:sz w:val="20"/>
                <w:szCs w:val="20"/>
                <w:color w:val="auto"/>
              </w:rPr>
            </w:pPr>
            <w:r>
              <w:rPr>
                <w:rFonts w:ascii="Arial" w:cs="Arial" w:eastAsia="Arial" w:hAnsi="Arial"/>
                <w:sz w:val="16"/>
                <w:szCs w:val="16"/>
                <w:b w:val="1"/>
                <w:bCs w:val="1"/>
                <w:color w:val="auto"/>
                <w:shd w:val="clear" w:color="auto" w:fill="CCEEFF"/>
              </w:rPr>
              <w:t>Two fiscal quarters ended</w:t>
            </w:r>
          </w:p>
        </w:tc>
      </w:tr>
      <w:tr>
        <w:trPr>
          <w:trHeight w:val="231"/>
        </w:trPr>
        <w:tc>
          <w:tcPr>
            <w:tcW w:w="3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July 1, 2017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July 1, 2017</w:t>
            </w:r>
          </w:p>
        </w:tc>
      </w:tr>
      <w:tr>
        <w:trPr>
          <w:trHeight w:val="33"/>
        </w:trPr>
        <w:tc>
          <w:tcPr>
            <w:tcW w:w="3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696,197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691,751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1,451,983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1,424,578</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386,239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388,504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809,548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805,639</w:t>
            </w:r>
          </w:p>
        </w:tc>
      </w:tr>
      <w:tr>
        <w:trPr>
          <w:trHeight w:val="33"/>
        </w:trPr>
        <w:tc>
          <w:tcPr>
            <w:tcW w:w="3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309,958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303,247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642,435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618,939</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Royalty income, net</w:t>
            </w:r>
          </w:p>
        </w:tc>
        <w:tc>
          <w:tcPr>
            <w:tcW w:w="3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10,355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11,210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18,349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21,768</w:t>
            </w:r>
          </w:p>
        </w:tc>
      </w:tr>
      <w:tr>
        <w:trPr>
          <w:trHeight w:val="33"/>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263,343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250,146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543,505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497,940</w:t>
            </w:r>
          </w:p>
        </w:tc>
      </w:tr>
      <w:tr>
        <w:trPr>
          <w:trHeight w:val="217"/>
        </w:trPr>
        <w:tc>
          <w:tcPr>
            <w:tcW w:w="39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56,970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64,311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117,279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142,767</w:t>
            </w:r>
          </w:p>
        </w:tc>
      </w:tr>
      <w:tr>
        <w:trPr>
          <w:trHeight w:val="33"/>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14,298</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33"/>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r>
      <w:tr>
        <w:trPr>
          <w:trHeight w:val="217"/>
        </w:trPr>
        <w:tc>
          <w:tcPr>
            <w:tcW w:w="39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48,283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57,740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101,155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129,453</w:t>
            </w:r>
          </w:p>
        </w:tc>
      </w:tr>
      <w:tr>
        <w:trPr>
          <w:trHeight w:val="33"/>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45,065</w:t>
            </w:r>
          </w:p>
        </w:tc>
      </w:tr>
      <w:tr>
        <w:trPr>
          <w:trHeight w:val="284"/>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37,268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37,793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79,737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84,388</w:t>
            </w:r>
          </w:p>
        </w:tc>
      </w:tr>
      <w:tr>
        <w:trPr>
          <w:trHeight w:val="311"/>
        </w:trPr>
        <w:tc>
          <w:tcPr>
            <w:tcW w:w="3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33"/>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0.74</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796"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720" w:type="dxa"/>
            <w:vAlign w:val="bottom"/>
            <w:tcBorders>
              <w:bottom w:val="single" w:sz="8" w:color="CCEEFF"/>
            </w:tcBorders>
            <w:gridSpan w:val="5"/>
            <w:shd w:val="clear" w:color="auto" w:fill="CCEEFF"/>
          </w:tcPr>
          <w:p>
            <w:pPr>
              <w:ind w:left="960"/>
              <w:spacing w:after="0"/>
              <w:rPr>
                <w:sz w:val="20"/>
                <w:szCs w:val="20"/>
                <w:color w:val="auto"/>
              </w:rPr>
            </w:pPr>
            <w:r>
              <w:rPr>
                <w:rFonts w:ascii="Arial" w:cs="Arial" w:eastAsia="Arial" w:hAnsi="Arial"/>
                <w:sz w:val="16"/>
                <w:szCs w:val="16"/>
                <w:b w:val="1"/>
                <w:bCs w:val="1"/>
                <w:color w:val="auto"/>
              </w:rPr>
              <w:t>Fiscal quarter ended</w:t>
            </w:r>
          </w:p>
        </w:tc>
        <w:tc>
          <w:tcPr>
            <w:tcW w:w="30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gridSpan w:val="4"/>
            <w:shd w:val="clear" w:color="auto" w:fill="CCEEFF"/>
          </w:tcPr>
          <w:p>
            <w:pPr>
              <w:jc w:val="right"/>
              <w:ind w:right="799"/>
              <w:spacing w:after="0"/>
              <w:rPr>
                <w:sz w:val="20"/>
                <w:szCs w:val="20"/>
                <w:color w:val="auto"/>
              </w:rPr>
            </w:pPr>
            <w:r>
              <w:rPr>
                <w:rFonts w:ascii="Arial" w:cs="Arial" w:eastAsia="Arial" w:hAnsi="Arial"/>
                <w:sz w:val="16"/>
                <w:szCs w:val="16"/>
                <w:b w:val="1"/>
                <w:bCs w:val="1"/>
                <w:color w:val="auto"/>
                <w:shd w:val="clear" w:color="auto" w:fill="CCEEFF"/>
              </w:rPr>
              <w:t>Two fiscal quarters ended</w:t>
            </w:r>
          </w:p>
        </w:tc>
      </w:tr>
      <w:tr>
        <w:trPr>
          <w:trHeight w:val="231"/>
        </w:trPr>
        <w:tc>
          <w:tcPr>
            <w:tcW w:w="3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July 1, 2017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July 1, 2017</w:t>
            </w:r>
          </w:p>
        </w:tc>
      </w:tr>
      <w:tr>
        <w:trPr>
          <w:trHeight w:val="33"/>
        </w:trPr>
        <w:tc>
          <w:tcPr>
            <w:tcW w:w="3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79,737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84,388</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4,087</w:t>
            </w:r>
          </w:p>
        </w:tc>
      </w:tr>
      <w:tr>
        <w:trPr>
          <w:trHeight w:val="244"/>
        </w:trPr>
        <w:tc>
          <w:tcPr>
            <w:tcW w:w="35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32,591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40,933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73,298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88,475</w:t>
            </w:r>
          </w:p>
        </w:tc>
      </w:tr>
      <w:tr>
        <w:trPr>
          <w:trHeight w:val="20"/>
        </w:trPr>
        <w:tc>
          <w:tcPr>
            <w:tcW w:w="3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60" w:top="580"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1"/>
              </w:rPr>
              <w:t>Accumulated other</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8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89"/>
              </w:rPr>
              <w:t>Common stock -</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5"/>
              </w:rPr>
              <w:t>paid-in</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comprehensive</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r>
      <w:tr>
        <w:trPr>
          <w:trHeight w:val="243"/>
        </w:trPr>
        <w:tc>
          <w:tcPr>
            <w:tcW w:w="28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85"/>
              </w:rPr>
              <w:t>shares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9"/>
              </w:rPr>
              <w:t>stock - $</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0"/>
              </w:rPr>
              <w:t>capital</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74"/>
              </w:rPr>
              <w:t>loss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earnings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3"/>
              </w:rPr>
              <w:t>equity</w:t>
            </w:r>
          </w:p>
        </w:tc>
      </w:tr>
      <w:tr>
        <w:trPr>
          <w:trHeight w:val="115"/>
        </w:trPr>
        <w:tc>
          <w:tcPr>
            <w:tcW w:w="288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30, 2017</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47,178,346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857,416</w:t>
            </w:r>
          </w:p>
        </w:tc>
      </w:tr>
      <w:tr>
        <w:trPr>
          <w:trHeight w:val="237"/>
        </w:trPr>
        <w:tc>
          <w:tcPr>
            <w:tcW w:w="28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142,087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7,374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7,376</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 of restricted</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(55,933)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(6,667)</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121,570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10,266</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360" w:type="dxa"/>
            <w:vAlign w:val="bottom"/>
          </w:tcPr>
          <w:p>
            <w:pPr>
              <w:jc w:val="right"/>
              <w:spacing w:after="0"/>
              <w:rPr>
                <w:sz w:val="20"/>
                <w:szCs w:val="20"/>
                <w:color w:val="auto"/>
              </w:rPr>
            </w:pPr>
            <w:r>
              <w:rPr>
                <w:rFonts w:ascii="Arial" w:cs="Arial" w:eastAsia="Arial" w:hAnsi="Arial"/>
                <w:sz w:val="16"/>
                <w:szCs w:val="16"/>
                <w:color w:val="auto"/>
              </w:rPr>
              <w:t>(820,627)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(78,112)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(89,093)</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(42,267)</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73,298</w:t>
            </w:r>
          </w:p>
        </w:tc>
      </w:tr>
      <w:tr>
        <w:trPr>
          <w:trHeight w:val="33"/>
        </w:trPr>
        <w:tc>
          <w:tcPr>
            <w:tcW w:w="28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46,565,443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845,395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810,329</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91440</wp:posOffset>
            </wp:positionV>
            <wp:extent cx="718629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13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Two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4889500</wp:posOffset>
            </wp:positionH>
            <wp:positionV relativeFrom="paragraph">
              <wp:posOffset>34290</wp:posOffset>
            </wp:positionV>
            <wp:extent cx="2298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2018</w:t>
            </w:r>
          </w:p>
        </w:tc>
        <w:tc>
          <w:tcPr>
            <w:tcW w:w="220" w:type="dxa"/>
            <w:vAlign w:val="bottom"/>
          </w:tcPr>
          <w:p>
            <w:pPr>
              <w:spacing w:after="0"/>
              <w:rPr>
                <w:sz w:val="18"/>
                <w:szCs w:val="18"/>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July 1, 2017</w:t>
            </w:r>
          </w:p>
        </w:tc>
      </w:tr>
      <w:tr>
        <w:trPr>
          <w:trHeight w:val="33"/>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79,737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84,388</w:t>
            </w:r>
          </w:p>
        </w:tc>
      </w:tr>
      <w:tr>
        <w:trPr>
          <w:trHeight w:val="33"/>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41,989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39,705</w:t>
            </w:r>
          </w:p>
        </w:tc>
      </w:tr>
      <w:tr>
        <w:trPr>
          <w:trHeight w:val="33"/>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w:t>
            </w:r>
          </w:p>
        </w:tc>
      </w:tr>
      <w:tr>
        <w:trPr>
          <w:trHeight w:val="237"/>
        </w:trPr>
        <w:tc>
          <w:tcPr>
            <w:tcW w:w="770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749</w:t>
            </w:r>
          </w:p>
        </w:tc>
      </w:tr>
      <w:tr>
        <w:trPr>
          <w:trHeight w:val="33"/>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9,646</w:t>
            </w:r>
          </w:p>
        </w:tc>
      </w:tr>
      <w:tr>
        <w:trPr>
          <w:trHeight w:val="237"/>
        </w:trPr>
        <w:tc>
          <w:tcPr>
            <w:tcW w:w="7700" w:type="dxa"/>
            <w:vAlign w:val="bottom"/>
          </w:tcPr>
          <w:p>
            <w:pPr>
              <w:ind w:left="380"/>
              <w:spacing w:after="0"/>
              <w:rPr>
                <w:sz w:val="20"/>
                <w:szCs w:val="20"/>
                <w:color w:val="auto"/>
              </w:rPr>
            </w:pPr>
            <w:r>
              <w:rPr>
                <w:rFonts w:ascii="Arial" w:cs="Arial" w:eastAsia="Arial" w:hAnsi="Arial"/>
                <w:sz w:val="16"/>
                <w:szCs w:val="16"/>
                <w:color w:val="auto"/>
              </w:rPr>
              <w:t>Unrealized foreign currency exchange loss (gain), net</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33"/>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Provisions for doubtful accounts receivable from customers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w:t>
            </w:r>
          </w:p>
        </w:tc>
      </w:tr>
      <w:tr>
        <w:trPr>
          <w:trHeight w:val="237"/>
        </w:trPr>
        <w:tc>
          <w:tcPr>
            <w:tcW w:w="7700" w:type="dxa"/>
            <w:vAlign w:val="bottom"/>
          </w:tcPr>
          <w:p>
            <w:pPr>
              <w:ind w:left="380"/>
              <w:spacing w:after="0"/>
              <w:rPr>
                <w:sz w:val="20"/>
                <w:szCs w:val="20"/>
                <w:color w:val="auto"/>
              </w:rPr>
            </w:pPr>
            <w:r>
              <w:rPr>
                <w:rFonts w:ascii="Arial" w:cs="Arial" w:eastAsia="Arial" w:hAnsi="Arial"/>
                <w:sz w:val="16"/>
                <w:szCs w:val="16"/>
                <w:color w:val="auto"/>
              </w:rPr>
              <w:t>Loss on disposal of property, plant, and equipment, net of recoveries</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221</w:t>
            </w:r>
          </w:p>
        </w:tc>
      </w:tr>
      <w:tr>
        <w:trPr>
          <w:trHeight w:val="33"/>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3,109</w:t>
            </w:r>
          </w:p>
        </w:tc>
      </w:tr>
      <w:tr>
        <w:trPr>
          <w:trHeight w:val="237"/>
        </w:trPr>
        <w:tc>
          <w:tcPr>
            <w:tcW w:w="7700" w:type="dxa"/>
            <w:vAlign w:val="bottom"/>
          </w:tcPr>
          <w:p>
            <w:pPr>
              <w:ind w:left="380"/>
              <w:spacing w:after="0"/>
              <w:rPr>
                <w:sz w:val="20"/>
                <w:szCs w:val="20"/>
                <w:color w:val="auto"/>
              </w:rPr>
            </w:pPr>
            <w:r>
              <w:rPr>
                <w:rFonts w:ascii="Arial" w:cs="Arial" w:eastAsia="Arial" w:hAnsi="Arial"/>
                <w:sz w:val="16"/>
                <w:szCs w:val="16"/>
                <w:color w:val="auto"/>
              </w:rPr>
              <w:t>Effect of changes in operating assets and liabilities, net of acquisitions:</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shd w:val="clear" w:color="auto" w:fill="CCEEFF"/>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56,610</w:t>
            </w:r>
          </w:p>
        </w:tc>
      </w:tr>
      <w:tr>
        <w:trPr>
          <w:trHeight w:val="237"/>
        </w:trPr>
        <w:tc>
          <w:tcPr>
            <w:tcW w:w="7700" w:type="dxa"/>
            <w:vAlign w:val="bottom"/>
          </w:tcPr>
          <w:p>
            <w:pPr>
              <w:ind w:left="480"/>
              <w:spacing w:after="0"/>
              <w:rPr>
                <w:sz w:val="20"/>
                <w:szCs w:val="20"/>
                <w:color w:val="auto"/>
              </w:rPr>
            </w:pPr>
            <w:r>
              <w:rPr>
                <w:rFonts w:ascii="Arial" w:cs="Arial" w:eastAsia="Arial" w:hAnsi="Arial"/>
                <w:sz w:val="16"/>
                <w:szCs w:val="16"/>
                <w:color w:val="auto"/>
              </w:rPr>
              <w:t>Finished goods inventories</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(117,469)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(91,446)</w:t>
            </w:r>
          </w:p>
        </w:tc>
      </w:tr>
      <w:tr>
        <w:trPr>
          <w:trHeight w:val="33"/>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shd w:val="clear" w:color="auto" w:fill="CCEEFF"/>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(13,151)</w:t>
            </w:r>
          </w:p>
        </w:tc>
      </w:tr>
      <w:tr>
        <w:trPr>
          <w:trHeight w:val="237"/>
        </w:trPr>
        <w:tc>
          <w:tcPr>
            <w:tcW w:w="7700" w:type="dxa"/>
            <w:vAlign w:val="bottom"/>
          </w:tcPr>
          <w:p>
            <w:pPr>
              <w:ind w:left="480"/>
              <w:spacing w:after="0"/>
              <w:rPr>
                <w:sz w:val="20"/>
                <w:szCs w:val="20"/>
                <w:color w:val="auto"/>
              </w:rPr>
            </w:pPr>
            <w:r>
              <w:rPr>
                <w:rFonts w:ascii="Arial" w:cs="Arial" w:eastAsia="Arial" w:hAnsi="Arial"/>
                <w:sz w:val="16"/>
                <w:szCs w:val="16"/>
                <w:color w:val="auto"/>
              </w:rPr>
              <w:t>Accounts payable and other liabilities</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16,560</w:t>
            </w:r>
          </w:p>
        </w:tc>
      </w:tr>
      <w:tr>
        <w:trPr>
          <w:trHeight w:val="33"/>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shd w:val="clear" w:color="auto" w:fill="CCEEFF"/>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107,333</w:t>
            </w:r>
          </w:p>
        </w:tc>
      </w:tr>
      <w:tr>
        <w:trPr>
          <w:trHeight w:val="223"/>
        </w:trPr>
        <w:tc>
          <w:tcPr>
            <w:tcW w:w="7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(34,276)</w:t>
            </w:r>
          </w:p>
        </w:tc>
      </w:tr>
      <w:tr>
        <w:trPr>
          <w:trHeight w:val="33"/>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Acquisitions of businesses,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(143,704)</w:t>
            </w: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Disposals and recoveries from property, plant, and equipment</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shd w:val="clear" w:color="auto" w:fill="CCEEFF"/>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(177,980)</w:t>
            </w:r>
          </w:p>
        </w:tc>
      </w:tr>
      <w:tr>
        <w:trPr>
          <w:trHeight w:val="223"/>
        </w:trPr>
        <w:tc>
          <w:tcPr>
            <w:tcW w:w="7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Borrowings under secured revolving credit facility</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100,000</w:t>
            </w:r>
          </w:p>
        </w:tc>
      </w:tr>
      <w:tr>
        <w:trPr>
          <w:trHeight w:val="33"/>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Payments on secured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(18,965)</w:t>
            </w: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(89,093)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(98,236)</w:t>
            </w:r>
          </w:p>
        </w:tc>
      </w:tr>
      <w:tr>
        <w:trPr>
          <w:trHeight w:val="33"/>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(35,831)</w:t>
            </w: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Withholdings from vestings of restricted stock</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(6,667)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(5,590)</w:t>
            </w:r>
          </w:p>
        </w:tc>
      </w:tr>
      <w:tr>
        <w:trPr>
          <w:trHeight w:val="33"/>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Proceeds from exercises of 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3,122</w:t>
            </w:r>
          </w:p>
        </w:tc>
      </w:tr>
      <w:tr>
        <w:trPr>
          <w:trHeight w:val="217"/>
        </w:trPr>
        <w:tc>
          <w:tcPr>
            <w:tcW w:w="7700" w:type="dxa"/>
            <w:vAlign w:val="bottom"/>
          </w:tcPr>
          <w:p>
            <w:pPr>
              <w:ind w:left="5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(65,651)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(55,500)</w:t>
            </w:r>
          </w:p>
        </w:tc>
      </w:tr>
      <w:tr>
        <w:trPr>
          <w:trHeight w:val="33"/>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0"/>
        </w:trPr>
        <w:tc>
          <w:tcPr>
            <w:tcW w:w="7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353</w:t>
            </w:r>
          </w:p>
        </w:tc>
      </w:tr>
      <w:tr>
        <w:trPr>
          <w:trHeight w:val="33"/>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(125,794)</w:t>
            </w:r>
          </w:p>
        </w:tc>
      </w:tr>
      <w:tr>
        <w:trPr>
          <w:trHeight w:val="237"/>
        </w:trPr>
        <w:tc>
          <w:tcPr>
            <w:tcW w:w="770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178,494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299,358</w:t>
            </w:r>
          </w:p>
        </w:tc>
      </w:tr>
      <w:tr>
        <w:trPr>
          <w:trHeight w:val="33"/>
        </w:trPr>
        <w:tc>
          <w:tcPr>
            <w:tcW w:w="7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Cash and cash equivalents,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173,564</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300" w:top="580" w:right="2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Carter's, Inc. and its wholly owned subsidiaries (collectively, the "Company," "its," "us" and "our") design, source, and market branded childrenswear and related products under the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w:t>
      </w:r>
      <w:r>
        <w:rPr>
          <w:rFonts w:ascii="Arial" w:cs="Arial" w:eastAsia="Arial" w:hAnsi="Arial"/>
          <w:sz w:val="17"/>
          <w:szCs w:val="17"/>
          <w:i w:val="1"/>
          <w:iCs w:val="1"/>
          <w:color w:val="auto"/>
        </w:rPr>
        <w:t>Child of Mine</w:t>
      </w:r>
      <w:r>
        <w:rPr>
          <w:rFonts w:ascii="Arial" w:cs="Arial" w:eastAsia="Arial" w:hAnsi="Arial"/>
          <w:sz w:val="17"/>
          <w:szCs w:val="17"/>
          <w:color w:val="auto"/>
        </w:rPr>
        <w:t xml:space="preserve">, </w:t>
      </w:r>
      <w:r>
        <w:rPr>
          <w:rFonts w:ascii="Arial" w:cs="Arial" w:eastAsia="Arial" w:hAnsi="Arial"/>
          <w:sz w:val="17"/>
          <w:szCs w:val="17"/>
          <w:i w:val="1"/>
          <w:iCs w:val="1"/>
          <w:color w:val="auto"/>
        </w:rPr>
        <w:t>Just One You</w:t>
      </w:r>
      <w:r>
        <w:rPr>
          <w:rFonts w:ascii="Arial" w:cs="Arial" w:eastAsia="Arial" w:hAnsi="Arial"/>
          <w:sz w:val="17"/>
          <w:szCs w:val="17"/>
          <w:color w:val="auto"/>
        </w:rPr>
        <w:t xml:space="preserve">, </w:t>
      </w:r>
      <w:r>
        <w:rPr>
          <w:rFonts w:ascii="Arial" w:cs="Arial" w:eastAsia="Arial" w:hAnsi="Arial"/>
          <w:sz w:val="17"/>
          <w:szCs w:val="17"/>
          <w:i w:val="1"/>
          <w:iCs w:val="1"/>
          <w:color w:val="auto"/>
        </w:rPr>
        <w:t>Precious Firsts</w:t>
      </w:r>
      <w:r>
        <w:rPr>
          <w:rFonts w:ascii="Arial" w:cs="Arial" w:eastAsia="Arial" w:hAnsi="Arial"/>
          <w:sz w:val="17"/>
          <w:szCs w:val="17"/>
          <w:color w:val="auto"/>
        </w:rPr>
        <w:t xml:space="preserve">, </w:t>
      </w:r>
      <w:r>
        <w:rPr>
          <w:rFonts w:ascii="Arial" w:cs="Arial" w:eastAsia="Arial" w:hAnsi="Arial"/>
          <w:sz w:val="17"/>
          <w:szCs w:val="17"/>
          <w:i w:val="1"/>
          <w:iCs w:val="1"/>
          <w:color w:val="auto"/>
        </w:rPr>
        <w:t>Simple Joys</w:t>
      </w:r>
      <w:r>
        <w:rPr>
          <w:rFonts w:ascii="Arial" w:cs="Arial" w:eastAsia="Arial" w:hAnsi="Arial"/>
          <w:sz w:val="17"/>
          <w:szCs w:val="17"/>
          <w:color w:val="auto"/>
        </w:rPr>
        <w:t xml:space="preserve">, </w:t>
      </w:r>
      <w:r>
        <w:rPr>
          <w:rFonts w:ascii="Arial" w:cs="Arial" w:eastAsia="Arial" w:hAnsi="Arial"/>
          <w:sz w:val="17"/>
          <w:szCs w:val="17"/>
          <w:i w:val="1"/>
          <w:iCs w:val="1"/>
          <w:color w:val="auto"/>
        </w:rPr>
        <w:t>OshKosh B'gosh</w:t>
      </w:r>
      <w:r>
        <w:rPr>
          <w:rFonts w:ascii="Arial" w:cs="Arial" w:eastAsia="Arial" w:hAnsi="Arial"/>
          <w:sz w:val="17"/>
          <w:szCs w:val="17"/>
          <w:color w:val="auto"/>
        </w:rPr>
        <w:t xml:space="preserv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and other brands. The 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 As of June 30, 2018, the Company operated 1,049 retail stores in the United States, Canada, and Mexico.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and two fiscal quarters ended June 30, 2018 are not necessarily indicative of the results that may be expected for the current fiscal year ending December 29, 2018.</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The accompanying condensed consolidated balance sheet as of December 30, 2017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 As disclosed in Note 2, </w:t>
      </w:r>
      <w:r>
        <w:rPr>
          <w:rFonts w:ascii="Arial" w:cs="Arial" w:eastAsia="Arial" w:hAnsi="Arial"/>
          <w:sz w:val="17"/>
          <w:szCs w:val="17"/>
          <w:i w:val="1"/>
          <w:iCs w:val="1"/>
          <w:color w:val="auto"/>
        </w:rPr>
        <w:t>Basis of Presentation</w:t>
      </w:r>
      <w:r>
        <w:rPr>
          <w:rFonts w:ascii="Arial" w:cs="Arial" w:eastAsia="Arial" w:hAnsi="Arial"/>
          <w:sz w:val="17"/>
          <w:szCs w:val="17"/>
          <w:color w:val="auto"/>
        </w:rPr>
        <w:t xml:space="preserve">, and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at the beginning of fiscal 2018 the Company adopted the Financial Accounting Standards Board's ("FASB") Accounting Standards Codification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related amendments (“ASC 606”) using the full retrospective adoption method. The full retrospective method required the Company to apply the standard to the financial statements for the period of adoption as well as to each prior reporting period presented.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accounting policies the Company follows are set forth in its most recently filed Annual Report on Form 10-K. There have been no material changes to these accounting policies, except as noted below for new accounting pronouncements adopted at the beginning of fiscal 2018.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(ASC No. 606)</w:t>
      </w:r>
    </w:p>
    <w:p>
      <w:pPr>
        <w:spacing w:after="0" w:line="18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At the beginning of fiscal 2018, the Company adopted the provisions of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all related amendments (“ASC 606”) using the full retrospective adoption method. Refer to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for additional information.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five-step model to recognize revenue:</w:t>
      </w:r>
    </w:p>
    <w:p>
      <w:pPr>
        <w:spacing w:after="0" w:line="18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Identity the performance obligation(s)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each performance obligation if multiple obligations exist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the revenue as the performance obligations are satisfied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8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identifies each distinct performance obligation to transfer goods (or bundle of goods). The Company recognizes revenue when (or as) it satisfies a performance obligation by transferring control of the goods to the customer. Other than inbound and outbound freight and shipping arrangements, the Company does not use third parties to satisfy its performance obligations in revenue arrangements with customers.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When Performance Obligations Are Satisfied</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Wholesale Revenues - The Company typically transfers control upon shipment. However, in certain arrangements where the Company retains the risk of loss during shipment, satisfaction of the performance obligation occurs when the goods reach the customer.</w:t>
      </w:r>
    </w:p>
    <w:p>
      <w:pPr>
        <w:spacing w:after="0" w:line="13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Retail Revenues - For transactions in stores, the Company satisfies its performance obligation at point of sale when the customer takes possession of the goods and tenders payment. The redemption of loyalty points under the Company's rewards program and redemptions of gift cards may be part of a transaction. For purchases made through the Company’s eCommerce channel, revenue is recognized when the goods are physically delivered to the customer.</w:t>
      </w:r>
    </w:p>
    <w:p>
      <w:pPr>
        <w:spacing w:after="0" w:line="10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satisfies its performance obligations with licensees over time as customers have the right to use the intellectual property over the contract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Payment Terms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Retail customers tender a form of payment, such as cash or a credit/debit card, at point of sale. For wholesale customers and licensees, payment is due based on established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 and Refunds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establishes return provisions for retail customers. It is the Company's policy not to accept returns from wholesale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8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Sale of Goods - The Company relies on shipping terms to determine when performance obligations are satisfied. When goods are shipped to wholesale customers “FOB Shipping Point,” control of the goods is transferred to the customer at the time of shipment if there are no remaining performance obligations. The Company recognizes the revenue once control passes to the customer. For retail transactions, no significant judgments are involved since revenue is recognized at the point of sale when tender is exchanged and the customer receives the goods.</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Royalty Revenues - The Company transfers the right-to-use benefit to the licensee for the contract term and therefore the Company satisfies its performance obligation over time. Revenue recognized for each reporting period is based on the greater of: 1) the royalties owed on actual net sales by the licensee and 2) a minimum royalty guarantee, if applicable.</w:t>
      </w:r>
    </w:p>
    <w:p>
      <w:pPr>
        <w:spacing w:after="0" w:line="14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Transaction Price -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 For retail transactions, the Company has significant experience with return patterns and relies on this experience to estimate expected returns when determining the transaction price.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Standalone Selling Prices - For arrangements that contain multiple performance obligations, the Company allocates the transaction price to each performance obligation on a relative standalone selling price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Obtain a Contract - Incremental costs to obtain contracts are not material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those previously disclosed, the Company has made the following accounting policy elections and practical expedients:</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Portfolio Approach - The Company uses the portfolio approach when multiple contracts or performance obligations are involved in the determination of revenue recognition.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Taxes - The Company excludes from the transaction price any taxes collected from customers that are remitted to taxing authorities.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Shipping and Handling Charges - Charges that are incurred before and after the customer obtains control of goods are deemed to be fulfillment costs.</w:t>
      </w:r>
    </w:p>
    <w:p>
      <w:pPr>
        <w:spacing w:after="0" w:line="1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Time Value of Money - The Company's payment terms are less than one year from the transfer of goods. Therefore, the Company does not adjust promised amounts of consideration for the effects of the time value of money.</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Disclosure of Remaining Performance Obligations - The Company does not disclose the aggregate amount of the transaction price allocated to remaining performance obligations for contracts that are one year or less in term.</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Costs Related to Defined Benefit Pension and Other Post-retirement Benefit Plans (ASU 2017-07)</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At the beginning of fiscal 2018, the Company adopted ASU No. 2017-07, </w:t>
      </w:r>
      <w:r>
        <w:rPr>
          <w:rFonts w:ascii="Arial" w:cs="Arial" w:eastAsia="Arial" w:hAnsi="Arial"/>
          <w:sz w:val="17"/>
          <w:szCs w:val="17"/>
          <w:i w:val="1"/>
          <w:iCs w:val="1"/>
          <w:color w:val="auto"/>
        </w:rPr>
        <w:t>Compensation - Retirement Benefits (Topic 715: Improving the Presentation of Net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Periodic Pension Cost and Net Periodic Post-retirement Benefit Cost </w:t>
      </w:r>
      <w:r>
        <w:rPr>
          <w:rFonts w:ascii="Arial" w:cs="Arial" w:eastAsia="Arial" w:hAnsi="Arial"/>
          <w:sz w:val="17"/>
          <w:szCs w:val="17"/>
          <w:color w:val="auto"/>
        </w:rPr>
        <w:t>("ASU 2017-07"). ASU 2017-07 changes how employers that sponsor defined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pension and/or other post-retirement benefit plans present the net periodic benefit costs in the statement of operations. Under this new guidance, an employer's statement of operations presents service cost arising in the current period in the same statement line item as other employee compensation. However, all other components of current period costs related to defined benefit plans, such as prior service costs and actuarial gains and losses, are presented on the statement of operations on a line item outside (or below) operating income. ASU 2017-07 affects only the classification of certain costs on the statement of operations, not the determination of costs. Net periodic pension costs related to the Company's frozen defined benefit pension plan and post-retirement medical benefit plan were not material for the second quarter of fiscal 2018, two fiscal quarters of 2018, or prior periods. Prior period results have not been reclassified on the Company's statement of operations due to materiality.</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Modifications to Share-based Compensation Awards (ASU 2017-09)</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At the beginning of fiscal 2018, the Company adopted ASU No. 2017-09, </w:t>
      </w:r>
      <w:r>
        <w:rPr>
          <w:rFonts w:ascii="Arial" w:cs="Arial" w:eastAsia="Arial" w:hAnsi="Arial"/>
          <w:sz w:val="18"/>
          <w:szCs w:val="18"/>
          <w:i w:val="1"/>
          <w:iCs w:val="1"/>
          <w:color w:val="auto"/>
        </w:rPr>
        <w:t>Compensation-Stock Compensation Topic 718-Scope of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2017-09"). ASU 2017-09 clarifies when changes to the terms and conditions of share-based payment awards must be accounted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Entities apply the modification accounting guidance if the value, vesting conditions, or classification of an award changes. The Company has not modified any share-based payment awards. Should the Company modify share-based payment awards in the future, it will apply the provisions of ASU 2017-09.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 Business (ASU 2017-01)</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At the beginning of fiscal 2018, the Company adopted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ASU 2017-01 assists entities in determining if acquired assets constitute the acquisition of a business or the acquisition of assets for accounting and reporting purposes. This distinction is important because goodwill can only be recognized in an acquisition of a business. Prior to ASU 2017-01, if revenues were generated immediately before and after a transaction, the acquisition was typically considered a business. Under ASU 2017-01, entities are required to further assess the substance of the processes they acquire. Should the Company commence or complete an acquisition in future periods, it will apply the provisions of ASU 2017-01.</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37" w:right="2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Flows (ASU 2016-15)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the beginning of fiscal 2018, the Company adopted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("ASU 2016-15"). ASU 2016-15</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represents a consensus of the FASB’s Emerging Issues Task Force on eight separate issues that, if present, can impact classifications on the statement of cash flows. The guidance requires application using a retrospective transition method. The adoption of ASU 2016-15 only impacted the classification of certain insurance proceeds on the Company's consolidated statement of cash flows for the first two quarters of fiscal 2018.</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At the beginning of fiscal 2018, the Company adopted the provisions of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related amendments ("ASC 606") using the full retrospective adoption method. Under the full retrospective method, the Company adjusted all periods in fiscal 2017 and fiscal 2016 to reflect the provisions of ASC 606, and retained earnings at January 2, 2016 (beginning of fiscal 2016) were adjusted for the cumulative effect for prior periods. Refer to the section "Revenue from Contracts with Customers (ASC No. 606)" in Note 2,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changes to the Company's accounting policies due to the adoption of ASC 606.</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ASC 606 affected the Company's retail channels as follows:</w:t>
      </w:r>
    </w:p>
    <w:p>
      <w:pPr>
        <w:spacing w:after="0" w:line="185" w:lineRule="exact"/>
        <w:rPr>
          <w:sz w:val="20"/>
          <w:szCs w:val="20"/>
          <w:color w:val="auto"/>
        </w:rPr>
      </w:pPr>
    </w:p>
    <w:p>
      <w:pPr>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the recognition of breakage revenue from unredeemed gift cards, which affected net sales, gross profit, income before income taxes, and net income on the Company's statement of operations. Basic and diluted net income per share were affected by $0.01 or less for each reporting period. Related gift card liabilities and income tax liabilities were also affected.</w:t>
      </w:r>
    </w:p>
    <w:p>
      <w:pPr>
        <w:spacing w:after="0" w:line="140"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portion of the estimated value of goods expected to be returned by customers were reclassified between net sales and cost of goods sold, with no net effect on gross profit, income before income taxes, or net income on the Company's statement of operations. Related reclassifications were also made between other current assets and other current liabilities on the Company's balance sheet.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retrospective adoption on the Company's consolidated Statement of Operations were as follows:</w:t>
      </w:r>
    </w:p>
    <w:p>
      <w:pPr>
        <w:spacing w:after="0" w:line="334" w:lineRule="exact"/>
        <w:rPr>
          <w:sz w:val="20"/>
          <w:szCs w:val="20"/>
          <w:color w:val="auto"/>
        </w:rPr>
      </w:pPr>
    </w:p>
    <w:tbl>
      <w:tblPr>
        <w:tblLayout w:type="fixed"/>
        <w:tblInd w:w="740" w:type="dxa"/>
        <w:tblCellMar>
          <w:top w:w="0" w:type="dxa"/>
          <w:left w:w="0" w:type="dxa"/>
          <w:bottom w:w="0" w:type="dxa"/>
          <w:right w:w="0" w:type="dxa"/>
        </w:tblCellMar>
      </w:tblPr>
      <w:tr>
        <w:trPr>
          <w:trHeight w:val="250"/>
        </w:trPr>
        <w:tc>
          <w:tcPr>
            <w:tcW w:w="3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w w:val="93"/>
              </w:rPr>
              <w:t>Second Quarter</w:t>
            </w:r>
          </w:p>
        </w:tc>
        <w:tc>
          <w:tcPr>
            <w:tcW w:w="1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w w:val="96"/>
              </w:rPr>
              <w:t>Two Fiscal Quarters</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92"/>
              </w:rPr>
              <w:t>Year</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Year</w:t>
            </w:r>
          </w:p>
        </w:tc>
      </w:tr>
      <w:tr>
        <w:trPr>
          <w:trHeight w:val="203"/>
        </w:trPr>
        <w:tc>
          <w:tcPr>
            <w:tcW w:w="33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88"/>
              </w:rPr>
              <w:t>Fiscal 2017</w:t>
            </w:r>
          </w:p>
        </w:tc>
        <w:tc>
          <w:tcPr>
            <w:tcW w:w="42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86"/>
              </w:rPr>
              <w:t>Fiscal 2017</w:t>
            </w:r>
          </w:p>
        </w:tc>
        <w:tc>
          <w:tcPr>
            <w:tcW w:w="400" w:type="dxa"/>
            <w:vAlign w:val="bottom"/>
          </w:tcPr>
          <w:p>
            <w:pPr>
              <w:spacing w:after="0"/>
              <w:rPr>
                <w:sz w:val="17"/>
                <w:szCs w:val="17"/>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Fiscal 2017</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88"/>
              </w:rPr>
              <w:t>Fiscal 2016</w:t>
            </w:r>
          </w:p>
        </w:tc>
      </w:tr>
      <w:tr>
        <w:trPr>
          <w:trHeight w:val="48"/>
        </w:trPr>
        <w:tc>
          <w:tcPr>
            <w:tcW w:w="3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r>
      <w:tr>
        <w:trPr>
          <w:trHeight w:val="176"/>
        </w:trPr>
        <w:tc>
          <w:tcPr>
            <w:tcW w:w="3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(366)</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(294)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(637)</w:t>
            </w:r>
          </w:p>
        </w:tc>
      </w:tr>
      <w:tr>
        <w:trPr>
          <w:trHeight w:val="33"/>
        </w:trPr>
        <w:tc>
          <w:tcPr>
            <w:tcW w:w="3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(156)</w:t>
            </w: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(210)</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(319)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(630)</w:t>
            </w:r>
          </w:p>
        </w:tc>
      </w:tr>
      <w:tr>
        <w:trPr>
          <w:trHeight w:val="33"/>
        </w:trPr>
        <w:tc>
          <w:tcPr>
            <w:tcW w:w="3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(132)</w:t>
            </w: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70"/>
        </w:trPr>
        <w:tc>
          <w:tcPr>
            <w:tcW w:w="3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per common share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(0.01)</w:t>
            </w: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(0.01)</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Diluted net income per common share</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(0.01)</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(0.01)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effect to the Company’s retained earnings at January 2, 2016 was an after-tax increase of approximately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337"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adoption of ASC 606 on the Company’s consolidated balance sheet at December 30, 2017 were as follows:</w:t>
      </w:r>
    </w:p>
    <w:p>
      <w:pPr>
        <w:spacing w:after="0" w:line="334"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As Previously</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b w:val="1"/>
                <w:bCs w:val="1"/>
                <w:color w:val="auto"/>
                <w:w w:val="97"/>
              </w:rPr>
              <w:t>As Amended for</w:t>
            </w:r>
          </w:p>
        </w:tc>
      </w:tr>
      <w:tr>
        <w:trPr>
          <w:trHeight w:val="223"/>
        </w:trPr>
        <w:tc>
          <w:tcPr>
            <w:tcW w:w="4160" w:type="dxa"/>
            <w:vAlign w:val="bottom"/>
            <w:shd w:val="clear" w:color="auto" w:fill="CCEEFF"/>
          </w:tcPr>
          <w:p>
            <w:pPr>
              <w:ind w:left="600"/>
              <w:spacing w:after="0" w:line="176" w:lineRule="exact"/>
              <w:rPr>
                <w:sz w:val="20"/>
                <w:szCs w:val="20"/>
                <w:color w:val="auto"/>
              </w:rPr>
            </w:pPr>
            <w:r>
              <w:rPr>
                <w:rFonts w:ascii="Arial" w:cs="Arial" w:eastAsia="Arial" w:hAnsi="Arial"/>
                <w:sz w:val="16"/>
                <w:szCs w:val="16"/>
                <w:i w:val="1"/>
                <w:iCs w:val="1"/>
                <w:color w:val="auto"/>
              </w:rPr>
              <w:t>(dollars in thousands)</w:t>
            </w:r>
          </w:p>
        </w:tc>
        <w:tc>
          <w:tcPr>
            <w:tcW w:w="8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580"/>
              <w:spacing w:after="0" w:line="176" w:lineRule="exact"/>
              <w:rPr>
                <w:sz w:val="20"/>
                <w:szCs w:val="20"/>
                <w:color w:val="auto"/>
              </w:rPr>
            </w:pPr>
            <w:r>
              <w:rPr>
                <w:rFonts w:ascii="Arial" w:cs="Arial" w:eastAsia="Arial" w:hAnsi="Arial"/>
                <w:sz w:val="16"/>
                <w:szCs w:val="16"/>
                <w:b w:val="1"/>
                <w:bCs w:val="1"/>
                <w:color w:val="auto"/>
              </w:rPr>
              <w:t>Reported</w:t>
            </w:r>
          </w:p>
        </w:tc>
        <w:tc>
          <w:tcPr>
            <w:tcW w:w="180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6"/>
                <w:szCs w:val="16"/>
                <w:b w:val="1"/>
                <w:bCs w:val="1"/>
                <w:color w:val="auto"/>
              </w:rPr>
              <w:t>ASC 606 Adjustments</w:t>
            </w: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540"/>
              <w:spacing w:after="0" w:line="176" w:lineRule="exact"/>
              <w:rPr>
                <w:sz w:val="20"/>
                <w:szCs w:val="20"/>
                <w:color w:val="auto"/>
              </w:rPr>
            </w:pPr>
            <w:r>
              <w:rPr>
                <w:rFonts w:ascii="Arial" w:cs="Arial" w:eastAsia="Arial" w:hAnsi="Arial"/>
                <w:sz w:val="16"/>
                <w:szCs w:val="16"/>
                <w:b w:val="1"/>
                <w:bCs w:val="1"/>
                <w:color w:val="auto"/>
              </w:rPr>
              <w:t>ASC 606</w:t>
            </w:r>
          </w:p>
        </w:tc>
      </w:tr>
      <w:tr>
        <w:trPr>
          <w:trHeight w:val="237"/>
        </w:trPr>
        <w:tc>
          <w:tcPr>
            <w:tcW w:w="41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ASSETS</w:t>
            </w:r>
          </w:p>
        </w:tc>
        <w:tc>
          <w:tcPr>
            <w:tcW w:w="840" w:type="dxa"/>
            <w:vAlign w:val="bottom"/>
            <w:tcBorders>
              <w:top w:val="single" w:sz="8" w:color="CCEEFF"/>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360" w:type="dxa"/>
            <w:vAlign w:val="bottom"/>
            <w:tcBorders>
              <w:top w:val="single" w:sz="8" w:color="CCEEFF"/>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40" w:type="dxa"/>
            <w:vAlign w:val="bottom"/>
            <w:tcBorders>
              <w:top w:val="single" w:sz="8" w:color="CCEEFF"/>
            </w:tcBorders>
          </w:tcPr>
          <w:p>
            <w:pPr>
              <w:spacing w:after="0"/>
              <w:rPr>
                <w:sz w:val="20"/>
                <w:szCs w:val="20"/>
                <w:color w:val="auto"/>
              </w:rPr>
            </w:pPr>
          </w:p>
        </w:tc>
      </w:tr>
      <w:tr>
        <w:trPr>
          <w:trHeight w:val="33"/>
        </w:trPr>
        <w:tc>
          <w:tcPr>
            <w:tcW w:w="4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49,892</w:t>
            </w:r>
          </w:p>
        </w:tc>
        <w:tc>
          <w:tcPr>
            <w:tcW w:w="8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3,043</w:t>
            </w:r>
          </w:p>
        </w:tc>
        <w:tc>
          <w:tcPr>
            <w:tcW w:w="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52,935</w:t>
            </w:r>
          </w:p>
        </w:tc>
      </w:tr>
      <w:tr>
        <w:trPr>
          <w:trHeight w:val="237"/>
        </w:trPr>
        <w:tc>
          <w:tcPr>
            <w:tcW w:w="4160" w:type="dxa"/>
            <w:vAlign w:val="bottom"/>
          </w:tcPr>
          <w:p>
            <w:pPr>
              <w:ind w:left="160"/>
              <w:spacing w:after="0"/>
              <w:rPr>
                <w:sz w:val="20"/>
                <w:szCs w:val="20"/>
                <w:color w:val="auto"/>
              </w:rPr>
            </w:pPr>
            <w:r>
              <w:rPr>
                <w:rFonts w:ascii="Arial" w:cs="Arial" w:eastAsia="Arial" w:hAnsi="Arial"/>
                <w:sz w:val="16"/>
                <w:szCs w:val="16"/>
                <w:color w:val="auto"/>
              </w:rPr>
              <w:t>Total current assets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1,017,669</w:t>
            </w:r>
          </w:p>
        </w:tc>
        <w:tc>
          <w:tcPr>
            <w:tcW w:w="8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3,043</w:t>
            </w: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1,020,712</w:t>
            </w:r>
          </w:p>
        </w:tc>
      </w:tr>
      <w:tr>
        <w:trPr>
          <w:trHeight w:val="33"/>
        </w:trPr>
        <w:tc>
          <w:tcPr>
            <w:tcW w:w="4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assets</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2,067,999</w:t>
            </w:r>
          </w:p>
        </w:tc>
        <w:tc>
          <w:tcPr>
            <w:tcW w:w="8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3,043</w:t>
            </w: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2,071,042</w:t>
            </w:r>
          </w:p>
        </w:tc>
      </w:tr>
      <w:tr>
        <w:trPr>
          <w:trHeight w:val="297"/>
        </w:trPr>
        <w:tc>
          <w:tcPr>
            <w:tcW w:w="4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416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146,510</w:t>
            </w:r>
          </w:p>
        </w:tc>
        <w:tc>
          <w:tcPr>
            <w:tcW w:w="8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2,624</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149,134</w:t>
            </w:r>
          </w:p>
        </w:tc>
      </w:tr>
      <w:tr>
        <w:trPr>
          <w:trHeight w:val="33"/>
        </w:trPr>
        <w:tc>
          <w:tcPr>
            <w:tcW w:w="4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current liabilities</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328,624</w:t>
            </w:r>
          </w:p>
        </w:tc>
        <w:tc>
          <w:tcPr>
            <w:tcW w:w="8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2,624</w:t>
            </w: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331,248</w:t>
            </w:r>
          </w:p>
        </w:tc>
      </w:tr>
      <w:tr>
        <w:trPr>
          <w:trHeight w:val="237"/>
        </w:trPr>
        <w:tc>
          <w:tcPr>
            <w:tcW w:w="416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84,848</w:t>
            </w:r>
          </w:p>
        </w:tc>
        <w:tc>
          <w:tcPr>
            <w:tcW w:w="8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96</w:t>
            </w: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84,944</w:t>
            </w:r>
          </w:p>
        </w:tc>
      </w:tr>
      <w:tr>
        <w:trPr>
          <w:trHeight w:val="33"/>
        </w:trPr>
        <w:tc>
          <w:tcPr>
            <w:tcW w:w="4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1,210,906</w:t>
            </w:r>
          </w:p>
        </w:tc>
        <w:tc>
          <w:tcPr>
            <w:tcW w:w="8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2,720</w:t>
            </w: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1,213,626</w:t>
            </w:r>
          </w:p>
        </w:tc>
      </w:tr>
      <w:tr>
        <w:trPr>
          <w:trHeight w:val="243"/>
        </w:trPr>
        <w:tc>
          <w:tcPr>
            <w:tcW w:w="4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Retained earnings</w:t>
            </w:r>
          </w:p>
        </w:tc>
        <w:tc>
          <w:tcPr>
            <w:tcW w:w="8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885,714</w:t>
            </w:r>
          </w:p>
        </w:tc>
        <w:tc>
          <w:tcPr>
            <w:tcW w:w="8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323</w:t>
            </w:r>
          </w:p>
        </w:tc>
        <w:tc>
          <w:tcPr>
            <w:tcW w:w="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886,037</w:t>
            </w:r>
          </w:p>
        </w:tc>
      </w:tr>
      <w:tr>
        <w:trPr>
          <w:trHeight w:val="237"/>
        </w:trPr>
        <w:tc>
          <w:tcPr>
            <w:tcW w:w="4160" w:type="dxa"/>
            <w:vAlign w:val="bottom"/>
          </w:tcPr>
          <w:p>
            <w:pPr>
              <w:ind w:left="160"/>
              <w:spacing w:after="0"/>
              <w:rPr>
                <w:sz w:val="20"/>
                <w:szCs w:val="20"/>
                <w:color w:val="auto"/>
              </w:rPr>
            </w:pPr>
            <w:r>
              <w:rPr>
                <w:rFonts w:ascii="Arial" w:cs="Arial" w:eastAsia="Arial" w:hAnsi="Arial"/>
                <w:sz w:val="16"/>
                <w:szCs w:val="16"/>
                <w:color w:val="auto"/>
              </w:rPr>
              <w:t>Total stockholder's equity</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857,093</w:t>
            </w:r>
          </w:p>
        </w:tc>
        <w:tc>
          <w:tcPr>
            <w:tcW w:w="8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323</w:t>
            </w: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857,416</w:t>
            </w:r>
          </w:p>
        </w:tc>
      </w:tr>
      <w:tr>
        <w:trPr>
          <w:trHeight w:val="33"/>
        </w:trPr>
        <w:tc>
          <w:tcPr>
            <w:tcW w:w="4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0"/>
        </w:trPr>
        <w:tc>
          <w:tcPr>
            <w:tcW w:w="4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7"/>
        </w:trPr>
        <w:tc>
          <w:tcPr>
            <w:tcW w:w="4160" w:type="dxa"/>
            <w:vAlign w:val="bottom"/>
          </w:tcPr>
          <w:p>
            <w:pPr>
              <w:ind w:left="160"/>
              <w:spacing w:after="0"/>
              <w:rPr>
                <w:sz w:val="20"/>
                <w:szCs w:val="20"/>
                <w:color w:val="auto"/>
              </w:rPr>
            </w:pPr>
            <w:r>
              <w:rPr>
                <w:rFonts w:ascii="Arial" w:cs="Arial" w:eastAsia="Arial" w:hAnsi="Arial"/>
                <w:sz w:val="16"/>
                <w:szCs w:val="16"/>
                <w:color w:val="auto"/>
              </w:rPr>
              <w:t>Total liabilities and stockholders' equity</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2,067,999</w:t>
            </w:r>
          </w:p>
        </w:tc>
        <w:tc>
          <w:tcPr>
            <w:tcW w:w="8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3,043</w:t>
            </w: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2,071,042</w:t>
            </w:r>
          </w:p>
        </w:tc>
      </w:tr>
    </w:tbl>
    <w:p>
      <w:pPr>
        <w:spacing w:after="0" w:line="199" w:lineRule="exact"/>
        <w:rPr>
          <w:sz w:val="20"/>
          <w:szCs w:val="20"/>
          <w:color w:val="auto"/>
        </w:rPr>
      </w:pPr>
    </w:p>
    <w:p>
      <w:pPr>
        <w:ind w:right="20" w:firstLine="8"/>
        <w:spacing w:after="0" w:line="252"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Reclassification of estimated inventory expected to be returned by customers through future sales refund transactions. This amount was reclassified from the returns reserve (current liability) to a current asset. Prior to the Company's adoption of ASC 606, the Company's returns reserve (current liability) was reported net of the estimated inventory expected to be returned by customers through sales refund transactions.</w:t>
      </w:r>
    </w:p>
    <w:p>
      <w:pPr>
        <w:spacing w:after="0" w:line="1" w:lineRule="exact"/>
        <w:rPr>
          <w:rFonts w:ascii="Arial" w:cs="Arial" w:eastAsia="Arial" w:hAnsi="Arial"/>
          <w:sz w:val="16"/>
          <w:szCs w:val="16"/>
          <w:color w:val="auto"/>
        </w:rPr>
      </w:pPr>
    </w:p>
    <w:p>
      <w:pPr>
        <w:ind w:right="400" w:firstLine="8"/>
        <w:spacing w:after="0" w:line="246"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 includes a reclassification of approximately $3.0 million for estimated inventory expected to be returned by customers, partially offset by a reclassification of approximately $0.4 million for gift card liabilities.</w:t>
      </w:r>
    </w:p>
    <w:p>
      <w:pPr>
        <w:ind w:firstLine="8"/>
        <w:spacing w:after="0" w:line="257"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6"/>
          <w:szCs w:val="16"/>
          <w:color w:val="auto"/>
        </w:rPr>
        <w:t>Cumulative impact of approximately $0.6 million for after-tax adjustments to retained earnings at the beginning of fiscal 2016, offset by ASC 606 effects on fiscal 2017 and fiscal 2016 results of operations.</w:t>
      </w:r>
    </w:p>
    <w:p>
      <w:pPr>
        <w:spacing w:after="0" w:line="3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retrospective adoption of ASC 606 at the beginning of fiscal 2018 also had the following effects on the Company’s unaudited condensed consolidated balance sheet at July 1, 2017:</w:t>
      </w:r>
    </w:p>
    <w:p>
      <w:pPr>
        <w:spacing w:after="0" w:line="27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b w:val="1"/>
                <w:bCs w:val="1"/>
                <w:color w:val="auto"/>
              </w:rPr>
              <w:t>As Previously</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As Amended for</w:t>
            </w:r>
          </w:p>
        </w:tc>
      </w:tr>
      <w:tr>
        <w:trPr>
          <w:trHeight w:val="223"/>
        </w:trPr>
        <w:tc>
          <w:tcPr>
            <w:tcW w:w="3980" w:type="dxa"/>
            <w:vAlign w:val="bottom"/>
            <w:shd w:val="clear" w:color="auto" w:fill="CCEEFF"/>
          </w:tcPr>
          <w:p>
            <w:pPr>
              <w:ind w:left="1480"/>
              <w:spacing w:after="0" w:line="176" w:lineRule="exact"/>
              <w:rPr>
                <w:sz w:val="20"/>
                <w:szCs w:val="20"/>
                <w:color w:val="auto"/>
              </w:rPr>
            </w:pPr>
            <w:r>
              <w:rPr>
                <w:rFonts w:ascii="Arial" w:cs="Arial" w:eastAsia="Arial" w:hAnsi="Arial"/>
                <w:sz w:val="16"/>
                <w:szCs w:val="16"/>
                <w:i w:val="1"/>
                <w:iCs w:val="1"/>
                <w:color w:val="auto"/>
              </w:rPr>
              <w:t>(dollars in thousands)</w:t>
            </w: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20"/>
              <w:spacing w:after="0" w:line="176" w:lineRule="exact"/>
              <w:rPr>
                <w:sz w:val="20"/>
                <w:szCs w:val="20"/>
                <w:color w:val="auto"/>
              </w:rPr>
            </w:pPr>
            <w:r>
              <w:rPr>
                <w:rFonts w:ascii="Arial" w:cs="Arial" w:eastAsia="Arial" w:hAnsi="Arial"/>
                <w:sz w:val="16"/>
                <w:szCs w:val="16"/>
                <w:b w:val="1"/>
                <w:bCs w:val="1"/>
                <w:color w:val="auto"/>
                <w:w w:val="88"/>
              </w:rPr>
              <w:t>Reported</w:t>
            </w:r>
          </w:p>
        </w:tc>
        <w:tc>
          <w:tcPr>
            <w:tcW w:w="2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6"/>
                <w:szCs w:val="16"/>
                <w:b w:val="1"/>
                <w:bCs w:val="1"/>
                <w:color w:val="auto"/>
                <w:w w:val="91"/>
              </w:rPr>
              <w:t>ASC 606 Adjustments</w:t>
            </w: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600"/>
              <w:spacing w:after="0" w:line="176" w:lineRule="exact"/>
              <w:rPr>
                <w:sz w:val="20"/>
                <w:szCs w:val="20"/>
                <w:color w:val="auto"/>
              </w:rPr>
            </w:pPr>
            <w:r>
              <w:rPr>
                <w:rFonts w:ascii="Arial" w:cs="Arial" w:eastAsia="Arial" w:hAnsi="Arial"/>
                <w:sz w:val="16"/>
                <w:szCs w:val="16"/>
                <w:b w:val="1"/>
                <w:bCs w:val="1"/>
                <w:color w:val="auto"/>
              </w:rPr>
              <w:t>ASC 606</w:t>
            </w:r>
          </w:p>
        </w:tc>
      </w:tr>
      <w:tr>
        <w:trPr>
          <w:trHeight w:val="237"/>
        </w:trPr>
        <w:tc>
          <w:tcPr>
            <w:tcW w:w="398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ASSETS</w:t>
            </w:r>
          </w:p>
        </w:tc>
        <w:tc>
          <w:tcPr>
            <w:tcW w:w="7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54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r>
      <w:tr>
        <w:trPr>
          <w:trHeight w:val="33"/>
        </w:trPr>
        <w:tc>
          <w:tcPr>
            <w:tcW w:w="3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44,527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1,875</w:t>
            </w:r>
          </w:p>
        </w:tc>
        <w:tc>
          <w:tcPr>
            <w:tcW w:w="5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46,402</w:t>
            </w: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Total current assets</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993,697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1,875</w:t>
            </w:r>
          </w:p>
        </w:tc>
        <w:tc>
          <w:tcPr>
            <w:tcW w:w="5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6"/>
                <w:szCs w:val="16"/>
                <w:color w:val="auto"/>
              </w:rPr>
              <w:t>995,572</w:t>
            </w:r>
          </w:p>
        </w:tc>
      </w:tr>
      <w:tr>
        <w:trPr>
          <w:trHeight w:val="33"/>
        </w:trPr>
        <w:tc>
          <w:tcPr>
            <w:tcW w:w="3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assets</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2,031,859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1,875</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2,033,734</w:t>
            </w:r>
          </w:p>
        </w:tc>
      </w:tr>
      <w:tr>
        <w:trPr>
          <w:trHeight w:val="297"/>
        </w:trPr>
        <w:tc>
          <w:tcPr>
            <w:tcW w:w="3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94,644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1,816</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6"/>
                <w:szCs w:val="16"/>
                <w:color w:val="auto"/>
              </w:rPr>
              <w:t>96,460</w:t>
            </w:r>
          </w:p>
        </w:tc>
      </w:tr>
      <w:tr>
        <w:trPr>
          <w:trHeight w:val="33"/>
        </w:trPr>
        <w:tc>
          <w:tcPr>
            <w:tcW w:w="3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current liabilities</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311,984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1,816</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313,800</w:t>
            </w: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133,251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22</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6"/>
                <w:szCs w:val="16"/>
                <w:color w:val="auto"/>
              </w:rPr>
              <w:t>133,273</w:t>
            </w:r>
          </w:p>
        </w:tc>
      </w:tr>
      <w:tr>
        <w:trPr>
          <w:trHeight w:val="33"/>
        </w:trPr>
        <w:tc>
          <w:tcPr>
            <w:tcW w:w="3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1,281,948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1,838</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1,283,786</w:t>
            </w:r>
          </w:p>
        </w:tc>
      </w:tr>
      <w:tr>
        <w:trPr>
          <w:trHeight w:val="189"/>
        </w:trPr>
        <w:tc>
          <w:tcPr>
            <w:tcW w:w="3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Retained earnings</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780,084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37</w:t>
            </w:r>
          </w:p>
        </w:tc>
        <w:tc>
          <w:tcPr>
            <w:tcW w:w="5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780,121</w:t>
            </w: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Total stockholder's equity</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749,911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37</w:t>
            </w:r>
          </w:p>
        </w:tc>
        <w:tc>
          <w:tcPr>
            <w:tcW w:w="5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6"/>
                <w:szCs w:val="16"/>
                <w:color w:val="auto"/>
              </w:rPr>
              <w:t>749,948</w:t>
            </w:r>
          </w:p>
        </w:tc>
      </w:tr>
      <w:tr>
        <w:trPr>
          <w:trHeight w:val="33"/>
        </w:trPr>
        <w:tc>
          <w:tcPr>
            <w:tcW w:w="3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0"/>
        </w:trPr>
        <w:tc>
          <w:tcPr>
            <w:tcW w:w="3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Total liabilities and stockholders' equity</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2,031,859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1,875</w:t>
            </w:r>
          </w:p>
        </w:tc>
        <w:tc>
          <w:tcPr>
            <w:tcW w:w="5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6"/>
                <w:szCs w:val="16"/>
                <w:color w:val="auto"/>
              </w:rPr>
              <w:t>2,033,734</w:t>
            </w:r>
          </w:p>
        </w:tc>
      </w:tr>
    </w:tbl>
    <w:p>
      <w:pPr>
        <w:spacing w:after="0" w:line="199" w:lineRule="exact"/>
        <w:rPr>
          <w:sz w:val="20"/>
          <w:szCs w:val="20"/>
          <w:color w:val="auto"/>
        </w:rPr>
      </w:pPr>
    </w:p>
    <w:p>
      <w:pPr>
        <w:ind w:right="20" w:firstLine="8"/>
        <w:spacing w:after="0" w:line="261"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Reclassification of estimated inventory expected to be returned by customers through future sales refund transactions. This amount was reclassified from the returns reserve (current liability) to a current asset. Prior to the Company's adoption of ASC 606, the Company's returns reserve (current liability) was reported net of the estimated inventory expected to be returned by customers through sales refund transactions.</w:t>
      </w:r>
    </w:p>
    <w:p>
      <w:pPr>
        <w:sectPr>
          <w:pgSz w:w="11900" w:h="16838" w:orient="portrait"/>
          <w:cols w:equalWidth="0" w:num="1">
            <w:col w:w="11420"/>
          </w:cols>
          <w:pgMar w:left="240" w:top="337"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37" w:right="239" w:bottom="1440" w:gutter="0" w:footer="0" w:header="0"/>
          <w:type w:val="continuous"/>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61" w:lineRule="exact"/>
        <w:rPr>
          <w:sz w:val="20"/>
          <w:szCs w:val="20"/>
          <w:color w:val="auto"/>
        </w:rPr>
      </w:pPr>
    </w:p>
    <w:p>
      <w:pPr>
        <w:ind w:right="520" w:firstLine="8"/>
        <w:spacing w:after="0" w:line="255"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includes a reclassification of approximately $1.9 million for estimated inventory expected to be returned by customers, partially offset by an adjustment of approximately $0.1 million for gift card liabilities.</w:t>
      </w:r>
    </w:p>
    <w:p>
      <w:pPr>
        <w:spacing w:after="0" w:line="1" w:lineRule="exact"/>
        <w:rPr>
          <w:rFonts w:ascii="Arial" w:cs="Arial" w:eastAsia="Arial" w:hAnsi="Arial"/>
          <w:sz w:val="16"/>
          <w:szCs w:val="16"/>
          <w:color w:val="auto"/>
        </w:rPr>
      </w:pPr>
    </w:p>
    <w:p>
      <w:pPr>
        <w:ind w:right="180" w:firstLine="8"/>
        <w:spacing w:after="0" w:line="257"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6"/>
          <w:szCs w:val="16"/>
          <w:color w:val="auto"/>
        </w:rPr>
        <w:t>Cumulative impact of approximately $0.6 million for after-tax adjustments to retained earnings at the beginning of fiscal 2016, offset by ASC 606 impact on fiscal 2017 and fiscal 2016 results of operations.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its licensees. Disaggregated revenues from these sources for the second quarter and two quarters ended fiscal 2018 and 2017 were as follows:</w:t>
      </w:r>
    </w:p>
    <w:p>
      <w:pPr>
        <w:spacing w:after="0" w:line="331" w:lineRule="exact"/>
        <w:rPr>
          <w:sz w:val="20"/>
          <w:szCs w:val="20"/>
          <w:color w:val="auto"/>
        </w:rPr>
      </w:pPr>
    </w:p>
    <w:tbl>
      <w:tblPr>
        <w:tblLayout w:type="fixed"/>
        <w:tblInd w:w="500" w:type="dxa"/>
        <w:tblCellMar>
          <w:top w:w="0" w:type="dxa"/>
          <w:left w:w="0" w:type="dxa"/>
          <w:bottom w:w="0" w:type="dxa"/>
          <w:right w:w="0" w:type="dxa"/>
        </w:tblCellMar>
      </w:tblPr>
      <w:tr>
        <w:trPr>
          <w:trHeight w:val="264"/>
        </w:trPr>
        <w:tc>
          <w:tcPr>
            <w:tcW w:w="34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280" w:type="dxa"/>
            <w:vAlign w:val="bottom"/>
            <w:tcBorders>
              <w:bottom w:val="single" w:sz="8" w:color="auto"/>
            </w:tcBorders>
            <w:gridSpan w:val="7"/>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9"/>
              </w:rPr>
              <w:t>Fiscal quarter ended June 30, 2018</w:t>
            </w:r>
          </w:p>
        </w:tc>
        <w:tc>
          <w:tcPr>
            <w:tcW w:w="3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r>
      <w:tr>
        <w:trPr>
          <w:trHeight w:val="203"/>
        </w:trPr>
        <w:tc>
          <w:tcPr>
            <w:tcW w:w="3460" w:type="dxa"/>
            <w:vAlign w:val="bottom"/>
          </w:tcPr>
          <w:p>
            <w:pPr>
              <w:jc w:val="right"/>
              <w:ind w:right="1939"/>
              <w:spacing w:after="0"/>
              <w:rPr>
                <w:sz w:val="20"/>
                <w:szCs w:val="20"/>
                <w:color w:val="auto"/>
              </w:rPr>
            </w:pPr>
            <w:r>
              <w:rPr>
                <w:rFonts w:ascii="Arial" w:cs="Arial" w:eastAsia="Arial" w:hAnsi="Arial"/>
                <w:sz w:val="16"/>
                <w:szCs w:val="16"/>
                <w:i w:val="1"/>
                <w:iCs w:val="1"/>
                <w:color w:val="auto"/>
                <w:w w:val="92"/>
              </w:rPr>
              <w:t>(dollars in thousands)</w:t>
            </w:r>
          </w:p>
        </w:tc>
        <w:tc>
          <w:tcPr>
            <w:tcW w:w="420" w:type="dxa"/>
            <w:vAlign w:val="bottom"/>
          </w:tcPr>
          <w:p>
            <w:pPr>
              <w:spacing w:after="0"/>
              <w:rPr>
                <w:sz w:val="17"/>
                <w:szCs w:val="17"/>
                <w:color w:val="auto"/>
              </w:rPr>
            </w:pPr>
          </w:p>
        </w:tc>
        <w:tc>
          <w:tcPr>
            <w:tcW w:w="13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U.S. Retail</w:t>
            </w:r>
          </w:p>
        </w:tc>
        <w:tc>
          <w:tcPr>
            <w:tcW w:w="140" w:type="dxa"/>
            <w:vAlign w:val="bottom"/>
          </w:tcPr>
          <w:p>
            <w:pPr>
              <w:spacing w:after="0"/>
              <w:rPr>
                <w:sz w:val="17"/>
                <w:szCs w:val="17"/>
                <w:color w:val="auto"/>
              </w:rPr>
            </w:pPr>
          </w:p>
        </w:tc>
        <w:tc>
          <w:tcPr>
            <w:tcW w:w="1640" w:type="dxa"/>
            <w:vAlign w:val="bottom"/>
            <w:gridSpan w:val="4"/>
          </w:tcPr>
          <w:p>
            <w:pPr>
              <w:ind w:left="120"/>
              <w:spacing w:after="0" w:line="202" w:lineRule="exact"/>
              <w:rPr>
                <w:sz w:val="20"/>
                <w:szCs w:val="20"/>
                <w:color w:val="auto"/>
              </w:rPr>
            </w:pPr>
            <w:r>
              <w:rPr>
                <w:rFonts w:ascii="Arial" w:cs="Arial" w:eastAsia="Arial" w:hAnsi="Arial"/>
                <w:sz w:val="18"/>
                <w:szCs w:val="18"/>
                <w:b w:val="1"/>
                <w:bCs w:val="1"/>
                <w:color w:val="auto"/>
              </w:rPr>
              <w:t>U.S. Wholesale</w:t>
            </w:r>
          </w:p>
        </w:tc>
        <w:tc>
          <w:tcPr>
            <w:tcW w:w="320" w:type="dxa"/>
            <w:vAlign w:val="bottom"/>
          </w:tcPr>
          <w:p>
            <w:pPr>
              <w:spacing w:after="0"/>
              <w:rPr>
                <w:sz w:val="17"/>
                <w:szCs w:val="17"/>
                <w:color w:val="auto"/>
              </w:rPr>
            </w:pPr>
          </w:p>
        </w:tc>
        <w:tc>
          <w:tcPr>
            <w:tcW w:w="14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International</w:t>
            </w:r>
          </w:p>
        </w:tc>
        <w:tc>
          <w:tcPr>
            <w:tcW w:w="380" w:type="dxa"/>
            <w:vAlign w:val="bottom"/>
          </w:tcPr>
          <w:p>
            <w:pPr>
              <w:spacing w:after="0"/>
              <w:rPr>
                <w:sz w:val="17"/>
                <w:szCs w:val="17"/>
                <w:color w:val="auto"/>
              </w:rPr>
            </w:pPr>
          </w:p>
        </w:tc>
        <w:tc>
          <w:tcPr>
            <w:tcW w:w="1280" w:type="dxa"/>
            <w:vAlign w:val="bottom"/>
            <w:gridSpan w:val="3"/>
          </w:tcPr>
          <w:p>
            <w:pPr>
              <w:jc w:val="right"/>
              <w:ind w:right="640"/>
              <w:spacing w:after="0" w:line="202" w:lineRule="exact"/>
              <w:rPr>
                <w:sz w:val="20"/>
                <w:szCs w:val="20"/>
                <w:color w:val="auto"/>
              </w:rPr>
            </w:pPr>
            <w:r>
              <w:rPr>
                <w:rFonts w:ascii="Arial" w:cs="Arial" w:eastAsia="Arial" w:hAnsi="Arial"/>
                <w:sz w:val="18"/>
                <w:szCs w:val="18"/>
                <w:b w:val="1"/>
                <w:bCs w:val="1"/>
                <w:color w:val="auto"/>
              </w:rPr>
              <w:t>Total</w:t>
            </w:r>
          </w:p>
        </w:tc>
      </w:tr>
      <w:tr>
        <w:trPr>
          <w:trHeight w:val="48"/>
        </w:trPr>
        <w:tc>
          <w:tcPr>
            <w:tcW w:w="3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16"/>
        </w:trPr>
        <w:tc>
          <w:tcPr>
            <w:tcW w:w="3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Wholesale channel</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209,476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25,169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234,645</w:t>
            </w:r>
          </w:p>
        </w:tc>
      </w:tr>
      <w:tr>
        <w:trPr>
          <w:trHeight w:val="33"/>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Direct-to-consumer</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402,021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59,531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461,552</w:t>
            </w:r>
          </w:p>
        </w:tc>
      </w:tr>
      <w:tr>
        <w:trPr>
          <w:trHeight w:val="217"/>
        </w:trPr>
        <w:tc>
          <w:tcPr>
            <w:tcW w:w="346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402,021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209,476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84,700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696,197</w:t>
            </w:r>
          </w:p>
        </w:tc>
      </w:tr>
      <w:tr>
        <w:trPr>
          <w:trHeight w:val="73"/>
        </w:trPr>
        <w:tc>
          <w:tcPr>
            <w:tcW w:w="34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78"/>
        </w:trPr>
        <w:tc>
          <w:tcPr>
            <w:tcW w:w="3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Royalty income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4,426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4,957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10,355</w:t>
            </w:r>
          </w:p>
        </w:tc>
      </w:tr>
      <w:tr>
        <w:trPr>
          <w:trHeight w:val="344"/>
        </w:trPr>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gridSpan w:val="4"/>
          </w:tcPr>
          <w:p>
            <w:pPr>
              <w:spacing w:after="0"/>
              <w:rPr>
                <w:sz w:val="24"/>
                <w:szCs w:val="24"/>
                <w:color w:val="auto"/>
              </w:rPr>
            </w:pPr>
          </w:p>
        </w:tc>
        <w:tc>
          <w:tcPr>
            <w:tcW w:w="4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gridSpan w:val="8"/>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9"/>
              </w:rPr>
              <w:t>Two fiscal quarters ended June 30, 2018</w:t>
            </w:r>
          </w:p>
        </w:tc>
        <w:tc>
          <w:tcPr>
            <w:tcW w:w="3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r>
      <w:tr>
        <w:trPr>
          <w:trHeight w:val="196"/>
        </w:trPr>
        <w:tc>
          <w:tcPr>
            <w:tcW w:w="3460" w:type="dxa"/>
            <w:vAlign w:val="bottom"/>
          </w:tcPr>
          <w:p>
            <w:pPr>
              <w:jc w:val="right"/>
              <w:ind w:right="1939"/>
              <w:spacing w:after="0"/>
              <w:rPr>
                <w:sz w:val="20"/>
                <w:szCs w:val="20"/>
                <w:color w:val="auto"/>
              </w:rPr>
            </w:pPr>
            <w:r>
              <w:rPr>
                <w:rFonts w:ascii="Arial" w:cs="Arial" w:eastAsia="Arial" w:hAnsi="Arial"/>
                <w:sz w:val="16"/>
                <w:szCs w:val="16"/>
                <w:i w:val="1"/>
                <w:iCs w:val="1"/>
                <w:color w:val="auto"/>
                <w:w w:val="92"/>
              </w:rPr>
              <w:t>(dollars in thousands)</w:t>
            </w: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U.S. Retail</w:t>
            </w: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4"/>
          </w:tcPr>
          <w:p>
            <w:pPr>
              <w:ind w:left="120"/>
              <w:spacing w:after="0" w:line="196" w:lineRule="exact"/>
              <w:rPr>
                <w:sz w:val="20"/>
                <w:szCs w:val="20"/>
                <w:color w:val="auto"/>
              </w:rPr>
            </w:pPr>
            <w:r>
              <w:rPr>
                <w:rFonts w:ascii="Arial" w:cs="Arial" w:eastAsia="Arial" w:hAnsi="Arial"/>
                <w:sz w:val="18"/>
                <w:szCs w:val="18"/>
                <w:b w:val="1"/>
                <w:bCs w:val="1"/>
                <w:color w:val="auto"/>
              </w:rPr>
              <w:t>U.S. Wholesale</w:t>
            </w:r>
          </w:p>
        </w:tc>
        <w:tc>
          <w:tcPr>
            <w:tcW w:w="3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International</w:t>
            </w: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right"/>
              <w:ind w:right="640"/>
              <w:spacing w:after="0" w:line="196" w:lineRule="exact"/>
              <w:rPr>
                <w:sz w:val="20"/>
                <w:szCs w:val="20"/>
                <w:color w:val="auto"/>
              </w:rPr>
            </w:pPr>
            <w:r>
              <w:rPr>
                <w:rFonts w:ascii="Arial" w:cs="Arial" w:eastAsia="Arial" w:hAnsi="Arial"/>
                <w:sz w:val="18"/>
                <w:szCs w:val="18"/>
                <w:b w:val="1"/>
                <w:bCs w:val="1"/>
                <w:color w:val="auto"/>
              </w:rPr>
              <w:t>Total</w:t>
            </w:r>
          </w:p>
        </w:tc>
      </w:tr>
      <w:tr>
        <w:trPr>
          <w:trHeight w:val="48"/>
        </w:trPr>
        <w:tc>
          <w:tcPr>
            <w:tcW w:w="3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43"/>
        </w:trPr>
        <w:tc>
          <w:tcPr>
            <w:tcW w:w="3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Wholesale channel</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490,309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62,882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553,191</w:t>
            </w:r>
          </w:p>
        </w:tc>
      </w:tr>
      <w:tr>
        <w:trPr>
          <w:trHeight w:val="33"/>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Direct-to-consumer</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785,762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113,030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898,792</w:t>
            </w:r>
          </w:p>
        </w:tc>
      </w:tr>
      <w:tr>
        <w:trPr>
          <w:trHeight w:val="217"/>
        </w:trPr>
        <w:tc>
          <w:tcPr>
            <w:tcW w:w="346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785,762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490,309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175,912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1,451,983</w:t>
            </w:r>
          </w:p>
        </w:tc>
      </w:tr>
      <w:tr>
        <w:trPr>
          <w:trHeight w:val="73"/>
        </w:trPr>
        <w:tc>
          <w:tcPr>
            <w:tcW w:w="34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78"/>
        </w:trPr>
        <w:tc>
          <w:tcPr>
            <w:tcW w:w="3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Royalty income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6,011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10,802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1,536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18,349</w:t>
            </w:r>
          </w:p>
        </w:tc>
      </w:tr>
      <w:tr>
        <w:trPr>
          <w:trHeight w:val="344"/>
        </w:trPr>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gridSpan w:val="4"/>
          </w:tcPr>
          <w:p>
            <w:pPr>
              <w:spacing w:after="0"/>
              <w:rPr>
                <w:sz w:val="24"/>
                <w:szCs w:val="24"/>
                <w:color w:val="auto"/>
              </w:rPr>
            </w:pPr>
          </w:p>
        </w:tc>
        <w:tc>
          <w:tcPr>
            <w:tcW w:w="4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7"/>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0"/>
              </w:rPr>
              <w:t>Fiscal quarter ended July 1, 2017</w:t>
            </w:r>
          </w:p>
        </w:tc>
        <w:tc>
          <w:tcPr>
            <w:tcW w:w="3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r>
      <w:tr>
        <w:trPr>
          <w:trHeight w:val="196"/>
        </w:trPr>
        <w:tc>
          <w:tcPr>
            <w:tcW w:w="3460" w:type="dxa"/>
            <w:vAlign w:val="bottom"/>
          </w:tcPr>
          <w:p>
            <w:pPr>
              <w:jc w:val="right"/>
              <w:ind w:right="1939"/>
              <w:spacing w:after="0"/>
              <w:rPr>
                <w:sz w:val="20"/>
                <w:szCs w:val="20"/>
                <w:color w:val="auto"/>
              </w:rPr>
            </w:pPr>
            <w:r>
              <w:rPr>
                <w:rFonts w:ascii="Arial" w:cs="Arial" w:eastAsia="Arial" w:hAnsi="Arial"/>
                <w:sz w:val="16"/>
                <w:szCs w:val="16"/>
                <w:i w:val="1"/>
                <w:iCs w:val="1"/>
                <w:color w:val="auto"/>
                <w:w w:val="92"/>
              </w:rPr>
              <w:t>(dollars in thousands)</w:t>
            </w: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U.S. Retail</w:t>
            </w: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4"/>
          </w:tcPr>
          <w:p>
            <w:pPr>
              <w:ind w:left="120"/>
              <w:spacing w:after="0" w:line="196" w:lineRule="exact"/>
              <w:rPr>
                <w:sz w:val="20"/>
                <w:szCs w:val="20"/>
                <w:color w:val="auto"/>
              </w:rPr>
            </w:pPr>
            <w:r>
              <w:rPr>
                <w:rFonts w:ascii="Arial" w:cs="Arial" w:eastAsia="Arial" w:hAnsi="Arial"/>
                <w:sz w:val="18"/>
                <w:szCs w:val="18"/>
                <w:b w:val="1"/>
                <w:bCs w:val="1"/>
                <w:color w:val="auto"/>
              </w:rPr>
              <w:t>U.S. Wholesale</w:t>
            </w:r>
          </w:p>
        </w:tc>
        <w:tc>
          <w:tcPr>
            <w:tcW w:w="3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International</w:t>
            </w: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right"/>
              <w:ind w:right="640"/>
              <w:spacing w:after="0" w:line="196" w:lineRule="exact"/>
              <w:rPr>
                <w:sz w:val="20"/>
                <w:szCs w:val="20"/>
                <w:color w:val="auto"/>
              </w:rPr>
            </w:pPr>
            <w:r>
              <w:rPr>
                <w:rFonts w:ascii="Arial" w:cs="Arial" w:eastAsia="Arial" w:hAnsi="Arial"/>
                <w:sz w:val="18"/>
                <w:szCs w:val="18"/>
                <w:b w:val="1"/>
                <w:bCs w:val="1"/>
                <w:color w:val="auto"/>
              </w:rPr>
              <w:t>Total</w:t>
            </w:r>
          </w:p>
        </w:tc>
      </w:tr>
      <w:tr>
        <w:trPr>
          <w:trHeight w:val="48"/>
        </w:trPr>
        <w:tc>
          <w:tcPr>
            <w:tcW w:w="3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16"/>
        </w:trPr>
        <w:tc>
          <w:tcPr>
            <w:tcW w:w="3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Wholesale channel</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217,710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27,622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245,332</w:t>
            </w:r>
          </w:p>
        </w:tc>
      </w:tr>
      <w:tr>
        <w:trPr>
          <w:trHeight w:val="33"/>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Direct-to-consumer</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391,457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54,962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446,419</w:t>
            </w:r>
          </w:p>
        </w:tc>
      </w:tr>
      <w:tr>
        <w:trPr>
          <w:trHeight w:val="217"/>
        </w:trPr>
        <w:tc>
          <w:tcPr>
            <w:tcW w:w="346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391,457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217,710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82,584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691,751</w:t>
            </w:r>
          </w:p>
        </w:tc>
      </w:tr>
      <w:tr>
        <w:trPr>
          <w:trHeight w:val="73"/>
        </w:trPr>
        <w:tc>
          <w:tcPr>
            <w:tcW w:w="34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78"/>
        </w:trPr>
        <w:tc>
          <w:tcPr>
            <w:tcW w:w="3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Royalty income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4,896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5,140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11,210</w:t>
            </w:r>
          </w:p>
        </w:tc>
      </w:tr>
      <w:tr>
        <w:trPr>
          <w:trHeight w:val="425"/>
        </w:trPr>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gridSpan w:val="4"/>
          </w:tcPr>
          <w:p>
            <w:pPr>
              <w:spacing w:after="0"/>
              <w:rPr>
                <w:sz w:val="24"/>
                <w:szCs w:val="24"/>
                <w:color w:val="auto"/>
              </w:rPr>
            </w:pPr>
          </w:p>
        </w:tc>
        <w:tc>
          <w:tcPr>
            <w:tcW w:w="4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gridSpan w:val="8"/>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Two fiscal quarters ended July 1, 2017</w:t>
            </w:r>
          </w:p>
        </w:tc>
        <w:tc>
          <w:tcPr>
            <w:tcW w:w="3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r>
      <w:tr>
        <w:trPr>
          <w:trHeight w:val="196"/>
        </w:trPr>
        <w:tc>
          <w:tcPr>
            <w:tcW w:w="3460" w:type="dxa"/>
            <w:vAlign w:val="bottom"/>
          </w:tcPr>
          <w:p>
            <w:pPr>
              <w:jc w:val="right"/>
              <w:ind w:right="1939"/>
              <w:spacing w:after="0"/>
              <w:rPr>
                <w:sz w:val="20"/>
                <w:szCs w:val="20"/>
                <w:color w:val="auto"/>
              </w:rPr>
            </w:pPr>
            <w:r>
              <w:rPr>
                <w:rFonts w:ascii="Arial" w:cs="Arial" w:eastAsia="Arial" w:hAnsi="Arial"/>
                <w:sz w:val="16"/>
                <w:szCs w:val="16"/>
                <w:i w:val="1"/>
                <w:iCs w:val="1"/>
                <w:color w:val="auto"/>
                <w:w w:val="92"/>
              </w:rPr>
              <w:t>(dollars in thousands)</w:t>
            </w: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U.S. Retail</w:t>
            </w: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4"/>
          </w:tcPr>
          <w:p>
            <w:pPr>
              <w:ind w:left="120"/>
              <w:spacing w:after="0" w:line="196" w:lineRule="exact"/>
              <w:rPr>
                <w:sz w:val="20"/>
                <w:szCs w:val="20"/>
                <w:color w:val="auto"/>
              </w:rPr>
            </w:pPr>
            <w:r>
              <w:rPr>
                <w:rFonts w:ascii="Arial" w:cs="Arial" w:eastAsia="Arial" w:hAnsi="Arial"/>
                <w:sz w:val="18"/>
                <w:szCs w:val="18"/>
                <w:b w:val="1"/>
                <w:bCs w:val="1"/>
                <w:color w:val="auto"/>
              </w:rPr>
              <w:t>U.S. Wholesale</w:t>
            </w:r>
          </w:p>
        </w:tc>
        <w:tc>
          <w:tcPr>
            <w:tcW w:w="3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International</w:t>
            </w: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right"/>
              <w:ind w:right="640"/>
              <w:spacing w:after="0" w:line="196" w:lineRule="exact"/>
              <w:rPr>
                <w:sz w:val="20"/>
                <w:szCs w:val="20"/>
                <w:color w:val="auto"/>
              </w:rPr>
            </w:pPr>
            <w:r>
              <w:rPr>
                <w:rFonts w:ascii="Arial" w:cs="Arial" w:eastAsia="Arial" w:hAnsi="Arial"/>
                <w:sz w:val="18"/>
                <w:szCs w:val="18"/>
                <w:b w:val="1"/>
                <w:bCs w:val="1"/>
                <w:color w:val="auto"/>
              </w:rPr>
              <w:t>Total</w:t>
            </w:r>
          </w:p>
        </w:tc>
      </w:tr>
      <w:tr>
        <w:trPr>
          <w:trHeight w:val="48"/>
        </w:trPr>
        <w:tc>
          <w:tcPr>
            <w:tcW w:w="3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43"/>
        </w:trPr>
        <w:tc>
          <w:tcPr>
            <w:tcW w:w="3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Wholesale channel</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510,265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57,304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567,569</w:t>
            </w:r>
          </w:p>
        </w:tc>
      </w:tr>
      <w:tr>
        <w:trPr>
          <w:trHeight w:val="33"/>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Direct-to-consumer</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755,299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101,710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857,009</w:t>
            </w:r>
          </w:p>
        </w:tc>
      </w:tr>
      <w:tr>
        <w:trPr>
          <w:trHeight w:val="217"/>
        </w:trPr>
        <w:tc>
          <w:tcPr>
            <w:tcW w:w="346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755,299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510,265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159,014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1,424,578</w:t>
            </w:r>
          </w:p>
        </w:tc>
      </w:tr>
      <w:tr>
        <w:trPr>
          <w:trHeight w:val="73"/>
        </w:trPr>
        <w:tc>
          <w:tcPr>
            <w:tcW w:w="34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78"/>
        </w:trPr>
        <w:tc>
          <w:tcPr>
            <w:tcW w:w="3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Royalty income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8,164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tcPr>
          <w:p>
            <w:pPr>
              <w:jc w:val="right"/>
              <w:ind w:right="100"/>
              <w:spacing w:after="0"/>
              <w:rPr>
                <w:sz w:val="20"/>
                <w:szCs w:val="20"/>
                <w:color w:val="auto"/>
              </w:rPr>
            </w:pPr>
            <w:r>
              <w:rPr>
                <w:rFonts w:ascii="Arial" w:cs="Arial" w:eastAsia="Arial" w:hAnsi="Arial"/>
                <w:sz w:val="16"/>
                <w:szCs w:val="16"/>
                <w:color w:val="auto"/>
              </w:rPr>
              <w:t>11,505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21,768</w:t>
            </w:r>
          </w:p>
        </w:tc>
      </w:tr>
    </w:tbl>
    <w:p>
      <w:pPr>
        <w:spacing w:after="0" w:line="200" w:lineRule="exact"/>
        <w:rPr>
          <w:sz w:val="20"/>
          <w:szCs w:val="20"/>
          <w:color w:val="auto"/>
        </w:rPr>
      </w:pPr>
    </w:p>
    <w:p>
      <w:pPr>
        <w:sectPr>
          <w:pgSz w:w="11900" w:h="16838" w:orient="portrait"/>
          <w:cols w:equalWidth="0" w:num="1">
            <w:col w:w="11340"/>
          </w:cols>
          <w:pgMar w:left="240" w:top="337" w:right="319" w:bottom="1440" w:gutter="0" w:footer="0" w:header="0"/>
        </w:sect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40"/>
          </w:cols>
          <w:pgMar w:left="240" w:top="337" w:right="31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Customers and Licensees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as of June 30, 2018, December 30, 2017, and July 1, 2017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December 30, 2017</w:t>
            </w:r>
          </w:p>
        </w:tc>
        <w:tc>
          <w:tcPr>
            <w:tcW w:w="3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18"/>
              <w:spacing w:after="0"/>
              <w:rPr>
                <w:sz w:val="20"/>
                <w:szCs w:val="20"/>
                <w:color w:val="auto"/>
              </w:rPr>
            </w:pPr>
            <w:r>
              <w:rPr>
                <w:rFonts w:ascii="Arial" w:cs="Arial" w:eastAsia="Arial" w:hAnsi="Arial"/>
                <w:sz w:val="18"/>
                <w:szCs w:val="18"/>
                <w:b w:val="1"/>
                <w:bCs w:val="1"/>
                <w:color w:val="auto"/>
              </w:rPr>
              <w:t>July 1, 2017</w:t>
            </w: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Trade receivables from wholesale customers, net</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138,952</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229,968</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153,581</w:t>
            </w: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9,818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10,107</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Tenant allowances and other receivables</w:t>
            </w:r>
          </w:p>
        </w:tc>
        <w:tc>
          <w:tcPr>
            <w:tcW w:w="280" w:type="dxa"/>
            <w:vAlign w:val="bottom"/>
          </w:tcPr>
          <w:p>
            <w:pPr>
              <w:spacing w:after="0"/>
              <w:rPr>
                <w:sz w:val="20"/>
                <w:szCs w:val="20"/>
                <w:color w:val="auto"/>
              </w:rPr>
            </w:pPr>
          </w:p>
        </w:tc>
        <w:tc>
          <w:tcPr>
            <w:tcW w:w="1680" w:type="dxa"/>
            <w:vAlign w:val="bottom"/>
          </w:tcPr>
          <w:p>
            <w:pPr>
              <w:jc w:val="right"/>
              <w:ind w:right="38"/>
              <w:spacing w:after="0"/>
              <w:rPr>
                <w:sz w:val="20"/>
                <w:szCs w:val="20"/>
                <w:color w:val="auto"/>
              </w:rPr>
            </w:pPr>
            <w:r>
              <w:rPr>
                <w:rFonts w:ascii="Arial" w:cs="Arial" w:eastAsia="Arial" w:hAnsi="Arial"/>
                <w:sz w:val="16"/>
                <w:szCs w:val="16"/>
                <w:color w:val="auto"/>
              </w:rPr>
              <w:t>12,168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38"/>
              <w:spacing w:after="0"/>
              <w:rPr>
                <w:sz w:val="20"/>
                <w:szCs w:val="20"/>
                <w:color w:val="auto"/>
              </w:rPr>
            </w:pPr>
            <w:r>
              <w:rPr>
                <w:rFonts w:ascii="Arial" w:cs="Arial" w:eastAsia="Arial" w:hAnsi="Arial"/>
                <w:sz w:val="16"/>
                <w:szCs w:val="16"/>
                <w:color w:val="auto"/>
              </w:rPr>
              <w:t>14,511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8"/>
              <w:spacing w:after="0"/>
              <w:rPr>
                <w:sz w:val="20"/>
                <w:szCs w:val="20"/>
                <w:color w:val="auto"/>
              </w:rPr>
            </w:pPr>
            <w:r>
              <w:rPr>
                <w:rFonts w:ascii="Arial" w:cs="Arial" w:eastAsia="Arial" w:hAnsi="Arial"/>
                <w:sz w:val="16"/>
                <w:szCs w:val="16"/>
                <w:color w:val="auto"/>
              </w:rPr>
              <w:t>11,265</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gross receivables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159,944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254,297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174,953</w:t>
            </w:r>
          </w:p>
        </w:tc>
      </w:tr>
      <w:tr>
        <w:trPr>
          <w:trHeight w:val="231"/>
        </w:trPr>
        <w:tc>
          <w:tcPr>
            <w:tcW w:w="5380" w:type="dxa"/>
            <w:vAlign w:val="bottom"/>
          </w:tcPr>
          <w:p>
            <w:pPr>
              <w:ind w:left="40"/>
              <w:spacing w:after="0"/>
              <w:rPr>
                <w:sz w:val="20"/>
                <w:szCs w:val="20"/>
                <w:color w:val="auto"/>
              </w:rPr>
            </w:pPr>
            <w:r>
              <w:rPr>
                <w:rFonts w:ascii="Arial" w:cs="Arial" w:eastAsia="Arial" w:hAnsi="Arial"/>
                <w:sz w:val="16"/>
                <w:szCs w:val="16"/>
                <w:color w:val="auto"/>
              </w:rPr>
              <w:t>Less:</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Wholesale accounts receivable reserves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(9,770)</w:t>
            </w:r>
          </w:p>
        </w:tc>
      </w:tr>
      <w:tr>
        <w:trPr>
          <w:trHeight w:val="244"/>
        </w:trPr>
        <w:tc>
          <w:tcPr>
            <w:tcW w:w="538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152,517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240,561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165,183</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8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the customer and has a future obligation to transfer goods to the customer. Total contract liabilities consisted of the following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December 30, 2017</w:t>
            </w:r>
          </w:p>
        </w:tc>
        <w:tc>
          <w:tcPr>
            <w:tcW w:w="3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417"/>
              <w:spacing w:after="0"/>
              <w:rPr>
                <w:sz w:val="20"/>
                <w:szCs w:val="20"/>
                <w:color w:val="auto"/>
              </w:rPr>
            </w:pPr>
            <w:r>
              <w:rPr>
                <w:rFonts w:ascii="Arial" w:cs="Arial" w:eastAsia="Arial" w:hAnsi="Arial"/>
                <w:sz w:val="18"/>
                <w:szCs w:val="18"/>
                <w:b w:val="1"/>
                <w:bCs w:val="1"/>
                <w:color w:val="auto"/>
              </w:rPr>
              <w:t>July 1, 2017</w:t>
            </w:r>
          </w:p>
        </w:tc>
      </w:tr>
      <w:tr>
        <w:trPr>
          <w:trHeight w:val="230"/>
        </w:trPr>
        <w:tc>
          <w:tcPr>
            <w:tcW w:w="53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liabilities-current:</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6"/>
                <w:szCs w:val="16"/>
                <w:color w:val="auto"/>
              </w:rPr>
              <w:t>Unredeemed gift cards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7"/>
              <w:spacing w:after="0"/>
              <w:rPr>
                <w:sz w:val="20"/>
                <w:szCs w:val="20"/>
                <w:color w:val="auto"/>
              </w:rPr>
            </w:pPr>
            <w:r>
              <w:rPr>
                <w:rFonts w:ascii="Arial" w:cs="Arial" w:eastAsia="Arial" w:hAnsi="Arial"/>
                <w:sz w:val="16"/>
                <w:szCs w:val="16"/>
                <w:color w:val="auto"/>
              </w:rPr>
              <w:t>11,072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7"/>
              <w:spacing w:after="0"/>
              <w:rPr>
                <w:sz w:val="20"/>
                <w:szCs w:val="20"/>
                <w:color w:val="auto"/>
              </w:rPr>
            </w:pPr>
            <w:r>
              <w:rPr>
                <w:rFonts w:ascii="Arial" w:cs="Arial" w:eastAsia="Arial" w:hAnsi="Arial"/>
                <w:sz w:val="16"/>
                <w:szCs w:val="16"/>
                <w:color w:val="auto"/>
              </w:rPr>
              <w:t>11,945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7"/>
              <w:spacing w:after="0"/>
              <w:rPr>
                <w:sz w:val="20"/>
                <w:szCs w:val="20"/>
                <w:color w:val="auto"/>
              </w:rPr>
            </w:pPr>
            <w:r>
              <w:rPr>
                <w:rFonts w:ascii="Arial" w:cs="Arial" w:eastAsia="Arial" w:hAnsi="Arial"/>
                <w:sz w:val="16"/>
                <w:szCs w:val="16"/>
                <w:color w:val="auto"/>
              </w:rPr>
              <w:t>9,991</w:t>
            </w:r>
          </w:p>
        </w:tc>
      </w:tr>
      <w:tr>
        <w:trPr>
          <w:trHeight w:val="33"/>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Unredeemed customer loyalty rewards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6,164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7,355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9,835</w:t>
            </w:r>
          </w:p>
        </w:tc>
      </w:tr>
      <w:tr>
        <w:trPr>
          <w:trHeight w:val="244"/>
        </w:trPr>
        <w:tc>
          <w:tcPr>
            <w:tcW w:w="5360" w:type="dxa"/>
            <w:vAlign w:val="bottom"/>
          </w:tcPr>
          <w:p>
            <w:pPr>
              <w:ind w:left="500"/>
              <w:spacing w:after="0"/>
              <w:rPr>
                <w:sz w:val="20"/>
                <w:szCs w:val="20"/>
                <w:color w:val="auto"/>
              </w:rPr>
            </w:pPr>
            <w:r>
              <w:rPr>
                <w:rFonts w:ascii="Arial" w:cs="Arial" w:eastAsia="Arial" w:hAnsi="Arial"/>
                <w:sz w:val="16"/>
                <w:szCs w:val="16"/>
                <w:color w:val="auto"/>
              </w:rPr>
              <w:t>Total contract liabilities-current *</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17,236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19,300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19,826</w:t>
            </w:r>
          </w:p>
        </w:tc>
      </w:tr>
      <w:tr>
        <w:trPr>
          <w:trHeight w:val="20"/>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Included with Other current liabilities on the Company's consolidated balance sheet.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Contract Liabilities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Unredeemed gift cards - the Company is obligated to transfer goods in the future to customers who have purchased gift cards. Periodic changes in the gift card contract liability result from the redemption of gift cards by customers and the recognition of estimated breakage revenue for those gift card balances that are not expected to be redeemed. The majority of our gift cards do not have an expiration date; however, all outstanding gift card balances are classified by the Company as current liabilities since gift cards are redeemable on demand by the valid holder. The majority of the Company's gift cards are redeemed within one year of issuance.</w:t>
      </w:r>
    </w:p>
    <w:p>
      <w:pPr>
        <w:spacing w:after="0" w:line="1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Unredeemed loyalty rewards - points and reward certificates earned by customers under the Company’s loyalty programs represent obligations of the Company to transfer goods to the customer upon redemption. Periodic changes in the loyalty program contract liability result from coupon redemptions and expirations. The earning and redemption cycles for our loyalty program are under one year in duration.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ACQUISITIONS IN FISCAL 2017</w:t>
      </w:r>
    </w:p>
    <w:p>
      <w:pPr>
        <w:spacing w:after="0" w:line="22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Based on their purchase prices and pre-acquisition operating results and assets, neither of the businesses acquired by the Company in fiscal 2017 met the materiality requirements for preparation and presentation of pro forma financial information, either individually or in the aggregate.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Skip Hop Acquisition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Carter's, Inc.'s wholly-owned subsidiary, The William Carter Company ("TWCC"), acquired 100% of the voting equity interests of Skip Hop Holdings, Inc. and subsidiaries (collectively "Skip Hop") after the close of business on February 22, 2017. The Skip Hop purchase was deemed to be the acquisition of a business under the provisions of ASC No.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Company's consolidated financial statements reflect the consolidation of the financial position, results of operations and cash flows of Skip Hop beginning February 23, 2017.</w:t>
      </w:r>
    </w:p>
    <w:p>
      <w:pPr>
        <w:spacing w:after="0" w:line="17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the Company's unaudited condensed consolidated balance sheet at July 1, 2017, the preliminary purchase price of approximately $147.3 million, net of $0.8 million cash acquired, was comprised of the following acquired assets and assumed liabilities: $54.2 million of goodwill including an assembled workforce; $92.7 million of intangible assets comprised of a tradename and acquired customer relationships; $54.9 million of tangible assets acquired; and $20.2 million of liabilities in addition to $35.9 million of deferred income tax liabilities.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measurement period (as defined in ASC 805) for Skip Hop was complete at the end of fiscal 2017 and all measurement period adjustments were reflected in the Company's consolidated balance sheet as of December 30, 2017. As a result of the measurement period adjustments recorded between the acquisition date and the end of fiscal 2017, the net assets acquired consisted of the following: $46.0 million of goodwill including an assembled workforce; $104.1 million of intangible assets comprised of a tradename and acquired customer relationships; $53.9 million of tangible assets acquired; and $20.8 million of liabilities in addition to $36.3 million of deferred income tax liabilities. The adjusted purchase price of approximately $142.5 million, net of $0.8 million of cash acquired.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two quarters of fiscal 2017, the Company incurred approximately $1.8 million in acquisition-related costs for the Skip Hop transaction.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Mexican Licensee</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August 1, 2017, the Company, through certain of its wholly-owned subsidiaries, acquired the outstanding equity of the Company's licensee in Mexico and a related entity (collectively "Carter's Mexico"). Both entities are incorporated under Mexican law. Prior to the acquisition, Carter's Mexico was primarily a licensee and wholesale customer of the Company. The Carter's Mexico purchase was deemed to be the acquisition of a business under the provisions of ASC</w:t>
      </w:r>
    </w:p>
    <w:p>
      <w:pPr>
        <w:ind w:right="460" w:firstLine="8"/>
        <w:spacing w:after="0" w:line="261"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consolidated financial statements reflect the consolidation of the financial position, results of operations and cash flows of Carter's Mexico beginning August 1, 2017. Carter's Mexico became part of the Company's International reportable segment.</w:t>
      </w:r>
    </w:p>
    <w:p>
      <w:pPr>
        <w:spacing w:after="0" w:line="18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As of December 30, 2017, preliminary values assigned to assets acquired included inventories of approximately $8.3 million, a customer relationships intangible asset of approximately $3.5 million, and goodwill of approximately $6.2 million. Measurement period adjustments made in the first quarter of fiscal 2018 were not material.</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measurement period (as defined in ASC 805) for the acquisition of the licensee in Mexico was completed during the second quarter of fiscal 2018 and all measurement period adjustments were reflected in the Company's consolidated balance sheet as of June 30, 2018. As a result of the measurement period adjustments recorded between the acquisition date and the end of the second quarter of fiscal 2018, the values assigned to assets acquired included inventories of approximately $8.0 million, a customer relationships intangible asset of approximately $3.5 million, and goodwill of approximately $6.3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158" w:lineRule="exact"/>
        <w:rPr>
          <w:sz w:val="20"/>
          <w:szCs w:val="20"/>
          <w:color w:val="auto"/>
        </w:rPr>
      </w:pPr>
    </w:p>
    <w:tbl>
      <w:tblPr>
        <w:tblLayout w:type="fixed"/>
        <w:tblInd w:w="1340" w:type="dxa"/>
        <w:tblCellMar>
          <w:top w:w="0" w:type="dxa"/>
          <w:left w:w="0" w:type="dxa"/>
          <w:bottom w:w="0" w:type="dxa"/>
          <w:right w:w="0" w:type="dxa"/>
        </w:tblCellMar>
      </w:tblP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30, 2017</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July 1, 2017</w:t>
            </w:r>
          </w:p>
        </w:tc>
      </w:tr>
      <w:tr>
        <w:trPr>
          <w:trHeight w:val="217"/>
        </w:trPr>
        <w:tc>
          <w:tcPr>
            <w:tcW w:w="3740" w:type="dxa"/>
            <w:vAlign w:val="bottom"/>
          </w:tcPr>
          <w:p>
            <w:pPr>
              <w:ind w:left="40"/>
              <w:spacing w:after="0"/>
              <w:rPr>
                <w:sz w:val="20"/>
                <w:szCs w:val="20"/>
                <w:color w:val="auto"/>
              </w:rPr>
            </w:pPr>
            <w:r>
              <w:rPr>
                <w:rFonts w:ascii="Arial" w:cs="Arial" w:eastAsia="Arial" w:hAnsi="Arial"/>
                <w:sz w:val="16"/>
                <w:szCs w:val="16"/>
                <w:color w:val="auto"/>
                <w:w w:val="99"/>
              </w:rPr>
              <w:t>Cumulative foreign currency translation adjustments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(27,724)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(21,285)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(23,537)</w:t>
            </w:r>
          </w:p>
        </w:tc>
      </w:tr>
      <w:tr>
        <w:trPr>
          <w:trHeight w:val="3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and post-retirement obligations (1)</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(7,116)</w:t>
            </w:r>
          </w:p>
        </w:tc>
      </w:tr>
      <w:tr>
        <w:trPr>
          <w:trHeight w:val="244"/>
        </w:trPr>
        <w:tc>
          <w:tcPr>
            <w:tcW w:w="3740" w:type="dxa"/>
            <w:vAlign w:val="bottom"/>
          </w:tcPr>
          <w:p>
            <w:pPr>
              <w:ind w:left="280"/>
              <w:spacing w:after="0"/>
              <w:rPr>
                <w:sz w:val="20"/>
                <w:szCs w:val="20"/>
                <w:color w:val="auto"/>
              </w:rPr>
            </w:pPr>
            <w:r>
              <w:rPr>
                <w:rFonts w:ascii="Arial" w:cs="Arial" w:eastAsia="Arial" w:hAnsi="Arial"/>
                <w:sz w:val="16"/>
                <w:szCs w:val="16"/>
                <w:color w:val="auto"/>
              </w:rPr>
              <w:t>Total accumulated other comprehensive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(35,532)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(30,653)</w:t>
            </w: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80" w:firstLine="8"/>
        <w:spacing w:after="0" w:line="275" w:lineRule="auto"/>
        <w:tabs>
          <w:tab w:leader="none" w:pos="23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Net of income taxes of $4.4 million, $4.4 million, and $4.2 million, respectively. The deferred income taxes associated with these obligations are subject to adjustments upon the Company's adoption of ASC 2018-02. See Note 16, </w:t>
      </w:r>
      <w:r>
        <w:rPr>
          <w:rFonts w:ascii="Arial" w:cs="Arial" w:eastAsia="Arial" w:hAnsi="Arial"/>
          <w:sz w:val="16"/>
          <w:szCs w:val="16"/>
          <w:i w:val="1"/>
          <w:iCs w:val="1"/>
          <w:color w:val="auto"/>
        </w:rPr>
        <w:t>Pending Adoption of Recent Accounting Pronouncements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first and second quarters of both fiscal 2018 and fiscal 2017, no amounts were reclassified from accumulated other comprehensive loss to the statement of operations.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intangible assets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0"/>
              </w:rPr>
              <w:t>June 30, 2018</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6"/>
                <w:szCs w:val="16"/>
                <w:b w:val="1"/>
                <w:bCs w:val="1"/>
                <w:color w:val="auto"/>
                <w:w w:val="90"/>
              </w:rPr>
              <w:t>December 30, 2017</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196"/>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Weighted-</w:t>
            </w: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average useful</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0"/>
        </w:trPr>
        <w:tc>
          <w:tcPr>
            <w:tcW w:w="246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6"/>
              </w:rPr>
              <w:t>life</w:t>
            </w:r>
          </w:p>
        </w:tc>
        <w:tc>
          <w:tcPr>
            <w:tcW w:w="1180" w:type="dxa"/>
            <w:vAlign w:val="bottom"/>
            <w:gridSpan w:val="5"/>
          </w:tcPr>
          <w:p>
            <w:pPr>
              <w:ind w:left="40"/>
              <w:spacing w:after="0"/>
              <w:rPr>
                <w:sz w:val="20"/>
                <w:szCs w:val="20"/>
                <w:color w:val="auto"/>
              </w:rPr>
            </w:pPr>
            <w:r>
              <w:rPr>
                <w:rFonts w:ascii="Arial" w:cs="Arial" w:eastAsia="Arial" w:hAnsi="Arial"/>
                <w:sz w:val="16"/>
                <w:szCs w:val="16"/>
                <w:b w:val="1"/>
                <w:bCs w:val="1"/>
                <w:color w:val="auto"/>
              </w:rPr>
              <w:t>Gross amount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4"/>
              </w:rPr>
              <w:t>amortization</w:t>
            </w:r>
          </w:p>
        </w:tc>
        <w:tc>
          <w:tcPr>
            <w:tcW w:w="1140" w:type="dxa"/>
            <w:vAlign w:val="bottom"/>
            <w:gridSpan w:val="3"/>
          </w:tcPr>
          <w:p>
            <w:pPr>
              <w:ind w:left="120"/>
              <w:spacing w:after="0"/>
              <w:rPr>
                <w:sz w:val="20"/>
                <w:szCs w:val="20"/>
                <w:color w:val="auto"/>
              </w:rPr>
            </w:pPr>
            <w:r>
              <w:rPr>
                <w:rFonts w:ascii="Arial" w:cs="Arial" w:eastAsia="Arial" w:hAnsi="Arial"/>
                <w:sz w:val="16"/>
                <w:szCs w:val="16"/>
                <w:b w:val="1"/>
                <w:bCs w:val="1"/>
                <w:color w:val="auto"/>
              </w:rPr>
              <w:t>Net amount</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r>
      <w:tr>
        <w:trPr>
          <w:trHeight w:val="33"/>
        </w:trPr>
        <w:tc>
          <w:tcPr>
            <w:tcW w:w="2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56"/>
        </w:trPr>
        <w:tc>
          <w:tcPr>
            <w:tcW w:w="2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color w:val="auto"/>
              </w:rPr>
              <w:t>Carter's goodwill</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w w:val="98"/>
              </w:rPr>
              <w:t>Indefinite</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136,570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136,570</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136,570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136,570</w:t>
            </w:r>
          </w:p>
        </w:tc>
      </w:tr>
      <w:tr>
        <w:trPr>
          <w:trHeight w:val="33"/>
        </w:trPr>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Canada goodwill</w:t>
            </w:r>
          </w:p>
        </w:tc>
        <w:tc>
          <w:tcPr>
            <w:tcW w:w="13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8"/>
              </w:rPr>
              <w:t>Indefinite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40,367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40,367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42,223</w:t>
            </w:r>
          </w:p>
        </w:tc>
      </w:tr>
      <w:tr>
        <w:trPr>
          <w:trHeight w:val="237"/>
        </w:trPr>
        <w:tc>
          <w:tcPr>
            <w:tcW w:w="2460" w:type="dxa"/>
            <w:vAlign w:val="bottom"/>
            <w:gridSpan w:val="2"/>
          </w:tcPr>
          <w:p>
            <w:pPr>
              <w:ind w:left="80"/>
              <w:spacing w:after="0"/>
              <w:rPr>
                <w:sz w:val="20"/>
                <w:szCs w:val="20"/>
                <w:color w:val="auto"/>
              </w:rPr>
            </w:pPr>
            <w:r>
              <w:rPr>
                <w:rFonts w:ascii="Arial" w:cs="Arial" w:eastAsia="Arial" w:hAnsi="Arial"/>
                <w:sz w:val="16"/>
                <w:szCs w:val="16"/>
                <w:color w:val="auto"/>
              </w:rPr>
              <w:t>Skip Hop goodwill</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w w:val="98"/>
              </w:rPr>
              <w:t>Indefinite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45,984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45,984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45,997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45,997</w:t>
            </w:r>
          </w:p>
        </w:tc>
      </w:tr>
      <w:tr>
        <w:trPr>
          <w:trHeight w:val="33"/>
        </w:trPr>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Carter's Mexico goodwill</w:t>
            </w:r>
          </w:p>
        </w:tc>
        <w:tc>
          <w:tcPr>
            <w:tcW w:w="13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8"/>
              </w:rPr>
              <w:t>Indefinite</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5,634</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5,634</w:t>
            </w:r>
          </w:p>
        </w:tc>
      </w:tr>
      <w:tr>
        <w:trPr>
          <w:trHeight w:val="284"/>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goodwill</w:t>
            </w:r>
          </w:p>
        </w:tc>
        <w:tc>
          <w:tcPr>
            <w:tcW w:w="1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228,555</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228,555</w:t>
            </w:r>
          </w:p>
        </w:tc>
        <w:tc>
          <w:tcPr>
            <w:tcW w:w="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230,424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230,424</w:t>
            </w:r>
          </w:p>
        </w:tc>
      </w:tr>
      <w:tr>
        <w:trPr>
          <w:trHeight w:val="149"/>
        </w:trPr>
        <w:tc>
          <w:tcPr>
            <w:tcW w:w="2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w w:val="98"/>
              </w:rPr>
              <w:t>Indefinite</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220,233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220,233</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220,233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220,233</w:t>
            </w:r>
          </w:p>
        </w:tc>
      </w:tr>
      <w:tr>
        <w:trPr>
          <w:trHeight w:val="33"/>
        </w:trPr>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3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8"/>
              </w:rPr>
              <w:t>Indefinite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85,500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85,500</w:t>
            </w:r>
          </w:p>
        </w:tc>
      </w:tr>
      <w:tr>
        <w:trPr>
          <w:trHeight w:val="237"/>
        </w:trPr>
        <w:tc>
          <w:tcPr>
            <w:tcW w:w="2460" w:type="dxa"/>
            <w:vAlign w:val="bottom"/>
            <w:gridSpan w:val="2"/>
          </w:tcPr>
          <w:p>
            <w:pPr>
              <w:ind w:left="8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w w:val="98"/>
              </w:rPr>
              <w:t>Indefinite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56,800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56,800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56,800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56,800</w:t>
            </w:r>
          </w:p>
        </w:tc>
      </w:tr>
      <w:tr>
        <w:trPr>
          <w:trHeight w:val="33"/>
        </w:trPr>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Finite-life tradenames</w:t>
            </w:r>
          </w:p>
        </w:tc>
        <w:tc>
          <w:tcPr>
            <w:tcW w:w="13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89"/>
              </w:rPr>
              <w:t>5-20 years</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3,911</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3,284</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w:t>
            </w:r>
          </w:p>
        </w:tc>
      </w:tr>
      <w:tr>
        <w:trPr>
          <w:trHeight w:val="284"/>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tradenames, net</w:t>
            </w:r>
          </w:p>
        </w:tc>
        <w:tc>
          <w:tcPr>
            <w:tcW w:w="1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366,444</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627</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365,817</w:t>
            </w:r>
          </w:p>
        </w:tc>
        <w:tc>
          <w:tcPr>
            <w:tcW w:w="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366,083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365,551</w:t>
            </w:r>
          </w:p>
        </w:tc>
      </w:tr>
      <w:tr>
        <w:trPr>
          <w:trHeight w:val="149"/>
        </w:trPr>
        <w:tc>
          <w:tcPr>
            <w:tcW w:w="2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Skip Hop customer relationships</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w w:val="91"/>
              </w:rPr>
              <w:t>15 years</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47,300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3,892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43,408</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47,300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2,304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44,996</w:t>
            </w:r>
          </w:p>
        </w:tc>
      </w:tr>
      <w:tr>
        <w:trPr>
          <w:trHeight w:val="33"/>
        </w:trPr>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Carter's Mexico customer</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9"/>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relationships</w:t>
            </w:r>
          </w:p>
        </w:tc>
        <w:tc>
          <w:tcPr>
            <w:tcW w:w="13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1"/>
              </w:rPr>
              <w:t>10 years</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3,031</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2,814</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84"/>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customer relationships, net</w:t>
            </w:r>
          </w:p>
        </w:tc>
        <w:tc>
          <w:tcPr>
            <w:tcW w:w="1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50,331</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4,109</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46,222</w:t>
            </w:r>
          </w:p>
        </w:tc>
        <w:tc>
          <w:tcPr>
            <w:tcW w:w="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50,435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2,439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47,996</w:t>
            </w:r>
          </w:p>
        </w:tc>
      </w:tr>
      <w:tr>
        <w:trPr>
          <w:trHeight w:val="149"/>
        </w:trPr>
        <w:tc>
          <w:tcPr>
            <w:tcW w:w="2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45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2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3"/>
              </w:rPr>
              <w:t>July 1, 2017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96"/>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3"/>
              </w:rPr>
              <w:t>Weighted-</w:t>
            </w: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average useful</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0"/>
        </w:trPr>
        <w:tc>
          <w:tcPr>
            <w:tcW w:w="246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3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6"/>
              </w:rPr>
              <w:t>life</w:t>
            </w:r>
          </w:p>
        </w:tc>
        <w:tc>
          <w:tcPr>
            <w:tcW w:w="60" w:type="dxa"/>
            <w:vAlign w:val="bottom"/>
          </w:tcPr>
          <w:p>
            <w:pPr>
              <w:spacing w:after="0"/>
              <w:rPr>
                <w:sz w:val="18"/>
                <w:szCs w:val="18"/>
                <w:color w:val="auto"/>
              </w:rPr>
            </w:pPr>
          </w:p>
        </w:tc>
        <w:tc>
          <w:tcPr>
            <w:tcW w:w="1120" w:type="dxa"/>
            <w:vAlign w:val="bottom"/>
            <w:gridSpan w:val="4"/>
          </w:tcPr>
          <w:p>
            <w:pPr>
              <w:ind w:left="60"/>
              <w:spacing w:after="0"/>
              <w:rPr>
                <w:sz w:val="20"/>
                <w:szCs w:val="20"/>
                <w:color w:val="auto"/>
              </w:rPr>
            </w:pPr>
            <w:r>
              <w:rPr>
                <w:rFonts w:ascii="Arial" w:cs="Arial" w:eastAsia="Arial" w:hAnsi="Arial"/>
                <w:sz w:val="16"/>
                <w:szCs w:val="16"/>
                <w:b w:val="1"/>
                <w:bCs w:val="1"/>
                <w:color w:val="auto"/>
                <w:w w:val="95"/>
              </w:rPr>
              <w:t>Gross amount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amount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2460" w:type="dxa"/>
            <w:vAlign w:val="bottom"/>
            <w:tcBorders>
              <w:bottom w:val="single" w:sz="8" w:color="CCEEFF"/>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56"/>
        </w:trPr>
        <w:tc>
          <w:tcPr>
            <w:tcW w:w="2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color w:val="auto"/>
              </w:rPr>
              <w:t>Carter's goodwill</w:t>
            </w:r>
          </w:p>
        </w:tc>
        <w:tc>
          <w:tcPr>
            <w:tcW w:w="1320" w:type="dxa"/>
            <w:vAlign w:val="bottom"/>
            <w:gridSpan w:val="3"/>
          </w:tcPr>
          <w:p>
            <w:pPr>
              <w:jc w:val="center"/>
              <w:ind w:right="40"/>
              <w:spacing w:after="0"/>
              <w:rPr>
                <w:sz w:val="20"/>
                <w:szCs w:val="20"/>
                <w:color w:val="auto"/>
              </w:rPr>
            </w:pPr>
            <w:r>
              <w:rPr>
                <w:rFonts w:ascii="Arial" w:cs="Arial" w:eastAsia="Arial" w:hAnsi="Arial"/>
                <w:sz w:val="16"/>
                <w:szCs w:val="16"/>
                <w:color w:val="auto"/>
                <w:w w:val="98"/>
              </w:rPr>
              <w:t>Indefinite</w:t>
            </w:r>
          </w:p>
        </w:tc>
        <w:tc>
          <w:tcPr>
            <w:tcW w:w="3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136,570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136,570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246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Canada goodwill</w:t>
            </w:r>
          </w:p>
        </w:tc>
        <w:tc>
          <w:tcPr>
            <w:tcW w:w="132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6"/>
                <w:szCs w:val="16"/>
                <w:color w:val="auto"/>
                <w:w w:val="98"/>
              </w:rPr>
              <w:t>Indefinite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40,897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40,897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color w:val="auto"/>
              </w:rPr>
              <w:t>Skip Hop goodwill</w:t>
            </w:r>
          </w:p>
        </w:tc>
        <w:tc>
          <w:tcPr>
            <w:tcW w:w="1320" w:type="dxa"/>
            <w:vAlign w:val="bottom"/>
            <w:gridSpan w:val="3"/>
          </w:tcPr>
          <w:p>
            <w:pPr>
              <w:jc w:val="center"/>
              <w:ind w:right="40"/>
              <w:spacing w:after="0"/>
              <w:rPr>
                <w:sz w:val="20"/>
                <w:szCs w:val="20"/>
                <w:color w:val="auto"/>
              </w:rPr>
            </w:pPr>
            <w:r>
              <w:rPr>
                <w:rFonts w:ascii="Arial" w:cs="Arial" w:eastAsia="Arial" w:hAnsi="Arial"/>
                <w:sz w:val="16"/>
                <w:szCs w:val="16"/>
                <w:color w:val="auto"/>
                <w:w w:val="98"/>
              </w:rPr>
              <w:t>Indefinite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54,242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54,242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246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4"/>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231,709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231,709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0"/>
        </w:trPr>
        <w:tc>
          <w:tcPr>
            <w:tcW w:w="246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9"/>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50"/>
        </w:trPr>
        <w:tc>
          <w:tcPr>
            <w:tcW w:w="2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32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6"/>
                <w:szCs w:val="16"/>
                <w:color w:val="auto"/>
                <w:w w:val="98"/>
              </w:rPr>
              <w:t>Indefinite</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220,233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320" w:type="dxa"/>
            <w:vAlign w:val="bottom"/>
            <w:gridSpan w:val="3"/>
          </w:tcPr>
          <w:p>
            <w:pPr>
              <w:jc w:val="center"/>
              <w:ind w:right="40"/>
              <w:spacing w:after="0"/>
              <w:rPr>
                <w:sz w:val="20"/>
                <w:szCs w:val="20"/>
                <w:color w:val="auto"/>
              </w:rPr>
            </w:pPr>
            <w:r>
              <w:rPr>
                <w:rFonts w:ascii="Arial" w:cs="Arial" w:eastAsia="Arial" w:hAnsi="Arial"/>
                <w:sz w:val="16"/>
                <w:szCs w:val="16"/>
                <w:color w:val="auto"/>
                <w:w w:val="98"/>
              </w:rPr>
              <w:t>Indefinite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85,500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85,500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246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p>
        </w:tc>
        <w:tc>
          <w:tcPr>
            <w:tcW w:w="13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6"/>
                <w:szCs w:val="16"/>
                <w:color w:val="auto"/>
                <w:w w:val="96"/>
              </w:rPr>
              <w:t>indefinite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56,800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color w:val="auto"/>
              </w:rPr>
              <w:t>Finite-life tradenames</w:t>
            </w:r>
          </w:p>
        </w:tc>
        <w:tc>
          <w:tcPr>
            <w:tcW w:w="1320" w:type="dxa"/>
            <w:vAlign w:val="bottom"/>
            <w:gridSpan w:val="3"/>
          </w:tcPr>
          <w:p>
            <w:pPr>
              <w:jc w:val="center"/>
              <w:ind w:right="40"/>
              <w:spacing w:after="0"/>
              <w:rPr>
                <w:sz w:val="20"/>
                <w:szCs w:val="20"/>
                <w:color w:val="auto"/>
              </w:rPr>
            </w:pPr>
            <w:r>
              <w:rPr>
                <w:rFonts w:ascii="Arial" w:cs="Arial" w:eastAsia="Arial" w:hAnsi="Arial"/>
                <w:sz w:val="16"/>
                <w:szCs w:val="16"/>
                <w:color w:val="auto"/>
                <w:w w:val="89"/>
              </w:rPr>
              <w:t>5-20 years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42,021</w:t>
            </w:r>
          </w:p>
        </w:tc>
        <w:tc>
          <w:tcPr>
            <w:tcW w:w="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38,915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246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4"/>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404,554</w:t>
            </w: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365,639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0"/>
        </w:trPr>
        <w:tc>
          <w:tcPr>
            <w:tcW w:w="246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9"/>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50"/>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2"/>
              </w:rPr>
              <w:t>Skip Hop customer relationships, net</w:t>
            </w:r>
          </w:p>
        </w:tc>
        <w:tc>
          <w:tcPr>
            <w:tcW w:w="1320" w:type="dxa"/>
            <w:vAlign w:val="bottom"/>
            <w:gridSpan w:val="3"/>
            <w:shd w:val="clear" w:color="auto" w:fill="CCEEFF"/>
          </w:tcPr>
          <w:p>
            <w:pPr>
              <w:jc w:val="center"/>
              <w:ind w:right="40"/>
              <w:spacing w:after="0"/>
              <w:rPr>
                <w:sz w:val="20"/>
                <w:szCs w:val="20"/>
                <w:color w:val="auto"/>
              </w:rPr>
            </w:pPr>
            <w:r>
              <w:rPr>
                <w:rFonts w:ascii="Arial" w:cs="Arial" w:eastAsia="Arial" w:hAnsi="Arial"/>
                <w:sz w:val="16"/>
                <w:szCs w:val="16"/>
                <w:color w:val="auto"/>
                <w:w w:val="91"/>
              </w:rPr>
              <w:t>15 years</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35,900</w:t>
            </w: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35,096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3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Amortization expense for intangible assets subject to amortization was approximately $0.8 million and $0.6 million for the second fiscal quarter ended June 30, 2018 and second fiscal quarter ended July 1, 2017, respectively. For the first two quarters of fiscal 2018 and fiscal 2017, amortization expense was approximately $1.8 million and $0.9 million, respectively. Future amortization expense is estimated to be approximately $3.7 million for each of the next five fiscal years.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37" w:right="239" w:bottom="1440" w:gutter="0" w:footer="0" w:header="0"/>
          <w:type w:val="continuous"/>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SHARE REPURCHASES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June 30, 2018 was approximately $496.5 million, based on settled repurchase transactions. The authorizations have no expiration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158" w:lineRule="exact"/>
        <w:rPr>
          <w:sz w:val="20"/>
          <w:szCs w:val="20"/>
          <w:color w:val="auto"/>
        </w:rPr>
      </w:pPr>
    </w:p>
    <w:tbl>
      <w:tblPr>
        <w:tblLayout w:type="fixed"/>
        <w:tblInd w:w="380" w:type="dxa"/>
        <w:tblCellMar>
          <w:top w:w="0" w:type="dxa"/>
          <w:left w:w="0" w:type="dxa"/>
          <w:bottom w:w="0" w:type="dxa"/>
          <w:right w:w="0" w:type="dxa"/>
        </w:tblCellMar>
      </w:tblPr>
      <w:tr>
        <w:trPr>
          <w:trHeight w:val="270"/>
        </w:trPr>
        <w:tc>
          <w:tcPr>
            <w:tcW w:w="3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900"/>
              <w:spacing w:after="0"/>
              <w:rPr>
                <w:sz w:val="20"/>
                <w:szCs w:val="20"/>
                <w:color w:val="auto"/>
              </w:rPr>
            </w:pPr>
            <w:r>
              <w:rPr>
                <w:rFonts w:ascii="Arial" w:cs="Arial" w:eastAsia="Arial" w:hAnsi="Arial"/>
                <w:sz w:val="16"/>
                <w:szCs w:val="16"/>
                <w:b w:val="1"/>
                <w:bCs w:val="1"/>
                <w:color w:val="auto"/>
              </w:rPr>
              <w:t>Fiscal quarter ended</w:t>
            </w:r>
          </w:p>
        </w:tc>
        <w:tc>
          <w:tcPr>
            <w:tcW w:w="260" w:type="dxa"/>
            <w:vAlign w:val="bottom"/>
            <w:tcBorders>
              <w:bottom w:val="single" w:sz="8" w:color="CCEEFF"/>
            </w:tcBorders>
            <w:shd w:val="clear" w:color="auto" w:fill="CCEEFF"/>
          </w:tcPr>
          <w:p>
            <w:pPr>
              <w:spacing w:after="0"/>
              <w:rPr>
                <w:sz w:val="23"/>
                <w:szCs w:val="23"/>
                <w:color w:val="auto"/>
              </w:rPr>
            </w:pPr>
          </w:p>
        </w:tc>
        <w:tc>
          <w:tcPr>
            <w:tcW w:w="3440" w:type="dxa"/>
            <w:vAlign w:val="bottom"/>
            <w:tcBorders>
              <w:bottom w:val="single" w:sz="8" w:color="CCEEFF"/>
            </w:tcBorders>
            <w:gridSpan w:val="4"/>
            <w:shd w:val="clear" w:color="auto" w:fill="CCEEFF"/>
          </w:tcPr>
          <w:p>
            <w:pPr>
              <w:jc w:val="right"/>
              <w:ind w:right="859"/>
              <w:spacing w:after="0"/>
              <w:rPr>
                <w:sz w:val="20"/>
                <w:szCs w:val="20"/>
                <w:color w:val="auto"/>
              </w:rPr>
            </w:pPr>
            <w:r>
              <w:rPr>
                <w:rFonts w:ascii="Arial" w:cs="Arial" w:eastAsia="Arial" w:hAnsi="Arial"/>
                <w:sz w:val="16"/>
                <w:szCs w:val="16"/>
                <w:b w:val="1"/>
                <w:bCs w:val="1"/>
                <w:color w:val="auto"/>
                <w:shd w:val="clear" w:color="auto" w:fill="CCEEFF"/>
              </w:rPr>
              <w:t>Two fiscal quarters ended</w:t>
            </w:r>
          </w:p>
        </w:tc>
      </w:tr>
      <w:tr>
        <w:trPr>
          <w:trHeight w:val="231"/>
        </w:trPr>
        <w:tc>
          <w:tcPr>
            <w:tcW w:w="3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July 1, 2017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July 1, 2017</w:t>
            </w:r>
          </w:p>
        </w:tc>
      </w:tr>
      <w:tr>
        <w:trPr>
          <w:trHeight w:val="33"/>
        </w:trPr>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599,314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587,465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820,627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1,131,409</w:t>
            </w:r>
          </w:p>
        </w:tc>
      </w:tr>
      <w:tr>
        <w:trPr>
          <w:trHeight w:val="220"/>
        </w:trPr>
        <w:tc>
          <w:tcPr>
            <w:tcW w:w="3100" w:type="dxa"/>
            <w:vAlign w:val="bottom"/>
          </w:tcPr>
          <w:p>
            <w:pPr>
              <w:ind w:left="20"/>
              <w:spacing w:after="0"/>
              <w:rPr>
                <w:sz w:val="20"/>
                <w:szCs w:val="20"/>
                <w:color w:val="auto"/>
              </w:rPr>
            </w:pPr>
            <w:r>
              <w:rPr>
                <w:rFonts w:ascii="Arial" w:cs="Arial" w:eastAsia="Arial" w:hAnsi="Arial"/>
                <w:sz w:val="16"/>
                <w:szCs w:val="16"/>
                <w:color w:val="auto"/>
                <w:w w:val="93"/>
              </w:rPr>
              <w:t>Aggregate cost of shares repurchased (dollars</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6"/>
        </w:trPr>
        <w:tc>
          <w:tcPr>
            <w:tcW w:w="31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63,899</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51,605</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89,093</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98,236</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106.62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87.84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108.57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86.82</w:t>
            </w:r>
          </w:p>
        </w:tc>
      </w:tr>
      <w:tr>
        <w:trPr>
          <w:trHeight w:val="33"/>
        </w:trPr>
        <w:tc>
          <w:tcPr>
            <w:tcW w:w="3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the second fiscal quarter and two fiscal quarters ended June 30, 2018, the Company declared and paid cash dividends per share of $0.45 and $0.90,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respectively. In the second fiscal quarter and two fiscal quarters ended July 1, 2017, the Company declared and paid cash dividends per share of $0.37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$0.74, respectively. Future declarations of dividends and the establishment of future record and payment dates are at the discretion of the Company's Board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Directors and based on a number of factors, including the Company's future financial performance and other investment priorities.</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Provisions in the indenture governing the senior notes of TWCC and in TWCC's secured revolving credit facility could have the effect of restricting the Company's ability to pay future cash dividends on, or make future repurchases of, its common stock. Provisions related to the indenture governing the senior notes are described in the Company's Annual Report on Form 10-K for the 2017 fiscal year ended December 30, 2017.</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58" w:lineRule="exact"/>
        <w:rPr>
          <w:sz w:val="20"/>
          <w:szCs w:val="20"/>
          <w:color w:val="auto"/>
        </w:rPr>
      </w:pPr>
    </w:p>
    <w:tbl>
      <w:tblPr>
        <w:tblLayout w:type="fixed"/>
        <w:tblInd w:w="1420" w:type="dxa"/>
        <w:tblCellMar>
          <w:top w:w="0" w:type="dxa"/>
          <w:left w:w="0" w:type="dxa"/>
          <w:bottom w:w="0" w:type="dxa"/>
          <w:right w:w="0" w:type="dxa"/>
        </w:tblCellMar>
      </w:tblP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June 30, 2018</w:t>
            </w:r>
          </w:p>
        </w:tc>
        <w:tc>
          <w:tcPr>
            <w:tcW w:w="1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b w:val="1"/>
                <w:bCs w:val="1"/>
                <w:color w:val="auto"/>
              </w:rPr>
              <w:t>December 30, 2017</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July 1, 2017</w:t>
            </w:r>
          </w:p>
        </w:tc>
      </w:tr>
      <w:tr>
        <w:trPr>
          <w:trHeight w:val="217"/>
        </w:trPr>
        <w:tc>
          <w:tcPr>
            <w:tcW w:w="4720" w:type="dxa"/>
            <w:vAlign w:val="bottom"/>
          </w:tcPr>
          <w:p>
            <w:pPr>
              <w:ind w:left="20"/>
              <w:spacing w:after="0"/>
              <w:rPr>
                <w:sz w:val="20"/>
                <w:szCs w:val="20"/>
                <w:color w:val="auto"/>
              </w:rPr>
            </w:pPr>
            <w:r>
              <w:rPr>
                <w:rFonts w:ascii="Arial" w:cs="Arial" w:eastAsia="Arial" w:hAnsi="Arial"/>
                <w:sz w:val="16"/>
                <w:szCs w:val="16"/>
                <w:color w:val="auto"/>
              </w:rPr>
              <w:t>Senior notes at amounts repayable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400,000</w:t>
            </w:r>
          </w:p>
        </w:tc>
      </w:tr>
      <w:tr>
        <w:trPr>
          <w:trHeight w:val="33"/>
        </w:trPr>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(4,154)</w:t>
            </w:r>
          </w:p>
        </w:tc>
      </w:tr>
      <w:tr>
        <w:trPr>
          <w:trHeight w:val="217"/>
        </w:trPr>
        <w:tc>
          <w:tcPr>
            <w:tcW w:w="4720" w:type="dxa"/>
            <w:vAlign w:val="bottom"/>
          </w:tcPr>
          <w:p>
            <w:pPr>
              <w:ind w:left="260"/>
              <w:spacing w:after="0"/>
              <w:rPr>
                <w:sz w:val="20"/>
                <w:szCs w:val="20"/>
                <w:color w:val="auto"/>
              </w:rPr>
            </w:pPr>
            <w:r>
              <w:rPr>
                <w:rFonts w:ascii="Arial" w:cs="Arial" w:eastAsia="Arial" w:hAnsi="Arial"/>
                <w:sz w:val="16"/>
                <w:szCs w:val="16"/>
                <w:color w:val="auto"/>
              </w:rPr>
              <w:t>Senior notes, net</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396,778</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396,306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395,846</w:t>
            </w:r>
          </w:p>
        </w:tc>
      </w:tr>
      <w:tr>
        <w:trPr>
          <w:trHeight w:val="33"/>
        </w:trPr>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Secured revolving credit facility</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286,000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266,000</w:t>
            </w:r>
          </w:p>
        </w:tc>
      </w:tr>
      <w:tr>
        <w:trPr>
          <w:trHeight w:val="217"/>
        </w:trPr>
        <w:tc>
          <w:tcPr>
            <w:tcW w:w="4720" w:type="dxa"/>
            <w:vAlign w:val="bottom"/>
          </w:tcPr>
          <w:p>
            <w:pPr>
              <w:ind w:left="520"/>
              <w:spacing w:after="0"/>
              <w:rPr>
                <w:sz w:val="20"/>
                <w:szCs w:val="20"/>
                <w:color w:val="auto"/>
              </w:rPr>
            </w:pPr>
            <w:r>
              <w:rPr>
                <w:rFonts w:ascii="Arial" w:cs="Arial" w:eastAsia="Arial" w:hAnsi="Arial"/>
                <w:sz w:val="16"/>
                <w:szCs w:val="16"/>
                <w:color w:val="auto"/>
              </w:rPr>
              <w:t>Total long-term debt,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682,778</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617,306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661,846</w:t>
            </w:r>
          </w:p>
        </w:tc>
      </w:tr>
      <w:tr>
        <w:trPr>
          <w:trHeight w:val="33"/>
        </w:trPr>
        <w:tc>
          <w:tcPr>
            <w:tcW w:w="4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Facility</w:t>
      </w:r>
    </w:p>
    <w:p>
      <w:pPr>
        <w:spacing w:after="0" w:line="225" w:lineRule="exact"/>
        <w:rPr>
          <w:sz w:val="20"/>
          <w:szCs w:val="20"/>
          <w:color w:val="auto"/>
        </w:rPr>
      </w:pPr>
    </w:p>
    <w:p>
      <w:pPr>
        <w:ind w:left="5620" w:right="1660" w:hanging="5615"/>
        <w:spacing w:after="0" w:line="559" w:lineRule="auto"/>
        <w:rPr>
          <w:sz w:val="20"/>
          <w:szCs w:val="20"/>
          <w:color w:val="auto"/>
        </w:rPr>
      </w:pPr>
      <w:r>
        <w:rPr>
          <w:rFonts w:ascii="Arial" w:cs="Arial" w:eastAsia="Arial" w:hAnsi="Arial"/>
          <w:sz w:val="18"/>
          <w:szCs w:val="18"/>
          <w:color w:val="auto"/>
        </w:rPr>
        <w:t>On August 25, 2017, TWCC and a syndicate of lenders entered into a fourth amended and restated secured revolving credit agreement. 15</w:t>
      </w:r>
    </w:p>
    <w:p>
      <w:pPr>
        <w:sectPr>
          <w:pgSz w:w="11900" w:h="16838" w:orient="portrait"/>
          <w:cols w:equalWidth="0" w:num="1">
            <w:col w:w="11380"/>
          </w:cols>
          <w:pgMar w:left="240" w:top="337" w:right="2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secured revolving credit facility provides: (i) a term for the facility lasting through August 22, 2022 and (ii) an aggregate credit line of $750 million which includes a $650 million U.S. dollar facility and a $100 million multicurrency facility denominated in U.S. dollars, Canadian dollars, Euros, Pounds Sterling, or other currencies agreed to by the applicable lenders. The $650 million U.S. dollar facility is inclusive of a $100 million sub-limit for letters of credit and a swing line sub-limit of $70 million. The $100 million multicurrency facility is inclusive of a $40 million sub-limit for letters of credit and a swing line sub-limit of $15 million.</w:t>
      </w:r>
    </w:p>
    <w:p>
      <w:pPr>
        <w:spacing w:after="0" w:line="18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addition, the secured revolving credit facility includes the opportunity for incremental borrowing facilities up to $425 million, which is comprised of an incremental $350 million U.S. dollar revolving credit facility and an incremental $75 million multicurrency revolving credit facility. The incremental U.S. dollar revolving credit facility can increase to an unlimited borrowing amount so long as the consolidated first lien leverage ratio (as defined in the secured revolving credit facility) does not exceed 2.25:1.00.</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Under the secured revolving credit facility, TWCC and its domestic subsidiaries have granted to the collateral agent, for the benefit of the lenders, valid and perfected first priority security interests in substantially all of their present and future assets, excluding certain customary exceptions, and guarantee the obligations of the borrowers. In addition, The Genuine Canadian Corp., as Canadian borrower, and Carter’s Holdings B.V., as Dutch borrower, have each guaranteed the obligations of the other.</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2018, the Company had $286.0 million in outstanding borrowings under its secured revolving credit facility, exclusive of $4.5 million of outstanding letters of credit. As of June 30, 2018, approximately $459.5 million remained available for future borrowing. All outstanding borrowings under the Company's secured revolving credit facility are classified as non-current liabilities on the Company's consolidated balance sheet because of the contractual repayment terms under the credit facility.</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June 30, 2018, the interest rate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of June 30, 2018, U.S. dollar borrowings outstanding under the secured revolving credit facility accrued interest at a LIBOR rate plus the applicable base rate, which resulted in a weighted-average borrowing rate of 3.38%. All outstanding Canadian dollar borrowings were repaid during the first quarter of fiscal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 Company was in compliance with the financial and other covenants under the secured revolving credit facility.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As of June 30, 2018, TWCC had outstanding $400 million principal amount of senior notes bearing interest at a fixed rate of 5.25% per annum and maturing on August 15, 2021. The senior notes are unsecured and are fully and unconditionally guaranteed by Carter's, Inc. and certain subsidiaries of TWCC. On the Company's consolidated balance sheet, the senior notes are reported net of certain unamortized issuance-related costs, as shown in the table above.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158" w:lineRule="exact"/>
        <w:rPr>
          <w:sz w:val="20"/>
          <w:szCs w:val="20"/>
          <w:color w:val="auto"/>
        </w:rPr>
      </w:pPr>
    </w:p>
    <w:tbl>
      <w:tblPr>
        <w:tblLayout w:type="fixed"/>
        <w:tblInd w:w="1200" w:type="dxa"/>
        <w:tblCellMar>
          <w:top w:w="0" w:type="dxa"/>
          <w:left w:w="0" w:type="dxa"/>
          <w:bottom w:w="0" w:type="dxa"/>
          <w:right w:w="0" w:type="dxa"/>
        </w:tblCellMar>
      </w:tblPr>
      <w:tr>
        <w:trPr>
          <w:trHeight w:val="270"/>
        </w:trPr>
        <w:tc>
          <w:tcPr>
            <w:tcW w:w="2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0" w:type="dxa"/>
            <w:vAlign w:val="bottom"/>
            <w:tcBorders>
              <w:bottom w:val="single" w:sz="8" w:color="CCEEFF"/>
            </w:tcBorders>
            <w:gridSpan w:val="5"/>
            <w:shd w:val="clear" w:color="auto" w:fill="CCEEFF"/>
          </w:tcPr>
          <w:p>
            <w:pPr>
              <w:ind w:left="660"/>
              <w:spacing w:after="0"/>
              <w:rPr>
                <w:sz w:val="20"/>
                <w:szCs w:val="20"/>
                <w:color w:val="auto"/>
              </w:rPr>
            </w:pPr>
            <w:r>
              <w:rPr>
                <w:rFonts w:ascii="Arial" w:cs="Arial" w:eastAsia="Arial" w:hAnsi="Arial"/>
                <w:sz w:val="16"/>
                <w:szCs w:val="16"/>
                <w:b w:val="1"/>
                <w:bCs w:val="1"/>
                <w:color w:val="auto"/>
              </w:rPr>
              <w:t>Fiscal quarter ended</w:t>
            </w:r>
          </w:p>
        </w:tc>
        <w:tc>
          <w:tcPr>
            <w:tcW w:w="20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gridSpan w:val="4"/>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Two fiscal quarters ended</w:t>
            </w:r>
          </w:p>
        </w:tc>
      </w:tr>
      <w:tr>
        <w:trPr>
          <w:trHeight w:val="231"/>
        </w:trPr>
        <w:tc>
          <w:tcPr>
            <w:tcW w:w="27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2018</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July 1, 2017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July 1, 2017</w:t>
            </w:r>
          </w:p>
        </w:tc>
      </w:tr>
      <w:tr>
        <w:trPr>
          <w:trHeight w:val="33"/>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2,199</w:t>
            </w: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5,144</w:t>
            </w:r>
          </w:p>
        </w:tc>
      </w:tr>
      <w:tr>
        <w:trPr>
          <w:trHeight w:val="237"/>
        </w:trPr>
        <w:tc>
          <w:tcPr>
            <w:tcW w:w="2780" w:type="dxa"/>
            <w:vAlign w:val="bottom"/>
          </w:tcPr>
          <w:p>
            <w:pPr>
              <w:ind w:left="140"/>
              <w:spacing w:after="0"/>
              <w:rPr>
                <w:sz w:val="20"/>
                <w:szCs w:val="20"/>
                <w:color w:val="auto"/>
              </w:rPr>
            </w:pPr>
            <w:r>
              <w:rPr>
                <w:rFonts w:ascii="Arial" w:cs="Arial" w:eastAsia="Arial" w:hAnsi="Arial"/>
                <w:sz w:val="16"/>
                <w:szCs w:val="16"/>
                <w:color w:val="auto"/>
              </w:rPr>
              <w:t>Performance-based awards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2,303</w:t>
            </w:r>
          </w:p>
        </w:tc>
      </w:tr>
      <w:tr>
        <w:trPr>
          <w:trHeight w:val="33"/>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9,646</w:t>
            </w:r>
          </w:p>
        </w:tc>
      </w:tr>
      <w:tr>
        <w:trPr>
          <w:trHeight w:val="20"/>
        </w:trPr>
        <w:tc>
          <w:tcPr>
            <w:tcW w:w="2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As of June 30, 2018, the Company had gross unrecognized income tax benefits of approximately $14.9 million, of which $12.6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6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Included in the reserves for unrecognized tax benefits at June 30, 2018 were approximately $1.8 million of reserves for which the statute of limitations is expected to expire within the next fiscal year. If these tax benefits are ultimately recognized, such recognition, net of federal income taxes, may affect the annual effective income tax rate for fiscal 2018 or fiscal 2019 along with the effective income tax rate in the quarter in which the benefits are recognized.</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recognizes interest related to unrecognized tax benefits as a component of interest expense and recognizes penalties related to unrecognized income tax benefits as a component of income tax expense. During the fiscal quarters ended June 30, 2018 and July 1, 2017, interest expense recorded on uncertain tax positions was not significant. The Company had approximately $1.3 million, $1.0 million, and $1.0 million of interest accrued on uncertain tax positions as of June 30, 2018, December 30, 2017, and July 1,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full fiscal year 2018, the Company estimates that its consolidated effective income tax rate will be approximately 22.0%.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Reform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provision for income taxes recognized by the Company during the fiscal fourth quarter of 2017 reflected certain provisional estimates for the accounting of the December 22, 2017 enactment of income tax law changes commonly known as the U.S. Tax Cuts and Jobs Act of 2017 (the "2017 Act"). The provisional accounting for the 2017 Act is permitted by SEC Staff Accounting Bulletin No. 118, Income Tax Accounting Implications of the Tax Cuts and Jobs Act, issued in late December 2017. Subsequent adjustments, if any, to the provisional accounting estimates must be reflected in income tax provisions/benefits during one or more periods in fiscal 2018.</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fourth quarter of fiscal 2017, the Company recorded a provisional tax expense estimate for the one-time transition tax liability for all of its foreign subsidiaries, resulting in an increase in income tax expense of approximately $10.4 million related to foreign earnings. The one-time transition tax is based on the Company's total post-1986 earnings and profits ("E&amp;P") that the Company previously deferred from United States income taxes. The Company has not yet completed its calculation of the total post-1986 E&amp;P for these foreign subsidiaries. No adjustments were made to this provisional tax expense estimate during the first two quarters of fiscal 2018. Further, the transition tax is based in part on the amount of those earnings held in cash and other specified assets. This amount may change when the Company finalizes the calculation of post-1986 foreign E&amp;P previously deferred from U.S. federal taxation and finalizes the amounts held in cash or other specified assets. No additional income taxes have been provided for any remaining undistributed foreign earnings not subject to the transition tax, or any additional outside basis difference inherent in these entities, as these amounts continue to be indefinitely reinvested in foreign operations.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but the related cumulative temporary difference as of December 30, 2017 and June 30, 2018 would not result in a material incremental deferred tax liability.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assets and liabilities that are remeasured at fair value each reporting period: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337" w:right="27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264"/>
        </w:trPr>
        <w:tc>
          <w:tcPr>
            <w:tcW w:w="32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w w:val="90"/>
              </w:rPr>
              <w:t>June 30, 2018</w:t>
            </w: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00" w:type="dxa"/>
            <w:vAlign w:val="bottom"/>
            <w:tcBorders>
              <w:bottom w:val="single" w:sz="8" w:color="auto"/>
            </w:tcBorders>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December 30, 2017</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0"/>
              </w:rPr>
              <w:t>July 1, 2017</w:t>
            </w:r>
          </w:p>
        </w:tc>
        <w:tc>
          <w:tcPr>
            <w:tcW w:w="26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r>
      <w:tr>
        <w:trPr>
          <w:trHeight w:val="264"/>
        </w:trPr>
        <w:tc>
          <w:tcPr>
            <w:tcW w:w="32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700" w:type="dxa"/>
            <w:vAlign w:val="bottom"/>
          </w:tcPr>
          <w:p>
            <w:pPr>
              <w:jc w:val="right"/>
              <w:spacing w:after="0"/>
              <w:rPr>
                <w:sz w:val="20"/>
                <w:szCs w:val="20"/>
                <w:color w:val="auto"/>
              </w:rPr>
            </w:pPr>
            <w:r>
              <w:rPr>
                <w:rFonts w:ascii="Arial" w:cs="Arial" w:eastAsia="Arial" w:hAnsi="Arial"/>
                <w:sz w:val="18"/>
                <w:szCs w:val="18"/>
                <w:color w:val="auto"/>
              </w:rPr>
              <w:t>Level 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Level 2</w:t>
            </w: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22"/>
                <w:szCs w:val="22"/>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Level 1</w:t>
            </w: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7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Level 2</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Level 3</w:t>
            </w:r>
          </w:p>
        </w:tc>
      </w:tr>
      <w:tr>
        <w:trPr>
          <w:trHeight w:val="250"/>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240"/>
              <w:spacing w:after="0"/>
              <w:rPr>
                <w:sz w:val="20"/>
                <w:szCs w:val="20"/>
                <w:color w:val="auto"/>
              </w:rPr>
            </w:pPr>
            <w:r>
              <w:rPr>
                <w:rFonts w:ascii="Arial" w:cs="Arial" w:eastAsia="Arial" w:hAnsi="Arial"/>
                <w:sz w:val="18"/>
                <w:szCs w:val="18"/>
                <w:color w:val="auto"/>
              </w:rPr>
              <w:t>Investments (1)</w:t>
            </w:r>
          </w:p>
        </w:tc>
        <w:tc>
          <w:tcPr>
            <w:tcW w:w="700" w:type="dxa"/>
            <w:vAlign w:val="bottom"/>
          </w:tcPr>
          <w:p>
            <w:pPr>
              <w:jc w:val="right"/>
              <w:spacing w:after="0"/>
              <w:rPr>
                <w:sz w:val="20"/>
                <w:szCs w:val="20"/>
                <w:color w:val="auto"/>
              </w:rPr>
            </w:pPr>
            <w:r>
              <w:rPr>
                <w:rFonts w:ascii="Arial" w:cs="Arial" w:eastAsia="Arial" w:hAnsi="Arial"/>
                <w:sz w:val="18"/>
                <w:szCs w:val="18"/>
                <w:color w:val="auto"/>
              </w:rPr>
              <w:t>$   16.9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$ 16.7</w:t>
            </w:r>
          </w:p>
        </w:tc>
        <w:tc>
          <w:tcPr>
            <w:tcW w:w="100" w:type="dxa"/>
            <w:vAlign w:val="bottom"/>
          </w:tcPr>
          <w:p>
            <w:pPr>
              <w:spacing w:after="0"/>
              <w:rPr>
                <w:sz w:val="21"/>
                <w:szCs w:val="21"/>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   15.3</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3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3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Contingent consideration (2)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3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Included in Other assets on the Company's consolidated balance sheet.</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Included in Other current liabilities on the Company's consolidated balance sheet.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invests in marketable securities, principally equity-based mutual funds, to mitigate the risk associated with the investment return on employee deferrals of compensation. Gains on the investments in marketable securities were $0.2 million for both the second fiscal quarter and the two fiscal quarters ended June 30, 2018, and were $0.5 million and $1.2 million for the fiscal quarter and two fiscal quarters ended July 1, 2017, respectively. These amounts are included in Other expense (income), net on the Company's consolidated statement of operations.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estimated fair value of contingent consideration related to the Skip Hop acquisition was based on a weighted payout probability at the measurement date. Facts and circumstances that occurred subsequent to the acquisition indicated that the contingent earn out arrangement would not be achieved, and therefore approximately $3.6 million was credited to the Company's earnings during fiscal 2017.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June 30, 2018, the fair value of the Company's $286.0 million in outstanding borrowings under its secured revolving credit facility approximated carrying value.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fair value of the Company's senior notes at June 30, 2018 was approximately $406 million. The fair value of these senior notes with a notional value and carrying value (gross of debt cost) of $400 million was estimated using a quoted price as provided in the secondary market, which considers the Company's credit risk and market related conditions, and is therefore within Level 2 of the fair value hierarchy.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337" w:right="299" w:bottom="1440" w:gutter="0" w:footer="0" w:header="0"/>
        </w:sectPr>
      </w:pPr>
    </w:p>
    <w:bookmarkStart w:id="20" w:name="page21"/>
    <w:bookmarkEnd w:id="20"/>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basic common shares outstanding to diluted common and common equivalent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114935</wp:posOffset>
            </wp:positionV>
            <wp:extent cx="687768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ectPr>
          <w:pgSz w:w="11900" w:h="16838" w:orient="portrait"/>
          <w:cols w:equalWidth="0" w:num="1">
            <w:col w:w="11140"/>
          </w:cols>
          <w:pgMar w:left="240" w:top="337" w:right="519" w:bottom="1440" w:gutter="0" w:footer="0" w:header="0"/>
        </w:sectPr>
      </w:pPr>
    </w:p>
    <w:p>
      <w:pPr>
        <w:spacing w:after="0" w:line="195"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46355</wp:posOffset>
            </wp:positionV>
            <wp:extent cx="2409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93" w:lineRule="exact"/>
        <w:rPr>
          <w:sz w:val="20"/>
          <w:szCs w:val="20"/>
          <w:color w:val="auto"/>
        </w:rPr>
      </w:pPr>
    </w:p>
    <w:p>
      <w:pPr>
        <w:ind w:left="4120"/>
        <w:spacing w:after="0"/>
        <w:tabs>
          <w:tab w:leader="none" w:pos="6100" w:val="left"/>
        </w:tabs>
        <w:rPr>
          <w:sz w:val="20"/>
          <w:szCs w:val="20"/>
          <w:color w:val="auto"/>
        </w:rPr>
      </w:pPr>
      <w:r>
        <w:rPr>
          <w:rFonts w:ascii="Arial" w:cs="Arial" w:eastAsia="Arial" w:hAnsi="Arial"/>
          <w:sz w:val="16"/>
          <w:szCs w:val="16"/>
          <w:b w:val="1"/>
          <w:bCs w:val="1"/>
          <w:color w:val="auto"/>
        </w:rPr>
        <w:t>June 30, 2018</w:t>
      </w:r>
      <w:r>
        <w:rPr>
          <w:sz w:val="20"/>
          <w:szCs w:val="20"/>
          <w:color w:val="auto"/>
        </w:rPr>
        <w:tab/>
      </w:r>
      <w:r>
        <w:rPr>
          <w:rFonts w:ascii="Arial" w:cs="Arial" w:eastAsia="Arial" w:hAnsi="Arial"/>
          <w:sz w:val="14"/>
          <w:szCs w:val="14"/>
          <w:b w:val="1"/>
          <w:bCs w:val="1"/>
          <w:color w:val="auto"/>
        </w:rPr>
        <w:t>July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37465</wp:posOffset>
            </wp:positionV>
            <wp:extent cx="6877685" cy="111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shd w:val="clear" w:color="auto" w:fill="CCEEFF"/>
        </w:rPr>
        <w:t>Two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37465</wp:posOffset>
            </wp:positionV>
            <wp:extent cx="2263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80" w:lineRule="exact"/>
        <w:rPr>
          <w:sz w:val="20"/>
          <w:szCs w:val="20"/>
          <w:color w:val="auto"/>
        </w:rPr>
      </w:pPr>
    </w:p>
    <w:p>
      <w:pPr>
        <w:spacing w:after="0"/>
        <w:tabs>
          <w:tab w:leader="none" w:pos="1860" w:val="left"/>
        </w:tabs>
        <w:rPr>
          <w:sz w:val="20"/>
          <w:szCs w:val="20"/>
          <w:color w:val="auto"/>
        </w:rPr>
      </w:pPr>
      <w:r>
        <w:rPr>
          <w:rFonts w:ascii="Arial" w:cs="Arial" w:eastAsia="Arial" w:hAnsi="Arial"/>
          <w:sz w:val="16"/>
          <w:szCs w:val="16"/>
          <w:b w:val="1"/>
          <w:bCs w:val="1"/>
          <w:color w:val="auto"/>
        </w:rPr>
        <w:t>June 30, 2018</w:t>
      </w:r>
      <w:r>
        <w:rPr>
          <w:sz w:val="20"/>
          <w:szCs w:val="20"/>
          <w:color w:val="auto"/>
        </w:rPr>
        <w:tab/>
      </w:r>
      <w:r>
        <w:rPr>
          <w:rFonts w:ascii="Arial" w:cs="Arial" w:eastAsia="Arial" w:hAnsi="Arial"/>
          <w:sz w:val="14"/>
          <w:szCs w:val="14"/>
          <w:b w:val="1"/>
          <w:bCs w:val="1"/>
          <w:color w:val="auto"/>
        </w:rPr>
        <w:t>July 1, 2017</w:t>
      </w:r>
    </w:p>
    <w:p>
      <w:pPr>
        <w:spacing w:after="0" w:line="200" w:lineRule="exact"/>
        <w:rPr>
          <w:sz w:val="20"/>
          <w:szCs w:val="20"/>
          <w:color w:val="auto"/>
        </w:rPr>
      </w:pPr>
    </w:p>
    <w:p>
      <w:pPr>
        <w:sectPr>
          <w:pgSz w:w="11900" w:h="16838" w:orient="portrait"/>
          <w:cols w:equalWidth="0" w:num="2">
            <w:col w:w="7300" w:space="720"/>
            <w:col w:w="3120"/>
          </w:cols>
          <w:pgMar w:left="240" w:top="337" w:right="519" w:bottom="1440" w:gutter="0" w:footer="0" w:header="0"/>
          <w:type w:val="continuous"/>
        </w:sectPr>
      </w:pPr>
    </w:p>
    <w:p>
      <w:pPr>
        <w:spacing w:after="0" w:line="5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Weighted-average number of common and</w:t>
      </w:r>
    </w:p>
    <w:p>
      <w:pPr>
        <w:spacing w:after="0" w:line="22" w:lineRule="exact"/>
        <w:rPr>
          <w:sz w:val="20"/>
          <w:szCs w:val="20"/>
          <w:color w:val="auto"/>
        </w:rPr>
      </w:pPr>
    </w:p>
    <w:tbl>
      <w:tblPr>
        <w:tblLayout w:type="fixed"/>
        <w:tblInd w:w="300" w:type="dxa"/>
        <w:tblCellMar>
          <w:top w:w="0" w:type="dxa"/>
          <w:left w:w="0" w:type="dxa"/>
          <w:bottom w:w="0" w:type="dxa"/>
          <w:right w:w="0" w:type="dxa"/>
        </w:tblCellMar>
      </w:tblPr>
      <w:tr>
        <w:trPr>
          <w:trHeight w:val="206"/>
        </w:trPr>
        <w:tc>
          <w:tcPr>
            <w:tcW w:w="3360" w:type="dxa"/>
            <w:vAlign w:val="bottom"/>
          </w:tcPr>
          <w:p>
            <w:pPr>
              <w:ind w:left="180"/>
              <w:spacing w:after="0"/>
              <w:rPr>
                <w:sz w:val="20"/>
                <w:szCs w:val="20"/>
                <w:color w:val="auto"/>
              </w:rPr>
            </w:pPr>
            <w:r>
              <w:rPr>
                <w:rFonts w:ascii="Arial" w:cs="Arial" w:eastAsia="Arial" w:hAnsi="Arial"/>
                <w:sz w:val="16"/>
                <w:szCs w:val="16"/>
                <w:color w:val="auto"/>
              </w:rPr>
              <w:t>common equivalent shares outstanding:</w:t>
            </w: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3"/>
              </w:rPr>
              <w:t>Basic number of common shares outstanding</w:t>
            </w: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46,437,093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47,863,618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46,604,599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48,093,155</w:t>
            </w:r>
          </w:p>
        </w:tc>
        <w:tc>
          <w:tcPr>
            <w:tcW w:w="0" w:type="dxa"/>
            <w:vAlign w:val="bottom"/>
          </w:tcPr>
          <w:p>
            <w:pPr>
              <w:spacing w:after="0"/>
              <w:rPr>
                <w:sz w:val="1"/>
                <w:szCs w:val="1"/>
                <w:color w:val="auto"/>
              </w:rPr>
            </w:pPr>
          </w:p>
        </w:tc>
      </w:tr>
      <w:tr>
        <w:trPr>
          <w:trHeight w:val="237"/>
        </w:trPr>
        <w:tc>
          <w:tcPr>
            <w:tcW w:w="3360" w:type="dxa"/>
            <w:vAlign w:val="bottom"/>
          </w:tcPr>
          <w:p>
            <w:pPr>
              <w:ind w:left="340"/>
              <w:spacing w:after="0"/>
              <w:rPr>
                <w:sz w:val="20"/>
                <w:szCs w:val="20"/>
                <w:color w:val="auto"/>
              </w:rPr>
            </w:pPr>
            <w:r>
              <w:rPr>
                <w:rFonts w:ascii="Arial" w:cs="Arial" w:eastAsia="Arial" w:hAnsi="Arial"/>
                <w:sz w:val="16"/>
                <w:szCs w:val="16"/>
                <w:color w:val="auto"/>
              </w:rPr>
              <w:t>Dilutive effect of equity awards</w:t>
            </w:r>
          </w:p>
        </w:tc>
        <w:tc>
          <w:tcPr>
            <w:tcW w:w="5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509,545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550,726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563,137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552,866</w:t>
            </w:r>
          </w:p>
        </w:tc>
        <w:tc>
          <w:tcPr>
            <w:tcW w:w="0" w:type="dxa"/>
            <w:vAlign w:val="bottom"/>
          </w:tcPr>
          <w:p>
            <w:pPr>
              <w:spacing w:after="0"/>
              <w:rPr>
                <w:sz w:val="1"/>
                <w:szCs w:val="1"/>
                <w:color w:val="auto"/>
              </w:rPr>
            </w:pPr>
          </w:p>
        </w:tc>
      </w:tr>
      <w:tr>
        <w:trPr>
          <w:trHeight w:val="33"/>
        </w:trPr>
        <w:tc>
          <w:tcPr>
            <w:tcW w:w="33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 number of common and common</w:t>
            </w:r>
          </w:p>
        </w:tc>
        <w:tc>
          <w:tcPr>
            <w:tcW w:w="5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46,946,638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48,414,344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47,167,736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48,646,021</w:t>
            </w:r>
          </w:p>
        </w:tc>
        <w:tc>
          <w:tcPr>
            <w:tcW w:w="0" w:type="dxa"/>
            <w:vAlign w:val="bottom"/>
          </w:tcPr>
          <w:p>
            <w:pPr>
              <w:spacing w:after="0"/>
              <w:rPr>
                <w:sz w:val="1"/>
                <w:szCs w:val="1"/>
                <w:color w:val="auto"/>
              </w:rPr>
            </w:pPr>
          </w:p>
        </w:tc>
      </w:tr>
      <w:tr>
        <w:trPr>
          <w:trHeight w:val="219"/>
        </w:trPr>
        <w:tc>
          <w:tcPr>
            <w:tcW w:w="3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equivalent shares outstanding</w:t>
            </w:r>
          </w:p>
        </w:tc>
        <w:tc>
          <w:tcPr>
            <w:tcW w:w="5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net income per common share (in</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thousands, except per share data):</w:t>
            </w:r>
          </w:p>
        </w:tc>
        <w:tc>
          <w:tcPr>
            <w:tcW w:w="5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37,268</w:t>
            </w:r>
          </w:p>
        </w:tc>
        <w:tc>
          <w:tcPr>
            <w:tcW w:w="10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37,793</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79,737</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84,388</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9"/>
              </w:rPr>
              <w:t>Income allocated to participating securities</w:t>
            </w:r>
          </w:p>
        </w:tc>
        <w:tc>
          <w:tcPr>
            <w:tcW w:w="5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00"/>
        </w:trPr>
        <w:tc>
          <w:tcPr>
            <w:tcW w:w="3360" w:type="dxa"/>
            <w:vAlign w:val="bottom"/>
          </w:tcPr>
          <w:p>
            <w:pPr>
              <w:ind w:left="340"/>
              <w:spacing w:after="0"/>
              <w:rPr>
                <w:sz w:val="20"/>
                <w:szCs w:val="20"/>
                <w:color w:val="auto"/>
              </w:rPr>
            </w:pPr>
            <w:r>
              <w:rPr>
                <w:rFonts w:ascii="Arial" w:cs="Arial" w:eastAsia="Arial" w:hAnsi="Arial"/>
                <w:sz w:val="16"/>
                <w:szCs w:val="16"/>
                <w:color w:val="auto"/>
              </w:rPr>
              <w:t>Net income available to common</w:t>
            </w:r>
          </w:p>
        </w:tc>
        <w:tc>
          <w:tcPr>
            <w:tcW w:w="56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36,992</w:t>
            </w:r>
          </w:p>
        </w:tc>
        <w:tc>
          <w:tcPr>
            <w:tcW w:w="100" w:type="dxa"/>
            <w:vAlign w:val="bottom"/>
          </w:tcPr>
          <w:p>
            <w:pPr>
              <w:spacing w:after="0"/>
              <w:rPr>
                <w:sz w:val="17"/>
                <w:szCs w:val="17"/>
                <w:color w:val="auto"/>
              </w:rPr>
            </w:pPr>
          </w:p>
        </w:tc>
        <w:tc>
          <w:tcPr>
            <w:tcW w:w="56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37,503</w:t>
            </w:r>
          </w:p>
        </w:tc>
        <w:tc>
          <w:tcPr>
            <w:tcW w:w="120" w:type="dxa"/>
            <w:vAlign w:val="bottom"/>
          </w:tcPr>
          <w:p>
            <w:pPr>
              <w:spacing w:after="0"/>
              <w:rPr>
                <w:sz w:val="17"/>
                <w:szCs w:val="17"/>
                <w:color w:val="auto"/>
              </w:rPr>
            </w:pPr>
          </w:p>
        </w:tc>
        <w:tc>
          <w:tcPr>
            <w:tcW w:w="54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79,137</w:t>
            </w:r>
          </w:p>
        </w:tc>
        <w:tc>
          <w:tcPr>
            <w:tcW w:w="12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83,729</w:t>
            </w:r>
          </w:p>
        </w:tc>
        <w:tc>
          <w:tcPr>
            <w:tcW w:w="0" w:type="dxa"/>
            <w:vAlign w:val="bottom"/>
          </w:tcPr>
          <w:p>
            <w:pPr>
              <w:spacing w:after="0"/>
              <w:rPr>
                <w:sz w:val="1"/>
                <w:szCs w:val="1"/>
                <w:color w:val="auto"/>
              </w:rPr>
            </w:pPr>
          </w:p>
        </w:tc>
      </w:tr>
      <w:tr>
        <w:trPr>
          <w:trHeight w:val="259"/>
        </w:trPr>
        <w:tc>
          <w:tcPr>
            <w:tcW w:w="33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shareholders</w:t>
            </w:r>
          </w:p>
        </w:tc>
        <w:tc>
          <w:tcPr>
            <w:tcW w:w="560" w:type="dxa"/>
            <w:vAlign w:val="bottom"/>
            <w:tcBorders>
              <w:bottom w:val="single" w:sz="8" w:color="auto"/>
            </w:tcBorders>
            <w:vMerge w:val="continue"/>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340"/>
              <w:spacing w:after="0"/>
              <w:rPr>
                <w:sz w:val="20"/>
                <w:szCs w:val="20"/>
                <w:color w:val="auto"/>
              </w:rPr>
            </w:pPr>
            <w:r>
              <w:rPr>
                <w:rFonts w:ascii="Arial" w:cs="Arial" w:eastAsia="Arial" w:hAnsi="Arial"/>
                <w:sz w:val="16"/>
                <w:szCs w:val="16"/>
                <w:color w:val="auto"/>
              </w:rPr>
              <w:t>Basic net income per common share</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40"/>
              <w:spacing w:after="0"/>
              <w:rPr>
                <w:sz w:val="20"/>
                <w:szCs w:val="20"/>
                <w:color w:val="auto"/>
              </w:rPr>
            </w:pPr>
            <w:r>
              <w:rPr>
                <w:rFonts w:ascii="Arial" w:cs="Arial" w:eastAsia="Arial" w:hAnsi="Arial"/>
                <w:sz w:val="16"/>
                <w:szCs w:val="16"/>
                <w:color w:val="auto"/>
              </w:rPr>
              <w:t>Diluted net income per common share (in</w:t>
            </w: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60" w:type="dxa"/>
            <w:vAlign w:val="bottom"/>
          </w:tcPr>
          <w:p>
            <w:pPr>
              <w:ind w:left="40"/>
              <w:spacing w:after="0"/>
              <w:rPr>
                <w:sz w:val="20"/>
                <w:szCs w:val="20"/>
                <w:color w:val="auto"/>
              </w:rPr>
            </w:pPr>
            <w:r>
              <w:rPr>
                <w:rFonts w:ascii="Arial" w:cs="Arial" w:eastAsia="Arial" w:hAnsi="Arial"/>
                <w:sz w:val="16"/>
                <w:szCs w:val="16"/>
                <w:color w:val="auto"/>
              </w:rPr>
              <w:t>thousands, except per share data):</w:t>
            </w: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37,793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84,388</w:t>
            </w:r>
          </w:p>
        </w:tc>
        <w:tc>
          <w:tcPr>
            <w:tcW w:w="0" w:type="dxa"/>
            <w:vAlign w:val="bottom"/>
          </w:tcPr>
          <w:p>
            <w:pPr>
              <w:spacing w:after="0"/>
              <w:rPr>
                <w:sz w:val="1"/>
                <w:szCs w:val="1"/>
                <w:color w:val="auto"/>
              </w:rPr>
            </w:pPr>
          </w:p>
        </w:tc>
      </w:tr>
      <w:tr>
        <w:trPr>
          <w:trHeight w:val="237"/>
        </w:trPr>
        <w:tc>
          <w:tcPr>
            <w:tcW w:w="3360" w:type="dxa"/>
            <w:vAlign w:val="bottom"/>
          </w:tcPr>
          <w:p>
            <w:pPr>
              <w:ind w:left="340"/>
              <w:spacing w:after="0"/>
              <w:rPr>
                <w:sz w:val="20"/>
                <w:szCs w:val="20"/>
                <w:color w:val="auto"/>
              </w:rPr>
            </w:pPr>
            <w:r>
              <w:rPr>
                <w:rFonts w:ascii="Arial" w:cs="Arial" w:eastAsia="Arial" w:hAnsi="Arial"/>
                <w:sz w:val="16"/>
                <w:szCs w:val="16"/>
                <w:color w:val="auto"/>
                <w:w w:val="99"/>
              </w:rPr>
              <w:t>Income allocated to participating securities</w:t>
            </w:r>
          </w:p>
        </w:tc>
        <w:tc>
          <w:tcPr>
            <w:tcW w:w="5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33"/>
        </w:trPr>
        <w:tc>
          <w:tcPr>
            <w:tcW w:w="33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available to common</w:t>
            </w:r>
          </w:p>
        </w:tc>
        <w:tc>
          <w:tcPr>
            <w:tcW w:w="56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36,994</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37,505</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79,141</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83,734</w:t>
            </w:r>
          </w:p>
        </w:tc>
        <w:tc>
          <w:tcPr>
            <w:tcW w:w="0" w:type="dxa"/>
            <w:vAlign w:val="bottom"/>
          </w:tcPr>
          <w:p>
            <w:pPr>
              <w:spacing w:after="0"/>
              <w:rPr>
                <w:sz w:val="1"/>
                <w:szCs w:val="1"/>
                <w:color w:val="auto"/>
              </w:rPr>
            </w:pPr>
          </w:p>
        </w:tc>
      </w:tr>
      <w:tr>
        <w:trPr>
          <w:trHeight w:val="219"/>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shareholders</w:t>
            </w: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 net income per common share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Anti-dilutive awards excluded from diluted</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earnings per share computation</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332,448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663,531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254,417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596,297</w:t>
            </w:r>
          </w:p>
        </w:tc>
        <w:tc>
          <w:tcPr>
            <w:tcW w:w="0" w:type="dxa"/>
            <w:vAlign w:val="bottom"/>
          </w:tcPr>
          <w:p>
            <w:pPr>
              <w:spacing w:after="0"/>
              <w:rPr>
                <w:sz w:val="1"/>
                <w:szCs w:val="1"/>
                <w:color w:val="auto"/>
              </w:rPr>
            </w:pPr>
          </w:p>
        </w:tc>
      </w:tr>
      <w:tr>
        <w:trPr>
          <w:trHeight w:val="33"/>
        </w:trPr>
        <w:tc>
          <w:tcPr>
            <w:tcW w:w="33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240" w:top="337" w:right="519" w:bottom="1440" w:gutter="0" w:footer="0" w:header="0"/>
          <w:type w:val="continuous"/>
        </w:sectPr>
      </w:pPr>
    </w:p>
    <w:bookmarkStart w:id="21" w:name="page22"/>
    <w:bookmarkEnd w:id="21"/>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CURRENT AND LONG-TERM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that exceeded five percent of total current liabilities, at the end of any comparable period, were as follows:</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December 30, 2017</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July 1, 2017</w:t>
            </w:r>
          </w:p>
        </w:tc>
      </w:tr>
      <w:tr>
        <w:trPr>
          <w:trHeight w:val="217"/>
        </w:trPr>
        <w:tc>
          <w:tcPr>
            <w:tcW w:w="5200" w:type="dxa"/>
            <w:vAlign w:val="bottom"/>
          </w:tcPr>
          <w:p>
            <w:pPr>
              <w:ind w:left="20"/>
              <w:spacing w:after="0"/>
              <w:rPr>
                <w:sz w:val="20"/>
                <w:szCs w:val="20"/>
                <w:color w:val="auto"/>
              </w:rPr>
            </w:pPr>
            <w:r>
              <w:rPr>
                <w:rFonts w:ascii="Arial" w:cs="Arial" w:eastAsia="Arial" w:hAnsi="Arial"/>
                <w:sz w:val="16"/>
                <w:szCs w:val="16"/>
                <w:color w:val="auto"/>
              </w:rPr>
              <w:t>Accrued bonuses and incentive compensation</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5,231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27,566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5,959</w:t>
            </w:r>
          </w:p>
        </w:tc>
      </w:tr>
      <w:tr>
        <w:trPr>
          <w:trHeight w:val="33"/>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employee benefits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10,227</w:t>
            </w:r>
          </w:p>
        </w:tc>
      </w:tr>
      <w:tr>
        <w:trPr>
          <w:trHeight w:val="237"/>
        </w:trPr>
        <w:tc>
          <w:tcPr>
            <w:tcW w:w="5200" w:type="dxa"/>
            <w:vAlign w:val="bottom"/>
          </w:tcPr>
          <w:p>
            <w:pPr>
              <w:ind w:left="20"/>
              <w:spacing w:after="0"/>
              <w:rPr>
                <w:sz w:val="20"/>
                <w:szCs w:val="20"/>
                <w:color w:val="auto"/>
              </w:rPr>
            </w:pPr>
            <w:r>
              <w:rPr>
                <w:rFonts w:ascii="Arial" w:cs="Arial" w:eastAsia="Arial" w:hAnsi="Arial"/>
                <w:sz w:val="16"/>
                <w:szCs w:val="16"/>
                <w:color w:val="auto"/>
              </w:rPr>
              <w:t>Accrued and deferred rent</w:t>
            </w:r>
          </w:p>
        </w:tc>
        <w:tc>
          <w:tcPr>
            <w:tcW w:w="3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18,702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18,213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17,767</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that exceeded five percent of total liabilities, at the end of any comparable period, were as follows:</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December 30, 2017</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July 1, 2017</w:t>
            </w:r>
          </w:p>
        </w:tc>
      </w:tr>
      <w:tr>
        <w:trPr>
          <w:trHeight w:val="217"/>
        </w:trPr>
        <w:tc>
          <w:tcPr>
            <w:tcW w:w="5200" w:type="dxa"/>
            <w:vAlign w:val="bottom"/>
          </w:tcPr>
          <w:p>
            <w:pPr>
              <w:ind w:left="20"/>
              <w:spacing w:after="0"/>
              <w:rPr>
                <w:sz w:val="20"/>
                <w:szCs w:val="20"/>
                <w:color w:val="auto"/>
              </w:rPr>
            </w:pPr>
            <w:r>
              <w:rPr>
                <w:rFonts w:ascii="Arial" w:cs="Arial" w:eastAsia="Arial" w:hAnsi="Arial"/>
                <w:sz w:val="16"/>
                <w:szCs w:val="16"/>
                <w:color w:val="auto"/>
              </w:rPr>
              <w:t>Deferred lease incentives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75,431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75,104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74,344</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certain information for our reportable segments and unallocated corporate expenses for the periods indicated.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4"/>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Fiscal quarter ended</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5"/>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93"/>
                <w:shd w:val="clear" w:color="auto" w:fill="CCEEFF"/>
              </w:rPr>
              <w:t>Two fiscal quarters ended</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 of</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Total Net</w:t>
            </w:r>
          </w:p>
        </w:tc>
        <w:tc>
          <w:tcPr>
            <w:tcW w:w="260" w:type="dxa"/>
            <w:vAlign w:val="bottom"/>
          </w:tcPr>
          <w:p>
            <w:pPr>
              <w:spacing w:after="0"/>
              <w:rPr>
                <w:sz w:val="17"/>
                <w:szCs w:val="17"/>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July 1,</w:t>
            </w: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Total Net</w:t>
            </w:r>
          </w:p>
        </w:tc>
        <w:tc>
          <w:tcPr>
            <w:tcW w:w="22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Total Net</w:t>
            </w:r>
          </w:p>
        </w:tc>
        <w:tc>
          <w:tcPr>
            <w:tcW w:w="180" w:type="dxa"/>
            <w:vAlign w:val="bottom"/>
          </w:tcPr>
          <w:p>
            <w:pPr>
              <w:spacing w:after="0"/>
              <w:rPr>
                <w:sz w:val="17"/>
                <w:szCs w:val="17"/>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July 1,</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Total Net</w:t>
            </w:r>
          </w:p>
        </w:tc>
        <w:tc>
          <w:tcPr>
            <w:tcW w:w="0" w:type="dxa"/>
            <w:vAlign w:val="bottom"/>
          </w:tcPr>
          <w:p>
            <w:pPr>
              <w:spacing w:after="0"/>
              <w:rPr>
                <w:sz w:val="1"/>
                <w:szCs w:val="1"/>
                <w:color w:val="auto"/>
              </w:rPr>
            </w:pPr>
          </w:p>
        </w:tc>
      </w:tr>
      <w:tr>
        <w:trPr>
          <w:trHeight w:val="210"/>
        </w:trPr>
        <w:tc>
          <w:tcPr>
            <w:tcW w:w="1780" w:type="dxa"/>
            <w:vAlign w:val="bottom"/>
            <w:gridSpan w:val="4"/>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Sales</w:t>
            </w:r>
          </w:p>
        </w:tc>
        <w:tc>
          <w:tcPr>
            <w:tcW w:w="26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Sales</w:t>
            </w:r>
          </w:p>
        </w:tc>
        <w:tc>
          <w:tcPr>
            <w:tcW w:w="2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Sales</w:t>
            </w:r>
          </w:p>
        </w:tc>
        <w:tc>
          <w:tcPr>
            <w:tcW w:w="18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1"/>
              </w:rPr>
              <w:t>Sales</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sales: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6"/>
                <w:szCs w:val="16"/>
                <w:color w:val="auto"/>
              </w:rPr>
              <w:t>U.S. Retail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402,021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391,457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785,762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755,299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U.S. Wholesale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209,476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217,710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490,309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510,265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37"/>
        </w:trPr>
        <w:tc>
          <w:tcPr>
            <w:tcW w:w="1780" w:type="dxa"/>
            <w:vAlign w:val="bottom"/>
            <w:gridSpan w:val="4"/>
          </w:tcPr>
          <w:p>
            <w:pPr>
              <w:ind w:left="20"/>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84,700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82,584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175,912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159,014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Total net sales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696,197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691,751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1,451,983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1,424,578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4"/>
              </w:rPr>
              <w:t>% of</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shd w:val="clear" w:color="auto" w:fill="CCEEFF"/>
              </w:rPr>
              <w:t>% of</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shd w:val="clear" w:color="auto" w:fill="CCEEFF"/>
              </w:rPr>
              <w:t>% of</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5"/>
              </w:rPr>
              <w:t>Segment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8"/>
              </w:rPr>
              <w:t>Segment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w w:val="75"/>
                <w:shd w:val="clear" w:color="auto" w:fill="CCEEFF"/>
              </w:rPr>
              <w:t>Segment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w w:val="75"/>
                <w:shd w:val="clear" w:color="auto" w:fill="CCEEFF"/>
              </w:rPr>
              <w:t>Segment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b w:val="1"/>
                <w:bCs w:val="1"/>
                <w:color w:val="auto"/>
                <w:w w:val="92"/>
              </w:rPr>
              <w:t>Operating income (loss):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6"/>
                <w:szCs w:val="16"/>
                <w:b w:val="1"/>
                <w:bCs w:val="1"/>
                <w:color w:val="auto"/>
                <w:w w:val="86"/>
              </w:rPr>
              <w:t>Net Sales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6"/>
                <w:szCs w:val="16"/>
                <w:b w:val="1"/>
                <w:bCs w:val="1"/>
                <w:color w:val="auto"/>
                <w:w w:val="88"/>
              </w:rPr>
              <w:t>Net Sales</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b w:val="1"/>
                <w:bCs w:val="1"/>
                <w:color w:val="auto"/>
                <w:w w:val="83"/>
                <w:shd w:val="clear" w:color="auto" w:fill="CCEEFF"/>
              </w:rPr>
              <w:t>Net Sales</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b w:val="1"/>
                <w:bCs w:val="1"/>
                <w:color w:val="auto"/>
                <w:w w:val="83"/>
                <w:shd w:val="clear" w:color="auto" w:fill="CCEEFF"/>
              </w:rPr>
              <w:t>Net Sales</w:t>
            </w:r>
          </w:p>
        </w:tc>
        <w:tc>
          <w:tcPr>
            <w:tcW w:w="0" w:type="dxa"/>
            <w:vAlign w:val="bottom"/>
          </w:tcPr>
          <w:p>
            <w:pPr>
              <w:spacing w:after="0"/>
              <w:rPr>
                <w:sz w:val="1"/>
                <w:szCs w:val="1"/>
                <w:color w:val="auto"/>
              </w:rPr>
            </w:pPr>
          </w:p>
        </w:tc>
      </w:tr>
      <w:tr>
        <w:trPr>
          <w:trHeight w:val="231"/>
        </w:trPr>
        <w:tc>
          <w:tcPr>
            <w:tcW w:w="20" w:type="dxa"/>
            <w:vAlign w:val="bottom"/>
            <w:tcBorders>
              <w:top w:val="single" w:sz="8" w:color="CCEEFF"/>
            </w:tcBorders>
          </w:tcPr>
          <w:p>
            <w:pPr>
              <w:spacing w:after="0"/>
              <w:rPr>
                <w:sz w:val="20"/>
                <w:szCs w:val="20"/>
                <w:color w:val="auto"/>
              </w:rPr>
            </w:pPr>
          </w:p>
        </w:tc>
        <w:tc>
          <w:tcPr>
            <w:tcW w:w="16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U.S. Retail (a) (e)</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45,428</w:t>
            </w:r>
          </w:p>
        </w:tc>
        <w:tc>
          <w:tcPr>
            <w:tcW w:w="120" w:type="dxa"/>
            <w:vAlign w:val="bottom"/>
            <w:tcBorders>
              <w:top w:val="single" w:sz="8" w:color="CCEEFF"/>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42,133</w:t>
            </w:r>
          </w:p>
        </w:tc>
        <w:tc>
          <w:tcPr>
            <w:tcW w:w="100" w:type="dxa"/>
            <w:vAlign w:val="bottom"/>
            <w:tcBorders>
              <w:top w:val="single" w:sz="8" w:color="CCEEFF"/>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74,947</w:t>
            </w:r>
          </w:p>
        </w:tc>
        <w:tc>
          <w:tcPr>
            <w:tcW w:w="120" w:type="dxa"/>
            <w:vAlign w:val="bottom"/>
            <w:tcBorders>
              <w:top w:val="single" w:sz="8" w:color="CCEEFF"/>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71,922</w:t>
            </w:r>
          </w:p>
        </w:tc>
        <w:tc>
          <w:tcPr>
            <w:tcW w:w="100" w:type="dxa"/>
            <w:vAlign w:val="bottom"/>
            <w:tcBorders>
              <w:top w:val="single" w:sz="8" w:color="CCEEFF"/>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U.S. Wholesale (b) (e)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30,338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35,805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80,610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105,501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37"/>
        </w:trPr>
        <w:tc>
          <w:tcPr>
            <w:tcW w:w="1780" w:type="dxa"/>
            <w:vAlign w:val="bottom"/>
            <w:gridSpan w:val="4"/>
          </w:tcPr>
          <w:p>
            <w:pPr>
              <w:ind w:left="20"/>
              <w:spacing w:after="0"/>
              <w:rPr>
                <w:sz w:val="20"/>
                <w:szCs w:val="20"/>
                <w:color w:val="auto"/>
              </w:rPr>
            </w:pPr>
            <w:r>
              <w:rPr>
                <w:rFonts w:ascii="Arial" w:cs="Arial" w:eastAsia="Arial" w:hAnsi="Arial"/>
                <w:sz w:val="16"/>
                <w:szCs w:val="16"/>
                <w:color w:val="auto"/>
              </w:rPr>
              <w:t>International (e)</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4,312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7,597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8,073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11,282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w w:val="90"/>
              </w:rPr>
              <w:t>Corporate expenses (c) (d)</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(23,108)</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(46,351)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(45,938)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760" w:type="dxa"/>
            <w:vAlign w:val="bottom"/>
            <w:gridSpan w:val="3"/>
          </w:tcPr>
          <w:p>
            <w:pPr>
              <w:ind w:left="240"/>
              <w:spacing w:after="0"/>
              <w:rPr>
                <w:sz w:val="20"/>
                <w:szCs w:val="20"/>
                <w:color w:val="auto"/>
              </w:rPr>
            </w:pPr>
            <w:r>
              <w:rPr>
                <w:rFonts w:ascii="Arial" w:cs="Arial" w:eastAsia="Arial" w:hAnsi="Arial"/>
                <w:sz w:val="16"/>
                <w:szCs w:val="16"/>
                <w:color w:val="auto"/>
              </w:rPr>
              <w:t>Total operating</w:t>
            </w: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56,970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64,311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117,279</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142,767</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60" w:type="dxa"/>
            <w:vAlign w:val="bottom"/>
            <w:gridSpan w:val="3"/>
          </w:tcPr>
          <w:p>
            <w:pPr>
              <w:ind w:left="240"/>
              <w:spacing w:after="0"/>
              <w:rPr>
                <w:sz w:val="20"/>
                <w:szCs w:val="20"/>
                <w:color w:val="auto"/>
              </w:rPr>
            </w:pPr>
            <w:r>
              <w:rPr>
                <w:rFonts w:ascii="Arial" w:cs="Arial" w:eastAsia="Arial" w:hAnsi="Arial"/>
                <w:sz w:val="16"/>
                <w:szCs w:val="16"/>
                <w:color w:val="auto"/>
              </w:rPr>
              <w:t>income</w:t>
            </w:r>
          </w:p>
        </w:tc>
        <w:tc>
          <w:tcPr>
            <w:tcW w:w="2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Two fiscal quarters ended June 30, 2018 includes insurance recoveries of approximately $0.4 million associated with storm-related store closures in 2017.</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approximately $12.8 million of charges related to a customer bankruptcy for the two fiscal quarters ended June 30, 2018.</w:t>
      </w:r>
    </w:p>
    <w:p>
      <w:pPr>
        <w:spacing w:after="0" w:line="5" w:lineRule="exact"/>
        <w:rPr>
          <w:rFonts w:ascii="Arial" w:cs="Arial" w:eastAsia="Arial" w:hAnsi="Arial"/>
          <w:sz w:val="16"/>
          <w:szCs w:val="16"/>
          <w:color w:val="auto"/>
        </w:rPr>
      </w:pPr>
    </w:p>
    <w:p>
      <w:pPr>
        <w:ind w:left="340" w:right="400" w:hanging="332"/>
        <w:spacing w:after="0" w:line="257"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Corporate expenses include expenses related to incentive compensation, stock-based compensation, executive management, severance and relocation, finance, office occupancy, information technology, certain legal fees, consulting, and audit fees.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 Includes the following charges:</w:t>
      </w:r>
    </w:p>
    <w:p>
      <w:pPr>
        <w:spacing w:after="0" w:line="150" w:lineRule="exact"/>
        <w:rPr>
          <w:sz w:val="20"/>
          <w:szCs w:val="20"/>
          <w:color w:val="auto"/>
        </w:rPr>
      </w:pPr>
    </w:p>
    <w:tbl>
      <w:tblPr>
        <w:tblLayout w:type="fixed"/>
        <w:tblInd w:w="2200" w:type="dxa"/>
        <w:tblCellMar>
          <w:top w:w="0" w:type="dxa"/>
          <w:left w:w="0" w:type="dxa"/>
          <w:bottom w:w="0" w:type="dxa"/>
          <w:right w:w="0" w:type="dxa"/>
        </w:tblCellMar>
      </w:tblPr>
      <w:tr>
        <w:trPr>
          <w:trHeight w:val="270"/>
        </w:trPr>
        <w:tc>
          <w:tcPr>
            <w:tcW w:w="2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4"/>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shd w:val="clear" w:color="auto" w:fill="CCEEFF"/>
              </w:rPr>
              <w:t>Fiscal quarter ended</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gridSpan w:val="3"/>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99"/>
                <w:shd w:val="clear" w:color="auto" w:fill="CCEEFF"/>
              </w:rPr>
              <w:t>Two fiscal quarters ended</w:t>
            </w:r>
          </w:p>
        </w:tc>
      </w:tr>
      <w:tr>
        <w:trPr>
          <w:trHeight w:val="209"/>
        </w:trPr>
        <w:tc>
          <w:tcPr>
            <w:tcW w:w="2180" w:type="dxa"/>
            <w:vAlign w:val="bottom"/>
          </w:tcPr>
          <w:p>
            <w:pPr>
              <w:spacing w:after="0"/>
              <w:rPr>
                <w:sz w:val="18"/>
                <w:szCs w:val="18"/>
                <w:color w:val="auto"/>
              </w:rPr>
            </w:pPr>
          </w:p>
        </w:tc>
        <w:tc>
          <w:tcPr>
            <w:tcW w:w="920" w:type="dxa"/>
            <w:vAlign w:val="bottom"/>
            <w:tcBorders>
              <w:top w:val="single" w:sz="8" w:color="auto"/>
            </w:tcBorders>
            <w:gridSpan w:val="2"/>
          </w:tcPr>
          <w:p>
            <w:pPr>
              <w:jc w:val="center"/>
              <w:ind w:left="139"/>
              <w:spacing w:after="0"/>
              <w:rPr>
                <w:sz w:val="20"/>
                <w:szCs w:val="20"/>
                <w:color w:val="auto"/>
              </w:rPr>
            </w:pPr>
            <w:r>
              <w:rPr>
                <w:rFonts w:ascii="Arial" w:cs="Arial" w:eastAsia="Arial" w:hAnsi="Arial"/>
                <w:sz w:val="16"/>
                <w:szCs w:val="16"/>
                <w:b w:val="1"/>
                <w:bCs w:val="1"/>
                <w:color w:val="auto"/>
                <w:w w:val="90"/>
              </w:rPr>
              <w:t>June 30,</w:t>
            </w: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July 1,</w:t>
            </w: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0"/>
              </w:rPr>
              <w:t>June 30,</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July 1,</w:t>
            </w:r>
          </w:p>
        </w:tc>
      </w:tr>
      <w:tr>
        <w:trPr>
          <w:trHeight w:val="210"/>
        </w:trPr>
        <w:tc>
          <w:tcPr>
            <w:tcW w:w="218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9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2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sourcing initiative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2180" w:type="dxa"/>
            <w:vAlign w:val="bottom"/>
          </w:tcPr>
          <w:p>
            <w:pPr>
              <w:ind w:left="40"/>
              <w:spacing w:after="0"/>
              <w:rPr>
                <w:sz w:val="20"/>
                <w:szCs w:val="20"/>
                <w:color w:val="auto"/>
              </w:rPr>
            </w:pPr>
            <w:r>
              <w:rPr>
                <w:rFonts w:ascii="Arial" w:cs="Arial" w:eastAsia="Arial" w:hAnsi="Arial"/>
                <w:sz w:val="16"/>
                <w:szCs w:val="16"/>
                <w:color w:val="auto"/>
              </w:rPr>
              <w:t>Acquisition-related costs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36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ind w:left="8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r>
    </w:tbl>
    <w:p>
      <w:pPr>
        <w:spacing w:after="0" w:line="239" w:lineRule="exact"/>
        <w:rPr>
          <w:sz w:val="20"/>
          <w:szCs w:val="20"/>
          <w:color w:val="auto"/>
        </w:rPr>
      </w:pPr>
    </w:p>
    <w:p>
      <w:pPr>
        <w:ind w:left="340" w:right="100" w:hanging="332"/>
        <w:spacing w:after="0" w:line="275" w:lineRule="auto"/>
        <w:tabs>
          <w:tab w:leader="none" w:pos="2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total of $0.4 million of certain costs related to inventory acquired from Skip Hop is included in operating income between U.S. Wholesale, U.S. Retail, and International for the fiscal quarter and two fiscal quarters ended July 1, 2017.</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PENDING ADOPTION OF RECENT ACCOUNTING PRONOUNCEMENTS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(ASU 2016-02)</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Leases-Topic 842,</w:t>
      </w:r>
      <w:r>
        <w:rPr>
          <w:rFonts w:ascii="Arial" w:cs="Arial" w:eastAsia="Arial" w:hAnsi="Arial"/>
          <w:sz w:val="17"/>
          <w:szCs w:val="17"/>
          <w:color w:val="auto"/>
        </w:rPr>
        <w:t xml:space="preserve"> which has been codified in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The new standard will be effective for the Company at the beginning of fiscal 2019, including interim periods within the year of adoption. The Company is assessing the implications of applying the practical expedients and accounting policy elections, implementing software to meet the reporting requirements of the new standard, and identifying changes to its business processes and controls to support the adoption of the new standard. The Company believes the adoption will have a material impact on the total assets and total liabilities reported on the Company's consolidated balance sheets, but is not able to quantify the difference at this time. However, the Company does not believe adoption of this standard will have a material impact on the Company's consolidated results of operations or cash flows.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 of Certain Tax Effects from Accumulated Other Comprehensive Income </w:t>
      </w:r>
      <w:r>
        <w:rPr>
          <w:rFonts w:ascii="Arial" w:cs="Arial" w:eastAsia="Arial" w:hAnsi="Arial"/>
          <w:sz w:val="18"/>
          <w:szCs w:val="18"/>
          <w:color w:val="auto"/>
        </w:rPr>
        <w:t>(ASU 2018-02)</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("ASU 2018-02"). ASU 2018-02 permits a company to reclassify the income tax effects of the U.S. Tax Cuts and Jobs Act of 2017 (the "2017 Act") on items within accumulated other comprehensive income or loss ("AOCI-L") to retained earnings. Because most items that are charged to AOCI-L are recorded net of applicable income taxes, the subsequent reclassification of these items from AOCI-L to the statement of operations will be at different income tax rates due to the 2017 Act, thereby leaving a "stranded" tax balance within AOCI-L. ASU 2018-02 will allow a company to transfer these "stranded" amounts from AOCI-L to retained earnings. ASU 2018-02 will be effective for the Company at the beginning of fiscal 2019, with early adoption permitted. The Company has amounts in its AOCI-L for defined benefit retirement plans that were recorded net of applicable income taxes, thus the Company anticipates the transfer of "stranded" tax amounts from its AOCI-L to retained earnings upon the adoption of ASU 2018-02. The effect of the adoption of ASU 2018-02 will not be material to the Company's financial position, and the adoption will have no impact on the Company's results of operations or cash flows.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(ASU 2016-13)</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w:t>
      </w:r>
      <w:r>
        <w:rPr>
          <w:rFonts w:ascii="Arial" w:cs="Arial" w:eastAsia="Arial" w:hAnsi="Arial"/>
          <w:sz w:val="16"/>
          <w:szCs w:val="16"/>
          <w:i w:val="1"/>
          <w:iCs w:val="1"/>
          <w:color w:val="auto"/>
        </w:rPr>
        <w:t>.</w:t>
      </w:r>
      <w:r>
        <w:rPr>
          <w:rFonts w:ascii="Arial" w:cs="Arial" w:eastAsia="Arial" w:hAnsi="Arial"/>
          <w:sz w:val="16"/>
          <w:szCs w:val="16"/>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will be effective for the Company at the beginning of fiscal 2020 with early adoption permitted for fiscal 2019, including interim periods therein.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Impairment Testing </w:t>
      </w:r>
      <w:r>
        <w:rPr>
          <w:rFonts w:ascii="Arial" w:cs="Arial" w:eastAsia="Arial" w:hAnsi="Arial"/>
          <w:sz w:val="18"/>
          <w:szCs w:val="18"/>
          <w:color w:val="auto"/>
        </w:rPr>
        <w:t>(ASU 2017-04)</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w:t>
      </w:r>
      <w:r>
        <w:rPr>
          <w:rFonts w:ascii="Arial" w:cs="Arial" w:eastAsia="Arial" w:hAnsi="Arial"/>
          <w:sz w:val="16"/>
          <w:szCs w:val="16"/>
          <w:i w:val="1"/>
          <w:iCs w:val="1"/>
          <w:color w:val="auto"/>
        </w:rPr>
        <w:t>.</w:t>
      </w:r>
      <w:r>
        <w:rPr>
          <w:rFonts w:ascii="Arial" w:cs="Arial" w:eastAsia="Arial" w:hAnsi="Arial"/>
          <w:sz w:val="16"/>
          <w:szCs w:val="16"/>
          <w:color w:val="auto"/>
        </w:rPr>
        <w:t xml:space="preserve">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affected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the Company will be effective for annual and interim impairment tests performed beginning in fiscal 2020.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337" w:right="299" w:bottom="1440" w:gutter="0" w:footer="0" w:header="0"/>
        </w:sectPr>
      </w:pPr>
    </w:p>
    <w:bookmarkStart w:id="24" w:name="page25"/>
    <w:bookmarkEnd w:id="24"/>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GUARANTOR UNAUDITED CONDENSED CONSOLIDATING FINANCIAL STATEMENTS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senior notes constitute debt obligations of its wholly-owned subsidiary, The William Carter Company ("TWCC" or the "Subsidiary Issuer"), are unsecured and are fully and unconditionally guaranteed by Carter’s, Inc. (the "Parent"), by certain of the Parent's current domestic subsidiaries (other than TWCC), and, subject to certain exceptions, future restricted subsidiaries that guarantee the Company’s secured revolving credit facility or certain other debt of the Company or the subsidiary guarantors.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refer to the Company's Annual Report on Form 10-K for the 2017 fiscal year ended December 30, 2017.</w:t>
      </w:r>
    </w:p>
    <w:p>
      <w:pPr>
        <w:spacing w:after="0" w:line="9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37"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31"/>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99,928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13,529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69,745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183,202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114,728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152,517</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70,001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105,309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60,536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224,323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663,263</w:t>
            </w:r>
          </w:p>
        </w:tc>
        <w:tc>
          <w:tcPr>
            <w:tcW w:w="0" w:type="dxa"/>
            <w:vAlign w:val="bottom"/>
          </w:tcPr>
          <w:p>
            <w:pPr>
              <w:spacing w:after="0"/>
              <w:rPr>
                <w:sz w:val="1"/>
                <w:szCs w:val="1"/>
                <w:color w:val="auto"/>
              </w:rPr>
            </w:pPr>
          </w:p>
        </w:tc>
      </w:tr>
      <w:tr>
        <w:trPr>
          <w:trHeight w:val="220"/>
        </w:trPr>
        <w:tc>
          <w:tcPr>
            <w:tcW w:w="2640" w:type="dxa"/>
            <w:vAlign w:val="bottom"/>
          </w:tcPr>
          <w:p>
            <w:pPr>
              <w:ind w:left="180"/>
              <w:spacing w:after="0"/>
              <w:rPr>
                <w:sz w:val="20"/>
                <w:szCs w:val="20"/>
                <w:color w:val="auto"/>
              </w:rPr>
            </w:pPr>
            <w:r>
              <w:rPr>
                <w:rFonts w:ascii="Arial" w:cs="Arial" w:eastAsia="Arial" w:hAnsi="Arial"/>
                <w:sz w:val="16"/>
                <w:szCs w:val="16"/>
                <w:color w:val="auto"/>
                <w:w w:val="95"/>
              </w:rPr>
              <w:t>Prepaid expenses and other current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19,393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20,202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12,360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51,955</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689,050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395,142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225,600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(258,855)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1,050,937</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141,465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185,123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37,635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364,223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228,555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Tradenames,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223,162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142,655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365,817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46,222</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27,775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Intercompany long-term note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receivable</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810,329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1,086,715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254,289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(2,151,333)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810,329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2,400,764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1,506,324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314,467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(2,948,355)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2,083,529</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LIABILITIES AND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147,179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50,786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18,966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216,931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13,459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71,482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10,744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95,685</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319,059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(235,846)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312,616</w:t>
            </w: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682,778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682,778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45,690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39,560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85,755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438,167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w w:val="97"/>
              </w:rPr>
              <w:t>Intercompany long-term note payable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192,051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810,329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833,338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1,077,363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263,641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(2,174,342)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810,329</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Total liabilities and stockholders'</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810,329</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2,400,764</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1,506,324</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314,467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(2,948,355)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2,083,529</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5"/>
              </w:rPr>
              <w:t>Guarantor</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Parent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129,463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10,030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39,001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178,494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240,561</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87,702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162,007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58,980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(308,689)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548,722</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9"/>
              </w:rPr>
              <w:t>Prepaid expenses and other current</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17,012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21,354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14,569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52,935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713,186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440,233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196,450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(329,157)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1,020,712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147,858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189,511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377,924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230,424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Tradenames, net</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223,251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142,300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365,551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47,996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23,884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28,435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5"/>
              </w:rPr>
              <w:t>Intercompany long-term note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1,053,224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231,994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(2,142,634)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2,397,973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1,538,088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290,650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(3,013,085)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2,071,042</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LIABILITIES AND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115,658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49,313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17,143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182,114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215,573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11,805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122,989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14,340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149,134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343,036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263,999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(308,689)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331,248</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617,306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46,619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37,647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84,944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long-term note payable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180,128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877,884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1,043,872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241,346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(2,163,102)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857,416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2,397,973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1,538,088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290,650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(3,013,085)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2,071,042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As of July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2"/>
              </w:rPr>
              <w:t>Subsidiary</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Parent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31"/>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127,907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11,435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34,222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173,564</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165,183</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Intercompany receivable</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56,526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61,911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25,588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207,368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610,423</w:t>
            </w:r>
          </w:p>
        </w:tc>
        <w:tc>
          <w:tcPr>
            <w:tcW w:w="0" w:type="dxa"/>
            <w:vAlign w:val="bottom"/>
          </w:tcPr>
          <w:p>
            <w:pPr>
              <w:spacing w:after="0"/>
              <w:rPr>
                <w:sz w:val="1"/>
                <w:szCs w:val="1"/>
                <w:color w:val="auto"/>
              </w:rPr>
            </w:pPr>
          </w:p>
        </w:tc>
      </w:tr>
      <w:tr>
        <w:trPr>
          <w:trHeight w:val="220"/>
        </w:trPr>
        <w:tc>
          <w:tcPr>
            <w:tcW w:w="2620" w:type="dxa"/>
            <w:vAlign w:val="bottom"/>
          </w:tcPr>
          <w:p>
            <w:pPr>
              <w:ind w:left="160"/>
              <w:spacing w:after="0"/>
              <w:rPr>
                <w:sz w:val="20"/>
                <w:szCs w:val="20"/>
                <w:color w:val="auto"/>
              </w:rPr>
            </w:pPr>
            <w:r>
              <w:rPr>
                <w:rFonts w:ascii="Arial" w:cs="Arial" w:eastAsia="Arial" w:hAnsi="Arial"/>
                <w:sz w:val="16"/>
                <w:szCs w:val="16"/>
                <w:color w:val="auto"/>
                <w:w w:val="95"/>
              </w:rPr>
              <w:t>Prepaid expenses and other current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160"/>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16,683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19,483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10,236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46,402</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672,964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335,962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142,841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(156,195)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995,572</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150,796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195,209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36,467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382,472</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231,709</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Tradenames, net</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223,339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142,300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365,639</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35,096</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20,901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23,246</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long-term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411,475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Arial" w:cs="Arial" w:eastAsia="Arial" w:hAnsi="Arial"/>
                <w:sz w:val="16"/>
                <w:szCs w:val="16"/>
                <w:color w:val="auto"/>
              </w:rPr>
              <w:t>Intercompany long-term note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color w:val="auto"/>
              </w:rPr>
              <w:t>receivable</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749,948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936,348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167,809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(1,854,105)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749,948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2,240,918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1,341,933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222,710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(2,521,775)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2,033,734</w:t>
            </w:r>
          </w:p>
        </w:tc>
        <w:tc>
          <w:tcPr>
            <w:tcW w:w="0" w:type="dxa"/>
            <w:vAlign w:val="bottom"/>
          </w:tcPr>
          <w:p>
            <w:pPr>
              <w:spacing w:after="0"/>
              <w:rPr>
                <w:sz w:val="1"/>
                <w:szCs w:val="1"/>
                <w:color w:val="auto"/>
              </w:rPr>
            </w:pPr>
          </w:p>
        </w:tc>
      </w:tr>
      <w:tr>
        <w:trPr>
          <w:trHeight w:val="39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w:t>
            </w: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151,770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47,695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17,875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217,340</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Intercompany payables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32,973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54,535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8,952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96,460</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267,282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159,264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(144,025)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313,800</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661,846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661,846</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69,750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63,422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133,273</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long-term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w w:val="97"/>
              </w:rPr>
              <w:t>Intercompany long-term note payable</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92,236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174,867</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749,948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762,118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927,011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177,146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(1,866,275)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749,948</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Total liabilities and stockholders'</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749,948</w:t>
            </w:r>
          </w:p>
        </w:tc>
        <w:tc>
          <w:tcPr>
            <w:tcW w:w="32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2,240,918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1,341,933</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222,710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(2,521,775)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2,033,734</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w:t>
            </w:r>
          </w:p>
        </w:tc>
        <w:tc>
          <w:tcPr>
            <w:tcW w:w="2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37"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June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5"/>
              </w:rPr>
              <w:t>Guarantor</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2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b w:val="1"/>
                <w:bCs w:val="1"/>
                <w:color w:val="auto"/>
              </w:rPr>
              <w:t>Subsidiary Issuer</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345,813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445,836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94,369</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(189,821)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696,197</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273,857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260,516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41,196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(189,330)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386,239</w:t>
            </w: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71,956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185,320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53,173</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309,958</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10,355</w:t>
            </w:r>
          </w:p>
        </w:tc>
      </w:tr>
      <w:tr>
        <w:trPr>
          <w:trHeight w:val="220"/>
        </w:trPr>
        <w:tc>
          <w:tcPr>
            <w:tcW w:w="2500" w:type="dxa"/>
            <w:vAlign w:val="bottom"/>
          </w:tcPr>
          <w:p>
            <w:pPr>
              <w:ind w:left="20"/>
              <w:spacing w:after="0"/>
              <w:rPr>
                <w:sz w:val="20"/>
                <w:szCs w:val="20"/>
                <w:color w:val="auto"/>
              </w:rPr>
            </w:pPr>
            <w:r>
              <w:rPr>
                <w:rFonts w:ascii="Arial" w:cs="Arial" w:eastAsia="Arial" w:hAnsi="Arial"/>
                <w:sz w:val="16"/>
                <w:szCs w:val="16"/>
                <w:color w:val="auto"/>
                <w:w w:val="98"/>
              </w:rPr>
              <w:t>Selling, general, and administrative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500" w:type="dxa"/>
            <w:vAlign w:val="bottom"/>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42,423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196,923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32,110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263,343</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38,134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21,063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56,970</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7,937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7,937</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(Income) loss in subsidiaries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(37,268)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(16,836)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59,077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w:t>
            </w: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37,268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36,502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8,391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20,422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48,283</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11,015</w:t>
            </w:r>
          </w:p>
        </w:tc>
      </w:tr>
      <w:tr>
        <w:trPr>
          <w:trHeight w:val="244"/>
        </w:trPr>
        <w:tc>
          <w:tcPr>
            <w:tcW w:w="2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37,268</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32,491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4,973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16,836</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37,268</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37"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July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2"/>
              </w:rPr>
              <w:t>Subsidiary</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8"/>
              </w:rPr>
              <w:t>Guarantor</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2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Parent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b w:val="1"/>
                <w:bCs w:val="1"/>
                <w:color w:val="auto"/>
                <w:w w:val="92"/>
              </w:rPr>
              <w:t>Consolidated</w:t>
            </w:r>
          </w:p>
        </w:tc>
      </w:tr>
      <w:tr>
        <w:trPr>
          <w:trHeight w:val="217"/>
        </w:trPr>
        <w:tc>
          <w:tcPr>
            <w:tcW w:w="25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352,814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434,956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71,885</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(167,904)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691,751</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260,901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257,168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37,019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(166,584)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388,504</w:t>
            </w:r>
          </w:p>
        </w:tc>
      </w:tr>
      <w:tr>
        <w:trPr>
          <w:trHeight w:val="217"/>
        </w:trPr>
        <w:tc>
          <w:tcPr>
            <w:tcW w:w="25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91,913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177,788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34,866</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303,247</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8,905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11,210</w:t>
            </w:r>
          </w:p>
        </w:tc>
      </w:tr>
      <w:tr>
        <w:trPr>
          <w:trHeight w:val="220"/>
        </w:trPr>
        <w:tc>
          <w:tcPr>
            <w:tcW w:w="2520" w:type="dxa"/>
            <w:vAlign w:val="bottom"/>
          </w:tcPr>
          <w:p>
            <w:pPr>
              <w:ind w:left="20"/>
              <w:spacing w:after="0"/>
              <w:rPr>
                <w:sz w:val="20"/>
                <w:szCs w:val="20"/>
                <w:color w:val="auto"/>
              </w:rPr>
            </w:pPr>
            <w:r>
              <w:rPr>
                <w:rFonts w:ascii="Arial" w:cs="Arial" w:eastAsia="Arial" w:hAnsi="Arial"/>
                <w:sz w:val="16"/>
                <w:szCs w:val="16"/>
                <w:color w:val="auto"/>
                <w:w w:val="99"/>
              </w:rPr>
              <w:t>Selling, general, and administrative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38,295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193,865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8"/>
              <w:spacing w:after="0"/>
              <w:rPr>
                <w:sz w:val="20"/>
                <w:szCs w:val="20"/>
                <w:color w:val="auto"/>
              </w:rPr>
            </w:pPr>
            <w:r>
              <w:rPr>
                <w:rFonts w:ascii="Arial" w:cs="Arial" w:eastAsia="Arial" w:hAnsi="Arial"/>
                <w:sz w:val="16"/>
                <w:szCs w:val="16"/>
                <w:color w:val="auto"/>
              </w:rPr>
              <w:t>26,292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250,146</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62,523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8,574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4,409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64,311</w:t>
            </w:r>
          </w:p>
        </w:tc>
      </w:tr>
      <w:tr>
        <w:trPr>
          <w:trHeight w:val="237"/>
        </w:trPr>
        <w:tc>
          <w:tcPr>
            <w:tcW w:w="25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7,138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8"/>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7,194</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37"/>
        </w:trPr>
        <w:tc>
          <w:tcPr>
            <w:tcW w:w="2520" w:type="dxa"/>
            <w:vAlign w:val="bottom"/>
          </w:tcPr>
          <w:p>
            <w:pPr>
              <w:ind w:left="20"/>
              <w:spacing w:after="0"/>
              <w:rPr>
                <w:sz w:val="20"/>
                <w:szCs w:val="20"/>
                <w:color w:val="auto"/>
              </w:rPr>
            </w:pPr>
            <w:r>
              <w:rPr>
                <w:rFonts w:ascii="Arial" w:cs="Arial" w:eastAsia="Arial" w:hAnsi="Arial"/>
                <w:sz w:val="16"/>
                <w:szCs w:val="16"/>
                <w:color w:val="auto"/>
              </w:rPr>
              <w:t>(Income) loss in subsidiaries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(37,793)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7,153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8"/>
              <w:spacing w:after="0"/>
              <w:rPr>
                <w:sz w:val="20"/>
                <w:szCs w:val="20"/>
                <w:color w:val="auto"/>
              </w:rPr>
            </w:pPr>
            <w:r>
              <w:rPr>
                <w:rFonts w:ascii="Arial" w:cs="Arial" w:eastAsia="Arial" w:hAnsi="Arial"/>
                <w:sz w:val="16"/>
                <w:szCs w:val="16"/>
                <w:color w:val="auto"/>
              </w:rPr>
              <w:t>37,445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17"/>
        </w:trPr>
        <w:tc>
          <w:tcPr>
            <w:tcW w:w="25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37,793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49,890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9,140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(33,036)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57,740</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16,506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1,106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2,335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19,947</w:t>
            </w:r>
          </w:p>
        </w:tc>
      </w:tr>
      <w:tr>
        <w:trPr>
          <w:trHeight w:val="244"/>
        </w:trPr>
        <w:tc>
          <w:tcPr>
            <w:tcW w:w="25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37,793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33,384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(7,153)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6,805</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(33,036)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37,793</w:t>
            </w:r>
          </w:p>
        </w:tc>
      </w:tr>
      <w:tr>
        <w:trPr>
          <w:trHeight w:val="20"/>
        </w:trPr>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37"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two fiscal quarters ended June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8"/>
              </w:rPr>
              <w:t>Guarantor</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4"/>
              </w:rPr>
              <w:t>Non-Guarantor</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2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b w:val="1"/>
                <w:bCs w:val="1"/>
                <w:color w:val="auto"/>
              </w:rPr>
              <w:t>Subsidiary Issuer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217"/>
        </w:trPr>
        <w:tc>
          <w:tcPr>
            <w:tcW w:w="252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806,799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872,299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178,966</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(406,081)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1,451,983</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603,856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511,598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86,797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(392,703)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809,548</w:t>
            </w:r>
          </w:p>
        </w:tc>
      </w:tr>
      <w:tr>
        <w:trPr>
          <w:trHeight w:val="217"/>
        </w:trPr>
        <w:tc>
          <w:tcPr>
            <w:tcW w:w="25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202,943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360,701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92,169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(13,378)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642,435</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Royalty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18,349</w:t>
            </w: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w w:val="98"/>
              </w:rPr>
              <w:t>Selling, general, and administrative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84,239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412,089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63,612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543,505</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134,232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28,557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117,279</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15,912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15,922</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(Income) loss in subsidiaries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(79,737)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21,039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82,122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r>
      <w:tr>
        <w:trPr>
          <w:trHeight w:val="217"/>
        </w:trPr>
        <w:tc>
          <w:tcPr>
            <w:tcW w:w="252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79,737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99,934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(22,324)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28,471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(84,663)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101,155</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21,418</w:t>
            </w:r>
          </w:p>
        </w:tc>
      </w:tr>
      <w:tr>
        <w:trPr>
          <w:trHeight w:val="244"/>
        </w:trPr>
        <w:tc>
          <w:tcPr>
            <w:tcW w:w="25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79,737</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82,278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(21,039)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23,424</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(84,663)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79,737</w:t>
            </w:r>
          </w:p>
        </w:tc>
      </w:tr>
      <w:tr>
        <w:trPr>
          <w:trHeight w:val="20"/>
        </w:trPr>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37" w:right="239" w:bottom="1440" w:gutter="0" w:footer="0" w:header="0"/>
          <w:type w:val="continuous"/>
        </w:sectPr>
      </w:pPr>
    </w:p>
    <w:bookmarkStart w:id="31" w:name="page32"/>
    <w:bookmarkEnd w:id="31"/>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two fiscal quarters ended July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8"/>
              </w:rPr>
              <w:t>Guarantor</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4"/>
              </w:rPr>
              <w:t>Non-Guarantor</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2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217"/>
        </w:trPr>
        <w:tc>
          <w:tcPr>
            <w:tcW w:w="252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806,329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830,806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132,917</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(345,474)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1,424,578</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591,535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486,115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74,448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(346,459)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805,639</w:t>
            </w:r>
          </w:p>
        </w:tc>
      </w:tr>
      <w:tr>
        <w:trPr>
          <w:trHeight w:val="217"/>
        </w:trPr>
        <w:tc>
          <w:tcPr>
            <w:tcW w:w="25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214,794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344,691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58,469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618,939</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Royalty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21,768</w:t>
            </w: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w w:val="98"/>
              </w:rPr>
              <w:t>Selling, general, and administrative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79,227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383,369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52,563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497,940</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142,767</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14,111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14,298</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(Income) loss in subsidiaries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(84,388)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28,254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60,492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r>
      <w:tr>
        <w:trPr>
          <w:trHeight w:val="217"/>
        </w:trPr>
        <w:tc>
          <w:tcPr>
            <w:tcW w:w="252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84,388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114,002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(28,707)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6,632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(46,862)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129,453</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45,065</w:t>
            </w:r>
          </w:p>
        </w:tc>
      </w:tr>
      <w:tr>
        <w:trPr>
          <w:trHeight w:val="244"/>
        </w:trPr>
        <w:tc>
          <w:tcPr>
            <w:tcW w:w="25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84,388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70,758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(28,254)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4,358</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(46,862)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84,388</w:t>
            </w:r>
          </w:p>
        </w:tc>
      </w:tr>
      <w:tr>
        <w:trPr>
          <w:trHeight w:val="20"/>
        </w:trPr>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June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shd w:val="clear" w:color="auto" w:fill="CCEEFF"/>
              </w:rPr>
              <w:t>Guarantor</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Non-Guarantor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8"/>
                <w:shd w:val="clear" w:color="auto" w:fill="CCEEFF"/>
              </w:rPr>
              <w:t>Consolidating</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2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8"/>
                <w:shd w:val="clear" w:color="auto" w:fill="CCEEFF"/>
              </w:rPr>
              <w:t>Parent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1"/>
                <w:shd w:val="clear" w:color="auto" w:fill="CCEEFF"/>
              </w:rPr>
              <w:t>Subsidiary Issuer</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shd w:val="clear" w:color="auto" w:fill="CCEEFF"/>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0"/>
                <w:shd w:val="clear" w:color="auto" w:fill="CCEEFF"/>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2"/>
                <w:shd w:val="clear" w:color="auto" w:fill="CCEEFF"/>
              </w:rPr>
              <w:t>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8"/>
                <w:shd w:val="clear" w:color="auto" w:fill="CCEEFF"/>
              </w:rPr>
              <w:t>Consolidated</w:t>
            </w:r>
          </w:p>
        </w:tc>
      </w:tr>
      <w:tr>
        <w:trPr>
          <w:trHeight w:val="217"/>
        </w:trPr>
        <w:tc>
          <w:tcPr>
            <w:tcW w:w="2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37,268</w:t>
            </w:r>
          </w:p>
        </w:tc>
        <w:tc>
          <w:tcPr>
            <w:tcW w:w="220" w:type="dxa"/>
            <w:vAlign w:val="bottom"/>
          </w:tcPr>
          <w:p>
            <w:pPr>
              <w:spacing w:after="0"/>
              <w:rPr>
                <w:sz w:val="18"/>
                <w:szCs w:val="18"/>
                <w:color w:val="auto"/>
              </w:rPr>
            </w:pP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32,491</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4,973</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16,836</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(54,300)</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37,268</w:t>
            </w:r>
          </w:p>
        </w:tc>
      </w:tr>
      <w:tr>
        <w:trPr>
          <w:trHeight w:val="33"/>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Foreign currency translation</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14,031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w:t>
            </w:r>
          </w:p>
        </w:tc>
      </w:tr>
      <w:tr>
        <w:trPr>
          <w:trHeight w:val="244"/>
        </w:trPr>
        <w:tc>
          <w:tcPr>
            <w:tcW w:w="25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32,591</w:t>
            </w:r>
          </w:p>
        </w:tc>
        <w:tc>
          <w:tcPr>
            <w:tcW w:w="220" w:type="dxa"/>
            <w:vAlign w:val="bottom"/>
          </w:tcPr>
          <w:p>
            <w:pPr>
              <w:spacing w:after="0"/>
              <w:rPr>
                <w:sz w:val="21"/>
                <w:szCs w:val="21"/>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27,814</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12,159</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(40,269)</w:t>
            </w: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32,591</w:t>
            </w:r>
          </w:p>
        </w:tc>
      </w:tr>
      <w:tr>
        <w:trPr>
          <w:trHeight w:val="20"/>
        </w:trPr>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July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shd w:val="clear" w:color="auto" w:fill="CCEEFF"/>
              </w:rPr>
              <w:t>Guarantor</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Non-Guarantor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8"/>
                <w:shd w:val="clear" w:color="auto" w:fill="CCEEFF"/>
              </w:rPr>
              <w:t>Consolidating</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2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8"/>
                <w:shd w:val="clear" w:color="auto" w:fill="CCEEFF"/>
              </w:rPr>
              <w:t>Parent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1"/>
                <w:shd w:val="clear" w:color="auto" w:fill="CCEEFF"/>
              </w:rPr>
              <w:t>Subsidiary Issuer</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shd w:val="clear" w:color="auto" w:fill="CCEEFF"/>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0"/>
                <w:shd w:val="clear" w:color="auto" w:fill="CCEEFF"/>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2"/>
                <w:shd w:val="clear" w:color="auto" w:fill="CCEEFF"/>
              </w:rPr>
              <w:t>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8"/>
                <w:shd w:val="clear" w:color="auto" w:fill="CCEEFF"/>
              </w:rPr>
              <w:t>Consolidated</w:t>
            </w:r>
          </w:p>
        </w:tc>
      </w:tr>
      <w:tr>
        <w:trPr>
          <w:trHeight w:val="217"/>
        </w:trPr>
        <w:tc>
          <w:tcPr>
            <w:tcW w:w="2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37,793</w:t>
            </w:r>
          </w:p>
        </w:tc>
        <w:tc>
          <w:tcPr>
            <w:tcW w:w="220" w:type="dxa"/>
            <w:vAlign w:val="bottom"/>
          </w:tcPr>
          <w:p>
            <w:pPr>
              <w:spacing w:after="0"/>
              <w:rPr>
                <w:sz w:val="18"/>
                <w:szCs w:val="18"/>
                <w:color w:val="auto"/>
              </w:rPr>
            </w:pP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33,384</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(7,153)</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6,805</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(33,036)</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37,793</w:t>
            </w:r>
          </w:p>
        </w:tc>
      </w:tr>
      <w:tr>
        <w:trPr>
          <w:trHeight w:val="33"/>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Foreign currency translation</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w:t>
            </w:r>
          </w:p>
        </w:tc>
      </w:tr>
      <w:tr>
        <w:trPr>
          <w:trHeight w:val="244"/>
        </w:trPr>
        <w:tc>
          <w:tcPr>
            <w:tcW w:w="25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40,933</w:t>
            </w:r>
          </w:p>
        </w:tc>
        <w:tc>
          <w:tcPr>
            <w:tcW w:w="220" w:type="dxa"/>
            <w:vAlign w:val="bottom"/>
          </w:tcPr>
          <w:p>
            <w:pPr>
              <w:spacing w:after="0"/>
              <w:rPr>
                <w:sz w:val="21"/>
                <w:szCs w:val="21"/>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36,524</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(4,013)</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9,945</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(42,456)</w:t>
            </w: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40,933</w:t>
            </w:r>
          </w:p>
        </w:tc>
      </w:tr>
      <w:tr>
        <w:trPr>
          <w:trHeight w:val="20"/>
        </w:trPr>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two fiscal quarters ended June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w w:val="95"/>
              </w:rPr>
              <w:t>Guarantor</w:t>
            </w:r>
          </w:p>
        </w:tc>
        <w:tc>
          <w:tcPr>
            <w:tcW w:w="1460" w:type="dxa"/>
            <w:vAlign w:val="bottom"/>
            <w:gridSpan w:val="3"/>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6"/>
              </w:rPr>
              <w:t>Non-Guarantor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2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Parent</w:t>
            </w:r>
          </w:p>
        </w:tc>
        <w:tc>
          <w:tcPr>
            <w:tcW w:w="1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217"/>
        </w:trPr>
        <w:tc>
          <w:tcPr>
            <w:tcW w:w="2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79,737</w:t>
            </w:r>
          </w:p>
        </w:tc>
        <w:tc>
          <w:tcPr>
            <w:tcW w:w="220" w:type="dxa"/>
            <w:vAlign w:val="bottom"/>
          </w:tcPr>
          <w:p>
            <w:pPr>
              <w:spacing w:after="0"/>
              <w:rPr>
                <w:sz w:val="18"/>
                <w:szCs w:val="18"/>
                <w:color w:val="auto"/>
              </w:rPr>
            </w:pP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82,278</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(21,039)</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23,424</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(84,663)</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79,737</w:t>
            </w:r>
          </w:p>
        </w:tc>
      </w:tr>
      <w:tr>
        <w:trPr>
          <w:trHeight w:val="33"/>
        </w:trPr>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(6,439)</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(6,439)</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19,317</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(6,439)</w:t>
            </w:r>
          </w:p>
        </w:tc>
      </w:tr>
      <w:tr>
        <w:trPr>
          <w:trHeight w:val="244"/>
        </w:trPr>
        <w:tc>
          <w:tcPr>
            <w:tcW w:w="25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73,298</w:t>
            </w:r>
          </w:p>
        </w:tc>
        <w:tc>
          <w:tcPr>
            <w:tcW w:w="220" w:type="dxa"/>
            <w:vAlign w:val="bottom"/>
          </w:tcPr>
          <w:p>
            <w:pPr>
              <w:spacing w:after="0"/>
              <w:rPr>
                <w:sz w:val="21"/>
                <w:szCs w:val="21"/>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75,839</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(27,478)</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16,985</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(65,346)</w:t>
            </w:r>
          </w:p>
        </w:tc>
        <w:tc>
          <w:tcPr>
            <w:tcW w:w="2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73,298</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the two fiscal quarters ended July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w w:val="95"/>
              </w:rPr>
              <w:t>Guarantor</w:t>
            </w:r>
          </w:p>
        </w:tc>
        <w:tc>
          <w:tcPr>
            <w:tcW w:w="1460" w:type="dxa"/>
            <w:vAlign w:val="bottom"/>
            <w:gridSpan w:val="3"/>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6"/>
              </w:rPr>
              <w:t>Non-Guarantor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2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Parent</w:t>
            </w:r>
          </w:p>
        </w:tc>
        <w:tc>
          <w:tcPr>
            <w:tcW w:w="1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217"/>
        </w:trPr>
        <w:tc>
          <w:tcPr>
            <w:tcW w:w="2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84,388</w:t>
            </w:r>
          </w:p>
        </w:tc>
        <w:tc>
          <w:tcPr>
            <w:tcW w:w="220" w:type="dxa"/>
            <w:vAlign w:val="bottom"/>
          </w:tcPr>
          <w:p>
            <w:pPr>
              <w:spacing w:after="0"/>
              <w:rPr>
                <w:sz w:val="18"/>
                <w:szCs w:val="18"/>
                <w:color w:val="auto"/>
              </w:rPr>
            </w:pP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70,758</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(28,254)</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4,358</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(46,862)</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84,388</w:t>
            </w:r>
          </w:p>
        </w:tc>
      </w:tr>
      <w:tr>
        <w:trPr>
          <w:trHeight w:val="33"/>
        </w:trPr>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4,087</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4,087</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(12,261)</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4,087</w:t>
            </w:r>
          </w:p>
        </w:tc>
      </w:tr>
      <w:tr>
        <w:trPr>
          <w:trHeight w:val="244"/>
        </w:trPr>
        <w:tc>
          <w:tcPr>
            <w:tcW w:w="25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88,475</w:t>
            </w:r>
          </w:p>
        </w:tc>
        <w:tc>
          <w:tcPr>
            <w:tcW w:w="220" w:type="dxa"/>
            <w:vAlign w:val="bottom"/>
          </w:tcPr>
          <w:p>
            <w:pPr>
              <w:spacing w:after="0"/>
              <w:rPr>
                <w:sz w:val="21"/>
                <w:szCs w:val="21"/>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74,845</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(24,167)</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8,445</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(59,123)</w:t>
            </w:r>
          </w:p>
        </w:tc>
        <w:tc>
          <w:tcPr>
            <w:tcW w:w="2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88,475</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Consolidating Statements of Cash Flows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two fiscal quarters ended June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4"/>
              </w:rPr>
              <w:t>Non-Guarantor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Parent</w:t>
            </w:r>
          </w:p>
        </w:tc>
        <w:tc>
          <w:tcPr>
            <w:tcW w:w="15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196"/>
        </w:trPr>
        <w:tc>
          <w:tcPr>
            <w:tcW w:w="3100" w:type="dxa"/>
            <w:vAlign w:val="bottom"/>
            <w:gridSpan w:val="5"/>
          </w:tcPr>
          <w:p>
            <w:pPr>
              <w:ind w:left="40"/>
              <w:spacing w:after="0"/>
              <w:rPr>
                <w:sz w:val="20"/>
                <w:szCs w:val="20"/>
                <w:color w:val="auto"/>
              </w:rPr>
            </w:pPr>
            <w:r>
              <w:rPr>
                <w:rFonts w:ascii="Arial" w:cs="Arial" w:eastAsia="Arial" w:hAnsi="Arial"/>
                <w:sz w:val="16"/>
                <w:szCs w:val="16"/>
                <w:b w:val="1"/>
                <w:bCs w:val="1"/>
                <w:color w:val="auto"/>
              </w:rPr>
              <w:t>Cash flows provided by (used in)</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3100" w:type="dxa"/>
            <w:vAlign w:val="bottom"/>
            <w:gridSpan w:val="5"/>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109,382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(38,837)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32,518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103,063</w:t>
            </w:r>
          </w:p>
        </w:tc>
      </w:tr>
      <w:tr>
        <w:trPr>
          <w:trHeight w:val="33"/>
        </w:trPr>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24"/>
        </w:trPr>
        <w:tc>
          <w:tcPr>
            <w:tcW w:w="3100" w:type="dxa"/>
            <w:vAlign w:val="bottom"/>
            <w:gridSpan w:val="5"/>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(31,750)</w:t>
            </w: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Intercompany investing activity</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130,651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(131,359)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Acquisitions of businesses, net of cash</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acquired</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20"/>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Disposals and recoveries from property,</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plant, and equipment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373</w:t>
            </w:r>
          </w:p>
        </w:tc>
      </w:tr>
      <w:tr>
        <w:trPr>
          <w:trHeight w:val="33"/>
        </w:trPr>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Net cash provided by (used in)</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(31,281)</w:t>
            </w:r>
          </w:p>
        </w:tc>
      </w:tr>
      <w:tr>
        <w:trPr>
          <w:trHeight w:val="169"/>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50"/>
        </w:trPr>
        <w:tc>
          <w:tcPr>
            <w:tcW w:w="3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Intercompany financing activity</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(191,383)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57,985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131,359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7"/>
                <w:shd w:val="clear" w:color="auto" w:fill="CCEEFF"/>
              </w:rPr>
              <w:t>Borrowings under secured revolving credit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facility</w:t>
            </w:r>
          </w:p>
        </w:tc>
        <w:tc>
          <w:tcPr>
            <w:tcW w:w="4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r>
      <w:tr>
        <w:trPr>
          <w:trHeight w:val="220"/>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Payments on secured revolving credit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facility</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(85,000)</w:t>
            </w: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Dividends paid</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(42,267)</w:t>
            </w: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Repurchases of common stock</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(89,093)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(89,093)</w:t>
            </w: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6"/>
                <w:szCs w:val="16"/>
                <w:color w:val="auto"/>
                <w:shd w:val="clear" w:color="auto" w:fill="CCEEFF"/>
              </w:rPr>
              <w:t>Withholdings from vestings of restricted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stock</w:t>
            </w:r>
          </w:p>
        </w:tc>
        <w:tc>
          <w:tcPr>
            <w:tcW w:w="4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(6,667)</w:t>
            </w:r>
          </w:p>
        </w:tc>
      </w:tr>
      <w:tr>
        <w:trPr>
          <w:trHeight w:val="237"/>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w w:val="99"/>
              </w:rPr>
              <w:t>Proceeds from exercises of stock options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7,376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7,376</w:t>
            </w:r>
          </w:p>
        </w:tc>
      </w:tr>
      <w:tr>
        <w:trPr>
          <w:trHeight w:val="33"/>
        </w:trPr>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Net cash (used in) provided by</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(130,651)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131,359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(65,651)</w:t>
            </w:r>
          </w:p>
        </w:tc>
      </w:tr>
      <w:tr>
        <w:trPr>
          <w:trHeight w:val="217"/>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w w:val="99"/>
              </w:rPr>
              <w:t>Effect of exchange rate changes on cash</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(1,423)</w:t>
            </w: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8"/>
                <w:shd w:val="clear" w:color="auto" w:fill="CCEEFF"/>
              </w:rPr>
              <w:t>Net (decrease) increase in cash and cash</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equivalents</w:t>
            </w:r>
          </w:p>
        </w:tc>
        <w:tc>
          <w:tcPr>
            <w:tcW w:w="4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(29,535)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4,708</w:t>
            </w:r>
          </w:p>
        </w:tc>
      </w:tr>
      <w:tr>
        <w:trPr>
          <w:trHeight w:val="220"/>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Cash and cash equivalents, beginning of</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spacing w:after="0"/>
              <w:rPr>
                <w:sz w:val="20"/>
                <w:szCs w:val="20"/>
                <w:color w:val="auto"/>
              </w:rPr>
            </w:pPr>
            <w:r>
              <w:rPr>
                <w:rFonts w:ascii="Arial" w:cs="Arial" w:eastAsia="Arial" w:hAnsi="Arial"/>
                <w:sz w:val="16"/>
                <w:szCs w:val="16"/>
                <w:color w:val="auto"/>
              </w:rPr>
              <w:t>period</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129,463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39,001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178,494</w:t>
            </w:r>
          </w:p>
        </w:tc>
      </w:tr>
      <w:tr>
        <w:trPr>
          <w:trHeight w:val="33"/>
        </w:trPr>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Cash and cash equivalents, end of period</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99,928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183,202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For the two fiscal quarters ended July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4"/>
              </w:rPr>
              <w:t>Non-Guarantor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18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Parent</w:t>
            </w:r>
          </w:p>
        </w:tc>
        <w:tc>
          <w:tcPr>
            <w:tcW w:w="15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196"/>
        </w:trPr>
        <w:tc>
          <w:tcPr>
            <w:tcW w:w="3100" w:type="dxa"/>
            <w:vAlign w:val="bottom"/>
            <w:gridSpan w:val="3"/>
          </w:tcPr>
          <w:p>
            <w:pPr>
              <w:ind w:left="40"/>
              <w:spacing w:after="0"/>
              <w:rPr>
                <w:sz w:val="20"/>
                <w:szCs w:val="20"/>
                <w:color w:val="auto"/>
              </w:rPr>
            </w:pPr>
            <w:r>
              <w:rPr>
                <w:rFonts w:ascii="Arial" w:cs="Arial" w:eastAsia="Arial" w:hAnsi="Arial"/>
                <w:sz w:val="16"/>
                <w:szCs w:val="16"/>
                <w:b w:val="1"/>
                <w:bCs w:val="1"/>
                <w:color w:val="auto"/>
              </w:rPr>
              <w:t>Cash flows provided by (used in)</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310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120,884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(13,661)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107,333</w:t>
            </w:r>
          </w:p>
        </w:tc>
      </w:tr>
      <w:tr>
        <w:trPr>
          <w:trHeight w:val="33"/>
        </w:trPr>
        <w:tc>
          <w:tcPr>
            <w:tcW w:w="1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6"/>
        </w:trPr>
        <w:tc>
          <w:tcPr>
            <w:tcW w:w="18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24"/>
        </w:trPr>
        <w:tc>
          <w:tcPr>
            <w:tcW w:w="3100" w:type="dxa"/>
            <w:vAlign w:val="bottom"/>
            <w:gridSpan w:val="3"/>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1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(34,276)</w:t>
            </w:r>
          </w:p>
        </w:tc>
      </w:tr>
      <w:tr>
        <w:trPr>
          <w:trHeight w:val="237"/>
        </w:trPr>
        <w:tc>
          <w:tcPr>
            <w:tcW w:w="18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Intercompany investing activity</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136,535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(134,067)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18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of business, net of cash</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9"/>
        </w:trPr>
        <w:tc>
          <w:tcPr>
            <w:tcW w:w="18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acquired</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(143,704)</w:t>
            </w:r>
          </w:p>
        </w:tc>
      </w:tr>
      <w:tr>
        <w:trPr>
          <w:trHeight w:val="200"/>
        </w:trPr>
        <w:tc>
          <w:tcPr>
            <w:tcW w:w="180" w:type="dxa"/>
            <w:vAlign w:val="bottom"/>
          </w:tcPr>
          <w:p>
            <w:pPr>
              <w:spacing w:after="0"/>
              <w:rPr>
                <w:sz w:val="17"/>
                <w:szCs w:val="17"/>
                <w:color w:val="auto"/>
              </w:rPr>
            </w:pPr>
          </w:p>
        </w:tc>
        <w:tc>
          <w:tcPr>
            <w:tcW w:w="2920" w:type="dxa"/>
            <w:vAlign w:val="bottom"/>
            <w:gridSpan w:val="2"/>
          </w:tcPr>
          <w:p>
            <w:pPr>
              <w:ind w:left="160"/>
              <w:spacing w:after="0"/>
              <w:rPr>
                <w:sz w:val="20"/>
                <w:szCs w:val="20"/>
                <w:color w:val="auto"/>
              </w:rPr>
            </w:pPr>
            <w:r>
              <w:rPr>
                <w:rFonts w:ascii="Arial" w:cs="Arial" w:eastAsia="Arial" w:hAnsi="Arial"/>
                <w:sz w:val="16"/>
                <w:szCs w:val="16"/>
                <w:color w:val="auto"/>
              </w:rPr>
              <w:t>Net cash provided by (used in)</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6"/>
        </w:trPr>
        <w:tc>
          <w:tcPr>
            <w:tcW w:w="180" w:type="dxa"/>
            <w:vAlign w:val="bottom"/>
          </w:tcPr>
          <w:p>
            <w:pPr>
              <w:spacing w:after="0"/>
              <w:rPr>
                <w:sz w:val="17"/>
                <w:szCs w:val="17"/>
                <w:color w:val="auto"/>
              </w:rPr>
            </w:pPr>
          </w:p>
        </w:tc>
        <w:tc>
          <w:tcPr>
            <w:tcW w:w="2920" w:type="dxa"/>
            <w:vAlign w:val="bottom"/>
            <w:gridSpan w:val="2"/>
          </w:tcPr>
          <w:p>
            <w:pPr>
              <w:ind w:left="16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136,535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(157,582)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(18,973)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(134,067)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(177,980)</w:t>
            </w:r>
          </w:p>
        </w:tc>
      </w:tr>
      <w:tr>
        <w:trPr>
          <w:trHeight w:val="33"/>
        </w:trPr>
        <w:tc>
          <w:tcPr>
            <w:tcW w:w="1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6"/>
        </w:trPr>
        <w:tc>
          <w:tcPr>
            <w:tcW w:w="18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24"/>
        </w:trPr>
        <w:tc>
          <w:tcPr>
            <w:tcW w:w="3100" w:type="dxa"/>
            <w:vAlign w:val="bottom"/>
            <w:gridSpan w:val="3"/>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1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Intercompany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(164,451)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1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w w:val="97"/>
              </w:rPr>
              <w:t>Borrowings under secured revolving credit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18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facility</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100,000</w:t>
            </w:r>
          </w:p>
        </w:tc>
      </w:tr>
      <w:tr>
        <w:trPr>
          <w:trHeight w:val="33"/>
        </w:trPr>
        <w:tc>
          <w:tcPr>
            <w:tcW w:w="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18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Payments on secured revolving credit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18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facility</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(18,965)</w:t>
            </w:r>
          </w:p>
        </w:tc>
      </w:tr>
      <w:tr>
        <w:trPr>
          <w:trHeight w:val="237"/>
        </w:trPr>
        <w:tc>
          <w:tcPr>
            <w:tcW w:w="18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(35,831)</w:t>
            </w:r>
          </w:p>
        </w:tc>
      </w:tr>
      <w:tr>
        <w:trPr>
          <w:trHeight w:val="33"/>
        </w:trPr>
        <w:tc>
          <w:tcPr>
            <w:tcW w:w="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Repurchases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(98,236)</w:t>
            </w:r>
          </w:p>
        </w:tc>
      </w:tr>
      <w:tr>
        <w:trPr>
          <w:trHeight w:val="220"/>
        </w:trPr>
        <w:tc>
          <w:tcPr>
            <w:tcW w:w="18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Withholdings from vestings of restricted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18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stock</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(5,590)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(5,590)</w:t>
            </w:r>
          </w:p>
        </w:tc>
      </w:tr>
      <w:tr>
        <w:trPr>
          <w:trHeight w:val="33"/>
        </w:trPr>
        <w:tc>
          <w:tcPr>
            <w:tcW w:w="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9"/>
                <w:shd w:val="clear" w:color="auto" w:fill="CCEEFF"/>
              </w:rPr>
              <w:t>Proceeds from exercises of 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3,122</w:t>
            </w:r>
          </w:p>
        </w:tc>
      </w:tr>
      <w:tr>
        <w:trPr>
          <w:trHeight w:val="200"/>
        </w:trPr>
        <w:tc>
          <w:tcPr>
            <w:tcW w:w="180" w:type="dxa"/>
            <w:vAlign w:val="bottom"/>
          </w:tcPr>
          <w:p>
            <w:pPr>
              <w:spacing w:after="0"/>
              <w:rPr>
                <w:sz w:val="17"/>
                <w:szCs w:val="17"/>
                <w:color w:val="auto"/>
              </w:rPr>
            </w:pPr>
          </w:p>
        </w:tc>
        <w:tc>
          <w:tcPr>
            <w:tcW w:w="2920" w:type="dxa"/>
            <w:vAlign w:val="bottom"/>
            <w:gridSpan w:val="2"/>
          </w:tcPr>
          <w:p>
            <w:pPr>
              <w:ind w:left="160"/>
              <w:spacing w:after="0"/>
              <w:rPr>
                <w:sz w:val="20"/>
                <w:szCs w:val="20"/>
                <w:color w:val="auto"/>
              </w:rPr>
            </w:pPr>
            <w:r>
              <w:rPr>
                <w:rFonts w:ascii="Arial" w:cs="Arial" w:eastAsia="Arial" w:hAnsi="Arial"/>
                <w:sz w:val="16"/>
                <w:szCs w:val="16"/>
                <w:color w:val="auto"/>
              </w:rPr>
              <w:t>Net cash (used in) provided by</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6"/>
        </w:trPr>
        <w:tc>
          <w:tcPr>
            <w:tcW w:w="180" w:type="dxa"/>
            <w:vAlign w:val="bottom"/>
          </w:tcPr>
          <w:p>
            <w:pPr>
              <w:spacing w:after="0"/>
              <w:rPr>
                <w:sz w:val="17"/>
                <w:szCs w:val="17"/>
                <w:color w:val="auto"/>
              </w:rPr>
            </w:pPr>
          </w:p>
        </w:tc>
        <w:tc>
          <w:tcPr>
            <w:tcW w:w="2920" w:type="dxa"/>
            <w:vAlign w:val="bottom"/>
            <w:gridSpan w:val="2"/>
          </w:tcPr>
          <w:p>
            <w:pPr>
              <w:ind w:left="16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(136,535)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(64,451)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32,252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(20,833)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134,067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(55,500)</w:t>
            </w:r>
          </w:p>
        </w:tc>
      </w:tr>
      <w:tr>
        <w:trPr>
          <w:trHeight w:val="33"/>
        </w:trPr>
        <w:tc>
          <w:tcPr>
            <w:tcW w:w="1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Effect of exchange rate changes on cash</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r>
      <w:tr>
        <w:trPr>
          <w:trHeight w:val="237"/>
        </w:trPr>
        <w:tc>
          <w:tcPr>
            <w:tcW w:w="18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w w:val="95"/>
              </w:rPr>
              <w:t>Net decrease in cash and cash equivalents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(101,149)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(24,263)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(125,794)</w:t>
            </w:r>
          </w:p>
        </w:tc>
      </w:tr>
      <w:tr>
        <w:trPr>
          <w:trHeight w:val="33"/>
        </w:trPr>
        <w:tc>
          <w:tcPr>
            <w:tcW w:w="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6"/>
                <w:szCs w:val="16"/>
                <w:color w:val="auto"/>
                <w:w w:val="89"/>
                <w:shd w:val="clear" w:color="auto" w:fill="CCEEFF"/>
              </w:rPr>
              <w:t>Cash and cash equivalents, beginning of</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18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period</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299,358</w:t>
            </w:r>
          </w:p>
        </w:tc>
      </w:tr>
      <w:tr>
        <w:trPr>
          <w:trHeight w:val="217"/>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127,907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11,435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34,222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173,564</w:t>
            </w:r>
          </w:p>
        </w:tc>
      </w:tr>
      <w:tr>
        <w:trPr>
          <w:trHeight w:val="33"/>
        </w:trPr>
        <w:tc>
          <w:tcPr>
            <w:tcW w:w="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AND RESULTS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2018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for children in sizes newborn to 14 and accessories.</w:t>
      </w:r>
    </w:p>
    <w:p>
      <w:pPr>
        <w:spacing w:after="0" w:line="2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apparel for children in sizes newborn to 14, with a focus on playclothes for toddlers and young children, and accessories.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We acquired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in February 2017. Established in 2003,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takes durable childhood necessities, and re-thinks, re-energizes, and re-imagines them to produce higher value, superior quality, and top-performance goods for parents, babies, and toddlers.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market high-quality products and accessories at an attractive value proposition for consumers, and offer multiple product categories. Our multi-channel international business model - which includes retail stores, eCommerce and wholesale sales channels - enables us to reach a broad range of consumers around the world. We have extensive experience in the young children's apparel and accessories market and focus on delivering products that satisfy our consumers' needs.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2017 fiscal year ended December 30, 2017.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Our U.S. Retail segment consists of revenue from sales of products to consumers in the United States, including </w:t>
      </w:r>
      <w:r>
        <w:rPr>
          <w:rFonts w:ascii="Arial" w:cs="Arial" w:eastAsia="Arial" w:hAnsi="Arial"/>
          <w:sz w:val="16"/>
          <w:szCs w:val="16"/>
          <w:i w:val="1"/>
          <w:iCs w:val="1"/>
          <w:color w:val="auto"/>
        </w:rPr>
        <w:t>Carter's, 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branded products, through our retail stores and eCommerce sites. Similarly, our U.S. Wholesale segment consists of revenue from sales in the United States</w:t>
      </w:r>
    </w:p>
    <w:p>
      <w:pPr>
        <w:ind w:right="400"/>
        <w:spacing w:after="0" w:line="254" w:lineRule="auto"/>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i w:val="1"/>
          <w:iCs w:val="1"/>
          <w:color w:val="auto"/>
        </w:rPr>
        <w:t>Carter's, 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branded products through our wholesale customers. Finally, our International segment consists of income from sales of </w:t>
      </w:r>
      <w:r>
        <w:rPr>
          <w:rFonts w:ascii="Arial" w:cs="Arial" w:eastAsia="Arial" w:hAnsi="Arial"/>
          <w:sz w:val="18"/>
          <w:szCs w:val="18"/>
          <w:i w:val="1"/>
          <w:iCs w:val="1"/>
          <w:color w:val="auto"/>
        </w:rPr>
        <w:t>Carter's, 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branded products through our retail and online stores outside the United States, primarily through our retail stores in Canada and Mexico, our eCommerce sites in Canada and China, stores operated by our international partners, and sales to our international wholesale customers.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6" w:name="page37"/>
    <w:bookmarkEnd w:id="36"/>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selected statement of operations data expressed as a percentage of consolidated net sales: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38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gridSpan w:val="4"/>
            <w:shd w:val="clear" w:color="auto" w:fill="CCEEFF"/>
          </w:tcPr>
          <w:p>
            <w:pPr>
              <w:ind w:left="1100"/>
              <w:spacing w:after="0"/>
              <w:rPr>
                <w:sz w:val="20"/>
                <w:szCs w:val="20"/>
                <w:color w:val="auto"/>
              </w:rPr>
            </w:pPr>
            <w:r>
              <w:rPr>
                <w:rFonts w:ascii="Arial" w:cs="Arial" w:eastAsia="Arial" w:hAnsi="Arial"/>
                <w:sz w:val="16"/>
                <w:szCs w:val="16"/>
                <w:b w:val="1"/>
                <w:bCs w:val="1"/>
                <w:color w:val="auto"/>
              </w:rPr>
              <w:t>Fiscal quarter ended</w:t>
            </w: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Two fiscal quarters ended</w:t>
            </w: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60" w:type="dxa"/>
            <w:vAlign w:val="bottom"/>
            <w:tcBorders>
              <w:top w:val="single" w:sz="8" w:color="auto"/>
            </w:tcBorders>
          </w:tcPr>
          <w:p>
            <w:pPr>
              <w:jc w:val="center"/>
              <w:ind w:left="419"/>
              <w:spacing w:after="0"/>
              <w:rPr>
                <w:sz w:val="20"/>
                <w:szCs w:val="20"/>
                <w:color w:val="auto"/>
              </w:rPr>
            </w:pPr>
            <w:r>
              <w:rPr>
                <w:rFonts w:ascii="Arial" w:cs="Arial" w:eastAsia="Arial" w:hAnsi="Arial"/>
                <w:sz w:val="16"/>
                <w:szCs w:val="16"/>
                <w:b w:val="1"/>
                <w:bCs w:val="1"/>
                <w:color w:val="auto"/>
                <w:w w:val="90"/>
              </w:rPr>
              <w:t>June 30,</w:t>
            </w: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left="479"/>
              <w:spacing w:after="0"/>
              <w:rPr>
                <w:sz w:val="20"/>
                <w:szCs w:val="20"/>
                <w:color w:val="auto"/>
              </w:rPr>
            </w:pPr>
            <w:r>
              <w:rPr>
                <w:rFonts w:ascii="Arial" w:cs="Arial" w:eastAsia="Arial" w:hAnsi="Arial"/>
                <w:sz w:val="16"/>
                <w:szCs w:val="16"/>
                <w:b w:val="1"/>
                <w:bCs w:val="1"/>
                <w:color w:val="auto"/>
                <w:w w:val="92"/>
              </w:rPr>
              <w:t>July 1,</w:t>
            </w: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top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June 30,</w:t>
            </w:r>
          </w:p>
        </w:tc>
        <w:tc>
          <w:tcPr>
            <w:tcW w:w="176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July 1,</w:t>
            </w:r>
          </w:p>
        </w:tc>
      </w:tr>
      <w:tr>
        <w:trPr>
          <w:trHeight w:val="210"/>
        </w:trPr>
        <w:tc>
          <w:tcPr>
            <w:tcW w:w="52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18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7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203"/>
        </w:trPr>
        <w:tc>
          <w:tcPr>
            <w:tcW w:w="524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Net sales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U.S. Retail</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56.6 %</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53.0 %</w:t>
            </w:r>
          </w:p>
        </w:tc>
      </w:tr>
      <w:tr>
        <w:trPr>
          <w:trHeight w:val="237"/>
        </w:trPr>
        <w:tc>
          <w:tcPr>
            <w:tcW w:w="5240" w:type="dxa"/>
            <w:vAlign w:val="bottom"/>
            <w:gridSpan w:val="4"/>
          </w:tcPr>
          <w:p>
            <w:pPr>
              <w:ind w:left="20"/>
              <w:spacing w:after="0"/>
              <w:rPr>
                <w:sz w:val="20"/>
                <w:szCs w:val="20"/>
                <w:color w:val="auto"/>
              </w:rPr>
            </w:pPr>
            <w:r>
              <w:rPr>
                <w:rFonts w:ascii="Arial" w:cs="Arial" w:eastAsia="Arial" w:hAnsi="Arial"/>
                <w:sz w:val="16"/>
                <w:szCs w:val="16"/>
                <w:color w:val="auto"/>
              </w:rPr>
              <w:t>U.S. Wholesale</w:t>
            </w:r>
          </w:p>
        </w:tc>
        <w:tc>
          <w:tcPr>
            <w:tcW w:w="56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31.5 %</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35.8 %</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r>
      <w:tr>
        <w:trPr>
          <w:trHeight w:val="250"/>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Consolidated net sales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5240" w:type="dxa"/>
            <w:vAlign w:val="bottom"/>
            <w:gridSpan w:val="4"/>
          </w:tcPr>
          <w:p>
            <w:pPr>
              <w:ind w:left="20"/>
              <w:spacing w:after="0"/>
              <w:rPr>
                <w:sz w:val="20"/>
                <w:szCs w:val="20"/>
                <w:color w:val="auto"/>
              </w:rPr>
            </w:pPr>
            <w:r>
              <w:rPr>
                <w:rFonts w:ascii="Arial" w:cs="Arial" w:eastAsia="Arial" w:hAnsi="Arial"/>
                <w:sz w:val="16"/>
                <w:szCs w:val="16"/>
                <w:color w:val="auto"/>
              </w:rPr>
              <w:t>Cost of goods sold</w:t>
            </w:r>
          </w:p>
        </w:tc>
        <w:tc>
          <w:tcPr>
            <w:tcW w:w="56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56.2 %</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56.6 %</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237"/>
        </w:trPr>
        <w:tc>
          <w:tcPr>
            <w:tcW w:w="5240" w:type="dxa"/>
            <w:vAlign w:val="bottom"/>
            <w:gridSpan w:val="4"/>
          </w:tcPr>
          <w:p>
            <w:pPr>
              <w:ind w:left="20"/>
              <w:spacing w:after="0"/>
              <w:rPr>
                <w:sz w:val="20"/>
                <w:szCs w:val="20"/>
                <w:color w:val="auto"/>
              </w:rPr>
            </w:pPr>
            <w:r>
              <w:rPr>
                <w:rFonts w:ascii="Arial" w:cs="Arial" w:eastAsia="Arial" w:hAnsi="Arial"/>
                <w:sz w:val="16"/>
                <w:szCs w:val="16"/>
                <w:color w:val="auto"/>
              </w:rPr>
              <w:t>Gross margin</w:t>
            </w:r>
          </w:p>
        </w:tc>
        <w:tc>
          <w:tcPr>
            <w:tcW w:w="56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43.8 %</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43.4 %</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37"/>
        </w:trPr>
        <w:tc>
          <w:tcPr>
            <w:tcW w:w="5240" w:type="dxa"/>
            <w:vAlign w:val="bottom"/>
            <w:gridSpan w:val="4"/>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60" w:type="dxa"/>
            <w:vAlign w:val="bottom"/>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36.2 %</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237"/>
        </w:trPr>
        <w:tc>
          <w:tcPr>
            <w:tcW w:w="5240" w:type="dxa"/>
            <w:vAlign w:val="bottom"/>
            <w:gridSpan w:val="4"/>
          </w:tcPr>
          <w:p>
            <w:pPr>
              <w:ind w:left="20"/>
              <w:spacing w:after="0"/>
              <w:rPr>
                <w:sz w:val="20"/>
                <w:szCs w:val="20"/>
                <w:color w:val="auto"/>
              </w:rPr>
            </w:pPr>
            <w:r>
              <w:rPr>
                <w:rFonts w:ascii="Arial" w:cs="Arial" w:eastAsia="Arial" w:hAnsi="Arial"/>
                <w:sz w:val="16"/>
                <w:szCs w:val="16"/>
                <w:color w:val="auto"/>
              </w:rPr>
              <w:t>Operating income</w:t>
            </w:r>
          </w:p>
        </w:tc>
        <w:tc>
          <w:tcPr>
            <w:tcW w:w="56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37"/>
        </w:trPr>
        <w:tc>
          <w:tcPr>
            <w:tcW w:w="5240" w:type="dxa"/>
            <w:vAlign w:val="bottom"/>
            <w:gridSpan w:val="4"/>
          </w:tcPr>
          <w:p>
            <w:pPr>
              <w:ind w:left="20"/>
              <w:spacing w:after="0"/>
              <w:rPr>
                <w:sz w:val="20"/>
                <w:szCs w:val="20"/>
                <w:color w:val="auto"/>
              </w:rPr>
            </w:pPr>
            <w:r>
              <w:rPr>
                <w:rFonts w:ascii="Arial" w:cs="Arial" w:eastAsia="Arial" w:hAnsi="Arial"/>
                <w:sz w:val="16"/>
                <w:szCs w:val="16"/>
                <w:color w:val="auto"/>
              </w:rPr>
              <w:t>Interest income</w:t>
            </w:r>
          </w:p>
        </w:tc>
        <w:tc>
          <w:tcPr>
            <w:tcW w:w="1820" w:type="dxa"/>
            <w:vAlign w:val="bottom"/>
            <w:gridSpan w:val="3"/>
          </w:tcPr>
          <w:p>
            <w:pPr>
              <w:ind w:left="140"/>
              <w:spacing w:after="0"/>
              <w:rPr>
                <w:sz w:val="20"/>
                <w:szCs w:val="20"/>
                <w:color w:val="auto"/>
              </w:rPr>
            </w:pPr>
            <w:r>
              <w:rPr>
                <w:rFonts w:ascii="Arial" w:cs="Arial" w:eastAsia="Arial" w:hAnsi="Arial"/>
                <w:sz w:val="16"/>
                <w:szCs w:val="16"/>
                <w:color w:val="auto"/>
              </w:rPr>
              <w:t>n/m</w:t>
            </w:r>
          </w:p>
        </w:tc>
        <w:tc>
          <w:tcPr>
            <w:tcW w:w="740" w:type="dxa"/>
            <w:vAlign w:val="bottom"/>
            <w:gridSpan w:val="2"/>
          </w:tcPr>
          <w:p>
            <w:pPr>
              <w:ind w:left="160"/>
              <w:spacing w:after="0"/>
              <w:rPr>
                <w:sz w:val="20"/>
                <w:szCs w:val="20"/>
                <w:color w:val="auto"/>
              </w:rPr>
            </w:pPr>
            <w:r>
              <w:rPr>
                <w:rFonts w:ascii="Arial" w:cs="Arial" w:eastAsia="Arial" w:hAnsi="Arial"/>
                <w:sz w:val="16"/>
                <w:szCs w:val="16"/>
                <w:color w:val="auto"/>
              </w:rPr>
              <w:t>n/m</w:t>
            </w:r>
          </w:p>
        </w:tc>
        <w:tc>
          <w:tcPr>
            <w:tcW w:w="1840" w:type="dxa"/>
            <w:vAlign w:val="bottom"/>
            <w:gridSpan w:val="2"/>
          </w:tcPr>
          <w:p>
            <w:pPr>
              <w:ind w:left="1300"/>
              <w:spacing w:after="0"/>
              <w:rPr>
                <w:sz w:val="20"/>
                <w:szCs w:val="20"/>
                <w:color w:val="auto"/>
              </w:rPr>
            </w:pPr>
            <w:r>
              <w:rPr>
                <w:rFonts w:ascii="Arial" w:cs="Arial" w:eastAsia="Arial" w:hAnsi="Arial"/>
                <w:sz w:val="16"/>
                <w:szCs w:val="16"/>
                <w:color w:val="auto"/>
              </w:rPr>
              <w:t>n/m</w:t>
            </w: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6"/>
                <w:szCs w:val="16"/>
                <w:color w:val="auto"/>
              </w:rPr>
              <w:t>n/m</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r>
      <w:tr>
        <w:trPr>
          <w:trHeight w:val="250"/>
        </w:trPr>
        <w:tc>
          <w:tcPr>
            <w:tcW w:w="5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37"/>
        </w:trPr>
        <w:tc>
          <w:tcPr>
            <w:tcW w:w="5240" w:type="dxa"/>
            <w:vAlign w:val="bottom"/>
            <w:gridSpan w:val="4"/>
          </w:tcPr>
          <w:p>
            <w:pPr>
              <w:spacing w:after="0"/>
              <w:rPr>
                <w:sz w:val="20"/>
                <w:szCs w:val="20"/>
                <w:color w:val="auto"/>
              </w:rPr>
            </w:pPr>
            <w:r>
              <w:rPr>
                <w:rFonts w:ascii="Arial" w:cs="Arial" w:eastAsia="Arial" w:hAnsi="Arial"/>
                <w:sz w:val="16"/>
                <w:szCs w:val="16"/>
                <w:color w:val="auto"/>
              </w:rPr>
              <w:t>Provision for income taxes</w:t>
            </w: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rounds to less than 0.1%, therefore not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Results may not be additive due to rounding.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COMPARABLE RETAIL SALES METRICS</w:t>
      </w:r>
    </w:p>
    <w:p>
      <w:pPr>
        <w:spacing w:after="0" w:line="30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the beginning of fiscal 2018, we transitioned to disclosing a total comparable retail sales metric, including both retail stores and eCommerce. This change aligns with how management views and measures our retail business. We believe it reflects our maturing omni-channel strategy and consumers’ increasing opportunity to shop with us both in stores and online.</w:t>
      </w:r>
    </w:p>
    <w:p>
      <w:pPr>
        <w:spacing w:after="0" w:line="2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method of calculating sales metrics varies across the retail industry. As a result, our method of calculating comparable sales may not be the same as that of other retailers.</w:t>
      </w:r>
    </w:p>
    <w:p>
      <w:pPr>
        <w:spacing w:after="0" w:line="38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SECOND FISCAL QUARTER AND TWO FISCAL QUARTERS ENDED JUNE 30, 2018 COMPARED TO SECOND FISCAL QUARTER AND TWO FISCAL QUARTERS ENDED JULY 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SALES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the second quarter of fiscal 2018, consolidated net sales increased $4.4 million, or 0.6%, to $696.2 million from $691.8 million in the second quarter of fiscal 2017. For the first two quarters of fiscal 2018, consolidated net sales increased $27.4 million, or 1.9%, to $1.5 billion from $1.4 billion in the first two quarters of fiscal 2017. The increases for the fiscal quarter and year-to-date period in fiscal 2018 were primarily driven by growth in our U.S. Retail and International segments, partially offset by a decline in our U.S. Wholesale segment. Changes in foreign currency exchange rates used for translation in the second quarter and first two quarters of fiscal 2018, as compared to the second quarter and first two quarters of fiscal 2017, had a favorable impact on our consolidated net sales of approximately $2.6 million and $5.4 million, respectively.</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Net sales by segment, and each segment's percentage of consolidated net sales,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right w:val="single" w:sz="8" w:color="CCEEFF"/>
            </w:tcBorders>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6"/>
                <w:szCs w:val="16"/>
                <w:b w:val="1"/>
                <w:bCs w:val="1"/>
                <w:color w:val="auto"/>
              </w:rPr>
              <w:t>Fiscal quarter ended</w:t>
            </w: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5"/>
            <w:shd w:val="clear" w:color="auto" w:fill="CCEEFF"/>
          </w:tcPr>
          <w:p>
            <w:pPr>
              <w:jc w:val="right"/>
              <w:ind w:right="199"/>
              <w:spacing w:after="0"/>
              <w:rPr>
                <w:sz w:val="20"/>
                <w:szCs w:val="20"/>
                <w:color w:val="auto"/>
              </w:rPr>
            </w:pPr>
            <w:r>
              <w:rPr>
                <w:rFonts w:ascii="Arial" w:cs="Arial" w:eastAsia="Arial" w:hAnsi="Arial"/>
                <w:sz w:val="16"/>
                <w:szCs w:val="16"/>
                <w:b w:val="1"/>
                <w:bCs w:val="1"/>
                <w:color w:val="auto"/>
                <w:shd w:val="clear" w:color="auto" w:fill="CCEEFF"/>
              </w:rPr>
              <w:t>Two fiscal quarters ended</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r>
      <w:tr>
        <w:trPr>
          <w:trHeight w:val="209"/>
        </w:trPr>
        <w:tc>
          <w:tcPr>
            <w:tcW w:w="4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i w:val="1"/>
                <w:iCs w:val="1"/>
                <w:color w:val="auto"/>
              </w:rPr>
              <w:t>(dollars in</w:t>
            </w: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 of</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 of</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 of</w:t>
            </w:r>
          </w:p>
        </w:tc>
      </w:tr>
      <w:tr>
        <w:trPr>
          <w:trHeight w:val="210"/>
        </w:trPr>
        <w:tc>
          <w:tcPr>
            <w:tcW w:w="4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i w:val="1"/>
                <w:iCs w:val="1"/>
                <w:color w:val="auto"/>
              </w:rPr>
              <w:t>thousands)</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6"/>
              </w:rPr>
              <w:t>June 30, 2018</w:t>
            </w:r>
          </w:p>
        </w:tc>
        <w:tc>
          <w:tcPr>
            <w:tcW w:w="10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July 1, 2017</w:t>
            </w:r>
          </w:p>
        </w:tc>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c>
          <w:tcPr>
            <w:tcW w:w="1240" w:type="dxa"/>
            <w:vAlign w:val="bottom"/>
            <w:gridSpan w:val="4"/>
          </w:tcPr>
          <w:p>
            <w:pPr>
              <w:ind w:left="80"/>
              <w:spacing w:after="0"/>
              <w:rPr>
                <w:sz w:val="20"/>
                <w:szCs w:val="20"/>
                <w:color w:val="auto"/>
              </w:rPr>
            </w:pPr>
            <w:r>
              <w:rPr>
                <w:rFonts w:ascii="Arial" w:cs="Arial" w:eastAsia="Arial" w:hAnsi="Arial"/>
                <w:sz w:val="16"/>
                <w:szCs w:val="16"/>
                <w:b w:val="1"/>
                <w:bCs w:val="1"/>
                <w:color w:val="auto"/>
              </w:rPr>
              <w:t>June 30, 2018</w:t>
            </w:r>
          </w:p>
        </w:tc>
        <w:tc>
          <w:tcPr>
            <w:tcW w:w="1280" w:type="dxa"/>
            <w:vAlign w:val="bottom"/>
            <w:gridSpan w:val="3"/>
          </w:tcPr>
          <w:p>
            <w:pPr>
              <w:ind w:left="40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July 1, 2017</w:t>
            </w:r>
          </w:p>
        </w:tc>
        <w:tc>
          <w:tcPr>
            <w:tcW w:w="118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33"/>
        </w:trPr>
        <w:tc>
          <w:tcPr>
            <w:tcW w:w="40" w:type="dxa"/>
            <w:vAlign w:val="bottom"/>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6"/>
        </w:trPr>
        <w:tc>
          <w:tcPr>
            <w:tcW w:w="40" w:type="dxa"/>
            <w:vAlign w:val="bottom"/>
            <w:tcBorders>
              <w:right w:val="single" w:sz="8" w:color="CCEEFF"/>
            </w:tcBorders>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03"/>
        </w:trPr>
        <w:tc>
          <w:tcPr>
            <w:tcW w:w="4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Net sales: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U.S. Retail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402,021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391,457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785,762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755,299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237"/>
        </w:trPr>
        <w:tc>
          <w:tcPr>
            <w:tcW w:w="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U.S. Wholesale</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209,476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217,710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490,309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510,265</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82,584</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175,912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159,014</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44"/>
        </w:trPr>
        <w:tc>
          <w:tcPr>
            <w:tcW w:w="40" w:type="dxa"/>
            <w:vAlign w:val="bottom"/>
          </w:tcPr>
          <w:p>
            <w:pPr>
              <w:spacing w:after="0"/>
              <w:rPr>
                <w:sz w:val="21"/>
                <w:szCs w:val="21"/>
                <w:color w:val="auto"/>
              </w:rPr>
            </w:pPr>
          </w:p>
        </w:tc>
        <w:tc>
          <w:tcPr>
            <w:tcW w:w="1440" w:type="dxa"/>
            <w:vAlign w:val="bottom"/>
            <w:gridSpan w:val="2"/>
          </w:tcPr>
          <w:p>
            <w:pPr>
              <w:ind w:left="320"/>
              <w:spacing w:after="0"/>
              <w:rPr>
                <w:sz w:val="20"/>
                <w:szCs w:val="20"/>
                <w:color w:val="auto"/>
              </w:rPr>
            </w:pPr>
            <w:r>
              <w:rPr>
                <w:rFonts w:ascii="Arial" w:cs="Arial" w:eastAsia="Arial" w:hAnsi="Arial"/>
                <w:sz w:val="16"/>
                <w:szCs w:val="16"/>
                <w:color w:val="auto"/>
              </w:rPr>
              <w:t>Total net sales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696,197</w:t>
            </w:r>
          </w:p>
        </w:tc>
        <w:tc>
          <w:tcPr>
            <w:tcW w:w="10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691,751</w:t>
            </w:r>
          </w:p>
        </w:tc>
        <w:tc>
          <w:tcPr>
            <w:tcW w:w="10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1,451,983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1,424,578</w:t>
            </w:r>
          </w:p>
        </w:tc>
        <w:tc>
          <w:tcPr>
            <w:tcW w:w="10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19"/>
        </w:trPr>
        <w:tc>
          <w:tcPr>
            <w:tcW w:w="4120" w:type="dxa"/>
            <w:vAlign w:val="bottom"/>
            <w:gridSpan w:val="9"/>
          </w:tcPr>
          <w:p>
            <w:pPr>
              <w:spacing w:after="0"/>
              <w:rPr>
                <w:sz w:val="20"/>
                <w:szCs w:val="20"/>
                <w:color w:val="auto"/>
              </w:rPr>
            </w:pPr>
            <w:r>
              <w:rPr>
                <w:rFonts w:ascii="Arial" w:cs="Arial" w:eastAsia="Arial" w:hAnsi="Arial"/>
                <w:sz w:val="18"/>
                <w:szCs w:val="18"/>
                <w:i w:val="1"/>
                <w:iCs w:val="1"/>
                <w:color w:val="auto"/>
                <w:w w:val="92"/>
              </w:rPr>
              <w:t>Note: Percentages may not be additive due to rounding.</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48"/>
        </w:trPr>
        <w:tc>
          <w:tcPr>
            <w:tcW w:w="17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U.S. RETAIL SALES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6500" w:type="dxa"/>
            <w:vAlign w:val="bottom"/>
            <w:gridSpan w:val="13"/>
          </w:tcPr>
          <w:p>
            <w:pPr>
              <w:spacing w:after="0"/>
              <w:rPr>
                <w:sz w:val="20"/>
                <w:szCs w:val="20"/>
                <w:color w:val="auto"/>
              </w:rPr>
            </w:pPr>
            <w:r>
              <w:rPr>
                <w:rFonts w:ascii="Arial" w:cs="Arial" w:eastAsia="Arial" w:hAnsi="Arial"/>
                <w:sz w:val="18"/>
                <w:szCs w:val="18"/>
                <w:i w:val="1"/>
                <w:iCs w:val="1"/>
                <w:color w:val="auto"/>
                <w:w w:val="99"/>
              </w:rPr>
              <w:t>Store Count Data for Company-Operated Retail Stores in our U.S. Retail segment</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right w:val="single" w:sz="8" w:color="CCEEFF"/>
            </w:tcBorders>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4"/>
              </w:rPr>
              <w:t>U.S. Retail</w:t>
            </w:r>
          </w:p>
        </w:tc>
        <w:tc>
          <w:tcPr>
            <w:tcW w:w="2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1"/>
        </w:trPr>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Borders>
              <w:right w:val="single" w:sz="8" w:color="CCEEFF"/>
            </w:tcBorders>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Stores</w:t>
            </w:r>
          </w:p>
        </w:tc>
        <w:tc>
          <w:tcPr>
            <w:tcW w:w="26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Borders>
              <w:right w:val="single" w:sz="8" w:color="CCEEFF"/>
            </w:tcBorders>
          </w:tcPr>
          <w:p>
            <w:pPr>
              <w:spacing w:after="0"/>
              <w:rPr>
                <w:sz w:val="21"/>
                <w:szCs w:val="21"/>
                <w:color w:val="auto"/>
              </w:rPr>
            </w:pPr>
          </w:p>
        </w:tc>
        <w:tc>
          <w:tcPr>
            <w:tcW w:w="25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b w:val="1"/>
                <w:bCs w:val="1"/>
                <w:color w:val="auto"/>
                <w:w w:val="97"/>
              </w:rPr>
              <w:t>Store count at December 30, 2017</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6"/>
                <w:szCs w:val="16"/>
                <w:color w:val="auto"/>
              </w:rPr>
              <w:t>Openings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Borders>
              <w:right w:val="single" w:sz="8" w:color="CCEEFF"/>
            </w:tcBorders>
          </w:tcPr>
          <w:p>
            <w:pPr>
              <w:spacing w:after="0"/>
              <w:rPr>
                <w:sz w:val="23"/>
                <w:szCs w:val="23"/>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Closings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97"/>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b w:val="1"/>
                <w:bCs w:val="1"/>
                <w:color w:val="auto"/>
              </w:rPr>
              <w:t>Store count at June 30, 2018</w:t>
            </w: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87"/>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right w:val="single" w:sz="8" w:color="CCEEFF"/>
            </w:tcBorders>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gridSpan w:val="8"/>
          </w:tcPr>
          <w:p>
            <w:pPr>
              <w:spacing w:after="0"/>
              <w:rPr>
                <w:sz w:val="20"/>
                <w:szCs w:val="20"/>
                <w:color w:val="auto"/>
              </w:rPr>
            </w:pPr>
            <w:r>
              <w:rPr>
                <w:rFonts w:ascii="Arial" w:cs="Arial" w:eastAsia="Arial" w:hAnsi="Arial"/>
                <w:sz w:val="16"/>
                <w:szCs w:val="16"/>
                <w:b w:val="1"/>
                <w:bCs w:val="1"/>
                <w:color w:val="auto"/>
                <w:w w:val="92"/>
              </w:rPr>
              <w:t>Approximate store count projections for all of fiscal 2018:</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Borders>
              <w:right w:val="single" w:sz="8" w:color="CCEEFF"/>
            </w:tcBorders>
          </w:tcPr>
          <w:p>
            <w:pPr>
              <w:spacing w:after="0"/>
              <w:rPr>
                <w:sz w:val="21"/>
                <w:szCs w:val="21"/>
                <w:color w:val="auto"/>
              </w:rPr>
            </w:pPr>
          </w:p>
        </w:tc>
        <w:tc>
          <w:tcPr>
            <w:tcW w:w="25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b w:val="1"/>
                <w:bCs w:val="1"/>
                <w:color w:val="auto"/>
                <w:w w:val="97"/>
              </w:rPr>
              <w:t>Store count at December 30, 2017</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6"/>
                <w:szCs w:val="16"/>
                <w:color w:val="auto"/>
              </w:rPr>
              <w:t>Openings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Borders>
              <w:right w:val="single" w:sz="8" w:color="CCEEFF"/>
            </w:tcBorders>
          </w:tcPr>
          <w:p>
            <w:pPr>
              <w:spacing w:after="0"/>
              <w:rPr>
                <w:sz w:val="23"/>
                <w:szCs w:val="23"/>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Closings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7"/>
          </w:tcPr>
          <w:p>
            <w:pPr>
              <w:spacing w:after="0"/>
              <w:rPr>
                <w:sz w:val="20"/>
                <w:szCs w:val="20"/>
                <w:color w:val="auto"/>
              </w:rPr>
            </w:pPr>
            <w:r>
              <w:rPr>
                <w:rFonts w:ascii="Arial" w:cs="Arial" w:eastAsia="Arial" w:hAnsi="Arial"/>
                <w:sz w:val="16"/>
                <w:szCs w:val="16"/>
                <w:b w:val="1"/>
                <w:bCs w:val="1"/>
                <w:color w:val="auto"/>
              </w:rPr>
              <w:t>Projected store count at December 29, 2018</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Net Sales for our U.S. Retail segment</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Comparable retail net sales increased 0.9% during the second quarter and 1.9% during the first two quarters of fiscal 2018 compared to the corresponding periods in fiscal 2017 primarily due to eCommerce sales growth, partially offset by a decline in comparable retail store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Results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U.S. Retail segment net sales increased approximately $10.6 million, or 2.7%, in the second quarter of fiscal 2018 to $402.0 million from $391.5 million in the second quarter of fiscal 2017. This increase in net sales primarily reflected a/an:</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of $18.1 million from eCommerce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of $13.9 million from new retail stores that are not yet comparable;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of $13.8 million in comparable retail store sales as a result of lower traffic; and</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of $7.5 million due to the effect of store closings.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U.S. Retail segment net sales increased $30.5 million, or 4.0%, in the first two quarters of fiscal 2018 to $785.8 million from $755.3 million in the first two quarters of fiscal 2017. This increase in net sales primarily reflected a/an:</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of $30.2 million from eCommerce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of $29.8 million from new retail stores that are not yet comparable;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 of $14.7 million in comparable retail store sales as a result of lower traffic;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 of $14.4 million due to the effect of store closings.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 SALES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U.S. Wholesale segment net sales decreased approximately $8.2 million, or 3.8%, in the second quarter of fiscal 2018 to $209.5 million from $217.7 million in the second quarter of fiscal 2017. This decline reflected a 0.8% decrease in the number of units shipped and a 3.0% decrease in the average price per unit, primarily as a result of reduced demand due to customer bankruptcies.</w:t>
      </w:r>
    </w:p>
    <w:p>
      <w:pPr>
        <w:spacing w:after="0" w:line="26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U.S. Wholesale segment net sales decreased $20.0 million, or 3.9%, in the first two quarters of fiscal 2018 to $490.3 million from $510.3 million in the first two quarters of fiscal 2017. This decline reflected a 4.6% decrease in the number of units shipped which was primarily the result of reduced demand due to customer bankruptcies, partially offset by a 0.7% increase in the average price per unit and contributions from the Skip Hop acquisition that occurred during the first quarter of fiscal 2017.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International segment net sales increased approximately $2.1 million, or 2.6%, in the second quarter of fiscal 2018 to $84.7 million from $82.6 million in the second quarter of fiscal 2017. Changes in foreign currency exchange rates used for translation had a favorable impact on International segment net sales of approximately $2.6 million in the second quarter of fiscal 2018 compared to the second quarter of fiscal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$2.1 million increase in net sales in our International segment primarily reflected a/an:</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 of $4.0 million related to the contribution from our former licensee in Mexico that was acquired in the third fiscal quarter of 2017;</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of $3.2 million from our company-operated retail stores in Canada;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of $4.5 million from international wholesale customers across various markets.</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International segment net sales increased $16.9 million, or 10.6%, in the first two quarters of fiscal 2018 to $175.9 million from $159.0 million in the first two quarters of fiscal 2017. Changes in foreign currency exchange rates, primarily between the U.S. dollar and the Canadian dollar, had a favorable impact on International segment net sales of approximately $5.4 million in the first two quarters of fiscal 2018 compared to the first two quarters of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$16.9 million increase in net sales in our International segment primarily reflected a/an:</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of $16.4 million related to business acquisitions;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of $8.5 million from our company-operated retail stores in Canada;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 of $7.0 million from international wholesale customers across various markets;</w:t>
      </w:r>
    </w:p>
    <w:p>
      <w:pPr>
        <w:spacing w:after="0" w:line="2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Compared to the second quarter of fiscal 2017, our Canadian comparable retail sales decreased 1.2% in the second quarter of fiscal 2018. Compared to the first two quarters of fiscal 2017, our Canadian total retail comparable sales increased 0.9% in the first two quarters of fiscal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 Data for Company-Operated Retail Stores in our International Segment</w:t>
      </w:r>
    </w:p>
    <w:p>
      <w:pPr>
        <w:spacing w:after="0" w:line="158" w:lineRule="exact"/>
        <w:rPr>
          <w:sz w:val="20"/>
          <w:szCs w:val="20"/>
          <w:color w:val="auto"/>
        </w:rPr>
      </w:pPr>
    </w:p>
    <w:tbl>
      <w:tblPr>
        <w:tblLayout w:type="fixed"/>
        <w:tblInd w:w="2360" w:type="dxa"/>
        <w:tblCellMar>
          <w:top w:w="0" w:type="dxa"/>
          <w:left w:w="0" w:type="dxa"/>
          <w:bottom w:w="0" w:type="dxa"/>
          <w:right w:w="0" w:type="dxa"/>
        </w:tblCellMar>
      </w:tblPr>
      <w:tr>
        <w:trPr>
          <w:trHeight w:val="225"/>
        </w:trPr>
        <w:tc>
          <w:tcPr>
            <w:tcW w:w="4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2"/>
              </w:rPr>
              <w:t>Canada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Mexico Retail</w:t>
            </w:r>
          </w:p>
        </w:tc>
      </w:tr>
      <w:tr>
        <w:trPr>
          <w:trHeight w:val="261"/>
        </w:trPr>
        <w:tc>
          <w:tcPr>
            <w:tcW w:w="4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Retail Stores</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Stores</w:t>
            </w:r>
          </w:p>
        </w:tc>
      </w:tr>
      <w:tr>
        <w:trPr>
          <w:trHeight w:val="210"/>
        </w:trPr>
        <w:tc>
          <w:tcPr>
            <w:tcW w:w="4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Store count at December 30, 2017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4300" w:type="dxa"/>
            <w:vAlign w:val="bottom"/>
          </w:tcPr>
          <w:p>
            <w:pPr>
              <w:ind w:left="20"/>
              <w:spacing w:after="0"/>
              <w:rPr>
                <w:sz w:val="20"/>
                <w:szCs w:val="20"/>
                <w:color w:val="auto"/>
              </w:rPr>
            </w:pPr>
            <w:r>
              <w:rPr>
                <w:rFonts w:ascii="Arial" w:cs="Arial" w:eastAsia="Arial" w:hAnsi="Arial"/>
                <w:sz w:val="16"/>
                <w:szCs w:val="16"/>
                <w:color w:val="auto"/>
              </w:rPr>
              <w:t>Openings</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Closings</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Store count at June 30, 2018</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03"/>
        </w:trPr>
        <w:tc>
          <w:tcPr>
            <w:tcW w:w="4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w w:val="97"/>
              </w:rPr>
              <w:t>Approximate store count projections for all of fiscal 2018:</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4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Store count at December 30, 2017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4300" w:type="dxa"/>
            <w:vAlign w:val="bottom"/>
          </w:tcPr>
          <w:p>
            <w:pPr>
              <w:ind w:left="20"/>
              <w:spacing w:after="0"/>
              <w:rPr>
                <w:sz w:val="20"/>
                <w:szCs w:val="20"/>
                <w:color w:val="auto"/>
              </w:rPr>
            </w:pPr>
            <w:r>
              <w:rPr>
                <w:rFonts w:ascii="Arial" w:cs="Arial" w:eastAsia="Arial" w:hAnsi="Arial"/>
                <w:sz w:val="16"/>
                <w:szCs w:val="16"/>
                <w:color w:val="auto"/>
              </w:rPr>
              <w:t>Openings</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Closings</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Projected store count at December 29, 2018</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GROSS PROFIT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consolidated gross margin increased from 43.8% in the second quarter of fiscal 2017 to 44.5% in the second quarter of fiscal 2018. Our consolidated gross profit increased $6.7 million, or 2.2%, to $310.0 million in the second quarter of fiscal 2018 from $303.2 million in the second quarter of fiscal 2017. These increases were primarily due to favorable product costs and increased sales in higher margin retail channels, partially offset by lower margins in our wholesale channels due to customer mix.</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consolidated gross margin increased from 43.4% in the first two quarters of fiscal 2017 to 44.2% for the first two quarters of fiscal 2018. Our consolidated gross profit increased $23.5 million, or 3.8%, to $642.4 million in the first two quarters of fiscal 2018 from $618.9 million in the first two quarters of fiscal 2017. These increases were primarily due to favorable product costs and increased sales in higher margin retail channels, partially offset by lower margins in our wholesale channels due to customer mix.</w:t>
      </w:r>
    </w:p>
    <w:p>
      <w:pPr>
        <w:spacing w:after="0" w:line="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include distribution costs in selling, general, and administrative ("SG&amp;A") expenses. Accordingly, our gross margin and gross profit may not be comparable to other entities that include such distribution costs in their cost of goods sold.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INCOME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We license the use of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Genuine Kids from OshKosh</w:t>
      </w:r>
      <w:r>
        <w:rPr>
          <w:rFonts w:ascii="Arial" w:cs="Arial" w:eastAsia="Arial" w:hAnsi="Arial"/>
          <w:sz w:val="18"/>
          <w:szCs w:val="18"/>
          <w:color w:val="auto"/>
        </w:rPr>
        <w:t xml:space="preserve">, </w:t>
      </w:r>
      <w:r>
        <w:rPr>
          <w:rFonts w:ascii="Arial" w:cs="Arial" w:eastAsia="Arial" w:hAnsi="Arial"/>
          <w:sz w:val="18"/>
          <w:szCs w:val="18"/>
          <w:i w:val="1"/>
          <w:iCs w:val="1"/>
          <w:color w:val="auto"/>
        </w:rPr>
        <w:t>Baby B'gosh</w:t>
      </w:r>
      <w:r>
        <w:rPr>
          <w:rFonts w:ascii="Arial" w:cs="Arial" w:eastAsia="Arial" w:hAnsi="Arial"/>
          <w:sz w:val="18"/>
          <w:szCs w:val="18"/>
          <w:color w:val="auto"/>
        </w:rPr>
        <w:t xml:space="preserve">,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and </w:t>
      </w:r>
      <w:r>
        <w:rPr>
          <w:rFonts w:ascii="Arial" w:cs="Arial" w:eastAsia="Arial" w:hAnsi="Arial"/>
          <w:sz w:val="18"/>
          <w:szCs w:val="18"/>
          <w:i w:val="1"/>
          <w:iCs w:val="1"/>
          <w:color w:val="auto"/>
        </w:rPr>
        <w:t>Precious Firsts</w:t>
      </w:r>
      <w:r>
        <w:rPr>
          <w:rFonts w:ascii="Arial" w:cs="Arial" w:eastAsia="Arial" w:hAnsi="Arial"/>
          <w:sz w:val="18"/>
          <w:szCs w:val="18"/>
          <w:color w:val="auto"/>
        </w:rPr>
        <w:t xml:space="preserve"> brand names.</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Royalty income from these brands for the second quarter of fiscal 2018 decreased $0.9 million, or 7.6%, to $10.4 million from $11.2 million in the second quarter of fiscal 2017. The decrease was primarily attributable to insourcing certain formerly licensed products and the absence of royalty income from our former Mexico licensee that we acquired in the third fiscal quarter of 2017.</w:t>
      </w:r>
    </w:p>
    <w:p>
      <w:pPr>
        <w:spacing w:after="0" w:line="26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Royalty income from these brands for the first two quarters of fiscal 2018 decreased $3.4 million, or 15.7%, to $18.3 million from $21.8 million in the first two quarters of fiscal 2017. The decrease was attributable to same reasons discussed above.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121" w:right="35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Consolidated SG&amp;A expenses in the second quarter of fiscal 2018 increased $13.2 million, or 5.3%, to $263.3 million from $250.1 million in the second quarter of fiscal 2017. As a percentage of net sales, SG&amp;A expenses increased from 36.2% in the second quarter of fiscal 2017 to 37.8% in the second quarter of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SG&amp;A expenses, as a percentage of net sales, in the second quarter of fiscal 2018 primarily reflected a:</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$5.9 million increase in expenses related to eCommerce operations, including fulfillment costs, as a result of growth and improved service levels;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$3.6 million increase in expenses related to marketing and brand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 million in expenses related to our former Mexico licensee, that we acquired in the third fiscal quarter of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$1.6 million increase in expenses related to distribution;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$1.4 million increase in expenses related to Canada retail store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 million increase in expenses related to information system upgrades;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$1.6 million decrease in expenses related to U.S. retail store operations;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 million decrease in performance based compensation expenses.</w:t>
      </w:r>
    </w:p>
    <w:p>
      <w:pPr>
        <w:spacing w:after="0" w:line="2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Consolidated SG&amp;A expenses in the first two quarters of fiscal 2018 increased $45.6 million, or 9.2%, to $543.5 million from $497.9 million in the first two quarters of fiscal 2017. As a percentage of net sales, SG&amp;A expenses increased from 35.0% in the first two quarters of fiscal 2017 to 37.4% in the first two quarters of fiscal 2018.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SG&amp;A expenses, as a percentage of net sales, in the first two quarters of fiscal 2018 primarily reflected a:</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$12.8 million in expenses related to a customer bankruptcy in the first quarter of fiscal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$10.9 million increase in expenses related to eCommerce operations, including fulfillment costs, as a result of growth and improved service levels;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$6.7 million increase in expenses related to marketing and brand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$5.9 million increase in expenses related to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$4.5 million increase in expenses related to distribution and freight;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$3.0 million increase in expenses related to Canada retail store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$1.5 million increase in employee benefit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$2.5 million decrease in expenses related to U.S. retail store operations.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Consolidated operating income decreased $7.3 million, or 11.4%, to $57.0 million in the second quarter of fiscal 2018 from $64.3 million in the second quarter of fiscal 2017. Consolidated operating income decreased $25.5 million, or 17.9%, to $117.3 million in the first two quarters of fiscal 2018 from $142.8 million in the first two quarters of fiscal 2017.</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Consolidated operating margin decreased from 9.3% in the second quarter of fiscal 2017 to 8.2% in the second quarter of fiscal 2018. Consolidated operating margin decreased from 10.0% in the first two quarters of fiscal 2017 to 8.1% in the first two quarters of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changes in each of our segment's operating results and unallocated corporate expenses between the fiscal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1" w:right="279" w:bottom="1440" w:gutter="0" w:footer="0" w:header="0"/>
        </w:sectPr>
      </w:pPr>
    </w:p>
    <w:bookmarkStart w:id="41" w:name="page42"/>
    <w:bookmarkEnd w:id="41"/>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25"/>
        </w:trPr>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Unallocated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U.S. Retail</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U.S. Wholesale</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3"/>
              </w:rPr>
              <w:t>Expenses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 for the</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second quarter of fiscal 2017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42,133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35,805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7,597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(21,224)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64,311</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7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Favorable (unfavorable) change in the</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second quarter of fiscal 2018</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00" w:type="dxa"/>
            <w:vAlign w:val="bottom"/>
          </w:tcPr>
          <w:p>
            <w:pPr>
              <w:jc w:val="right"/>
              <w:ind w:right="61"/>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6,711</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Royalty income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37"/>
        </w:trPr>
        <w:tc>
          <w:tcPr>
            <w:tcW w:w="2700" w:type="dxa"/>
            <w:vAlign w:val="bottom"/>
          </w:tcPr>
          <w:p>
            <w:pPr>
              <w:jc w:val="right"/>
              <w:ind w:right="61"/>
              <w:spacing w:after="0"/>
              <w:rPr>
                <w:sz w:val="20"/>
                <w:szCs w:val="20"/>
                <w:color w:val="auto"/>
              </w:rPr>
            </w:pPr>
            <w:r>
              <w:rPr>
                <w:rFonts w:ascii="Arial" w:cs="Arial" w:eastAsia="Arial" w:hAnsi="Arial"/>
                <w:sz w:val="16"/>
                <w:szCs w:val="16"/>
                <w:color w:val="auto"/>
              </w:rPr>
              <w:t>SG&amp;A expenses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(13,197)</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 for the</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45,428</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30,338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4,312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(23,108)</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56,970</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second quarter of fiscal 2018</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25"/>
        </w:trPr>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0"/>
              </w:rPr>
              <w:t>Unallocated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2"/>
              </w:rPr>
              <w:t>Corporate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U.S. Retail</w:t>
            </w:r>
          </w:p>
        </w:tc>
        <w:tc>
          <w:tcPr>
            <w:tcW w:w="1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U.S. Wholesale</w:t>
            </w:r>
          </w:p>
        </w:tc>
        <w:tc>
          <w:tcPr>
            <w:tcW w:w="1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International</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3"/>
              </w:rPr>
              <w:t>Expenses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w w:val="97"/>
              </w:rPr>
              <w:t>Operating income (loss) for the first</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two quarters of fiscal 2017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71,922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105,501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11,282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(45,938)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142,767</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7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Favorable (unfavorable) change in the</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first two quarters of fiscal 2018</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00" w:type="dxa"/>
            <w:vAlign w:val="bottom"/>
          </w:tcPr>
          <w:p>
            <w:pPr>
              <w:jc w:val="right"/>
              <w:ind w:right="61"/>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25,783</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(10,844)</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8,461</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23,496</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Royalty income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0" w:type="dxa"/>
            <w:vAlign w:val="bottom"/>
          </w:tcPr>
          <w:p>
            <w:pPr>
              <w:spacing w:after="0"/>
              <w:rPr>
                <w:sz w:val="1"/>
                <w:szCs w:val="1"/>
                <w:color w:val="auto"/>
              </w:rPr>
            </w:pPr>
          </w:p>
        </w:tc>
      </w:tr>
      <w:tr>
        <w:trPr>
          <w:trHeight w:val="237"/>
        </w:trPr>
        <w:tc>
          <w:tcPr>
            <w:tcW w:w="2700" w:type="dxa"/>
            <w:vAlign w:val="bottom"/>
          </w:tcPr>
          <w:p>
            <w:pPr>
              <w:jc w:val="right"/>
              <w:ind w:right="61"/>
              <w:spacing w:after="0"/>
              <w:rPr>
                <w:sz w:val="20"/>
                <w:szCs w:val="20"/>
                <w:color w:val="auto"/>
              </w:rPr>
            </w:pPr>
            <w:r>
              <w:rPr>
                <w:rFonts w:ascii="Arial" w:cs="Arial" w:eastAsia="Arial" w:hAnsi="Arial"/>
                <w:sz w:val="16"/>
                <w:szCs w:val="16"/>
                <w:color w:val="auto"/>
              </w:rPr>
              <w:t>SG&amp;A expenses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(20,605)</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(13,344)</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(11,107)</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(45,565)</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7"/>
              </w:rPr>
              <w:t>Operating income (loss) for the first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74,947</w:t>
            </w:r>
          </w:p>
        </w:tc>
        <w:tc>
          <w:tcPr>
            <w:tcW w:w="1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80,610</w:t>
            </w:r>
          </w:p>
        </w:tc>
        <w:tc>
          <w:tcPr>
            <w:tcW w:w="1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8,073</w:t>
            </w:r>
          </w:p>
        </w:tc>
        <w:tc>
          <w:tcPr>
            <w:tcW w:w="1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(46,351)</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117,279</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two quarters of fiscal 2018</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presents changes in the operating margin for each of our three operating segments expressed in basis points ("bps") relative to net sales. The first table presents the changes between the second quarter of fiscal 2017 and the second quarter of fiscal 2018. The second table presents the changes between the first two quarters of fiscal 2017 and the first two quarters of fiscal 2018.</w:t>
      </w:r>
    </w:p>
    <w:p>
      <w:pPr>
        <w:spacing w:after="0" w:line="331" w:lineRule="exact"/>
        <w:rPr>
          <w:sz w:val="20"/>
          <w:szCs w:val="20"/>
          <w:color w:val="auto"/>
        </w:rPr>
      </w:pPr>
    </w:p>
    <w:tbl>
      <w:tblPr>
        <w:tblLayout w:type="fixed"/>
        <w:tblInd w:w="1920" w:type="dxa"/>
        <w:tblCellMar>
          <w:top w:w="0" w:type="dxa"/>
          <w:left w:w="0" w:type="dxa"/>
          <w:bottom w:w="0" w:type="dxa"/>
          <w:right w:w="0" w:type="dxa"/>
        </w:tblCellMar>
      </w:tblPr>
      <w:tr>
        <w:trPr>
          <w:trHeight w:val="270"/>
        </w:trPr>
        <w:tc>
          <w:tcPr>
            <w:tcW w:w="29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2"/>
              </w:rPr>
              <w:t>U.S. Retail</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U.S. Wholesale</w:t>
            </w:r>
          </w:p>
        </w:tc>
        <w:tc>
          <w:tcPr>
            <w:tcW w:w="154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International</w:t>
            </w:r>
          </w:p>
        </w:tc>
        <w:tc>
          <w:tcPr>
            <w:tcW w:w="0" w:type="dxa"/>
            <w:vAlign w:val="bottom"/>
          </w:tcPr>
          <w:p>
            <w:pPr>
              <w:spacing w:after="0"/>
              <w:rPr>
                <w:sz w:val="1"/>
                <w:szCs w:val="1"/>
                <w:color w:val="auto"/>
              </w:rPr>
            </w:pPr>
          </w:p>
        </w:tc>
      </w:tr>
      <w:tr>
        <w:trPr>
          <w:trHeight w:val="196"/>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Operating margin for the second</w:t>
            </w: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quarter of fiscal 2017</w:t>
            </w:r>
          </w:p>
        </w:tc>
        <w:tc>
          <w:tcPr>
            <w:tcW w:w="14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540" w:type="dxa"/>
            <w:vAlign w:val="bottom"/>
          </w:tcPr>
          <w:p>
            <w:pPr>
              <w:ind w:left="114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Favorable (unfavorable) bps change in the</w:t>
            </w: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second quarter of fiscal 2018</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00" w:type="dxa"/>
            <w:vAlign w:val="bottom"/>
          </w:tcPr>
          <w:p>
            <w:pPr>
              <w:jc w:val="right"/>
              <w:ind w:right="41"/>
              <w:spacing w:after="0"/>
              <w:rPr>
                <w:sz w:val="20"/>
                <w:szCs w:val="20"/>
                <w:color w:val="auto"/>
              </w:rPr>
            </w:pPr>
            <w:r>
              <w:rPr>
                <w:rFonts w:ascii="Arial" w:cs="Arial" w:eastAsia="Arial" w:hAnsi="Arial"/>
                <w:sz w:val="16"/>
                <w:szCs w:val="16"/>
                <w:color w:val="auto"/>
              </w:rPr>
              <w:t>Gross profit</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180 bps</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(230) bps</w:t>
            </w: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10 bps</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Royalty income</w:t>
            </w:r>
          </w:p>
        </w:tc>
        <w:tc>
          <w:tcPr>
            <w:tcW w:w="15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 bps</w:t>
            </w:r>
          </w:p>
        </w:tc>
        <w:tc>
          <w:tcPr>
            <w:tcW w:w="1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(30) bps</w:t>
            </w:r>
          </w:p>
        </w:tc>
        <w:tc>
          <w:tcPr>
            <w:tcW w:w="0" w:type="dxa"/>
            <w:vAlign w:val="bottom"/>
          </w:tcPr>
          <w:p>
            <w:pPr>
              <w:spacing w:after="0"/>
              <w:rPr>
                <w:sz w:val="1"/>
                <w:szCs w:val="1"/>
                <w:color w:val="auto"/>
              </w:rPr>
            </w:pPr>
          </w:p>
        </w:tc>
      </w:tr>
      <w:tr>
        <w:trPr>
          <w:trHeight w:val="237"/>
        </w:trPr>
        <w:tc>
          <w:tcPr>
            <w:tcW w:w="2900" w:type="dxa"/>
            <w:vAlign w:val="bottom"/>
          </w:tcPr>
          <w:p>
            <w:pPr>
              <w:jc w:val="right"/>
              <w:ind w:right="41"/>
              <w:spacing w:after="0"/>
              <w:rPr>
                <w:sz w:val="20"/>
                <w:szCs w:val="20"/>
                <w:color w:val="auto"/>
              </w:rPr>
            </w:pPr>
            <w:r>
              <w:rPr>
                <w:rFonts w:ascii="Arial" w:cs="Arial" w:eastAsia="Arial" w:hAnsi="Arial"/>
                <w:sz w:val="16"/>
                <w:szCs w:val="16"/>
                <w:color w:val="auto"/>
              </w:rPr>
              <w:t>SG&amp;A expenses</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(120) bps</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40 bps</w:t>
            </w: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(390) bps</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margin for the second</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10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14.5%</w:t>
            </w:r>
          </w:p>
        </w:tc>
        <w:tc>
          <w:tcPr>
            <w:tcW w:w="10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ind w:left="1140"/>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quarter of fiscal 2018</w:t>
            </w: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(b)</w:t>
            </w:r>
          </w:p>
        </w:tc>
        <w:tc>
          <w:tcPr>
            <w:tcW w:w="1540" w:type="dxa"/>
            <w:vAlign w:val="bottom"/>
          </w:tcPr>
          <w:p>
            <w:pPr>
              <w:jc w:val="right"/>
              <w:ind w:right="598"/>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121" w:right="419" w:bottom="1440" w:gutter="0" w:footer="0" w:header="0"/>
        </w:sectPr>
      </w:pPr>
    </w:p>
    <w:bookmarkStart w:id="42" w:name="page43"/>
    <w:bookmarkEnd w:id="42"/>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920" w:type="dxa"/>
        <w:tblCellMar>
          <w:top w:w="0" w:type="dxa"/>
          <w:left w:w="0" w:type="dxa"/>
          <w:bottom w:w="0" w:type="dxa"/>
          <w:right w:w="0" w:type="dxa"/>
        </w:tblCellMar>
      </w:tblPr>
      <w:tr>
        <w:trPr>
          <w:trHeight w:val="270"/>
        </w:trPr>
        <w:tc>
          <w:tcPr>
            <w:tcW w:w="29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2"/>
              </w:rPr>
              <w:t>U.S. Retail</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U.S. Wholesale</w:t>
            </w:r>
          </w:p>
        </w:tc>
        <w:tc>
          <w:tcPr>
            <w:tcW w:w="154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International</w:t>
            </w:r>
          </w:p>
        </w:tc>
        <w:tc>
          <w:tcPr>
            <w:tcW w:w="0" w:type="dxa"/>
            <w:vAlign w:val="bottom"/>
          </w:tcPr>
          <w:p>
            <w:pPr>
              <w:spacing w:after="0"/>
              <w:rPr>
                <w:sz w:val="1"/>
                <w:szCs w:val="1"/>
                <w:color w:val="auto"/>
              </w:rPr>
            </w:pPr>
          </w:p>
        </w:tc>
      </w:tr>
      <w:tr>
        <w:trPr>
          <w:trHeight w:val="196"/>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Operating margin for the first two</w:t>
            </w: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quarters of fiscal 2017</w:t>
            </w:r>
          </w:p>
        </w:tc>
        <w:tc>
          <w:tcPr>
            <w:tcW w:w="1460" w:type="dxa"/>
            <w:vAlign w:val="bottom"/>
          </w:tcPr>
          <w:p>
            <w:pPr>
              <w:ind w:left="106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500" w:type="dxa"/>
            <w:vAlign w:val="bottom"/>
          </w:tcPr>
          <w:p>
            <w:pPr>
              <w:ind w:left="1020"/>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1540" w:type="dxa"/>
            <w:vAlign w:val="bottom"/>
          </w:tcPr>
          <w:p>
            <w:pPr>
              <w:ind w:left="114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Favorable (unfavorable) bps change in the</w:t>
            </w: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first two quarters of fiscal 2018</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00" w:type="dxa"/>
            <w:vAlign w:val="bottom"/>
          </w:tcPr>
          <w:p>
            <w:pPr>
              <w:jc w:val="right"/>
              <w:ind w:right="61"/>
              <w:spacing w:after="0"/>
              <w:rPr>
                <w:sz w:val="20"/>
                <w:szCs w:val="20"/>
                <w:color w:val="auto"/>
              </w:rPr>
            </w:pPr>
            <w:r>
              <w:rPr>
                <w:rFonts w:ascii="Arial" w:cs="Arial" w:eastAsia="Arial" w:hAnsi="Arial"/>
                <w:sz w:val="16"/>
                <w:szCs w:val="16"/>
                <w:color w:val="auto"/>
              </w:rPr>
              <w:t>Gross profit</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120 bps</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(100) bps</w:t>
            </w: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40 bps</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Royalty income</w:t>
            </w:r>
          </w:p>
        </w:tc>
        <w:tc>
          <w:tcPr>
            <w:tcW w:w="15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 bps</w:t>
            </w:r>
          </w:p>
        </w:tc>
        <w:tc>
          <w:tcPr>
            <w:tcW w:w="1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 bps</w:t>
            </w:r>
          </w:p>
        </w:tc>
        <w:tc>
          <w:tcPr>
            <w:tcW w:w="15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(40) bps</w:t>
            </w:r>
          </w:p>
        </w:tc>
        <w:tc>
          <w:tcPr>
            <w:tcW w:w="0" w:type="dxa"/>
            <w:vAlign w:val="bottom"/>
          </w:tcPr>
          <w:p>
            <w:pPr>
              <w:spacing w:after="0"/>
              <w:rPr>
                <w:sz w:val="1"/>
                <w:szCs w:val="1"/>
                <w:color w:val="auto"/>
              </w:rPr>
            </w:pPr>
          </w:p>
        </w:tc>
      </w:tr>
      <w:tr>
        <w:trPr>
          <w:trHeight w:val="237"/>
        </w:trPr>
        <w:tc>
          <w:tcPr>
            <w:tcW w:w="2900" w:type="dxa"/>
            <w:vAlign w:val="bottom"/>
          </w:tcPr>
          <w:p>
            <w:pPr>
              <w:jc w:val="right"/>
              <w:ind w:right="61"/>
              <w:spacing w:after="0"/>
              <w:rPr>
                <w:sz w:val="20"/>
                <w:szCs w:val="20"/>
                <w:color w:val="auto"/>
              </w:rPr>
            </w:pPr>
            <w:r>
              <w:rPr>
                <w:rFonts w:ascii="Arial" w:cs="Arial" w:eastAsia="Arial" w:hAnsi="Arial"/>
                <w:sz w:val="16"/>
                <w:szCs w:val="16"/>
                <w:color w:val="auto"/>
              </w:rPr>
              <w:t>SG&amp;A expenses</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(90) bps</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(320) bps</w:t>
            </w: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(250) bps</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margin for the first two</w:t>
            </w:r>
          </w:p>
        </w:tc>
        <w:tc>
          <w:tcPr>
            <w:tcW w:w="1460" w:type="dxa"/>
            <w:vAlign w:val="bottom"/>
            <w:vMerge w:val="restart"/>
            <w:shd w:val="clear" w:color="auto" w:fill="CCEEFF"/>
          </w:tcPr>
          <w:p>
            <w:pPr>
              <w:ind w:left="1060"/>
              <w:spacing w:after="0"/>
              <w:rPr>
                <w:sz w:val="20"/>
                <w:szCs w:val="20"/>
                <w:color w:val="auto"/>
              </w:rPr>
            </w:pPr>
            <w:r>
              <w:rPr>
                <w:rFonts w:ascii="Arial" w:cs="Arial" w:eastAsia="Arial" w:hAnsi="Arial"/>
                <w:sz w:val="16"/>
                <w:szCs w:val="16"/>
                <w:b w:val="1"/>
                <w:bCs w:val="1"/>
                <w:color w:val="auto"/>
              </w:rPr>
              <w:t>9.5%</w:t>
            </w:r>
          </w:p>
        </w:tc>
        <w:tc>
          <w:tcPr>
            <w:tcW w:w="10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ind w:left="1020"/>
              <w:spacing w:after="0"/>
              <w:rPr>
                <w:sz w:val="20"/>
                <w:szCs w:val="20"/>
                <w:color w:val="auto"/>
              </w:rPr>
            </w:pPr>
            <w:r>
              <w:rPr>
                <w:rFonts w:ascii="Arial" w:cs="Arial" w:eastAsia="Arial" w:hAnsi="Arial"/>
                <w:sz w:val="16"/>
                <w:szCs w:val="16"/>
                <w:b w:val="1"/>
                <w:bCs w:val="1"/>
                <w:color w:val="auto"/>
              </w:rPr>
              <w:t>16.4%</w:t>
            </w:r>
          </w:p>
        </w:tc>
        <w:tc>
          <w:tcPr>
            <w:tcW w:w="10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ind w:left="1140"/>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quarters of fiscal 2018</w:t>
            </w: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(aa)</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(bb)</w:t>
            </w:r>
          </w:p>
        </w:tc>
        <w:tc>
          <w:tcPr>
            <w:tcW w:w="1540" w:type="dxa"/>
            <w:vAlign w:val="bottom"/>
          </w:tcPr>
          <w:p>
            <w:pPr>
              <w:jc w:val="right"/>
              <w:ind w:right="558"/>
              <w:spacing w:after="0"/>
              <w:rPr>
                <w:sz w:val="20"/>
                <w:szCs w:val="20"/>
                <w:color w:val="auto"/>
              </w:rPr>
            </w:pPr>
            <w:r>
              <w:rPr>
                <w:rFonts w:ascii="Arial" w:cs="Arial" w:eastAsia="Arial" w:hAnsi="Arial"/>
                <w:sz w:val="16"/>
                <w:szCs w:val="16"/>
                <w:color w:val="auto"/>
              </w:rPr>
              <w:t>(cc)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180" w:firstLine="8"/>
        <w:spacing w:after="0" w:line="264"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Retail segment operating income increased by $3.3 million, or 7.8%, to $45.4 million in the second quarter of fiscal 2018 from $42.1 million in the second quarter of fiscal 2017. This segment's operating margin increased 50 bps from 10.8% in the second quarter of fiscal 2017 to 11.3% in the second quarter of fiscal 2018. The primary drivers of the change in operating margin were a:</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180 bps increase in gross profit, primarily due to lower product costs and improved price realization;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120 bps increase in SG&amp;A expenses, primarily due to 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0"/>
        </w:numPr>
        <w:rPr>
          <w:rFonts w:ascii="Arial" w:cs="Arial" w:eastAsia="Arial" w:hAnsi="Arial"/>
          <w:sz w:val="18"/>
          <w:szCs w:val="18"/>
          <w:color w:val="auto"/>
        </w:rPr>
      </w:pPr>
      <w:r>
        <w:rPr>
          <w:rFonts w:ascii="Arial" w:cs="Arial" w:eastAsia="Arial" w:hAnsi="Arial"/>
          <w:sz w:val="18"/>
          <w:szCs w:val="18"/>
          <w:color w:val="auto"/>
        </w:rPr>
        <w:t>150 bps increase in expenses related to eCommerce initiatives;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0"/>
        </w:numPr>
        <w:rPr>
          <w:rFonts w:ascii="Arial" w:cs="Arial" w:eastAsia="Arial" w:hAnsi="Arial"/>
          <w:sz w:val="18"/>
          <w:szCs w:val="18"/>
          <w:color w:val="auto"/>
        </w:rPr>
      </w:pPr>
      <w:r>
        <w:rPr>
          <w:rFonts w:ascii="Arial" w:cs="Arial" w:eastAsia="Arial" w:hAnsi="Arial"/>
          <w:sz w:val="18"/>
          <w:szCs w:val="18"/>
          <w:color w:val="auto"/>
        </w:rPr>
        <w:t>50 bps increase in marketing and brand management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0"/>
        </w:numPr>
        <w:rPr>
          <w:rFonts w:ascii="Arial" w:cs="Arial" w:eastAsia="Arial" w:hAnsi="Arial"/>
          <w:sz w:val="18"/>
          <w:szCs w:val="18"/>
          <w:color w:val="auto"/>
        </w:rPr>
      </w:pPr>
      <w:r>
        <w:rPr>
          <w:rFonts w:ascii="Arial" w:cs="Arial" w:eastAsia="Arial" w:hAnsi="Arial"/>
          <w:sz w:val="18"/>
          <w:szCs w:val="18"/>
          <w:color w:val="auto"/>
        </w:rPr>
        <w:t>10 bps increase in expenses associated with distribution;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0"/>
        </w:numPr>
        <w:rPr>
          <w:rFonts w:ascii="Arial" w:cs="Arial" w:eastAsia="Arial" w:hAnsi="Arial"/>
          <w:sz w:val="18"/>
          <w:szCs w:val="18"/>
          <w:color w:val="auto"/>
        </w:rPr>
      </w:pPr>
      <w:r>
        <w:rPr>
          <w:rFonts w:ascii="Arial" w:cs="Arial" w:eastAsia="Arial" w:hAnsi="Arial"/>
          <w:sz w:val="18"/>
          <w:szCs w:val="18"/>
          <w:color w:val="auto"/>
        </w:rPr>
        <w:t>70 bps decrease in expenses associated with retail stores.</w:t>
      </w:r>
    </w:p>
    <w:p>
      <w:pPr>
        <w:spacing w:after="0" w:line="200" w:lineRule="exact"/>
        <w:rPr>
          <w:sz w:val="20"/>
          <w:szCs w:val="20"/>
          <w:color w:val="auto"/>
        </w:rPr>
      </w:pPr>
    </w:p>
    <w:p>
      <w:pPr>
        <w:spacing w:after="0" w:line="308" w:lineRule="exact"/>
        <w:rPr>
          <w:sz w:val="20"/>
          <w:szCs w:val="20"/>
          <w:color w:val="auto"/>
        </w:rPr>
      </w:pPr>
    </w:p>
    <w:p>
      <w:pPr>
        <w:ind w:right="200" w:firstLine="8"/>
        <w:spacing w:after="0" w:line="291" w:lineRule="auto"/>
        <w:tabs>
          <w:tab w:leader="none" w:pos="3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U.S. Retail segment operating income increased by $3.0 million, or 4.2%, to $74.9 million in the first two quarters of fiscal 2018 from $71.9 million in the first two quarters of fiscal 2017. This segment's operating margin was 9.5% in both the first two quarters of fiscal 2017 and first two quarters of fiscal</w:t>
      </w:r>
    </w:p>
    <w:p>
      <w:pPr>
        <w:spacing w:after="0"/>
        <w:rPr>
          <w:rFonts w:ascii="Arial" w:cs="Arial" w:eastAsia="Arial" w:hAnsi="Arial"/>
          <w:sz w:val="16"/>
          <w:szCs w:val="16"/>
          <w:color w:val="auto"/>
        </w:rPr>
      </w:pPr>
      <w:r>
        <w:rPr>
          <w:rFonts w:ascii="Arial" w:cs="Arial" w:eastAsia="Arial" w:hAnsi="Arial"/>
          <w:sz w:val="18"/>
          <w:szCs w:val="18"/>
          <w:color w:val="auto"/>
        </w:rPr>
        <w:t>2018. The primary drivers in the operating margin were a:</w:t>
      </w:r>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120 bps increase in gross profit, primarily due to lower product costs and improved price realization;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30 bps decrease in royalty income due to a reduction in the number of licensees;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90 bps increase in SG&amp;A expenses, primarily due to 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130 bps increase in expenses related to eCommerce initiatives;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50 bps increase in marketing and brand management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20 bps increase in expenses associated with distribution;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100 bps decrease in expenses associated with retail stores.</w:t>
      </w:r>
    </w:p>
    <w:p>
      <w:pPr>
        <w:spacing w:after="0" w:line="200" w:lineRule="exact"/>
        <w:rPr>
          <w:sz w:val="20"/>
          <w:szCs w:val="20"/>
          <w:color w:val="auto"/>
        </w:rPr>
      </w:pPr>
    </w:p>
    <w:p>
      <w:pPr>
        <w:spacing w:after="0" w:line="389" w:lineRule="exact"/>
        <w:rPr>
          <w:sz w:val="20"/>
          <w:szCs w:val="20"/>
          <w:color w:val="auto"/>
        </w:rPr>
      </w:pPr>
    </w:p>
    <w:p>
      <w:pPr>
        <w:ind w:right="100" w:firstLine="8"/>
        <w:spacing w:after="0" w:line="264"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Wholesale segment operating income in the second quarter of fiscal 2018 decreased $5.5 million, or 15.3%, to $30.3 million from $35.8 million in the second quarter of fiscal 2017. The segment's operating margin decreased 190 bps from 16.4% in the second quarter of fiscal 2017 to 14.5% in the second quarter of fiscal 2018. The primary drivers of the change in operating margin were a:</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230 bps decrease in gross profit, primarily due to customer sales mix and higher provisions for inventory;</w:t>
      </w:r>
    </w:p>
    <w:p>
      <w:pPr>
        <w:spacing w:after="0" w:line="23" w:lineRule="exact"/>
        <w:rPr>
          <w:rFonts w:ascii="Arial" w:cs="Arial" w:eastAsia="Arial" w:hAnsi="Arial"/>
          <w:sz w:val="18"/>
          <w:szCs w:val="18"/>
          <w:color w:val="auto"/>
        </w:rPr>
      </w:pPr>
    </w:p>
    <w:p>
      <w:pPr>
        <w:ind w:left="980" w:right="60" w:hanging="324"/>
        <w:spacing w:after="0" w:line="261"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40 bps decrease in SG&amp;A expenses, primarily due to a decrease in provisions for accounts receivable, partially offset by selling and distribution costs.</w:t>
      </w:r>
    </w:p>
    <w:p>
      <w:pPr>
        <w:spacing w:after="0" w:line="265" w:lineRule="exact"/>
        <w:rPr>
          <w:sz w:val="20"/>
          <w:szCs w:val="20"/>
          <w:color w:val="auto"/>
        </w:rPr>
      </w:pPr>
    </w:p>
    <w:p>
      <w:pPr>
        <w:ind w:firstLine="8"/>
        <w:spacing w:after="0" w:line="264" w:lineRule="auto"/>
        <w:tabs>
          <w:tab w:leader="none" w:pos="3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Wholesale segment operating income in the first two quarters of fiscal 2018 decreased $24.9 million or 23.6%, to $80.6 million from $105.5 million in the first two quarters of fiscal 2017. The segment's operating margin decreased 430 bps from 20.7% in the first two quarters of fiscal 2017 to 16.4% in the first two quarters of fiscal 2018. The primary drivers of the change in operating margin were a:</w:t>
      </w:r>
    </w:p>
    <w:p>
      <w:pPr>
        <w:spacing w:after="0" w:line="46"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100 bps decrease in gross profit, primarily due to customer sales mix and higher provisions for inventory;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1" w:right="259" w:bottom="1440" w:gutter="0" w:footer="0" w:header="0"/>
        </w:sectPr>
      </w:pPr>
    </w:p>
    <w:bookmarkStart w:id="43" w:name="page44"/>
    <w:bookmarkEnd w:id="43"/>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320 bps increase in SG&amp;A expenses, primarily due to a:</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250 bps increase in provision for accounts receivable due to a customer bankruptcy;</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30 bps increase in distribution and freight expenses;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20 bps increase in marketing and brand management expenses.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right="80" w:firstLine="8"/>
        <w:spacing w:after="0" w:line="264"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International segment operating income decreased by $3.3 million, or 43.2%, to $4.3 million in the second quarter of fiscal 2018 from $7.6 million in the second quarter of 2017. This segment's operating margin decreased 410 bps from 9.2% in the second quarter of fiscal 2017 to 5.1% in the second quarter of fiscal 2018. The primary drivers of the change in operating margin were a:</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30 bps decrease in royalty income due to a reduction in the number of licensees that pay royalties;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390 bps increase in SG&amp;A, primarily due to higher new store expenses and distribution costs.</w:t>
      </w:r>
    </w:p>
    <w:p>
      <w:pPr>
        <w:spacing w:after="0" w:line="292" w:lineRule="exact"/>
        <w:rPr>
          <w:sz w:val="20"/>
          <w:szCs w:val="20"/>
          <w:color w:val="auto"/>
        </w:rPr>
      </w:pPr>
    </w:p>
    <w:p>
      <w:pPr>
        <w:ind w:firstLine="8"/>
        <w:spacing w:after="0" w:line="264" w:lineRule="auto"/>
        <w:tabs>
          <w:tab w:leader="none" w:pos="3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International segment operating income decreased by $3.2 million, or 28.4%, to $8.1 million in the first two quarters of fiscal 2018 from $11.3 million in the first two quarters of 2017. This segment's operating margin decreased 250 bps from 7.1% in the first two quarters of fiscal 2017 to 4.6% in the first two quarters of fiscal 2018. The primary drivers of the change in operating margin were a/an:</w:t>
      </w:r>
    </w:p>
    <w:p>
      <w:pPr>
        <w:spacing w:after="0" w:line="262"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40 bps increase in gross profit primarily due to favorable product costs;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40 bps decrease in royalty income due to a reduction in the number of licensees that pay royalties;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250 bps increase in SG&amp;A expenses, primarily due to 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340 bps increase in selling, distribution, and freight costs;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50 bps increase in marketing and brand management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100 bps decrease in expenses associated with eCommerce;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40 bps decrease in expenses associated with retail stores.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Unallocated Corporate Expenses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Unallocated corporate expenses increased by $1.9 million, or 8.9%, in the second quarter of fiscal 2018 compared to the second quarter of fiscal 2017. Unallocated corporate expenses, as a percentage of consolidated net sales, increased from 3.1% in the second quarter of fiscal 2017 to 3.3% in the second quarter of fiscal 2018.</w:t>
      </w:r>
    </w:p>
    <w:p>
      <w:pPr>
        <w:spacing w:after="0" w:line="2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Unallocated corporate expenses increased by $0.4 million, or 0.9%, in the first two quarters of fiscal 2018 compared to the first two quarters of fiscal 2017, primarily due to increased employee benefit costs. Unallocated corporate expenses, as a percentage of consolidated net sales, was 3.2% in the first two quarters of fiscal 2017 and the first two quarters of fiscal 2018.</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Interest expense in the second quarters of fiscal 2018 and 2017 was approximately $7.9 million and $7.2 million, respectively. Weighted-average borrowings for the second quarter of fiscal 2018 were approximately $616.9 million with an effective interest rate of 5.04%, compared to weighted-average borrowings for the second quarter of fiscal 2017 of $595.7 million with an effective interest rate of 4.69%. The increase in weighted-average borrowings during the second quarter of fiscal 2018 was attributable to additional net borrowings under our secured revolving credit facility.</w:t>
      </w:r>
    </w:p>
    <w:p>
      <w:pPr>
        <w:spacing w:after="0" w:line="17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Interest expense in the first two quarters of fiscal 2018 and 2017 was approximately $15.9 million and $14.3 million, respectively. Weighted-average borrowings over the course of the first two quarters of fiscal 2018 were approximately $634.9 million with an effective interest rate of 4.92%, compared to weighted-average borrowings for the first two quarters of fiscal 2017 of $602.1 million with an effective interest rate of 4.62%. The increase in weighted-average borrowings during the first two quarters of fiscal 2018 was attributable to additional net borrowings under our secured revolving credit facility.</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increases in the weighted-average interest rate for the second quarter and first two quarters of fiscal 2018 compared to the second quarter and first two quarters of fiscal 2017 was due primarily to a higher LIBOR rate for the outstanding borrowings on our variable-rate secured revolving credit facility during the 2018 period.</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1" w:right="299" w:bottom="1440" w:gutter="0" w:footer="0" w:header="0"/>
        </w:sectPr>
      </w:pPr>
    </w:p>
    <w:bookmarkStart w:id="44" w:name="page45"/>
    <w:bookmarkEnd w:id="44"/>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On our consolidated balance sheet, unamortized debt issuance costs associated with our senior notes are presented as a direct reduction in the carrying value of the associated debt liability for all periods presented. See Note 8,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income, net is comprised primarily of gains and losses on foreign currency transactions and, if utilized during a reporting period, gains and losses on foreign currency forward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Our consolidated effective income tax rate for the second quarter of fiscal 2018 was 22.8% compared to 34.5% for the second quarter of fiscal 2017. Our consolidated effective income tax rate for the first two quarters of fiscal 2018 was 21.2% compared to 34.8% for the first two quarters of fiscal 2017. The lower effective rate in fiscal 2018 was due mainly to a lower corporate income tax rate and other changes in U.S. tax law enacted in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full year fiscal 2018, we estimate our annual consolidated effective income tax rate will be approximately 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Our consolidated net income for the second quarter of fiscal 2018 decreased by $0.5 million, or 1.4%, to $37.3 million compared to $37.8 million in the second quarter of fiscal 2017. Our consolidated net income for the first two quarters of fiscal 2018 decreased by $4.7 million, or 5.5%, to $79.7 million compared to $84.4 million in the first two quarters of fiscal 2017. These changes were due to the factors previously discussed.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ongoing cash needs are primarily for working capital and capital expenditures. We expect that our primary sources of liquidity will continue to be cash and cash equivalents on hand, cash flow from operations, and borrowings available under our secured revolving credit facility. We expect that these sources and access to capital markets will fund our ongoing requirements for the foreseeable future. Further, we do not expect current economic conditions to prevent us from meeting our cash requirements. These sources of liquidity may be affected by events described in our risk factors, as further discussed under the heading "Risk Factors" in our most recently filed Annual Report on Form 10-K and other reports filed with the Securities and Exchange Commission from time to time.</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June 30, 2018, the Company had approximately $183.2 million of cash and cash equivalents in major financial institutions, including approximately $69.7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accounts receivable at June 30, 2018 were $152.5 million compared to $165.2 million at July 1, 2017 and $240.6 million at December 30, 2017. The overall decrease of $12.7 million, or 7.7%, at June 30, 2018 compared to July 1, 2017 was a result of lower demand due to customer bankruptcies. Due to the seasonal nature of our operations, the net accounts receivable balance at June 30, 2018 is not comparable to the net accounts receivable balance at December 30,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at June 30, 2018 were $663.3 million compared to $610.4 million at July 1, 2017 and $548.7 million at December 30, 2017. The increase of $52.8 million, or 8.7%, at June 30, 2018 compared to July 1, 2017 primarily reflecting business growth. Due to the seasonal nature of our operations, the inventories balance at June 30, 2018 is not comparable to the inventories balance at December 30, 2017.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5" w:name="page46"/>
    <w:bookmarkEnd w:id="45"/>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provided by operating activities for the first two quarters of fiscal 2018 was $103.1 million compared to net cash provided by operating activities of $107.3 million in the first two quarters of fiscal 2017. This decrease in operating cash flow for the 2018 period was due primarily to lower net income and the timing of working capital changes.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investing activities was $31.3 million for the first two quarters of fiscal 2018 compared to $178.0 million in the first two quarters of fiscal 2017. Cash used for investing activities during the first two quarters of fiscal 2017 included a net amount of $143.7 million for the acquisition of Skip Hop. Capital expenditures were $31.8 million in the first two quarters of fiscal 2018 compared to $34.3 million in the first two quarters of fiscal 2017, reflecting fewer new store openings in the 2018 fiscal period. Capital spending in the first two quarters of fiscal 2018 included approximately $19.2 million for our U.S. and international retail store openings and re-modelings, $6.9 million for information technology initiatives, $4.1 million for distribution and office facilities, and $0.8 million for wholesale fixtures.</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plan to invest approximately $85 million in total capital expenditures for all of fiscal 2018, primarily for our U.S. and international retail store openings and re-modelings, information technology initiatives, and distribution facilities.</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Net cash used in financing activities was $65.7 million in the first two quarters of fiscal 2018 compared to $55.5 million in the first two quarters of fiscal 2017. The net increase in cash used for the 2018 period primarily reflected increases in debt payments and higher dividend payments.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secured revolving credit facility provides liquidity that can be used as needed for ongoing working capital purposes and general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corporate purposes. This facility provides for (i) a $650 million U.S. dollar revolving facility (including a $100 million sub-limit for letters of credit and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swing line sub-limit of $70 million) available for borrowings in U.S. dollars and (ii) a $100 million multicurrency revolving facility (including a $40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million sub-limit for letters of credit and a swing line sub-limit of $15 million) available for borrowings denominated in U.S. dollars, Canadian dollars, Euros,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Pounds Sterling, or other currencies agreed to by the applicable lenders. Our secured revolving credit facility also includes the opportunity for incremental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facilities in an aggregate amount not to exceed $425 million (with the aggregate U.S. dollar amount not to exceed $350 million and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multicurrency amount not to exceed $75 million). The U.S. dollar incremental facility can increase to an unlimited borrowing amount so long as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first lien leverage ratio (as defined) does not exceed 2.25:1.00.</w:t>
      </w:r>
    </w:p>
    <w:p>
      <w:pPr>
        <w:spacing w:after="0" w:line="21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Under the secured credit facility, our wholly-owned operating subsidiary, The William Carter Company ("TWCC"), and its domestic subsidiaries have granted to the collateral agent, for the benefit of the lenders, valid and perfected first priority security interests in substantially all of their present and future assets, excluding certain customary exceptions, and guarantee the obligations of the borrowers. In addition, The Genuine Canadian Corp., as Canadian borrower, and Carter’s Holdings B.V., as Dutch borrower, have each guaranteed the obligations of the 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secured revolving credit facility matures August 25, 2022.</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June 30, 2018, we had $286.0 million in outstanding borrowings under our secured revolving credit facility, exclusive of $4.5 million of outstanding letters of credit. As of June 30, 2018, approximately $459.5 million was available for future borrowing.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interest rate margins applicable to our secured revolving credit facility are presently 1.375% for LIBOR rate loans (which may be adjusted based on a leverage-based pricing grid ranging from 1.125% to 1.875%) and 0.375% for base rate loans (which may be adjusted based on a leverage-based pricing grid ranging from 0.125% to 0.875%).</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30, 2018, U.S. dollar borrowings outstanding under the secured revolving credit facility accrued interest at a LIBOR rate plus the applicable base rate, which resulted in a weighted-average borrowing rate of 3.38%. There were no Canadian dollar borrowings during the second quarter of fiscal 2018 or the second quarter of fiscal 2017.</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1" w:right="259" w:bottom="1440" w:gutter="0" w:footer="0" w:header="0"/>
        </w:sectPr>
      </w:pPr>
    </w:p>
    <w:bookmarkStart w:id="46" w:name="page47"/>
    <w:bookmarkEnd w:id="46"/>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were in compliance with the financial and other covenants under our secured revolving credit facility.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2018, TWCC had $400.0 million principal amount of senior notes outstanding, bearing interest at a fixed rate of 5.25% per annum, and maturing on August 15, 2021. On our consolidated balance sheet, the $400.0 million outstanding is reported net of $3.2 million, $3.7 million and $4.2 million unamortized issuance-related debt costs at June 30, 2018, December 30, 2017 and July 1, 2017, respectively. The senior notes are unsecured and are fully and unconditionally guaranteed by Carter's, Inc. and certain subsidiaries of TWCC.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two quarters of fiscal 2018, the Company repurchased and retired 820,627 shares in open market transactions for approximately $89.1 million at an average price of $108.57 per share. In the first two quarters of fiscal 2017, the Company repurchased and retired 1,131,409 shares in open market transactions for approximately $98.2 million, at an average price of $86.82 per share.</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total remaining capacity under all remaining repurchase authorizations as of June 30, 2018 was approximately $496.5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the first and second quarters of fiscal 2018, we paid quarterly cash dividends of $0.45 per share in each quarter. In the first and second quarters of fiscal 2017, we paid quarterly cash dividends of $0.37 per share in each quarter.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disclosed in our most recent Annual Report on Form 10-K for the 2017 fiscal year ended December 30, 2017, provisions in our secured revolving credit facility and indenture governing our senior notes could have the effect of restricting our ability to pay future cash dividends on or make future repurchases of our common stock.</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have resulted in declines in our net sales and gross profit in the first half of our fiscal year versus the second half. Accordingly, our results of operations during any interim period during the fiscal year may not be indicative of the results we expect for the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critical accounting policies and estimates are described under the heading "Critical Accounting Policies and Estimates" in Item 7 of our most recent Annual Report on Form 10-K for the 2017 fiscal year ended December 30, 2017. Our critical accounting policies and estimates are those policies that require management's most difficult and subjective judgments and may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for the effects that the adoption of ASC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w:t>
      </w:r>
      <w:r>
        <w:rPr>
          <w:rFonts w:ascii="Arial" w:cs="Arial" w:eastAsia="Arial" w:hAnsi="Arial"/>
          <w:sz w:val="18"/>
          <w:szCs w:val="18"/>
          <w:color w:val="auto"/>
        </w:rPr>
        <w:t>had on our policies as disclosed under the header "Adoption of New Accounting Pronouncements At the Beginning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2018" in Note 2, </w:t>
      </w:r>
      <w:r>
        <w:rPr>
          <w:rFonts w:ascii="Arial" w:cs="Arial" w:eastAsia="Arial" w:hAnsi="Arial"/>
          <w:sz w:val="18"/>
          <w:szCs w:val="18"/>
          <w:i w:val="1"/>
          <w:iCs w:val="1"/>
          <w:color w:val="auto"/>
        </w:rPr>
        <w:t>Basis of Presentation</w:t>
      </w:r>
      <w:r>
        <w:rPr>
          <w:rFonts w:ascii="Arial" w:cs="Arial" w:eastAsia="Arial" w:hAnsi="Arial"/>
          <w:sz w:val="18"/>
          <w:szCs w:val="18"/>
          <w:color w:val="auto"/>
        </w:rPr>
        <w:t>, to the accompanying unaudited condensed consolidated financial statements contained in Item 1 of this Quarterly Report on Form 10-Q.</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Additionally, information related to the pending adoption of recently issued accounting standards is provided in Note 16, </w:t>
      </w:r>
      <w:r>
        <w:rPr>
          <w:rFonts w:ascii="Arial" w:cs="Arial" w:eastAsia="Arial" w:hAnsi="Arial"/>
          <w:sz w:val="18"/>
          <w:szCs w:val="18"/>
          <w:i w:val="1"/>
          <w:iCs w:val="1"/>
          <w:color w:val="auto"/>
        </w:rPr>
        <w:t>Pending Adoption of Recent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Pronouncements</w:t>
      </w:r>
      <w:r>
        <w:rPr>
          <w:rFonts w:ascii="Arial" w:cs="Arial" w:eastAsia="Arial" w:hAnsi="Arial"/>
          <w:sz w:val="18"/>
          <w:szCs w:val="18"/>
          <w:color w:val="auto"/>
        </w:rPr>
        <w:t>, to the accompanying unaudited condensed consolidated financial statements contained in Item 1 of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121" w:right="319" w:bottom="1440" w:gutter="0" w:footer="0" w:header="0"/>
        </w:sectPr>
      </w:pPr>
    </w:p>
    <w:bookmarkStart w:id="48" w:name="page49"/>
    <w:bookmarkEnd w:id="48"/>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and Interest Rate Risks</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Risk</w:t>
      </w:r>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We cannot predict the impact that future currency fluctuations may have on our financial position, results of operations, or cash flows in future periods.</w:t>
      </w:r>
    </w:p>
    <w:p>
      <w:pPr>
        <w:spacing w:after="0" w:line="14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4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Fluctuations in currency exchange rates, primarily between the U.S. dollar and the currencies of Canada, Mexico, China, Hong Kong, and the United Kingdom, may affect our results of operations, financial position, and cash flows. Transactions by certain foreign subsidiaries may be denominated in currencies other than that entity's functional currency. Foreign currency transaction gains and losses also include the impact of non-current intercompany loans with foreign subsidiaries that are marked to market. In our statement of operations, these gains and losses are recorded within Other income/expense, net.</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part of our overall strategy to manage the level of exposure to the risk of foreign currency exchange rate fluctuations, some of our foreign operations may use currency forward contracts to hedge purchases that are made in U.S. dollars, primarily for inventory purchases. As part of this strategy, we primarily use foreign currency forward exchange contracts that have maturities of less than 12 months to provide continuing coverage throughout the hedging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Our operating results are subject to risk from interest rate fluctuations on our secured revolving credit facility, which carries variable interest rates. Our variable rate borrowings outstanding as of June 30, 2018 were $286.0 million. An increase or decrease of 1% in the effective interest rate on that amount would increase or decrease our annual pre-tax interest expense by approximately $2.9 million.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June 30, 2018.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00"/>
        <w:spacing w:after="0" w:line="259"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June 30, 2018 that have materially affected, or which are reasonably likely to materially affect, Internal Control.</w:t>
      </w:r>
    </w:p>
    <w:p>
      <w:pPr>
        <w:spacing w:after="0" w:line="187" w:lineRule="exact"/>
        <w:rPr>
          <w:sz w:val="20"/>
          <w:szCs w:val="20"/>
          <w:color w:val="auto"/>
        </w:rPr>
      </w:pPr>
    </w:p>
    <w:p>
      <w:pPr>
        <w:ind w:right="2400"/>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June 30, 2018.</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in our Form 10-K for the 2017 fiscal year ended December 30, 2017.</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364"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second quarter of fiscal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4"/>
              </w:rPr>
              <w:t>Approximate</w:t>
            </w:r>
          </w:p>
        </w:tc>
      </w:tr>
      <w:tr>
        <w:trPr>
          <w:trHeight w:val="203"/>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dollar value of shares</w:t>
            </w:r>
          </w:p>
        </w:tc>
      </w:tr>
      <w:tr>
        <w:trPr>
          <w:trHeight w:val="203"/>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Total number of</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4"/>
              </w:rPr>
              <w:t>that may</w:t>
            </w:r>
          </w:p>
        </w:tc>
      </w:tr>
      <w:tr>
        <w:trPr>
          <w:trHeight w:val="203"/>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Total number</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5"/>
              </w:rPr>
              <w:t>shares purchased as</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5"/>
              </w:rPr>
              <w:t>yet be</w:t>
            </w:r>
          </w:p>
        </w:tc>
      </w:tr>
      <w:tr>
        <w:trPr>
          <w:trHeight w:val="203"/>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of shares</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part of publicly</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purchased</w:t>
            </w:r>
          </w:p>
        </w:tc>
      </w:tr>
      <w:tr>
        <w:trPr>
          <w:trHeight w:val="203"/>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purchased</w:t>
            </w: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w w:val="90"/>
              </w:rPr>
              <w:t>Average price paid</w:t>
            </w: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announced plans or</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under the plans</w:t>
            </w:r>
          </w:p>
        </w:tc>
      </w:tr>
      <w:tr>
        <w:trPr>
          <w:trHeight w:val="253"/>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Period</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6"/>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w w:val="91"/>
              </w:rPr>
              <w:t>per share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programs (2)</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or programs (3)</w:t>
            </w:r>
          </w:p>
        </w:tc>
      </w:tr>
      <w:tr>
        <w:trPr>
          <w:trHeight w:val="183"/>
        </w:trPr>
        <w:tc>
          <w:tcPr>
            <w:tcW w:w="4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2018 through April 28, 2018</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228,414</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228,414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$536,448,250</w:t>
            </w: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29, 2018 through May 26, 2018</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208,769</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208,000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$514,559,257</w:t>
            </w: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27, 2018 through June 30, 2018</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162,900</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$110.56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162,900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$496,548,806</w:t>
            </w:r>
          </w:p>
        </w:tc>
      </w:tr>
      <w:tr>
        <w:trPr>
          <w:trHeight w:val="189"/>
        </w:trPr>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r>
      <w:tr>
        <w:trPr>
          <w:trHeight w:val="25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600,083</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599,314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shares of our common stock surrendered by our employees to satisfy required tax withholding upon the vesting of restricted stock awards. There were 769 shares surrendered between April 1, 2018 and June 30, 2018.</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Share purchases during the second quarter of fiscal 2018 were made in compliance with all applicable rules and regulations and in accordance with the share repurchase authorizations described in Note 7, </w:t>
      </w:r>
      <w:r>
        <w:rPr>
          <w:rFonts w:ascii="Arial" w:cs="Arial" w:eastAsia="Arial" w:hAnsi="Arial"/>
          <w:sz w:val="18"/>
          <w:szCs w:val="18"/>
          <w:i w:val="1"/>
          <w:iCs w:val="1"/>
          <w:color w:val="auto"/>
        </w:rPr>
        <w:t>Common Stock</w:t>
      </w:r>
      <w:r>
        <w:rPr>
          <w:rFonts w:ascii="Arial" w:cs="Arial" w:eastAsia="Arial" w:hAnsi="Arial"/>
          <w:sz w:val="18"/>
          <w:szCs w:val="18"/>
          <w:color w:val="auto"/>
        </w:rPr>
        <w:t>, to our accompanying unaudited condensed consolidated financial statements included in Item 1 of this Quarterly Report on Form 10-Q.</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share repurchase authorizations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4"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1340"/>
          </w:cols>
          <w:pgMar w:left="240" w:top="364" w:right="319" w:bottom="1440" w:gutter="0" w:footer="0" w:header="0"/>
        </w:sectPr>
      </w:pPr>
    </w:p>
    <w:p>
      <w:pPr>
        <w:spacing w:after="0" w:line="221" w:lineRule="exact"/>
        <w:rPr>
          <w:sz w:val="20"/>
          <w:szCs w:val="20"/>
          <w:color w:val="auto"/>
        </w:rPr>
      </w:pPr>
    </w:p>
    <w:p>
      <w:pPr>
        <w:ind w:left="40" w:hanging="26"/>
        <w:spacing w:after="0" w:line="470" w:lineRule="auto"/>
        <w:rPr>
          <w:sz w:val="20"/>
          <w:szCs w:val="20"/>
          <w:color w:val="auto"/>
        </w:rPr>
      </w:pPr>
      <w:r>
        <w:rPr>
          <w:rFonts w:ascii="Arial" w:cs="Arial" w:eastAsia="Arial" w:hAnsi="Arial"/>
          <w:sz w:val="18"/>
          <w:szCs w:val="18"/>
          <w:b w:val="1"/>
          <w:bCs w:val="1"/>
          <w:color w:val="auto"/>
        </w:rPr>
        <w:t xml:space="preserve">ITEM 6. EXHIBITS </w:t>
      </w:r>
      <w:r>
        <w:rPr>
          <w:rFonts w:ascii="Arial" w:cs="Arial" w:eastAsia="Arial" w:hAnsi="Arial"/>
          <w:sz w:val="18"/>
          <w:szCs w:val="18"/>
          <w:b w:val="1"/>
          <w:bCs w:val="1"/>
          <w:u w:val="single" w:color="auto"/>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Description of Exhibits</w:t>
      </w:r>
    </w:p>
    <w:p>
      <w:pPr>
        <w:spacing w:after="0" w:line="448" w:lineRule="exact"/>
        <w:rPr>
          <w:sz w:val="20"/>
          <w:szCs w:val="20"/>
          <w:color w:val="auto"/>
        </w:rPr>
      </w:pPr>
    </w:p>
    <w:p>
      <w:pPr>
        <w:sectPr>
          <w:pgSz w:w="11900" w:h="16838" w:orient="portrait"/>
          <w:cols w:equalWidth="0" w:num="2">
            <w:col w:w="1580" w:space="180"/>
            <w:col w:w="9580"/>
          </w:cols>
          <w:pgMar w:left="240" w:top="364" w:right="31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60" w:type="dxa"/>
            <w:vAlign w:val="bottom"/>
          </w:tcPr>
          <w:p>
            <w:pPr>
              <w:jc w:val="center"/>
              <w:ind w:right="630"/>
              <w:spacing w:after="0"/>
              <w:rPr>
                <w:sz w:val="20"/>
                <w:szCs w:val="20"/>
                <w:color w:val="auto"/>
              </w:rPr>
            </w:pPr>
            <w:r>
              <w:rPr>
                <w:rFonts w:ascii="Arial" w:cs="Arial" w:eastAsia="Arial" w:hAnsi="Arial"/>
                <w:sz w:val="18"/>
                <w:szCs w:val="18"/>
                <w:color w:val="auto"/>
                <w:w w:val="87"/>
              </w:rPr>
              <w:t>3.1</w:t>
            </w:r>
          </w:p>
        </w:tc>
        <w:tc>
          <w:tcPr>
            <w:tcW w:w="9580" w:type="dxa"/>
            <w:vAlign w:val="bottom"/>
            <w:tcBorders>
              <w:bottom w:val="single" w:sz="8" w:color="0000FF"/>
            </w:tcBorders>
            <w:gridSpan w:val="5"/>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Certificate of Incorporation of Carter's, Inc., as amended on May 22, 2017 (incorporated by reference to Exhibit 3.1 of Carter's, Inc.'s</w:t>
              </w:r>
            </w:hyperlink>
          </w:p>
        </w:tc>
      </w:tr>
      <w:tr>
        <w:trPr>
          <w:trHeight w:val="196"/>
        </w:trPr>
        <w:tc>
          <w:tcPr>
            <w:tcW w:w="1060" w:type="dxa"/>
            <w:vAlign w:val="bottom"/>
          </w:tcPr>
          <w:p>
            <w:pPr>
              <w:spacing w:after="0"/>
              <w:rPr>
                <w:sz w:val="17"/>
                <w:szCs w:val="17"/>
                <w:color w:val="auto"/>
              </w:rPr>
            </w:pPr>
          </w:p>
        </w:tc>
        <w:tc>
          <w:tcPr>
            <w:tcW w:w="382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Current Report on Form 8-K filed on May 23, 2017).</w:t>
              </w:r>
            </w:hyperlink>
          </w:p>
        </w:tc>
        <w:tc>
          <w:tcPr>
            <w:tcW w:w="5760" w:type="dxa"/>
            <w:vAlign w:val="bottom"/>
            <w:gridSpan w:val="3"/>
          </w:tcPr>
          <w:p>
            <w:pPr>
              <w:spacing w:after="0"/>
              <w:rPr>
                <w:sz w:val="17"/>
                <w:szCs w:val="17"/>
                <w:color w:val="auto"/>
              </w:rPr>
            </w:pPr>
          </w:p>
        </w:tc>
      </w:tr>
      <w:tr>
        <w:trPr>
          <w:trHeight w:val="250"/>
        </w:trPr>
        <w:tc>
          <w:tcPr>
            <w:tcW w:w="1060" w:type="dxa"/>
            <w:vAlign w:val="bottom"/>
          </w:tcPr>
          <w:p>
            <w:pPr>
              <w:jc w:val="center"/>
              <w:ind w:right="630"/>
              <w:spacing w:after="0"/>
              <w:rPr>
                <w:sz w:val="20"/>
                <w:szCs w:val="20"/>
                <w:color w:val="auto"/>
              </w:rPr>
            </w:pPr>
            <w:r>
              <w:rPr>
                <w:rFonts w:ascii="Arial" w:cs="Arial" w:eastAsia="Arial" w:hAnsi="Arial"/>
                <w:sz w:val="18"/>
                <w:szCs w:val="18"/>
                <w:color w:val="auto"/>
                <w:w w:val="87"/>
              </w:rPr>
              <w:t>3.2</w:t>
            </w:r>
          </w:p>
        </w:tc>
        <w:tc>
          <w:tcPr>
            <w:tcW w:w="9560" w:type="dxa"/>
            <w:vAlign w:val="bottom"/>
            <w:tcBorders>
              <w:bottom w:val="single" w:sz="8" w:color="0000FF"/>
            </w:tcBorders>
            <w:gridSpan w:val="4"/>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Amended and Restated By-Laws of Carter's, Inc. (incorporated by reference to Exhibit 3.2 of Carter's, Inc.'s Current Report on Form</w:t>
              </w:r>
            </w:hyperlink>
          </w:p>
        </w:tc>
        <w:tc>
          <w:tcPr>
            <w:tcW w:w="2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9580" w:type="dxa"/>
            <w:vAlign w:val="bottom"/>
            <w:gridSpan w:val="5"/>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8-K filed on May 23, 2017).</w:t>
              </w:r>
            </w:hyperlink>
          </w:p>
        </w:tc>
      </w:tr>
      <w:tr>
        <w:trPr>
          <w:trHeight w:val="20"/>
        </w:trPr>
        <w:tc>
          <w:tcPr>
            <w:tcW w:w="106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250"/>
        </w:trPr>
        <w:tc>
          <w:tcPr>
            <w:tcW w:w="1060" w:type="dxa"/>
            <w:vAlign w:val="bottom"/>
          </w:tcPr>
          <w:p>
            <w:pPr>
              <w:jc w:val="center"/>
              <w:ind w:right="650"/>
              <w:spacing w:after="0"/>
              <w:rPr>
                <w:sz w:val="20"/>
                <w:szCs w:val="20"/>
                <w:color w:val="auto"/>
              </w:rPr>
            </w:pPr>
            <w:r>
              <w:rPr>
                <w:rFonts w:ascii="Arial" w:cs="Arial" w:eastAsia="Arial" w:hAnsi="Arial"/>
                <w:sz w:val="18"/>
                <w:szCs w:val="18"/>
                <w:color w:val="auto"/>
                <w:w w:val="91"/>
              </w:rPr>
              <w:t>31.1</w:t>
            </w:r>
          </w:p>
        </w:tc>
        <w:tc>
          <w:tcPr>
            <w:tcW w:w="9580" w:type="dxa"/>
            <w:vAlign w:val="bottom"/>
            <w:gridSpan w:val="5"/>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Rule 13a-15(e)/15d-15(e) and 13a-15(f)/15d-15(f) Certification.</w:t>
              </w:r>
            </w:hyperlink>
          </w:p>
        </w:tc>
      </w:tr>
      <w:tr>
        <w:trPr>
          <w:trHeight w:val="20"/>
        </w:trPr>
        <w:tc>
          <w:tcPr>
            <w:tcW w:w="1060" w:type="dxa"/>
            <w:vAlign w:val="bottom"/>
          </w:tcPr>
          <w:p>
            <w:pPr>
              <w:spacing w:after="0" w:line="20" w:lineRule="exact"/>
              <w:rPr>
                <w:sz w:val="1"/>
                <w:szCs w:val="1"/>
                <w:color w:val="auto"/>
              </w:rPr>
            </w:pPr>
          </w:p>
        </w:tc>
        <w:tc>
          <w:tcPr>
            <w:tcW w:w="4600" w:type="dxa"/>
            <w:vAlign w:val="bottom"/>
            <w:gridSpan w:val="3"/>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250"/>
        </w:trPr>
        <w:tc>
          <w:tcPr>
            <w:tcW w:w="1060" w:type="dxa"/>
            <w:vAlign w:val="bottom"/>
          </w:tcPr>
          <w:p>
            <w:pPr>
              <w:jc w:val="center"/>
              <w:ind w:right="650"/>
              <w:spacing w:after="0"/>
              <w:rPr>
                <w:sz w:val="20"/>
                <w:szCs w:val="20"/>
                <w:color w:val="auto"/>
              </w:rPr>
            </w:pPr>
            <w:r>
              <w:rPr>
                <w:rFonts w:ascii="Arial" w:cs="Arial" w:eastAsia="Arial" w:hAnsi="Arial"/>
                <w:sz w:val="18"/>
                <w:szCs w:val="18"/>
                <w:color w:val="auto"/>
                <w:w w:val="91"/>
              </w:rPr>
              <w:t>31.2</w:t>
            </w:r>
          </w:p>
        </w:tc>
        <w:tc>
          <w:tcPr>
            <w:tcW w:w="9580" w:type="dxa"/>
            <w:vAlign w:val="bottom"/>
            <w:gridSpan w:val="5"/>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Rule 13a-15(e)/15d-15(e) and 13a-15(f)/15d-15(f) Certification.</w:t>
              </w:r>
            </w:hyperlink>
          </w:p>
        </w:tc>
      </w:tr>
      <w:tr>
        <w:trPr>
          <w:trHeight w:val="20"/>
        </w:trPr>
        <w:tc>
          <w:tcPr>
            <w:tcW w:w="106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1760" w:hanging="984"/>
        <w:spacing w:after="0"/>
        <w:tabs>
          <w:tab w:leader="none" w:pos="1760" w:val="left"/>
        </w:tabs>
        <w:numPr>
          <w:ilvl w:val="0"/>
          <w:numId w:val="27"/>
        </w:numPr>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Section 1350 Certification.</w:t>
        </w:r>
      </w:hyperlink>
    </w:p>
    <w:p>
      <w:pPr>
        <w:spacing w:after="0" w:line="63" w:lineRule="exact"/>
        <w:rPr>
          <w:sz w:val="20"/>
          <w:szCs w:val="20"/>
          <w:color w:val="auto"/>
        </w:rPr>
      </w:pPr>
    </w:p>
    <w:p>
      <w:pPr>
        <w:ind w:left="740"/>
        <w:spacing w:after="0"/>
        <w:tabs>
          <w:tab w:leader="none" w:pos="1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364" w:right="319" w:bottom="1440" w:gutter="0" w:footer="0" w:header="0"/>
          <w:type w:val="continuous"/>
        </w:sectPr>
      </w:pPr>
    </w:p>
    <w:bookmarkStart w:id="52" w:name="page53"/>
    <w:bookmarkEnd w:id="52"/>
    <w:p>
      <w:pPr>
        <w:ind w:left="50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8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00"/>
        <w:spacing w:after="0"/>
        <w:tabs>
          <w:tab w:leader="none" w:pos="6140" w:val="left"/>
        </w:tabs>
        <w:rPr>
          <w:sz w:val="20"/>
          <w:szCs w:val="20"/>
          <w:color w:val="auto"/>
        </w:rPr>
      </w:pPr>
      <w:r>
        <w:rPr>
          <w:rFonts w:ascii="Arial" w:cs="Arial" w:eastAsia="Arial" w:hAnsi="Arial"/>
          <w:sz w:val="18"/>
          <w:szCs w:val="18"/>
          <w:color w:val="auto"/>
        </w:rPr>
        <w:t>July 26, 2018</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00"/>
        <w:spacing w:after="0"/>
        <w:tabs>
          <w:tab w:leader="none" w:pos="5740" w:val="left"/>
        </w:tabs>
        <w:rPr>
          <w:sz w:val="20"/>
          <w:szCs w:val="20"/>
          <w:color w:val="auto"/>
        </w:rPr>
      </w:pPr>
      <w:r>
        <w:rPr>
          <w:rFonts w:ascii="Arial" w:cs="Arial" w:eastAsia="Arial" w:hAnsi="Arial"/>
          <w:sz w:val="18"/>
          <w:szCs w:val="18"/>
          <w:color w:val="auto"/>
        </w:rPr>
        <w:t>July 26, 2018</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Executive Vice President and</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00"/>
          </w:cols>
          <w:pgMar w:left="240" w:top="589" w:right="11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60"/>
        <w:spacing w:after="0"/>
        <w:tabs>
          <w:tab w:leader="none" w:pos="6980" w:val="left"/>
        </w:tabs>
        <w:rPr>
          <w:sz w:val="20"/>
          <w:szCs w:val="20"/>
          <w:color w:val="auto"/>
        </w:rPr>
      </w:pPr>
      <w:r>
        <w:rPr>
          <w:rFonts w:ascii="Arial" w:cs="Arial" w:eastAsia="Arial" w:hAnsi="Arial"/>
          <w:sz w:val="18"/>
          <w:szCs w:val="18"/>
          <w:color w:val="auto"/>
        </w:rPr>
        <w:t>July 26, 2018</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18351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44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4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60"/>
        <w:spacing w:after="0"/>
        <w:tabs>
          <w:tab w:leader="none" w:pos="6420" w:val="left"/>
        </w:tabs>
        <w:rPr>
          <w:sz w:val="20"/>
          <w:szCs w:val="20"/>
          <w:color w:val="auto"/>
        </w:rPr>
      </w:pPr>
      <w:r>
        <w:rPr>
          <w:rFonts w:ascii="Arial" w:cs="Arial" w:eastAsia="Arial" w:hAnsi="Arial"/>
          <w:sz w:val="18"/>
          <w:szCs w:val="18"/>
          <w:color w:val="auto"/>
        </w:rPr>
        <w:t>July 26, 2018</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1697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24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June 30, 2018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60"/>
        <w:spacing w:after="0"/>
        <w:tabs>
          <w:tab w:leader="none" w:pos="6580" w:val="left"/>
        </w:tabs>
        <w:rPr>
          <w:sz w:val="20"/>
          <w:szCs w:val="20"/>
          <w:color w:val="auto"/>
        </w:rPr>
      </w:pPr>
      <w:r>
        <w:rPr>
          <w:rFonts w:ascii="Arial" w:cs="Arial" w:eastAsia="Arial" w:hAnsi="Arial"/>
          <w:sz w:val="18"/>
          <w:szCs w:val="18"/>
          <w:color w:val="auto"/>
        </w:rPr>
        <w:t>July 26, 2018</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143510</wp:posOffset>
            </wp:positionV>
            <wp:extent cx="28473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59"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36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60"/>
        <w:spacing w:after="0"/>
        <w:tabs>
          <w:tab w:leader="none" w:pos="6180" w:val="left"/>
        </w:tabs>
        <w:rPr>
          <w:sz w:val="20"/>
          <w:szCs w:val="20"/>
          <w:color w:val="auto"/>
        </w:rPr>
      </w:pPr>
      <w:r>
        <w:rPr>
          <w:rFonts w:ascii="Arial" w:cs="Arial" w:eastAsia="Arial" w:hAnsi="Arial"/>
          <w:sz w:val="18"/>
          <w:szCs w:val="18"/>
          <w:color w:val="auto"/>
        </w:rPr>
        <w:t>July 26, 2018</w:t>
      </w:r>
      <w:r>
        <w:rPr>
          <w:sz w:val="20"/>
          <w:szCs w:val="20"/>
          <w:color w:val="auto"/>
        </w:rPr>
        <w:tab/>
      </w:r>
      <w:r>
        <w:rPr>
          <w:rFonts w:ascii="Arial" w:cs="Arial" w:eastAsia="Arial" w:hAnsi="Arial"/>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143510</wp:posOffset>
            </wp:positionV>
            <wp:extent cx="28473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5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2"/>
    </w:lvl>
  </w:abstractNum>
  <w:abstractNum w:abstractNumId="7">
    <w:nsid w:val="3F2DBA31"/>
    <w:multiLevelType w:val="hybridMultilevel"/>
    <w:lvl w:ilvl="0">
      <w:lvlJc w:val="left"/>
      <w:lvlText w:val="%1."/>
      <w:numFmt w:val="decimal"/>
      <w:start w:val="805"/>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5"/>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20">
    <w:nsid w:val="79838CB2"/>
    <w:multiLevelType w:val="hybridMultilevel"/>
    <w:lvl w:ilvl="0">
      <w:lvlJc w:val="left"/>
      <w:lvlText w:val="(%1)"/>
      <w:numFmt w:val="lowerLetter"/>
      <w:start w:val="27"/>
    </w:lvl>
    <w:lvl w:ilvl="1">
      <w:lvlJc w:val="left"/>
      <w:lvlText w:val="•"/>
      <w:numFmt w:val="bullet"/>
      <w:start w:val="1"/>
    </w:lvl>
    <w:lvl w:ilvl="2">
      <w:lvlJc w:val="left"/>
      <w:lvlText w:val="•"/>
      <w:numFmt w:val="bullet"/>
      <w:start w:val="1"/>
    </w:lvl>
  </w:abstractNum>
  <w:abstractNum w:abstractNumId="21">
    <w:nsid w:val="4353D0CD"/>
    <w:multiLevelType w:val="hybridMultilevel"/>
    <w:lvl w:ilvl="0">
      <w:lvlJc w:val="left"/>
      <w:lvlText w:val="(%1)"/>
      <w:numFmt w:val="lowerLetter"/>
      <w:start w:val="2"/>
    </w:lvl>
    <w:lvl w:ilvl="1">
      <w:lvlJc w:val="left"/>
      <w:lvlText w:val="•"/>
      <w:numFmt w:val="bullet"/>
      <w:start w:val="1"/>
    </w:lvl>
  </w:abstractNum>
  <w:abstractNum w:abstractNumId="22">
    <w:nsid w:val="B03E0C6"/>
    <w:multiLevelType w:val="hybridMultilevel"/>
    <w:lvl w:ilvl="0">
      <w:lvlJc w:val="left"/>
      <w:lvlText w:val="(%1)"/>
      <w:numFmt w:val="lowerLetter"/>
      <w:start w:val="28"/>
    </w:lvl>
    <w:lvl w:ilvl="1">
      <w:lvlJc w:val="left"/>
      <w:lvlText w:val="•"/>
      <w:numFmt w:val="bullet"/>
      <w:start w:val="1"/>
    </w:lvl>
  </w:abstractNum>
  <w:abstractNum w:abstractNumId="23">
    <w:nsid w:val="189A769B"/>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24">
    <w:nsid w:val="54E49EB4"/>
    <w:multiLevelType w:val="hybridMultilevel"/>
    <w:lvl w:ilvl="0">
      <w:lvlJc w:val="left"/>
      <w:lvlText w:val="(%1)"/>
      <w:numFmt w:val="lowerLetter"/>
      <w:start w:val="29"/>
    </w:lvl>
    <w:lvl w:ilvl="1">
      <w:lvlJc w:val="left"/>
      <w:lvlText w:val="•"/>
      <w:numFmt w:val="bullet"/>
      <w:start w:val="1"/>
    </w:lvl>
    <w:lvl w:ilvl="2">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32"/>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6" Type="http://schemas.openxmlformats.org/officeDocument/2006/relationships/hyperlink" Target="http://www.sec.gov/Archives/edgar/data/1060822/000119312517179483/d400342dex31.htm" TargetMode="External"/><Relationship Id="rId17" Type="http://schemas.openxmlformats.org/officeDocument/2006/relationships/hyperlink" Target="http://www.sec.gov/Archives/edgar/data/1060822/000119312517179483/d40034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2019-12-28T20:52:48Z</dcterms:created>
  <dcterms:modified xsi:type="dcterms:W3CDTF">2019-12-28T20:52:48Z</dcterms:modified>
</cp:coreProperties>
</file>