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61" w:lineRule="exact"/>
        <w:rPr>
          <w:sz w:val="24"/>
          <w:szCs w:val="24"/>
          <w:color w:val="auto"/>
        </w:rPr>
      </w:pPr>
    </w:p>
    <w:p>
      <w:pPr>
        <w:ind w:left="380" w:right="1000" w:hanging="345"/>
        <w:spacing w:after="0" w:line="282" w:lineRule="auto"/>
        <w:tabs>
          <w:tab w:leader="none" w:pos="407"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30, 2019 OR</w:t>
      </w:r>
    </w:p>
    <w:p>
      <w:pPr>
        <w:spacing w:after="0" w:line="121"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w:t>
      </w:r>
    </w:p>
    <w:p>
      <w:pPr>
        <w:spacing w:after="0" w:line="29" w:lineRule="exact"/>
        <w:rPr>
          <w:rFonts w:ascii="MS PGothic" w:cs="MS PGothic" w:eastAsia="MS PGothic" w:hAnsi="MS PGothic"/>
          <w:sz w:val="18"/>
          <w:szCs w:val="18"/>
          <w:color w:val="auto"/>
        </w:rPr>
      </w:pPr>
    </w:p>
    <w:p>
      <w:pPr>
        <w:ind w:left="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EXCHANGE ACT OF 1934 FOR THE TRANSITION PERIOD FROM _____</w:t>
      </w:r>
    </w:p>
    <w:p>
      <w:pPr>
        <w:spacing w:after="0" w:line="7" w:lineRule="exact"/>
        <w:rPr>
          <w:rFonts w:ascii="MS PGothic" w:cs="MS PGothic" w:eastAsia="MS PGothic" w:hAnsi="MS PGothic"/>
          <w:sz w:val="18"/>
          <w:szCs w:val="18"/>
          <w:color w:val="auto"/>
        </w:rPr>
      </w:pPr>
    </w:p>
    <w:p>
      <w:pPr>
        <w:ind w:left="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TO ______</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w:t>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001-31829</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CARTER’S,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77" w:right="239" w:bottom="1440" w:gutter="0" w:footer="0" w:header="0"/>
        </w:sectPr>
      </w:pPr>
    </w:p>
    <w:p>
      <w:pPr>
        <w:spacing w:after="0" w:line="151"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13-3912933</w:t>
      </w:r>
    </w:p>
    <w:p>
      <w:pPr>
        <w:spacing w:after="0" w:line="90" w:lineRule="exact"/>
        <w:rPr>
          <w:sz w:val="24"/>
          <w:szCs w:val="24"/>
          <w:color w:val="auto"/>
        </w:rPr>
      </w:pPr>
    </w:p>
    <w:p>
      <w:pPr>
        <w:sectPr>
          <w:pgSz w:w="11900" w:h="16838" w:orient="portrait"/>
          <w:cols w:equalWidth="0" w:num="2">
            <w:col w:w="6760" w:space="720"/>
            <w:col w:w="3940"/>
          </w:cols>
          <w:pgMar w:left="240" w:top="477" w:right="239" w:bottom="1440" w:gutter="0" w:footer="0" w:header="0"/>
          <w:type w:val="continuous"/>
        </w:sectPr>
      </w:pPr>
    </w:p>
    <w:p>
      <w:pPr>
        <w:ind w:left="24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Arial" w:cs="Arial" w:eastAsia="Arial" w:hAnsi="Arial"/>
          <w:sz w:val="16"/>
          <w:szCs w:val="16"/>
          <w:color w:val="auto"/>
        </w:rPr>
        <w:t>(I.R.S. Employer Identification No.)</w:t>
      </w:r>
    </w:p>
    <w:p>
      <w:pPr>
        <w:spacing w:after="0" w:line="86" w:lineRule="exact"/>
        <w:rPr>
          <w:sz w:val="24"/>
          <w:szCs w:val="24"/>
          <w:color w:val="auto"/>
        </w:rPr>
      </w:pPr>
    </w:p>
    <w:p>
      <w:pPr>
        <w:sectPr>
          <w:pgSz w:w="11900" w:h="16838" w:orient="portrait"/>
          <w:cols w:equalWidth="0" w:num="2">
            <w:col w:w="5900" w:space="720"/>
            <w:col w:w="4800"/>
          </w:cols>
          <w:pgMar w:left="240" w:top="477" w:right="239" w:bottom="1440" w:gutter="0" w:footer="0" w:header="0"/>
          <w:type w:val="continuous"/>
        </w:sectPr>
      </w:pPr>
    </w:p>
    <w:p>
      <w:pPr>
        <w:ind w:left="2420"/>
        <w:spacing w:after="0"/>
        <w:rPr>
          <w:sz w:val="20"/>
          <w:szCs w:val="20"/>
          <w:color w:val="auto"/>
        </w:rPr>
      </w:pPr>
      <w:r>
        <w:rPr>
          <w:rFonts w:ascii="Arial" w:cs="Arial" w:eastAsia="Arial" w:hAnsi="Arial"/>
          <w:sz w:val="16"/>
          <w:szCs w:val="16"/>
          <w:color w:val="auto"/>
        </w:rPr>
        <w:t>incorporation or organization)</w:t>
      </w:r>
    </w:p>
    <w:p>
      <w:pPr>
        <w:sectPr>
          <w:pgSz w:w="11900" w:h="16838" w:orient="portrait"/>
          <w:cols w:equalWidth="0" w:num="1">
            <w:col w:w="11420"/>
          </w:cols>
          <w:pgMar w:left="240" w:top="477" w:right="239" w:bottom="1440" w:gutter="0" w:footer="0" w:header="0"/>
          <w:type w:val="continuous"/>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Phipps Tower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3438 Peachtree Road NE, Suite 1800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Atlanta, Georgia 30326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(678) 791-1000</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Large Accelerated Filer (X) Accelerated Filer ( )</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Non-Accelerated Filer ( ) Smaller Reporting Company ( )</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Emerging Growth Company ( )</w:t>
      </w:r>
    </w:p>
    <w:p>
      <w:pPr>
        <w:spacing w:after="0" w:line="200" w:lineRule="exact"/>
        <w:rPr>
          <w:sz w:val="24"/>
          <w:szCs w:val="24"/>
          <w:color w:val="auto"/>
        </w:rPr>
      </w:pPr>
    </w:p>
    <w:p>
      <w:pPr>
        <w:spacing w:after="0" w:line="214"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w:t>
      </w:r>
      <w:r>
        <w:rPr>
          <w:rFonts w:ascii="Arial" w:cs="Arial" w:eastAsia="Arial" w:hAnsi="Arial"/>
          <w:sz w:val="18"/>
          <w:szCs w:val="18"/>
          <w:color w:val="FFFFFF"/>
        </w:rPr>
        <w:t>X</w:t>
      </w:r>
      <w:r>
        <w:rPr>
          <w:rFonts w:ascii="Arial" w:cs="Arial" w:eastAsia="Arial" w:hAnsi="Arial"/>
          <w:sz w:val="18"/>
          <w:szCs w:val="18"/>
          <w:color w:val="auto"/>
        </w:rPr>
        <w:t>) No (X)</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jc w:val="center"/>
              <w:ind w:right="2400"/>
              <w:spacing w:after="0"/>
              <w:rPr>
                <w:sz w:val="20"/>
                <w:szCs w:val="20"/>
                <w:color w:val="auto"/>
              </w:rPr>
            </w:pPr>
            <w:r>
              <w:rPr>
                <w:rFonts w:ascii="Arial" w:cs="Arial" w:eastAsia="Arial" w:hAnsi="Arial"/>
                <w:sz w:val="18"/>
                <w:szCs w:val="18"/>
                <w:b w:val="1"/>
                <w:bCs w:val="1"/>
                <w:color w:val="auto"/>
                <w:w w:val="89"/>
              </w:rPr>
              <w:t>Common Stock</w:t>
            </w:r>
          </w:p>
        </w:tc>
        <w:tc>
          <w:tcPr>
            <w:tcW w:w="4560" w:type="dxa"/>
            <w:vAlign w:val="bottom"/>
          </w:tcPr>
          <w:p>
            <w:pPr>
              <w:jc w:val="right"/>
              <w:ind w:right="770"/>
              <w:spacing w:after="0"/>
              <w:rPr>
                <w:sz w:val="20"/>
                <w:szCs w:val="20"/>
                <w:color w:val="auto"/>
              </w:rPr>
            </w:pPr>
            <w:r>
              <w:rPr>
                <w:rFonts w:ascii="Arial" w:cs="Arial" w:eastAsia="Arial" w:hAnsi="Arial"/>
                <w:sz w:val="18"/>
                <w:szCs w:val="18"/>
                <w:b w:val="1"/>
                <w:bCs w:val="1"/>
                <w:color w:val="auto"/>
              </w:rPr>
              <w:t>Outstanding Shares at April 24, 2019</w:t>
            </w:r>
          </w:p>
        </w:tc>
      </w:tr>
      <w:tr>
        <w:trPr>
          <w:trHeight w:val="27"/>
        </w:trPr>
        <w:tc>
          <w:tcPr>
            <w:tcW w:w="4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6860" w:type="dxa"/>
            <w:vAlign w:val="bottom"/>
            <w:gridSpan w:val="2"/>
          </w:tcPr>
          <w:p>
            <w:pPr>
              <w:jc w:val="center"/>
              <w:ind w:right="2380"/>
              <w:spacing w:after="0"/>
              <w:rPr>
                <w:sz w:val="20"/>
                <w:szCs w:val="20"/>
                <w:color w:val="auto"/>
              </w:rPr>
            </w:pPr>
            <w:r>
              <w:rPr>
                <w:rFonts w:ascii="Arial" w:cs="Arial" w:eastAsia="Arial" w:hAnsi="Arial"/>
                <w:sz w:val="18"/>
                <w:szCs w:val="18"/>
                <w:color w:val="auto"/>
                <w:w w:val="89"/>
              </w:rPr>
              <w:t>Common stock, par value $0.01 per share</w:t>
            </w:r>
          </w:p>
        </w:tc>
        <w:tc>
          <w:tcPr>
            <w:tcW w:w="4560" w:type="dxa"/>
            <w:vAlign w:val="bottom"/>
          </w:tcPr>
          <w:p>
            <w:pPr>
              <w:jc w:val="right"/>
              <w:ind w:right="10"/>
              <w:spacing w:after="0"/>
              <w:rPr>
                <w:sz w:val="20"/>
                <w:szCs w:val="20"/>
                <w:color w:val="auto"/>
              </w:rPr>
            </w:pPr>
            <w:r>
              <w:rPr>
                <w:rFonts w:ascii="Arial" w:cs="Arial" w:eastAsia="Arial" w:hAnsi="Arial"/>
                <w:sz w:val="18"/>
                <w:szCs w:val="18"/>
                <w:color w:val="auto"/>
              </w:rPr>
              <w:t>45,209,033</w:t>
            </w:r>
          </w:p>
        </w:tc>
      </w:tr>
      <w:tr>
        <w:trPr>
          <w:trHeight w:val="358"/>
        </w:trPr>
        <w:tc>
          <w:tcPr>
            <w:tcW w:w="446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0" w:type="dxa"/>
            <w:vAlign w:val="bottom"/>
            <w:gridSpan w:val="12"/>
          </w:tcPr>
          <w:p>
            <w:pPr>
              <w:jc w:val="center"/>
              <w:ind w:right="2800"/>
              <w:spacing w:after="0"/>
              <w:rPr>
                <w:sz w:val="20"/>
                <w:szCs w:val="20"/>
                <w:color w:val="auto"/>
              </w:rPr>
            </w:pPr>
            <w:r>
              <w:rPr>
                <w:rFonts w:ascii="Arial" w:cs="Arial" w:eastAsia="Arial" w:hAnsi="Arial"/>
                <w:sz w:val="20"/>
                <w:szCs w:val="20"/>
                <w:b w:val="1"/>
                <w:bCs w:val="1"/>
                <w:color w:val="auto"/>
                <w:w w:val="99"/>
              </w:rPr>
              <w:t>CARTER’S, INC.</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20" w:type="dxa"/>
            <w:vAlign w:val="bottom"/>
            <w:gridSpan w:val="10"/>
          </w:tcPr>
          <w:p>
            <w:pPr>
              <w:jc w:val="center"/>
              <w:ind w:right="3280"/>
              <w:spacing w:after="0"/>
              <w:rPr>
                <w:sz w:val="20"/>
                <w:szCs w:val="20"/>
                <w:color w:val="auto"/>
              </w:rPr>
            </w:pPr>
            <w:r>
              <w:rPr>
                <w:rFonts w:ascii="Arial" w:cs="Arial" w:eastAsia="Arial" w:hAnsi="Arial"/>
                <w:sz w:val="20"/>
                <w:szCs w:val="20"/>
                <w:b w:val="1"/>
                <w:bCs w:val="1"/>
                <w:color w:val="auto"/>
              </w:rPr>
              <w:t>INDEX</w:t>
            </w: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5"/>
          </w:tcPr>
          <w:p>
            <w:pPr>
              <w:ind w:left="600"/>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3"/>
        </w:trPr>
        <w:tc>
          <w:tcPr>
            <w:tcW w:w="9720" w:type="dxa"/>
            <w:vAlign w:val="bottom"/>
            <w:gridSpan w:val="31"/>
            <w:vMerge w:val="restart"/>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720" w:type="dxa"/>
            <w:vAlign w:val="bottom"/>
            <w:gridSpan w:val="31"/>
            <w:vMerge w:val="continue"/>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60" w:type="dxa"/>
            <w:vAlign w:val="bottom"/>
            <w:gridSpan w:val="5"/>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840" w:type="dxa"/>
            <w:vAlign w:val="bottom"/>
            <w:gridSpan w:val="24"/>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40" w:type="dxa"/>
            <w:vAlign w:val="bottom"/>
            <w:gridSpan w:val="24"/>
          </w:tcPr>
          <w:p>
            <w:pPr>
              <w:spacing w:after="0" w:line="202" w:lineRule="exact"/>
              <w:rPr>
                <w:sz w:val="20"/>
                <w:szCs w:val="20"/>
                <w:color w:val="auto"/>
              </w:rPr>
            </w:pPr>
            <w:r>
              <w:rPr>
                <w:rFonts w:ascii="Arial" w:cs="Arial" w:eastAsia="Arial" w:hAnsi="Arial"/>
                <w:sz w:val="18"/>
                <w:szCs w:val="18"/>
                <w:color w:val="0000FF"/>
                <w:w w:val="91"/>
              </w:rPr>
              <w:t>Unaudited Condensed Consolidated Balance Sheets as of March 30, 2019, December 29, 2018 and March</w:t>
            </w: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Borders>
              <w:top w:val="single" w:sz="8" w:color="0000FF"/>
            </w:tcBorders>
            <w:gridSpan w:val="5"/>
          </w:tcPr>
          <w:p>
            <w:pPr>
              <w:spacing w:after="0" w:line="196" w:lineRule="exact"/>
              <w:rPr>
                <w:sz w:val="20"/>
                <w:szCs w:val="20"/>
                <w:color w:val="auto"/>
              </w:rPr>
            </w:pPr>
            <w:r>
              <w:rPr>
                <w:rFonts w:ascii="Arial" w:cs="Arial" w:eastAsia="Arial" w:hAnsi="Arial"/>
                <w:sz w:val="18"/>
                <w:szCs w:val="18"/>
                <w:color w:val="0000FF"/>
              </w:rPr>
              <w:t>31, 2018</w:t>
            </w: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40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4"/>
          </w:tcPr>
          <w:p>
            <w:pPr>
              <w:jc w:val="center"/>
              <w:ind w:left="669"/>
              <w:spacing w:after="0" w:line="19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7620" w:type="dxa"/>
            <w:vAlign w:val="bottom"/>
            <w:tcBorders>
              <w:bottom w:val="single" w:sz="8" w:color="0000FF"/>
            </w:tcBorders>
            <w:gridSpan w:val="21"/>
            <w:shd w:val="clear" w:color="auto" w:fill="CCEEFF"/>
          </w:tcPr>
          <w:p>
            <w:pPr>
              <w:spacing w:after="0" w:line="202" w:lineRule="exact"/>
              <w:rPr>
                <w:sz w:val="20"/>
                <w:szCs w:val="20"/>
                <w:color w:val="auto"/>
              </w:rPr>
            </w:pPr>
            <w:r>
              <w:rPr>
                <w:rFonts w:ascii="Arial" w:cs="Arial" w:eastAsia="Arial" w:hAnsi="Arial"/>
                <w:sz w:val="18"/>
                <w:szCs w:val="18"/>
                <w:color w:val="0000FF"/>
                <w:w w:val="89"/>
                <w:shd w:val="clear" w:color="auto" w:fill="CCEEFF"/>
              </w:rPr>
              <w:t>Unaudited Condensed Consolidated Statements of Operations for the fiscal quarter ended March 30, 2019</w:t>
            </w:r>
          </w:p>
        </w:tc>
        <w:tc>
          <w:tcPr>
            <w:tcW w:w="6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0000FF"/>
            </w:tcBorders>
            <w:gridSpan w:val="8"/>
            <w:shd w:val="clear" w:color="auto" w:fill="CCEEFF"/>
          </w:tcPr>
          <w:p>
            <w:pPr>
              <w:spacing w:after="0" w:line="196" w:lineRule="exact"/>
              <w:rPr>
                <w:sz w:val="20"/>
                <w:szCs w:val="20"/>
                <w:color w:val="auto"/>
              </w:rPr>
            </w:pPr>
            <w:r>
              <w:rPr>
                <w:rFonts w:ascii="Arial" w:cs="Arial" w:eastAsia="Arial" w:hAnsi="Arial"/>
                <w:sz w:val="18"/>
                <w:szCs w:val="18"/>
                <w:color w:val="0000FF"/>
                <w:w w:val="88"/>
                <w:shd w:val="clear" w:color="auto" w:fill="CCEEFF"/>
              </w:rPr>
              <w:t>and March 31, 2018</w:t>
            </w:r>
          </w:p>
        </w:tc>
        <w:tc>
          <w:tcPr>
            <w:tcW w:w="320" w:type="dxa"/>
            <w:vAlign w:val="bottom"/>
            <w:tcBorders>
              <w:bottom w:val="single" w:sz="8" w:color="CCEEFF"/>
            </w:tcBorders>
            <w:gridSpan w:val="2"/>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center"/>
              <w:spacing w:after="0" w:line="19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360" w:type="dxa"/>
            <w:vAlign w:val="bottom"/>
            <w:tcBorders>
              <w:bottom w:val="single" w:sz="8" w:color="0000FF"/>
            </w:tcBorders>
            <w:gridSpan w:val="19"/>
          </w:tcPr>
          <w:p>
            <w:pPr>
              <w:spacing w:after="0" w:line="202" w:lineRule="exact"/>
              <w:rPr>
                <w:sz w:val="20"/>
                <w:szCs w:val="20"/>
                <w:color w:val="auto"/>
              </w:rPr>
            </w:pPr>
            <w:r>
              <w:rPr>
                <w:rFonts w:ascii="Arial" w:cs="Arial" w:eastAsia="Arial" w:hAnsi="Arial"/>
                <w:sz w:val="18"/>
                <w:szCs w:val="18"/>
                <w:color w:val="0000FF"/>
                <w:w w:val="89"/>
              </w:rPr>
              <w:t>Unaudited Condensed Consolidated Statements of Comprehensive Income for the fiscal quarter ended</w:t>
            </w:r>
          </w:p>
        </w:tc>
        <w:tc>
          <w:tcPr>
            <w:tcW w:w="480" w:type="dxa"/>
            <w:vAlign w:val="bottom"/>
            <w:gridSpan w:val="5"/>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40" w:type="dxa"/>
            <w:vAlign w:val="bottom"/>
            <w:gridSpan w:val="24"/>
          </w:tcPr>
          <w:p>
            <w:pPr>
              <w:spacing w:after="0" w:line="196" w:lineRule="exact"/>
              <w:rPr>
                <w:sz w:val="20"/>
                <w:szCs w:val="20"/>
                <w:color w:val="auto"/>
              </w:rPr>
            </w:pPr>
            <w:r>
              <w:rPr>
                <w:rFonts w:ascii="Arial" w:cs="Arial" w:eastAsia="Arial" w:hAnsi="Arial"/>
                <w:sz w:val="18"/>
                <w:szCs w:val="18"/>
                <w:color w:val="0000FF"/>
              </w:rPr>
              <w:t>March 30, 2019 and March 31, 2018</w:t>
            </w:r>
          </w:p>
        </w:tc>
        <w:tc>
          <w:tcPr>
            <w:tcW w:w="940" w:type="dxa"/>
            <w:vAlign w:val="bottom"/>
            <w:gridSpan w:val="4"/>
          </w:tcPr>
          <w:p>
            <w:pPr>
              <w:jc w:val="center"/>
              <w:ind w:left="669"/>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3</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7440" w:type="dxa"/>
            <w:vAlign w:val="bottom"/>
            <w:tcBorders>
              <w:bottom w:val="single" w:sz="8" w:color="0000FF"/>
            </w:tcBorders>
            <w:gridSpan w:val="20"/>
            <w:shd w:val="clear" w:color="auto" w:fill="CCEEFF"/>
          </w:tcPr>
          <w:p>
            <w:pPr>
              <w:spacing w:after="0" w:line="202" w:lineRule="exact"/>
              <w:rPr>
                <w:sz w:val="20"/>
                <w:szCs w:val="20"/>
                <w:color w:val="auto"/>
              </w:rPr>
            </w:pPr>
            <w:r>
              <w:rPr>
                <w:rFonts w:ascii="Arial" w:cs="Arial" w:eastAsia="Arial" w:hAnsi="Arial"/>
                <w:sz w:val="18"/>
                <w:szCs w:val="18"/>
                <w:color w:val="0000FF"/>
                <w:w w:val="90"/>
                <w:shd w:val="clear" w:color="auto" w:fill="CCEEFF"/>
              </w:rPr>
              <w:t>Unaudited Condensed Consolidated Statement of Changes in Stockholders' Equity for the fiscal quarter</w:t>
            </w:r>
          </w:p>
        </w:tc>
        <w:tc>
          <w:tcPr>
            <w:tcW w:w="240" w:type="dxa"/>
            <w:vAlign w:val="bottom"/>
            <w:tcBorders>
              <w:bottom w:val="single" w:sz="8" w:color="CCEEFF"/>
            </w:tcBorders>
            <w:gridSpan w:val="3"/>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120" w:type="dxa"/>
            <w:vAlign w:val="bottom"/>
            <w:gridSpan w:val="14"/>
            <w:shd w:val="clear" w:color="auto" w:fill="CCEEFF"/>
          </w:tcPr>
          <w:p>
            <w:pPr>
              <w:spacing w:after="0" w:line="196" w:lineRule="exact"/>
              <w:rPr>
                <w:sz w:val="20"/>
                <w:szCs w:val="20"/>
                <w:color w:val="auto"/>
              </w:rPr>
            </w:pPr>
            <w:r>
              <w:rPr>
                <w:rFonts w:ascii="Arial" w:cs="Arial" w:eastAsia="Arial" w:hAnsi="Arial"/>
                <w:sz w:val="18"/>
                <w:szCs w:val="18"/>
                <w:color w:val="0000FF"/>
                <w:w w:val="89"/>
                <w:shd w:val="clear" w:color="auto" w:fill="CCEEFF"/>
              </w:rPr>
              <w:t>ended March 30, 2019 and March 31, 2018</w:t>
            </w: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center"/>
              <w:ind w:left="669"/>
              <w:spacing w:after="0" w:line="19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4</w:t>
              </w:r>
            </w:hyperlink>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80" w:type="dxa"/>
            <w:vAlign w:val="bottom"/>
            <w:tcBorders>
              <w:bottom w:val="single" w:sz="8" w:color="0000FF"/>
            </w:tcBorders>
            <w:gridSpan w:val="23"/>
          </w:tcPr>
          <w:p>
            <w:pPr>
              <w:spacing w:after="0" w:line="202" w:lineRule="exact"/>
              <w:rPr>
                <w:sz w:val="20"/>
                <w:szCs w:val="20"/>
                <w:color w:val="auto"/>
              </w:rPr>
            </w:pPr>
            <w:r>
              <w:rPr>
                <w:rFonts w:ascii="Arial" w:cs="Arial" w:eastAsia="Arial" w:hAnsi="Arial"/>
                <w:sz w:val="18"/>
                <w:szCs w:val="18"/>
                <w:color w:val="0000FF"/>
                <w:w w:val="89"/>
              </w:rPr>
              <w:t>Unaudited Condensed Consolidated Statements of Cash Flows for the fiscal quarter ended March 30, 2019</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40" w:type="dxa"/>
            <w:vAlign w:val="bottom"/>
            <w:gridSpan w:val="24"/>
          </w:tcPr>
          <w:p>
            <w:pPr>
              <w:spacing w:after="0" w:line="196" w:lineRule="exact"/>
              <w:rPr>
                <w:sz w:val="20"/>
                <w:szCs w:val="20"/>
                <w:color w:val="auto"/>
              </w:rPr>
            </w:pPr>
            <w:r>
              <w:rPr>
                <w:rFonts w:ascii="Arial" w:cs="Arial" w:eastAsia="Arial" w:hAnsi="Arial"/>
                <w:sz w:val="18"/>
                <w:szCs w:val="18"/>
                <w:color w:val="0000FF"/>
              </w:rPr>
              <w:t>and March 31, 2018</w:t>
            </w:r>
          </w:p>
        </w:tc>
        <w:tc>
          <w:tcPr>
            <w:tcW w:w="940" w:type="dxa"/>
            <w:vAlign w:val="bottom"/>
            <w:gridSpan w:val="4"/>
          </w:tcPr>
          <w:p>
            <w:pPr>
              <w:jc w:val="center"/>
              <w:ind w:left="669"/>
              <w:spacing w:after="0" w:line="19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5</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40" w:type="dxa"/>
            <w:vAlign w:val="bottom"/>
            <w:gridSpan w:val="24"/>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Notes to the Unaudited Condensed Consolidated Financial Statements</w:t>
              </w:r>
            </w:hyperlink>
          </w:p>
        </w:tc>
        <w:tc>
          <w:tcPr>
            <w:tcW w:w="940" w:type="dxa"/>
            <w:vAlign w:val="bottom"/>
            <w:gridSpan w:val="4"/>
            <w:shd w:val="clear" w:color="auto" w:fill="CCEEFF"/>
          </w:tcPr>
          <w:p>
            <w:pPr>
              <w:jc w:val="center"/>
              <w:ind w:left="669"/>
              <w:spacing w:after="0" w:line="202"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6</w:t>
              </w:r>
            </w:hyperlink>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840" w:type="dxa"/>
            <w:vAlign w:val="bottom"/>
            <w:gridSpan w:val="6"/>
          </w:tcPr>
          <w:p>
            <w:pPr>
              <w:ind w:left="68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Item 2</w:t>
              </w:r>
            </w:hyperlink>
          </w:p>
        </w:tc>
        <w:tc>
          <w:tcPr>
            <w:tcW w:w="7840" w:type="dxa"/>
            <w:vAlign w:val="bottom"/>
            <w:gridSpan w:val="24"/>
          </w:tcPr>
          <w:p>
            <w:pPr>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940" w:type="dxa"/>
            <w:vAlign w:val="bottom"/>
            <w:gridSpan w:val="4"/>
          </w:tcPr>
          <w:p>
            <w:pPr>
              <w:jc w:val="center"/>
              <w:ind w:left="669"/>
              <w:spacing w:after="0" w:line="202"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17</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1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1400" w:type="dxa"/>
            <w:vAlign w:val="bottom"/>
            <w:tcBorders>
              <w:top w:val="single" w:sz="8" w:color="0000EE"/>
            </w:tcBorders>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60" w:type="dxa"/>
            <w:vAlign w:val="bottom"/>
            <w:gridSpan w:val="5"/>
            <w:shd w:val="clear" w:color="auto" w:fill="CCEEFF"/>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Item 3</w:t>
              </w:r>
            </w:hyperlink>
          </w:p>
        </w:tc>
        <w:tc>
          <w:tcPr>
            <w:tcW w:w="7840" w:type="dxa"/>
            <w:vAlign w:val="bottom"/>
            <w:gridSpan w:val="24"/>
            <w:shd w:val="clear" w:color="auto" w:fill="CCEEFF"/>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940" w:type="dxa"/>
            <w:vAlign w:val="bottom"/>
            <w:gridSpan w:val="4"/>
            <w:shd w:val="clear" w:color="auto" w:fill="CCEEFF"/>
          </w:tcPr>
          <w:p>
            <w:pPr>
              <w:jc w:val="center"/>
              <w:ind w:left="669"/>
              <w:spacing w:after="0" w:line="202"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25</w:t>
              </w:r>
            </w:hyperlink>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gridSpan w:val="5"/>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Item 4</w:t>
              </w:r>
            </w:hyperlink>
          </w:p>
        </w:tc>
        <w:tc>
          <w:tcPr>
            <w:tcW w:w="7840" w:type="dxa"/>
            <w:vAlign w:val="bottom"/>
            <w:gridSpan w:val="24"/>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940" w:type="dxa"/>
            <w:vAlign w:val="bottom"/>
            <w:gridSpan w:val="4"/>
          </w:tcPr>
          <w:p>
            <w:pPr>
              <w:jc w:val="center"/>
              <w:ind w:left="669"/>
              <w:spacing w:after="0" w:line="202"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25</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9720" w:type="dxa"/>
            <w:vAlign w:val="bottom"/>
            <w:gridSpan w:val="31"/>
          </w:tcPr>
          <w:p>
            <w:pPr>
              <w:ind w:left="40"/>
              <w:spacing w:after="0" w:line="202" w:lineRule="exact"/>
              <w:rPr>
                <w:sz w:val="20"/>
                <w:szCs w:val="20"/>
                <w:color w:val="auto"/>
              </w:rPr>
            </w:pPr>
            <w:r>
              <w:rPr>
                <w:rFonts w:ascii="Arial" w:cs="Arial" w:eastAsia="Arial" w:hAnsi="Arial"/>
                <w:sz w:val="18"/>
                <w:szCs w:val="18"/>
                <w:b w:val="1"/>
                <w:bCs w:val="1"/>
                <w:color w:val="0000EE"/>
              </w:rPr>
              <w:t>Part II. Other Information</w:t>
            </w: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6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0000FF"/>
              </w:rPr>
              <w:t>Item 1</w:t>
            </w:r>
          </w:p>
        </w:tc>
        <w:tc>
          <w:tcPr>
            <w:tcW w:w="7840" w:type="dxa"/>
            <w:vAlign w:val="bottom"/>
            <w:gridSpan w:val="24"/>
            <w:shd w:val="clear" w:color="auto" w:fill="CCEEFF"/>
          </w:tcPr>
          <w:p>
            <w:pPr>
              <w:spacing w:after="0" w:line="202" w:lineRule="exact"/>
              <w:rPr>
                <w:sz w:val="20"/>
                <w:szCs w:val="20"/>
                <w:color w:val="auto"/>
              </w:rPr>
            </w:pPr>
            <w:r>
              <w:rPr>
                <w:rFonts w:ascii="Arial" w:cs="Arial" w:eastAsia="Arial" w:hAnsi="Arial"/>
                <w:sz w:val="18"/>
                <w:szCs w:val="18"/>
                <w:color w:val="0000EE"/>
              </w:rPr>
              <w:t>Legal Proceedings</w:t>
            </w:r>
          </w:p>
        </w:tc>
        <w:tc>
          <w:tcPr>
            <w:tcW w:w="940" w:type="dxa"/>
            <w:vAlign w:val="bottom"/>
            <w:gridSpan w:val="4"/>
            <w:shd w:val="clear" w:color="auto" w:fill="CCEEFF"/>
          </w:tcPr>
          <w:p>
            <w:pPr>
              <w:jc w:val="center"/>
              <w:ind w:left="669"/>
              <w:spacing w:after="0" w:line="202"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gridSpan w:val="5"/>
          </w:tcPr>
          <w:p>
            <w:pPr>
              <w:spacing w:after="0" w:line="202" w:lineRule="exact"/>
              <w:rPr>
                <w:rFonts w:ascii="Arial" w:cs="Arial" w:eastAsia="Arial" w:hAnsi="Arial"/>
                <w:sz w:val="18"/>
                <w:szCs w:val="18"/>
                <w:color w:val="0000FF"/>
              </w:rPr>
            </w:pPr>
            <w:hyperlink w:anchor="page28">
              <w:r>
                <w:rPr>
                  <w:rFonts w:ascii="Arial" w:cs="Arial" w:eastAsia="Arial" w:hAnsi="Arial"/>
                  <w:sz w:val="18"/>
                  <w:szCs w:val="18"/>
                  <w:color w:val="0000FF"/>
                </w:rPr>
                <w:t>Item 1A</w:t>
              </w:r>
            </w:hyperlink>
          </w:p>
        </w:tc>
        <w:tc>
          <w:tcPr>
            <w:tcW w:w="7840" w:type="dxa"/>
            <w:vAlign w:val="bottom"/>
            <w:gridSpan w:val="24"/>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940" w:type="dxa"/>
            <w:vAlign w:val="bottom"/>
            <w:gridSpan w:val="4"/>
          </w:tcPr>
          <w:p>
            <w:pPr>
              <w:jc w:val="center"/>
              <w:ind w:left="669"/>
              <w:spacing w:after="0" w:line="202"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60" w:type="dxa"/>
            <w:vAlign w:val="bottom"/>
            <w:gridSpan w:val="5"/>
            <w:shd w:val="clear" w:color="auto" w:fill="CCEEFF"/>
          </w:tcPr>
          <w:p>
            <w:pPr>
              <w:spacing w:after="0" w:line="202" w:lineRule="exact"/>
              <w:rPr>
                <w:rFonts w:ascii="Arial" w:cs="Arial" w:eastAsia="Arial" w:hAnsi="Arial"/>
                <w:sz w:val="18"/>
                <w:szCs w:val="18"/>
                <w:color w:val="0000FF"/>
              </w:rPr>
            </w:pPr>
            <w:hyperlink w:anchor="page29">
              <w:r>
                <w:rPr>
                  <w:rFonts w:ascii="Arial" w:cs="Arial" w:eastAsia="Arial" w:hAnsi="Arial"/>
                  <w:sz w:val="18"/>
                  <w:szCs w:val="18"/>
                  <w:color w:val="0000FF"/>
                </w:rPr>
                <w:t>Item 2</w:t>
              </w:r>
            </w:hyperlink>
          </w:p>
        </w:tc>
        <w:tc>
          <w:tcPr>
            <w:tcW w:w="7840" w:type="dxa"/>
            <w:vAlign w:val="bottom"/>
            <w:gridSpan w:val="24"/>
            <w:shd w:val="clear" w:color="auto" w:fill="CCEEFF"/>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940" w:type="dxa"/>
            <w:vAlign w:val="bottom"/>
            <w:gridSpan w:val="4"/>
            <w:shd w:val="clear" w:color="auto" w:fill="CCEEFF"/>
          </w:tcPr>
          <w:p>
            <w:pPr>
              <w:jc w:val="center"/>
              <w:ind w:left="669"/>
              <w:spacing w:after="0" w:line="202"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27</w:t>
              </w:r>
            </w:hyperlink>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gridSpan w:val="5"/>
          </w:tcPr>
          <w:p>
            <w:pPr>
              <w:spacing w:after="0" w:line="202" w:lineRule="exact"/>
              <w:rPr>
                <w:sz w:val="20"/>
                <w:szCs w:val="20"/>
                <w:color w:val="auto"/>
              </w:rPr>
            </w:pPr>
            <w:r>
              <w:rPr>
                <w:rFonts w:ascii="Arial" w:cs="Arial" w:eastAsia="Arial" w:hAnsi="Arial"/>
                <w:sz w:val="18"/>
                <w:szCs w:val="18"/>
                <w:color w:val="0000FF"/>
              </w:rPr>
              <w:t>Item 3</w:t>
            </w:r>
          </w:p>
        </w:tc>
        <w:tc>
          <w:tcPr>
            <w:tcW w:w="7840" w:type="dxa"/>
            <w:vAlign w:val="bottom"/>
            <w:gridSpan w:val="24"/>
          </w:tcPr>
          <w:p>
            <w:pPr>
              <w:spacing w:after="0" w:line="202" w:lineRule="exact"/>
              <w:rPr>
                <w:sz w:val="20"/>
                <w:szCs w:val="20"/>
                <w:color w:val="auto"/>
              </w:rPr>
            </w:pPr>
            <w:r>
              <w:rPr>
                <w:rFonts w:ascii="Arial" w:cs="Arial" w:eastAsia="Arial" w:hAnsi="Arial"/>
                <w:sz w:val="18"/>
                <w:szCs w:val="18"/>
                <w:color w:val="0000FF"/>
              </w:rPr>
              <w:t>Defaults upon Senior Securities</w:t>
            </w:r>
          </w:p>
        </w:tc>
        <w:tc>
          <w:tcPr>
            <w:tcW w:w="940" w:type="dxa"/>
            <w:vAlign w:val="bottom"/>
            <w:gridSpan w:val="4"/>
          </w:tcPr>
          <w:p>
            <w:pPr>
              <w:jc w:val="center"/>
              <w:ind w:left="669"/>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60" w:type="dxa"/>
            <w:vAlign w:val="bottom"/>
            <w:gridSpan w:val="5"/>
            <w:shd w:val="clear" w:color="auto" w:fill="CCEEFF"/>
          </w:tcPr>
          <w:p>
            <w:pPr>
              <w:spacing w:after="0" w:line="202" w:lineRule="exact"/>
              <w:rPr>
                <w:rFonts w:ascii="Arial" w:cs="Arial" w:eastAsia="Arial" w:hAnsi="Arial"/>
                <w:sz w:val="18"/>
                <w:szCs w:val="18"/>
                <w:color w:val="0000FF"/>
              </w:rPr>
            </w:pPr>
            <w:hyperlink w:anchor="page30">
              <w:r>
                <w:rPr>
                  <w:rFonts w:ascii="Arial" w:cs="Arial" w:eastAsia="Arial" w:hAnsi="Arial"/>
                  <w:sz w:val="18"/>
                  <w:szCs w:val="18"/>
                  <w:color w:val="0000FF"/>
                </w:rPr>
                <w:t>Item 4</w:t>
              </w:r>
            </w:hyperlink>
          </w:p>
        </w:tc>
        <w:tc>
          <w:tcPr>
            <w:tcW w:w="7840" w:type="dxa"/>
            <w:vAlign w:val="bottom"/>
            <w:gridSpan w:val="24"/>
            <w:shd w:val="clear" w:color="auto" w:fill="CCEEFF"/>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940" w:type="dxa"/>
            <w:vAlign w:val="bottom"/>
            <w:gridSpan w:val="4"/>
            <w:shd w:val="clear" w:color="auto" w:fill="CCEEFF"/>
          </w:tcPr>
          <w:p>
            <w:pPr>
              <w:jc w:val="center"/>
              <w:ind w:left="669"/>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gridSpan w:val="5"/>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Item 5</w:t>
              </w:r>
            </w:hyperlink>
          </w:p>
        </w:tc>
        <w:tc>
          <w:tcPr>
            <w:tcW w:w="7840" w:type="dxa"/>
            <w:vAlign w:val="bottom"/>
            <w:gridSpan w:val="24"/>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940" w:type="dxa"/>
            <w:vAlign w:val="bottom"/>
            <w:gridSpan w:val="4"/>
          </w:tcPr>
          <w:p>
            <w:pPr>
              <w:jc w:val="center"/>
              <w:ind w:left="669"/>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840" w:type="dxa"/>
            <w:vAlign w:val="bottom"/>
            <w:gridSpan w:val="6"/>
            <w:shd w:val="clear" w:color="auto" w:fill="CCEEFF"/>
          </w:tcPr>
          <w:p>
            <w:pPr>
              <w:ind w:left="680"/>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Item 6</w:t>
              </w:r>
            </w:hyperlink>
          </w:p>
        </w:tc>
        <w:tc>
          <w:tcPr>
            <w:tcW w:w="7840" w:type="dxa"/>
            <w:vAlign w:val="bottom"/>
            <w:gridSpan w:val="24"/>
            <w:shd w:val="clear" w:color="auto" w:fill="CCEEFF"/>
          </w:tcPr>
          <w:p>
            <w:pPr>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940" w:type="dxa"/>
            <w:vAlign w:val="bottom"/>
            <w:gridSpan w:val="4"/>
            <w:shd w:val="clear" w:color="auto" w:fill="CCEEFF"/>
          </w:tcPr>
          <w:p>
            <w:pPr>
              <w:jc w:val="center"/>
              <w:ind w:left="669"/>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360" w:type="dxa"/>
            <w:vAlign w:val="bottom"/>
            <w:tcBorders>
              <w:top w:val="single" w:sz="8" w:color="CCEEFF"/>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1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140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760" w:type="dxa"/>
            <w:vAlign w:val="bottom"/>
            <w:tcBorders>
              <w:top w:val="single" w:sz="8" w:color="CCEEFF"/>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7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880" w:type="dxa"/>
            <w:vAlign w:val="bottom"/>
            <w:gridSpan w:val="7"/>
            <w:shd w:val="clear" w:color="auto" w:fill="CCEEFF"/>
          </w:tcPr>
          <w:p>
            <w:pPr>
              <w:ind w:left="40"/>
              <w:spacing w:after="0" w:line="202"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Signatures</w:t>
              </w:r>
            </w:hyperlink>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4"/>
            <w:shd w:val="clear" w:color="auto" w:fill="CCEEFF"/>
          </w:tcPr>
          <w:p>
            <w:pPr>
              <w:jc w:val="center"/>
              <w:ind w:left="669"/>
              <w:spacing w:after="0" w:line="202"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29</w:t>
              </w:r>
            </w:hyperlink>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0" w:type="dxa"/>
            <w:vAlign w:val="bottom"/>
            <w:tcBorders>
              <w:top w:val="single" w:sz="8" w:color="CCEEFF"/>
            </w:tcBorders>
          </w:tcPr>
          <w:p>
            <w:pPr>
              <w:spacing w:after="0"/>
              <w:rPr>
                <w:sz w:val="10"/>
                <w:szCs w:val="10"/>
                <w:color w:val="auto"/>
              </w:rPr>
            </w:pPr>
          </w:p>
        </w:tc>
        <w:tc>
          <w:tcPr>
            <w:tcW w:w="68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360" w:type="dxa"/>
            <w:vAlign w:val="bottom"/>
            <w:tcBorders>
              <w:top w:val="single" w:sz="8" w:color="CCEEFF"/>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1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140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760" w:type="dxa"/>
            <w:vAlign w:val="bottom"/>
            <w:tcBorders>
              <w:top w:val="single" w:sz="8" w:color="CCEEFF"/>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7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880" w:type="dxa"/>
            <w:vAlign w:val="bottom"/>
            <w:gridSpan w:val="7"/>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0000EE"/>
              </w:rPr>
              <w:t>Certifications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4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30, 2019</w:t>
            </w:r>
          </w:p>
        </w:tc>
        <w:tc>
          <w:tcPr>
            <w:tcW w:w="22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29, 2018</w:t>
            </w:r>
          </w:p>
        </w:tc>
        <w:tc>
          <w:tcPr>
            <w:tcW w:w="260" w:type="dxa"/>
            <w:vAlign w:val="bottom"/>
          </w:tcPr>
          <w:p>
            <w:pPr>
              <w:spacing w:after="0"/>
              <w:rPr>
                <w:sz w:val="18"/>
                <w:szCs w:val="18"/>
                <w:color w:val="auto"/>
              </w:rPr>
            </w:pPr>
          </w:p>
        </w:tc>
        <w:tc>
          <w:tcPr>
            <w:tcW w:w="1660" w:type="dxa"/>
            <w:vAlign w:val="bottom"/>
          </w:tcPr>
          <w:p>
            <w:pPr>
              <w:jc w:val="right"/>
              <w:ind w:right="339"/>
              <w:spacing w:after="0"/>
              <w:rPr>
                <w:sz w:val="20"/>
                <w:szCs w:val="20"/>
                <w:color w:val="auto"/>
              </w:rPr>
            </w:pPr>
            <w:r>
              <w:rPr>
                <w:rFonts w:ascii="Arial" w:cs="Arial" w:eastAsia="Arial" w:hAnsi="Arial"/>
                <w:sz w:val="16"/>
                <w:szCs w:val="16"/>
                <w:b w:val="1"/>
                <w:bCs w:val="1"/>
                <w:color w:val="auto"/>
              </w:rPr>
              <w:t>March 31, 2018</w:t>
            </w:r>
          </w:p>
        </w:tc>
      </w:tr>
      <w:tr>
        <w:trPr>
          <w:trHeight w:val="33"/>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160,149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170,077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180,256</w:t>
            </w:r>
          </w:p>
        </w:tc>
      </w:tr>
      <w:tr>
        <w:trPr>
          <w:trHeight w:val="237"/>
        </w:trPr>
        <w:tc>
          <w:tcPr>
            <w:tcW w:w="538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239,239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258,259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221,186</w:t>
            </w:r>
          </w:p>
        </w:tc>
      </w:tr>
      <w:tr>
        <w:trPr>
          <w:trHeight w:val="33"/>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Finished goods 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519,752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574,226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479,344</w:t>
            </w:r>
          </w:p>
        </w:tc>
      </w:tr>
      <w:tr>
        <w:trPr>
          <w:trHeight w:val="237"/>
        </w:trPr>
        <w:tc>
          <w:tcPr>
            <w:tcW w:w="538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51,887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40,396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54,297</w:t>
            </w:r>
          </w:p>
        </w:tc>
      </w:tr>
      <w:tr>
        <w:trPr>
          <w:trHeight w:val="33"/>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971,027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1,042,958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935,083</w:t>
            </w:r>
          </w:p>
        </w:tc>
      </w:tr>
      <w:tr>
        <w:trPr>
          <w:trHeight w:val="220"/>
        </w:trPr>
        <w:tc>
          <w:tcPr>
            <w:tcW w:w="5380" w:type="dxa"/>
            <w:vAlign w:val="bottom"/>
          </w:tcPr>
          <w:p>
            <w:pPr>
              <w:ind w:left="40"/>
              <w:spacing w:after="0"/>
              <w:rPr>
                <w:sz w:val="20"/>
                <w:szCs w:val="20"/>
                <w:color w:val="auto"/>
              </w:rPr>
            </w:pPr>
            <w:r>
              <w:rPr>
                <w:rFonts w:ascii="Arial" w:cs="Arial" w:eastAsia="Arial" w:hAnsi="Arial"/>
                <w:sz w:val="16"/>
                <w:szCs w:val="16"/>
                <w:color w:val="auto"/>
                <w:w w:val="97"/>
              </w:rPr>
              <w:t>Property, plant, and equipment, net of accumulated depreciation of $468,251,</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06"/>
        </w:trPr>
        <w:tc>
          <w:tcPr>
            <w:tcW w:w="5380" w:type="dxa"/>
            <w:vAlign w:val="bottom"/>
          </w:tcPr>
          <w:p>
            <w:pPr>
              <w:ind w:left="40"/>
              <w:spacing w:after="0"/>
              <w:rPr>
                <w:sz w:val="20"/>
                <w:szCs w:val="20"/>
                <w:color w:val="auto"/>
              </w:rPr>
            </w:pPr>
            <w:r>
              <w:rPr>
                <w:rFonts w:ascii="Arial" w:cs="Arial" w:eastAsia="Arial" w:hAnsi="Arial"/>
                <w:sz w:val="16"/>
                <w:szCs w:val="16"/>
                <w:color w:val="auto"/>
              </w:rPr>
              <w:t>$448,898, and $416,153, respectively</w:t>
            </w:r>
          </w:p>
        </w:tc>
        <w:tc>
          <w:tcPr>
            <w:tcW w:w="280" w:type="dxa"/>
            <w:vAlign w:val="bottom"/>
          </w:tcPr>
          <w:p>
            <w:pPr>
              <w:spacing w:after="0"/>
              <w:rPr>
                <w:sz w:val="17"/>
                <w:szCs w:val="17"/>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337,475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350,437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369,064</w:t>
            </w:r>
          </w:p>
        </w:tc>
      </w:tr>
      <w:tr>
        <w:trPr>
          <w:trHeight w:val="33"/>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assets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704,554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Tradenames, net</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365,630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365,692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365,506</w:t>
            </w:r>
          </w:p>
        </w:tc>
      </w:tr>
      <w:tr>
        <w:trPr>
          <w:trHeight w:val="33"/>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228,019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230,008</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Customer relationships, net</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43,669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44,511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47,369</w:t>
            </w:r>
          </w:p>
        </w:tc>
      </w:tr>
      <w:tr>
        <w:trPr>
          <w:trHeight w:val="33"/>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29,570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28,159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28,176</w:t>
            </w:r>
          </w:p>
        </w:tc>
      </w:tr>
      <w:tr>
        <w:trPr>
          <w:trHeight w:val="284"/>
        </w:trPr>
        <w:tc>
          <w:tcPr>
            <w:tcW w:w="538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assets</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2,679,944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2,058,858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1,975,206</w:t>
            </w:r>
          </w:p>
        </w:tc>
      </w:tr>
      <w:tr>
        <w:trPr>
          <w:trHeight w:val="203"/>
        </w:trPr>
        <w:tc>
          <w:tcPr>
            <w:tcW w:w="5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108,221</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199,076</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116,310</w:t>
            </w:r>
          </w:p>
        </w:tc>
      </w:tr>
      <w:tr>
        <w:trPr>
          <w:trHeight w:val="33"/>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operating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152,157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38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101,376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128,345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109,626</w:t>
            </w:r>
          </w:p>
        </w:tc>
      </w:tr>
      <w:tr>
        <w:trPr>
          <w:trHeight w:val="33"/>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361,754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327,421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225,936</w:t>
            </w:r>
          </w:p>
        </w:tc>
      </w:tr>
      <w:tr>
        <w:trPr>
          <w:trHeight w:val="216"/>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625,278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593,264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617,541</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90,230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87,347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87,422</w:t>
            </w:r>
          </w:p>
        </w:tc>
      </w:tr>
      <w:tr>
        <w:trPr>
          <w:trHeight w:val="33"/>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operating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692,056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61,222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181,393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189,493</w:t>
            </w:r>
          </w:p>
        </w:tc>
      </w:tr>
      <w:tr>
        <w:trPr>
          <w:trHeight w:val="33"/>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53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1,830,540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1,189,425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1,120,392</w:t>
            </w:r>
          </w:p>
        </w:tc>
      </w:tr>
      <w:tr>
        <w:trPr>
          <w:trHeight w:val="216"/>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 Note 14</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16"/>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20"/>
        </w:trPr>
        <w:tc>
          <w:tcPr>
            <w:tcW w:w="5380" w:type="dxa"/>
            <w:vAlign w:val="bottom"/>
          </w:tcPr>
          <w:p>
            <w:pPr>
              <w:ind w:left="40"/>
              <w:spacing w:after="0"/>
              <w:rPr>
                <w:sz w:val="20"/>
                <w:szCs w:val="20"/>
                <w:color w:val="auto"/>
              </w:rPr>
            </w:pPr>
            <w:r>
              <w:rPr>
                <w:rFonts w:ascii="Arial" w:cs="Arial" w:eastAsia="Arial" w:hAnsi="Arial"/>
                <w:sz w:val="16"/>
                <w:szCs w:val="16"/>
                <w:color w:val="auto"/>
                <w:w w:val="91"/>
              </w:rPr>
              <w:t>Preferred stock; par value $.01 per share; 100,000 shares authorized; none issued</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06"/>
        </w:trPr>
        <w:tc>
          <w:tcPr>
            <w:tcW w:w="5380" w:type="dxa"/>
            <w:vAlign w:val="bottom"/>
          </w:tcPr>
          <w:p>
            <w:pPr>
              <w:ind w:left="40"/>
              <w:spacing w:after="0"/>
              <w:rPr>
                <w:sz w:val="20"/>
                <w:szCs w:val="20"/>
                <w:color w:val="auto"/>
              </w:rPr>
            </w:pPr>
            <w:r>
              <w:rPr>
                <w:rFonts w:ascii="Arial" w:cs="Arial" w:eastAsia="Arial" w:hAnsi="Arial"/>
                <w:sz w:val="16"/>
                <w:szCs w:val="16"/>
                <w:color w:val="auto"/>
                <w:w w:val="99"/>
              </w:rPr>
              <w:t>or outstanding at March 30, 2019, December 29, 2018, and March 31, 2018</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Common stock, voting; par value $.01 per share; 150,000,000 shares authorized;</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03"/>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45,379,827, 45,629,014 and 47,113,576 shares issued and outstanding at March</w:t>
            </w: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1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30, 2019, December 29, 2018 and March 31, 2018, respectively</w:t>
            </w:r>
          </w:p>
        </w:tc>
        <w:tc>
          <w:tcPr>
            <w:tcW w:w="2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471</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(39,428)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(40,839)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(30,855)</w:t>
            </w:r>
          </w:p>
        </w:tc>
      </w:tr>
      <w:tr>
        <w:trPr>
          <w:trHeight w:val="33"/>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888,378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909,816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885,198</w:t>
            </w: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849,404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869,433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854,814</w:t>
            </w:r>
          </w:p>
        </w:tc>
      </w:tr>
      <w:tr>
        <w:trPr>
          <w:trHeight w:val="33"/>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2,679,944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2,058,858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1,975,206</w:t>
            </w: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gridSpan w:val="4"/>
          </w:tcPr>
          <w:p>
            <w:pPr>
              <w:jc w:val="right"/>
              <w:ind w:right="1179"/>
              <w:spacing w:after="0"/>
              <w:rPr>
                <w:sz w:val="20"/>
                <w:szCs w:val="20"/>
                <w:color w:val="auto"/>
              </w:rPr>
            </w:pPr>
            <w:r>
              <w:rPr>
                <w:rFonts w:ascii="Arial" w:cs="Arial" w:eastAsia="Arial" w:hAnsi="Arial"/>
                <w:sz w:val="16"/>
                <w:szCs w:val="16"/>
                <w:b w:val="1"/>
                <w:bCs w:val="1"/>
                <w:color w:val="auto"/>
              </w:rPr>
              <w:t>Fiscal quarter ended</w:t>
            </w: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30, 2019</w:t>
            </w:r>
          </w:p>
        </w:tc>
        <w:tc>
          <w:tcPr>
            <w:tcW w:w="260" w:type="dxa"/>
            <w:vAlign w:val="bottom"/>
          </w:tcPr>
          <w:p>
            <w:pPr>
              <w:spacing w:after="0"/>
              <w:rPr>
                <w:sz w:val="20"/>
                <w:szCs w:val="20"/>
                <w:color w:val="auto"/>
              </w:rPr>
            </w:pPr>
          </w:p>
        </w:tc>
        <w:tc>
          <w:tcPr>
            <w:tcW w:w="1660" w:type="dxa"/>
            <w:vAlign w:val="bottom"/>
          </w:tcPr>
          <w:p>
            <w:pPr>
              <w:jc w:val="right"/>
              <w:ind w:right="339"/>
              <w:spacing w:after="0"/>
              <w:rPr>
                <w:sz w:val="20"/>
                <w:szCs w:val="20"/>
                <w:color w:val="auto"/>
              </w:rPr>
            </w:pPr>
            <w:r>
              <w:rPr>
                <w:rFonts w:ascii="Arial" w:cs="Arial" w:eastAsia="Arial" w:hAnsi="Arial"/>
                <w:sz w:val="16"/>
                <w:szCs w:val="16"/>
                <w:b w:val="1"/>
                <w:bCs w:val="1"/>
                <w:color w:val="auto"/>
              </w:rPr>
              <w:t>March 31, 2018</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741,057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755,786</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425,190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423,309</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315,867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332,477</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Royalty income, net</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8,544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7,994</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263,652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280,162</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60,759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60,309</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7,985</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(income), net</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7,823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52,872</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9,280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10,403</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34,466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42,469</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net income per common share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0.90</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Diluted net income per common share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0.75</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0.89</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 declared and paid per common share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0.50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0.45</w:t>
            </w:r>
          </w:p>
        </w:tc>
      </w:tr>
      <w:tr>
        <w:trPr>
          <w:trHeight w:val="33"/>
        </w:trPr>
        <w:tc>
          <w:tcPr>
            <w:tcW w:w="7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20" w:type="dxa"/>
            <w:vAlign w:val="bottom"/>
            <w:gridSpan w:val="5"/>
          </w:tcPr>
          <w:p>
            <w:pPr>
              <w:ind w:left="920"/>
              <w:spacing w:after="0"/>
              <w:rPr>
                <w:sz w:val="20"/>
                <w:szCs w:val="20"/>
                <w:color w:val="auto"/>
              </w:rPr>
            </w:pPr>
            <w:r>
              <w:rPr>
                <w:rFonts w:ascii="Arial" w:cs="Arial" w:eastAsia="Arial" w:hAnsi="Arial"/>
                <w:sz w:val="16"/>
                <w:szCs w:val="16"/>
                <w:b w:val="1"/>
                <w:bCs w:val="1"/>
                <w:color w:val="auto"/>
              </w:rPr>
              <w:t>Fiscal quarter ended</w:t>
            </w:r>
          </w:p>
        </w:tc>
      </w:tr>
      <w:tr>
        <w:trPr>
          <w:trHeight w:val="33"/>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1"/>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30, 2019</w:t>
            </w:r>
          </w:p>
        </w:tc>
        <w:tc>
          <w:tcPr>
            <w:tcW w:w="24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2018</w:t>
            </w:r>
          </w:p>
        </w:tc>
      </w:tr>
      <w:tr>
        <w:trPr>
          <w:trHeight w:val="3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3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34,466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42,469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(1,762)</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44"/>
        </w:trPr>
        <w:tc>
          <w:tcPr>
            <w:tcW w:w="75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37,377</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40,707</w:t>
            </w:r>
          </w:p>
        </w:tc>
        <w:tc>
          <w:tcPr>
            <w:tcW w:w="100" w:type="dxa"/>
            <w:vAlign w:val="bottom"/>
          </w:tcPr>
          <w:p>
            <w:pPr>
              <w:spacing w:after="0"/>
              <w:rPr>
                <w:sz w:val="21"/>
                <w:szCs w:val="21"/>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amounts in thousands, except share amounts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Additional</w:t>
            </w: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 other</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2880" w:type="dxa"/>
            <w:vAlign w:val="bottom"/>
          </w:tcPr>
          <w:p>
            <w:pPr>
              <w:spacing w:after="0"/>
              <w:rPr>
                <w:sz w:val="17"/>
                <w:szCs w:val="17"/>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Common stock -</w:t>
            </w:r>
          </w:p>
        </w:tc>
        <w:tc>
          <w:tcPr>
            <w:tcW w:w="2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Common</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paid-in</w:t>
            </w: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comprehensive</w:t>
            </w:r>
          </w:p>
        </w:tc>
        <w:tc>
          <w:tcPr>
            <w:tcW w:w="20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stockholders’</w:t>
            </w:r>
          </w:p>
        </w:tc>
      </w:tr>
      <w:tr>
        <w:trPr>
          <w:trHeight w:val="210"/>
        </w:trPr>
        <w:tc>
          <w:tcPr>
            <w:tcW w:w="288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5"/>
              </w:rPr>
              <w:t>shares</w:t>
            </w:r>
          </w:p>
        </w:tc>
        <w:tc>
          <w:tcPr>
            <w:tcW w:w="20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stock - $</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capital</w:t>
            </w: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74"/>
              </w:rPr>
              <w:t>loss</w:t>
            </w:r>
          </w:p>
        </w:tc>
        <w:tc>
          <w:tcPr>
            <w:tcW w:w="20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28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30, 2017</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47,178,346</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(29,093)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886,037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857,416</w:t>
            </w:r>
          </w:p>
        </w:tc>
      </w:tr>
      <w:tr>
        <w:trPr>
          <w:trHeight w:val="237"/>
        </w:trPr>
        <w:tc>
          <w:tcPr>
            <w:tcW w:w="288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95,006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4,768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4,769</w:t>
            </w:r>
          </w:p>
        </w:tc>
      </w:tr>
      <w:tr>
        <w:trPr>
          <w:trHeight w:val="33"/>
        </w:trPr>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Withholdings from vesting of restricted</w:t>
            </w: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(55,164)</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(6,583)</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Restricted stock activity</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116,701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4,944</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Repurchase of common stock</w:t>
            </w:r>
          </w:p>
        </w:tc>
        <w:tc>
          <w:tcPr>
            <w:tcW w:w="1360" w:type="dxa"/>
            <w:vAlign w:val="bottom"/>
          </w:tcPr>
          <w:p>
            <w:pPr>
              <w:jc w:val="right"/>
              <w:spacing w:after="0"/>
              <w:rPr>
                <w:sz w:val="20"/>
                <w:szCs w:val="20"/>
                <w:color w:val="auto"/>
              </w:rPr>
            </w:pPr>
            <w:r>
              <w:rPr>
                <w:rFonts w:ascii="Arial" w:cs="Arial" w:eastAsia="Arial" w:hAnsi="Arial"/>
                <w:sz w:val="16"/>
                <w:szCs w:val="16"/>
                <w:color w:val="auto"/>
              </w:rPr>
              <w:t>(221,313)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(22,064)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(25,195)</w:t>
            </w:r>
          </w:p>
        </w:tc>
      </w:tr>
      <w:tr>
        <w:trPr>
          <w:trHeight w:val="33"/>
        </w:trPr>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declared and paid</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(21,244)</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42,469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40,707</w:t>
            </w:r>
          </w:p>
        </w:tc>
      </w:tr>
      <w:tr>
        <w:trPr>
          <w:trHeight w:val="33"/>
        </w:trPr>
        <w:tc>
          <w:tcPr>
            <w:tcW w:w="28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31, 2018</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47,113,576</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(30,855)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885,198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854,814</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2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29, 2018</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45,629,014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909,816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869,433</w:t>
            </w:r>
          </w:p>
        </w:tc>
      </w:tr>
      <w:tr>
        <w:trPr>
          <w:trHeight w:val="237"/>
        </w:trPr>
        <w:tc>
          <w:tcPr>
            <w:tcW w:w="288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72,192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4,779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4,780</w:t>
            </w:r>
          </w:p>
        </w:tc>
      </w:tr>
      <w:tr>
        <w:trPr>
          <w:trHeight w:val="33"/>
        </w:trPr>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Withholdings from vesting of restricted</w:t>
            </w: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(43,844)</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(4,077)</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Restricted stock activity</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182,722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4,613</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Repurchase of common stock</w:t>
            </w:r>
          </w:p>
        </w:tc>
        <w:tc>
          <w:tcPr>
            <w:tcW w:w="1360" w:type="dxa"/>
            <w:vAlign w:val="bottom"/>
          </w:tcPr>
          <w:p>
            <w:pPr>
              <w:jc w:val="right"/>
              <w:spacing w:after="0"/>
              <w:rPr>
                <w:sz w:val="20"/>
                <w:szCs w:val="20"/>
                <w:color w:val="auto"/>
              </w:rPr>
            </w:pPr>
            <w:r>
              <w:rPr>
                <w:rFonts w:ascii="Arial" w:cs="Arial" w:eastAsia="Arial" w:hAnsi="Arial"/>
                <w:sz w:val="16"/>
                <w:szCs w:val="16"/>
                <w:color w:val="auto"/>
              </w:rPr>
              <w:t>(460,257)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(34,648)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(39,966)</w:t>
            </w:r>
          </w:p>
        </w:tc>
      </w:tr>
      <w:tr>
        <w:trPr>
          <w:trHeight w:val="33"/>
        </w:trPr>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declared and paid</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(22,756)</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2,911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34,466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37,377</w:t>
            </w:r>
          </w:p>
        </w:tc>
      </w:tr>
      <w:tr>
        <w:trPr>
          <w:trHeight w:val="33"/>
        </w:trPr>
        <w:tc>
          <w:tcPr>
            <w:tcW w:w="2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 of tax effects</w:t>
            </w:r>
            <w:r>
              <w:rPr>
                <w:rFonts w:ascii="Arial" w:cs="Arial" w:eastAsia="Arial" w:hAnsi="Arial"/>
                <w:sz w:val="21"/>
                <w:szCs w:val="21"/>
                <w:color w:val="auto"/>
                <w:vertAlign w:val="superscript"/>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Balance at March 30, 2019</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45,379,827</w:t>
            </w:r>
          </w:p>
        </w:tc>
        <w:tc>
          <w:tcPr>
            <w:tcW w:w="14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(39,428)</w:t>
            </w:r>
          </w:p>
        </w:tc>
        <w:tc>
          <w:tcPr>
            <w:tcW w:w="1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888,378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849,404</w:t>
            </w:r>
          </w:p>
        </w:tc>
      </w:tr>
      <w:tr>
        <w:trPr>
          <w:trHeight w:val="20"/>
        </w:trPr>
        <w:tc>
          <w:tcPr>
            <w:tcW w:w="28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line="257"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The Company reclassified $1.5 million of tax benefits from "Accumulated other comprehensive loss" to "Retained earnings" for the tax effects resulting from the December 22, 2017 enactment of the Tax Cut and Jobs Act in accordance with the adoption of ASU 2018-02, </w:t>
      </w:r>
      <w:r>
        <w:rPr>
          <w:rFonts w:ascii="Arial" w:cs="Arial" w:eastAsia="Arial" w:hAnsi="Arial"/>
          <w:sz w:val="14"/>
          <w:szCs w:val="14"/>
          <w:i w:val="1"/>
          <w:iCs w:val="1"/>
          <w:color w:val="auto"/>
        </w:rPr>
        <w:t>Reclassification of Certain Tax Effects from Accumulated Other Comprehensive Income</w:t>
      </w:r>
      <w:r>
        <w:rPr>
          <w:rFonts w:ascii="Arial" w:cs="Arial" w:eastAsia="Arial" w:hAnsi="Arial"/>
          <w:sz w:val="14"/>
          <w:szCs w:val="14"/>
          <w:color w:val="auto"/>
        </w:rPr>
        <w:t xml:space="preserve"> in the first quarter of fiscal 2019.</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gridSpan w:val="4"/>
          </w:tcPr>
          <w:p>
            <w:pPr>
              <w:jc w:val="right"/>
              <w:ind w:right="1179"/>
              <w:spacing w:after="0"/>
              <w:rPr>
                <w:sz w:val="20"/>
                <w:szCs w:val="20"/>
                <w:color w:val="auto"/>
              </w:rPr>
            </w:pPr>
            <w:r>
              <w:rPr>
                <w:rFonts w:ascii="Arial" w:cs="Arial" w:eastAsia="Arial" w:hAnsi="Arial"/>
                <w:sz w:val="16"/>
                <w:szCs w:val="16"/>
                <w:b w:val="1"/>
                <w:bCs w:val="1"/>
                <w:color w:val="auto"/>
              </w:rPr>
              <w:t>Fiscal quarter ended</w:t>
            </w: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30, 2019</w:t>
            </w:r>
          </w:p>
        </w:tc>
        <w:tc>
          <w:tcPr>
            <w:tcW w:w="260" w:type="dxa"/>
            <w:vAlign w:val="bottom"/>
          </w:tcPr>
          <w:p>
            <w:pPr>
              <w:spacing w:after="0"/>
              <w:rPr>
                <w:sz w:val="20"/>
                <w:szCs w:val="20"/>
                <w:color w:val="auto"/>
              </w:rPr>
            </w:pPr>
          </w:p>
        </w:tc>
        <w:tc>
          <w:tcPr>
            <w:tcW w:w="1660" w:type="dxa"/>
            <w:vAlign w:val="bottom"/>
          </w:tcPr>
          <w:p>
            <w:pPr>
              <w:jc w:val="right"/>
              <w:ind w:right="339"/>
              <w:spacing w:after="0"/>
              <w:rPr>
                <w:sz w:val="20"/>
                <w:szCs w:val="20"/>
                <w:color w:val="auto"/>
              </w:rPr>
            </w:pPr>
            <w:r>
              <w:rPr>
                <w:rFonts w:ascii="Arial" w:cs="Arial" w:eastAsia="Arial" w:hAnsi="Arial"/>
                <w:sz w:val="16"/>
                <w:szCs w:val="16"/>
                <w:b w:val="1"/>
                <w:bCs w:val="1"/>
                <w:color w:val="auto"/>
              </w:rPr>
              <w:t>March 31, 2018</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34,466</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42,469</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Depreciation of property, plant, and equipment</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22,629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21,137</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921</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431</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4,944</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Unrealized foreign currency exchange gain, net</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(353)</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Provisions for doubtful accounts receivable from customers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11,051</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7,823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disposal of property, plant, and equipment, net of recoveries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3,242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2,968</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changes in operating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21,891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8,623</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Finished goods 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68,294</w:t>
            </w: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(717,808)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(1,970)</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and 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605,350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(94,758)</w:t>
            </w:r>
          </w:p>
        </w:tc>
      </w:tr>
      <w:tr>
        <w:trPr>
          <w:trHeight w:val="217"/>
        </w:trPr>
        <w:tc>
          <w:tcPr>
            <w:tcW w:w="7440" w:type="dxa"/>
            <w:vAlign w:val="bottom"/>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37,023</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64,107</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0"/>
        </w:trPr>
        <w:tc>
          <w:tcPr>
            <w:tcW w:w="7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(14,744)</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Disposals and recoveries from property, plant, and equipment</w:t>
            </w:r>
          </w:p>
        </w:tc>
        <w:tc>
          <w:tcPr>
            <w:tcW w:w="280" w:type="dxa"/>
            <w:vAlign w:val="bottom"/>
          </w:tcPr>
          <w:p>
            <w:pPr>
              <w:spacing w:after="0"/>
              <w:rPr>
                <w:sz w:val="20"/>
                <w:szCs w:val="20"/>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373</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(14,371)</w:t>
            </w:r>
          </w:p>
        </w:tc>
      </w:tr>
      <w:tr>
        <w:trPr>
          <w:trHeight w:val="210"/>
        </w:trPr>
        <w:tc>
          <w:tcPr>
            <w:tcW w:w="74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Proceeds from senior subordinated notes due 2027</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 of senior subordinated notes due 2021</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Premiums paid to extinguish debt</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(5,252)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 of 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Borrowings under secured revolving credit facility</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70,000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50,000</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secured revolving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Repurchases of common stock</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(39,966)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(25,195)</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 paid</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(21,244)</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Withholdings from vestings of restricted stock</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(4,077)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(6,583)</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exercises of stock options</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4,769</w:t>
            </w:r>
          </w:p>
        </w:tc>
      </w:tr>
      <w:tr>
        <w:trPr>
          <w:trHeight w:val="217"/>
        </w:trPr>
        <w:tc>
          <w:tcPr>
            <w:tcW w:w="7440" w:type="dxa"/>
            <w:vAlign w:val="bottom"/>
          </w:tcPr>
          <w:p>
            <w:pPr>
              <w:ind w:left="60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(37,993)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(48,253)</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0"/>
        </w:trPr>
        <w:tc>
          <w:tcPr>
            <w:tcW w:w="7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279</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 increase in cash and cash equivalents</w:t>
            </w:r>
          </w:p>
        </w:tc>
        <w:tc>
          <w:tcPr>
            <w:tcW w:w="2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1,762</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170,077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178,494</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160,149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180,256</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4" w:right="2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w:t>
      </w:r>
    </w:p>
    <w:p>
      <w:pPr>
        <w:spacing w:after="0" w:line="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Carter's, Inc. and its wholly owned subsidiaries (collectively, the "Company," "its," "us" and "our") design, source, and market branded childrenswear under the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w:t>
      </w:r>
      <w:r>
        <w:rPr>
          <w:rFonts w:ascii="Arial" w:cs="Arial" w:eastAsia="Arial" w:hAnsi="Arial"/>
          <w:sz w:val="18"/>
          <w:szCs w:val="18"/>
          <w:i w:val="1"/>
          <w:iCs w:val="1"/>
          <w:color w:val="auto"/>
        </w:rPr>
        <w:t>Child of Mine</w:t>
      </w:r>
      <w:r>
        <w:rPr>
          <w:rFonts w:ascii="Arial" w:cs="Arial" w:eastAsia="Arial" w:hAnsi="Arial"/>
          <w:sz w:val="18"/>
          <w:szCs w:val="18"/>
          <w:color w:val="auto"/>
        </w:rPr>
        <w:t xml:space="preserve">, </w:t>
      </w:r>
      <w:r>
        <w:rPr>
          <w:rFonts w:ascii="Arial" w:cs="Arial" w:eastAsia="Arial" w:hAnsi="Arial"/>
          <w:sz w:val="18"/>
          <w:szCs w:val="18"/>
          <w:i w:val="1"/>
          <w:iCs w:val="1"/>
          <w:color w:val="auto"/>
        </w:rPr>
        <w:t>Just One You</w:t>
      </w:r>
      <w:r>
        <w:rPr>
          <w:rFonts w:ascii="Arial" w:cs="Arial" w:eastAsia="Arial" w:hAnsi="Arial"/>
          <w:sz w:val="18"/>
          <w:szCs w:val="18"/>
          <w:color w:val="auto"/>
        </w:rPr>
        <w:t xml:space="preserve">, </w:t>
      </w:r>
      <w:r>
        <w:rPr>
          <w:rFonts w:ascii="Arial" w:cs="Arial" w:eastAsia="Arial" w:hAnsi="Arial"/>
          <w:sz w:val="18"/>
          <w:szCs w:val="18"/>
          <w:i w:val="1"/>
          <w:iCs w:val="1"/>
          <w:color w:val="auto"/>
        </w:rPr>
        <w:t>Precious Firsts</w:t>
      </w:r>
      <w:r>
        <w:rPr>
          <w:rFonts w:ascii="Arial" w:cs="Arial" w:eastAsia="Arial" w:hAnsi="Arial"/>
          <w:sz w:val="18"/>
          <w:szCs w:val="18"/>
          <w:color w:val="auto"/>
        </w:rPr>
        <w:t xml:space="preserve">, </w:t>
      </w:r>
      <w:r>
        <w:rPr>
          <w:rFonts w:ascii="Arial" w:cs="Arial" w:eastAsia="Arial" w:hAnsi="Arial"/>
          <w:sz w:val="18"/>
          <w:szCs w:val="18"/>
          <w:i w:val="1"/>
          <w:iCs w:val="1"/>
          <w:color w:val="auto"/>
        </w:rPr>
        <w:t>Precious Baby, Simple Joys</w:t>
      </w:r>
      <w:r>
        <w:rPr>
          <w:rFonts w:ascii="Arial" w:cs="Arial" w:eastAsia="Arial" w:hAnsi="Arial"/>
          <w:sz w:val="18"/>
          <w:szCs w:val="18"/>
          <w:color w:val="auto"/>
        </w:rPr>
        <w:t xml:space="preserve">, </w:t>
      </w:r>
      <w:r>
        <w:rPr>
          <w:rFonts w:ascii="Arial" w:cs="Arial" w:eastAsia="Arial" w:hAnsi="Arial"/>
          <w:sz w:val="18"/>
          <w:szCs w:val="18"/>
          <w:i w:val="1"/>
          <w:iCs w:val="1"/>
          <w:color w:val="auto"/>
        </w:rPr>
        <w:t>OshKosh B'gosh</w:t>
      </w:r>
      <w:r>
        <w:rPr>
          <w:rFonts w:ascii="Arial" w:cs="Arial" w:eastAsia="Arial" w:hAnsi="Arial"/>
          <w:sz w:val="18"/>
          <w:szCs w:val="18"/>
          <w:color w:val="auto"/>
        </w:rPr>
        <w:t xml:space="preserve">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and other brands. The Company's products are sourced through contractual arrangements with manufacturers worldwide for: 1) wholesale distribution to leading department stores, national chains, and specialty retailers domestically and internationally and 2) distribution to the Company's own retail stores and eCommerce sites that market its brand name merchandise and other licensed products manufactured by other companies. As of March 30, 2019, the Company operated 1,063 retail stores in the United States, Canada, and Mexico.</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w:t>
      </w:r>
    </w:p>
    <w:p>
      <w:pPr>
        <w:spacing w:after="0" w:line="94"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("U.S. GAAP") for interim financial information and the rules and regulations of the Securities and Exchange Commission (the "SEC"). All intercompany transactions and balances have been eliminated in consolidation.</w:t>
      </w:r>
    </w:p>
    <w:p>
      <w:pPr>
        <w:spacing w:after="0" w:line="1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normal and recurring adjustments necessary to state fairly the consolidated financial condition, results of operations, comprehensive income, statement of stockholders' equity, and cash flows of the Company for the interim periods presented. Except as otherwise disclosed, all such adjustments consist only of those of a normal recurring nature. Operating results for the fiscal quarter ended March 30, 2019 are not necessarily indicative of the results that may be expected for the current fiscal year ending December 28, 2019.</w:t>
      </w:r>
    </w:p>
    <w:p>
      <w:pPr>
        <w:spacing w:after="0" w:line="14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preparation of these unaudited condensed consolidated financial statements in conformity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w:t>
      </w:r>
    </w:p>
    <w:p>
      <w:pPr>
        <w:spacing w:after="0" w:line="14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accompanying condensed consolidated balance sheet as of December 29, 2018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9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accounting policies the Company follows are set forth in its most recently filed Annual Report on Form 10-K. There have been no material changes to these accounting policies, except as noted below for new accounting pronouncements adopted at the beginning of fiscal 2019.</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February 2016, the Financial Accounting Standards Board (“FASB”) issued ASC No.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 new standard related to leases to increase transparency and comparability among organizations by requiring the recognition of right-of-use ("ROU") assets and lease liabilities on the balance sheet. Most prominent among the changes in the standard is the recognition of ROU assets and lease liabilities by lessees for those leases classified as operating. Under the standard, disclosures are required to meet the objective of enabling users of financial statements to assess the amount, timing, and uncertainty of cash flows arising from leases.</w:t>
      </w:r>
    </w:p>
    <w:p>
      <w:pPr>
        <w:spacing w:after="0" w:line="14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At the beginning of fiscal 2019, the Company adopted the provisions of ASC No. 842, </w:t>
      </w:r>
      <w:r>
        <w:rPr>
          <w:rFonts w:ascii="Arial" w:cs="Arial" w:eastAsia="Arial" w:hAnsi="Arial"/>
          <w:sz w:val="18"/>
          <w:szCs w:val="18"/>
          <w:i w:val="1"/>
          <w:iCs w:val="1"/>
          <w:color w:val="auto"/>
        </w:rPr>
        <w:t>Leases</w:t>
      </w:r>
      <w:r>
        <w:rPr>
          <w:rFonts w:ascii="Arial" w:cs="Arial" w:eastAsia="Arial" w:hAnsi="Arial"/>
          <w:sz w:val="18"/>
          <w:szCs w:val="18"/>
          <w:color w:val="auto"/>
        </w:rPr>
        <w:t>, using a modified retrospective approach as an optional transition method. This approach allows the Company to apply the standard and related disclosures to the financial statements for the period of adoption and to apply the old guidance in the comparative periods.</w:t>
      </w:r>
    </w:p>
    <w:p>
      <w:pPr>
        <w:spacing w:after="0" w:line="14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standard had a material impact on our consolidated balance sheets, but did not have a material impact on our consolidated income statements or statement of cash flows. The most significant impact was the recognition of ROU assets and lease liabilities for operating leases. Finance leases are not material to the Company's consolidated balance sheets, consolidated income statements or statement of cash flows.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Presentation</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determines if an arrangement is a lease at inception. Operating leases are included in operating lease assets, current operating lease liabilities, and long-term operating lease liabilities in our consolidated balance sheets.</w:t>
      </w:r>
    </w:p>
    <w:p>
      <w:pPr>
        <w:spacing w:after="0" w:line="13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Our lease terms may include options to extend or terminate the lease when it is reasonably certain that we will exercise that option.</w:t>
      </w:r>
    </w:p>
    <w:p>
      <w:pPr>
        <w:spacing w:after="0" w:line="10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operating lease ROU asset also includes initial direct costs and excludes lease incentives. Lease expense is recognized on a straight-line basis over the lease term.</w:t>
      </w:r>
    </w:p>
    <w:p>
      <w:pPr>
        <w:spacing w:after="0" w:line="13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Certain of our lease agreements include variable rental payments based on a percentage of retail sales over contractual levels and others include variable rental payments adjusted periodically for inflation. Our lease agreements do not contain any material residual value guarantees or material restrictive covenants.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Elections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Practical Expedient Package: The Company has elected the following expedients and apply them consistently to all leases:</w:t>
      </w:r>
    </w:p>
    <w:p>
      <w:pPr>
        <w:spacing w:after="0" w:line="90"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will not revisit whether a contract is, or contains, a lease under the ASC 842 definition of a lease.</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Lease classification determined under prior guidance will not be reevaluated under ASC 842.</w:t>
      </w:r>
    </w:p>
    <w:p>
      <w:pPr>
        <w:spacing w:after="0" w:line="90"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Previously capitalized initial direct costs under prior guidance will be carried forward. Any initial direct costs after the effective date will be included within the ROU asset under ASC 842.</w:t>
      </w:r>
    </w:p>
    <w:p>
      <w:pPr>
        <w:spacing w:after="0" w:line="13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Portfolio approach - In general, the Company accounts for the underlying leased asset and applies a discount rate at the lease level. However, there are certain non-real estate leases for which the Company utilizes the portfolio method by aggregating similar leased assets based on the underlying lease term.</w:t>
      </w:r>
    </w:p>
    <w:p>
      <w:pPr>
        <w:spacing w:after="0" w:line="8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Non-lease component - The Company has lease agreements with lease and non-lease components. The Company elected a policy to account for lease and non-lease components as a single component for all asset classes.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Short-term lease - Leases with an initial term of 12 months or less are not recorded on the balance sheet.</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Discount rate - As most of the Company's leases do not provide an implicit rate, the Company uses the incremental borrowing rate based on the information available at commencement date in determining the present value of lease payments.</w:t>
      </w:r>
    </w:p>
    <w:p>
      <w:pPr>
        <w:spacing w:after="0" w:line="1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Renewal options - The Company evaluates the inclusion of renewal options on a lease by lease basis. In general, for leased retail real estate, the Company does not include renewal options in the underlying lease term.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 of Certain Tax Effects from Accumulated Other Comprehensive Income (ASU 2018-02)</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In first quarter of fiscal 2019, the Company adopted ASU No. 2018-02, </w:t>
      </w:r>
      <w:r>
        <w:rPr>
          <w:rFonts w:ascii="Arial" w:cs="Arial" w:eastAsia="Arial" w:hAnsi="Arial"/>
          <w:sz w:val="18"/>
          <w:szCs w:val="18"/>
          <w:i w:val="1"/>
          <w:iCs w:val="1"/>
          <w:color w:val="auto"/>
        </w:rPr>
        <w:t>Reclassification of Certain Tax Effects from Accumulated Other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w:t>
      </w:r>
      <w:r>
        <w:rPr>
          <w:rFonts w:ascii="Arial" w:cs="Arial" w:eastAsia="Arial" w:hAnsi="Arial"/>
          <w:sz w:val="18"/>
          <w:szCs w:val="18"/>
          <w:color w:val="auto"/>
        </w:rPr>
        <w:t>("ASU 2018-02"). The adoption of ASU 2018-02 allowed the Company to move "stranded" tax amounts from its accumulated other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loss to retained earnings. The effect of the adoption of ASU 2018-02 was not material to the Company's financial position and did not have an effect on the Company's consolidated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RECOGNITION</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revenues are earned from contracts or arrangements with retail and wholesale customers and licensees. Contracts include written agreements, as well as arrangements that are implied by customary practices or law.</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337"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9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Company sells its products directly to consumers ("direct-to-consumer") and to other retail companies and partners that subsequently sell the products directly to their own retail customers. The Company also earns royalties from its licensees. Disaggregated revenues from these sources for the first quarter ended fiscal 2019 and 2018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gridSpan w:val="7"/>
          </w:tcPr>
          <w:p>
            <w:pPr>
              <w:ind w:left="140"/>
              <w:spacing w:after="0"/>
              <w:rPr>
                <w:sz w:val="20"/>
                <w:szCs w:val="20"/>
                <w:color w:val="auto"/>
              </w:rPr>
            </w:pPr>
            <w:r>
              <w:rPr>
                <w:rFonts w:ascii="Arial" w:cs="Arial" w:eastAsia="Arial" w:hAnsi="Arial"/>
                <w:sz w:val="16"/>
                <w:szCs w:val="16"/>
                <w:b w:val="1"/>
                <w:bCs w:val="1"/>
                <w:color w:val="auto"/>
              </w:rPr>
              <w:t>Fiscal quarter ended March 30, 2019</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4240" w:type="dxa"/>
            <w:vAlign w:val="bottom"/>
          </w:tcPr>
          <w:p>
            <w:pPr>
              <w:jc w:val="right"/>
              <w:ind w:right="2699"/>
              <w:spacing w:after="0"/>
              <w:rPr>
                <w:sz w:val="20"/>
                <w:szCs w:val="20"/>
                <w:color w:val="auto"/>
              </w:rPr>
            </w:pPr>
            <w:r>
              <w:rPr>
                <w:rFonts w:ascii="Arial" w:cs="Arial" w:eastAsia="Arial" w:hAnsi="Arial"/>
                <w:sz w:val="16"/>
                <w:szCs w:val="16"/>
                <w:i w:val="1"/>
                <w:iCs w:val="1"/>
                <w:color w:val="auto"/>
                <w:w w:val="94"/>
              </w:rPr>
              <w:t>(dollars in thousands)</w:t>
            </w:r>
          </w:p>
        </w:tc>
        <w:tc>
          <w:tcPr>
            <w:tcW w:w="300" w:type="dxa"/>
            <w:vAlign w:val="bottom"/>
          </w:tcPr>
          <w:p>
            <w:pPr>
              <w:spacing w:after="0"/>
              <w:rPr>
                <w:sz w:val="17"/>
                <w:szCs w:val="17"/>
                <w:color w:val="auto"/>
              </w:rPr>
            </w:pPr>
          </w:p>
        </w:tc>
        <w:tc>
          <w:tcPr>
            <w:tcW w:w="1560" w:type="dxa"/>
            <w:vAlign w:val="bottom"/>
            <w:gridSpan w:val="4"/>
          </w:tcPr>
          <w:p>
            <w:pPr>
              <w:ind w:left="200"/>
              <w:spacing w:after="0"/>
              <w:rPr>
                <w:sz w:val="20"/>
                <w:szCs w:val="20"/>
                <w:color w:val="auto"/>
              </w:rPr>
            </w:pPr>
            <w:r>
              <w:rPr>
                <w:rFonts w:ascii="Arial" w:cs="Arial" w:eastAsia="Arial" w:hAnsi="Arial"/>
                <w:sz w:val="16"/>
                <w:szCs w:val="16"/>
                <w:b w:val="1"/>
                <w:bCs w:val="1"/>
                <w:color w:val="auto"/>
              </w:rPr>
              <w:t>U.S. Retail</w:t>
            </w:r>
          </w:p>
        </w:tc>
        <w:tc>
          <w:tcPr>
            <w:tcW w:w="220" w:type="dxa"/>
            <w:vAlign w:val="bottom"/>
          </w:tcPr>
          <w:p>
            <w:pPr>
              <w:spacing w:after="0"/>
              <w:rPr>
                <w:sz w:val="17"/>
                <w:szCs w:val="17"/>
                <w:color w:val="auto"/>
              </w:rPr>
            </w:pPr>
          </w:p>
        </w:tc>
        <w:tc>
          <w:tcPr>
            <w:tcW w:w="1620" w:type="dxa"/>
            <w:vAlign w:val="bottom"/>
            <w:gridSpan w:val="4"/>
          </w:tcPr>
          <w:p>
            <w:pPr>
              <w:ind w:left="120"/>
              <w:spacing w:after="0"/>
              <w:rPr>
                <w:sz w:val="20"/>
                <w:szCs w:val="20"/>
                <w:color w:val="auto"/>
              </w:rPr>
            </w:pPr>
            <w:r>
              <w:rPr>
                <w:rFonts w:ascii="Arial" w:cs="Arial" w:eastAsia="Arial" w:hAnsi="Arial"/>
                <w:sz w:val="16"/>
                <w:szCs w:val="16"/>
                <w:b w:val="1"/>
                <w:bCs w:val="1"/>
                <w:color w:val="auto"/>
              </w:rPr>
              <w:t>U.S. Wholesale</w:t>
            </w:r>
          </w:p>
        </w:tc>
        <w:tc>
          <w:tcPr>
            <w:tcW w:w="380" w:type="dxa"/>
            <w:vAlign w:val="bottom"/>
          </w:tcPr>
          <w:p>
            <w:pPr>
              <w:spacing w:after="0"/>
              <w:rPr>
                <w:sz w:val="17"/>
                <w:szCs w:val="17"/>
                <w:color w:val="auto"/>
              </w:rPr>
            </w:pPr>
          </w:p>
        </w:tc>
        <w:tc>
          <w:tcPr>
            <w:tcW w:w="1420" w:type="dxa"/>
            <w:vAlign w:val="bottom"/>
            <w:gridSpan w:val="3"/>
          </w:tcPr>
          <w:p>
            <w:pPr>
              <w:spacing w:after="0"/>
              <w:rPr>
                <w:sz w:val="20"/>
                <w:szCs w:val="20"/>
                <w:color w:val="auto"/>
              </w:rPr>
            </w:pPr>
            <w:r>
              <w:rPr>
                <w:rFonts w:ascii="Arial" w:cs="Arial" w:eastAsia="Arial" w:hAnsi="Arial"/>
                <w:sz w:val="16"/>
                <w:szCs w:val="16"/>
                <w:b w:val="1"/>
                <w:bCs w:val="1"/>
                <w:color w:val="auto"/>
              </w:rPr>
              <w:t>International</w:t>
            </w:r>
          </w:p>
        </w:tc>
        <w:tc>
          <w:tcPr>
            <w:tcW w:w="380" w:type="dxa"/>
            <w:vAlign w:val="bottom"/>
          </w:tcPr>
          <w:p>
            <w:pPr>
              <w:spacing w:after="0"/>
              <w:rPr>
                <w:sz w:val="17"/>
                <w:szCs w:val="17"/>
                <w:color w:val="auto"/>
              </w:rPr>
            </w:pPr>
          </w:p>
        </w:tc>
        <w:tc>
          <w:tcPr>
            <w:tcW w:w="130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Total</w:t>
            </w:r>
          </w:p>
        </w:tc>
      </w:tr>
      <w:tr>
        <w:trPr>
          <w:trHeight w:val="48"/>
        </w:trPr>
        <w:tc>
          <w:tcPr>
            <w:tcW w:w="4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Wholesale channel</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275,367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40,788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316,155</w:t>
            </w:r>
          </w:p>
        </w:tc>
      </w:tr>
      <w:tr>
        <w:trPr>
          <w:trHeight w:val="237"/>
        </w:trPr>
        <w:tc>
          <w:tcPr>
            <w:tcW w:w="4240" w:type="dxa"/>
            <w:vAlign w:val="bottom"/>
          </w:tcPr>
          <w:p>
            <w:pPr>
              <w:jc w:val="right"/>
              <w:ind w:right="59"/>
              <w:spacing w:after="0"/>
              <w:rPr>
                <w:sz w:val="20"/>
                <w:szCs w:val="20"/>
                <w:color w:val="auto"/>
              </w:rPr>
            </w:pPr>
            <w:r>
              <w:rPr>
                <w:rFonts w:ascii="Arial" w:cs="Arial" w:eastAsia="Arial" w:hAnsi="Arial"/>
                <w:sz w:val="16"/>
                <w:szCs w:val="16"/>
                <w:color w:val="auto"/>
              </w:rPr>
              <w:t>Direct-to-consumer</w:t>
            </w:r>
          </w:p>
        </w:tc>
        <w:tc>
          <w:tcPr>
            <w:tcW w:w="300" w:type="dxa"/>
            <w:vAlign w:val="bottom"/>
          </w:tcPr>
          <w:p>
            <w:pPr>
              <w:spacing w:after="0"/>
              <w:rPr>
                <w:sz w:val="20"/>
                <w:szCs w:val="20"/>
                <w:color w:val="auto"/>
              </w:rPr>
            </w:pPr>
          </w:p>
        </w:tc>
        <w:tc>
          <w:tcPr>
            <w:tcW w:w="1440" w:type="dxa"/>
            <w:vAlign w:val="bottom"/>
            <w:gridSpan w:val="3"/>
          </w:tcPr>
          <w:p>
            <w:pPr>
              <w:jc w:val="right"/>
              <w:ind w:right="39"/>
              <w:spacing w:after="0"/>
              <w:rPr>
                <w:sz w:val="20"/>
                <w:szCs w:val="20"/>
                <w:color w:val="auto"/>
              </w:rPr>
            </w:pPr>
            <w:r>
              <w:rPr>
                <w:rFonts w:ascii="Arial" w:cs="Arial" w:eastAsia="Arial" w:hAnsi="Arial"/>
                <w:sz w:val="16"/>
                <w:szCs w:val="16"/>
                <w:color w:val="auto"/>
              </w:rPr>
              <w:t>377,053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47,849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424,902</w:t>
            </w:r>
          </w:p>
        </w:tc>
      </w:tr>
      <w:tr>
        <w:trPr>
          <w:trHeight w:val="33"/>
        </w:trPr>
        <w:tc>
          <w:tcPr>
            <w:tcW w:w="4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377,053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275,367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88,637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741,057</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7"/>
        </w:trPr>
        <w:tc>
          <w:tcPr>
            <w:tcW w:w="4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Royalty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1,991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5,850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8,544</w:t>
            </w:r>
          </w:p>
        </w:tc>
      </w:tr>
      <w:tr>
        <w:trPr>
          <w:trHeight w:val="33"/>
        </w:trPr>
        <w:tc>
          <w:tcPr>
            <w:tcW w:w="4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80" w:type="dxa"/>
            <w:vAlign w:val="bottom"/>
            <w:gridSpan w:val="8"/>
          </w:tcPr>
          <w:p>
            <w:pPr>
              <w:ind w:left="120"/>
              <w:spacing w:after="0"/>
              <w:rPr>
                <w:sz w:val="20"/>
                <w:szCs w:val="20"/>
                <w:color w:val="auto"/>
              </w:rPr>
            </w:pPr>
            <w:r>
              <w:rPr>
                <w:rFonts w:ascii="Arial" w:cs="Arial" w:eastAsia="Arial" w:hAnsi="Arial"/>
                <w:sz w:val="16"/>
                <w:szCs w:val="16"/>
                <w:b w:val="1"/>
                <w:bCs w:val="1"/>
                <w:color w:val="auto"/>
              </w:rPr>
              <w:t>Fiscal quarter ended March 31, 2018</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220" w:type="dxa"/>
            <w:vAlign w:val="bottom"/>
          </w:tcPr>
          <w:p>
            <w:pPr>
              <w:jc w:val="right"/>
              <w:ind w:right="2679"/>
              <w:spacing w:after="0"/>
              <w:rPr>
                <w:sz w:val="20"/>
                <w:szCs w:val="20"/>
                <w:color w:val="auto"/>
              </w:rPr>
            </w:pPr>
            <w:r>
              <w:rPr>
                <w:rFonts w:ascii="Arial" w:cs="Arial" w:eastAsia="Arial" w:hAnsi="Arial"/>
                <w:sz w:val="16"/>
                <w:szCs w:val="16"/>
                <w:i w:val="1"/>
                <w:iCs w:val="1"/>
                <w:color w:val="auto"/>
                <w:w w:val="94"/>
              </w:rPr>
              <w:t>(dollars in thousands)</w:t>
            </w:r>
          </w:p>
        </w:tc>
        <w:tc>
          <w:tcPr>
            <w:tcW w:w="300" w:type="dxa"/>
            <w:vAlign w:val="bottom"/>
          </w:tcPr>
          <w:p>
            <w:pPr>
              <w:spacing w:after="0"/>
              <w:rPr>
                <w:sz w:val="17"/>
                <w:szCs w:val="17"/>
                <w:color w:val="auto"/>
              </w:rPr>
            </w:pPr>
          </w:p>
        </w:tc>
        <w:tc>
          <w:tcPr>
            <w:tcW w:w="1560" w:type="dxa"/>
            <w:vAlign w:val="bottom"/>
            <w:gridSpan w:val="4"/>
          </w:tcPr>
          <w:p>
            <w:pPr>
              <w:ind w:left="200"/>
              <w:spacing w:after="0"/>
              <w:rPr>
                <w:sz w:val="20"/>
                <w:szCs w:val="20"/>
                <w:color w:val="auto"/>
              </w:rPr>
            </w:pPr>
            <w:r>
              <w:rPr>
                <w:rFonts w:ascii="Arial" w:cs="Arial" w:eastAsia="Arial" w:hAnsi="Arial"/>
                <w:sz w:val="16"/>
                <w:szCs w:val="16"/>
                <w:b w:val="1"/>
                <w:bCs w:val="1"/>
                <w:color w:val="auto"/>
              </w:rPr>
              <w:t>U.S. Retail</w:t>
            </w:r>
          </w:p>
        </w:tc>
        <w:tc>
          <w:tcPr>
            <w:tcW w:w="340" w:type="dxa"/>
            <w:vAlign w:val="bottom"/>
          </w:tcPr>
          <w:p>
            <w:pPr>
              <w:spacing w:after="0"/>
              <w:rPr>
                <w:sz w:val="17"/>
                <w:szCs w:val="17"/>
                <w:color w:val="auto"/>
              </w:rPr>
            </w:pPr>
          </w:p>
        </w:tc>
        <w:tc>
          <w:tcPr>
            <w:tcW w:w="1480" w:type="dxa"/>
            <w:vAlign w:val="bottom"/>
            <w:gridSpan w:val="3"/>
          </w:tcPr>
          <w:p>
            <w:pPr>
              <w:spacing w:after="0"/>
              <w:rPr>
                <w:sz w:val="20"/>
                <w:szCs w:val="20"/>
                <w:color w:val="auto"/>
              </w:rPr>
            </w:pPr>
            <w:r>
              <w:rPr>
                <w:rFonts w:ascii="Arial" w:cs="Arial" w:eastAsia="Arial" w:hAnsi="Arial"/>
                <w:sz w:val="16"/>
                <w:szCs w:val="16"/>
                <w:b w:val="1"/>
                <w:bCs w:val="1"/>
                <w:color w:val="auto"/>
              </w:rPr>
              <w:t>U.S. Wholesale</w:t>
            </w:r>
          </w:p>
        </w:tc>
        <w:tc>
          <w:tcPr>
            <w:tcW w:w="240" w:type="dxa"/>
            <w:vAlign w:val="bottom"/>
          </w:tcPr>
          <w:p>
            <w:pPr>
              <w:spacing w:after="0"/>
              <w:rPr>
                <w:sz w:val="17"/>
                <w:szCs w:val="17"/>
                <w:color w:val="auto"/>
              </w:rPr>
            </w:pPr>
          </w:p>
        </w:tc>
        <w:tc>
          <w:tcPr>
            <w:tcW w:w="1560" w:type="dxa"/>
            <w:vAlign w:val="bottom"/>
            <w:gridSpan w:val="4"/>
          </w:tcPr>
          <w:p>
            <w:pPr>
              <w:ind w:left="140"/>
              <w:spacing w:after="0"/>
              <w:rPr>
                <w:sz w:val="20"/>
                <w:szCs w:val="20"/>
                <w:color w:val="auto"/>
              </w:rPr>
            </w:pPr>
            <w:r>
              <w:rPr>
                <w:rFonts w:ascii="Arial" w:cs="Arial" w:eastAsia="Arial" w:hAnsi="Arial"/>
                <w:sz w:val="16"/>
                <w:szCs w:val="16"/>
                <w:b w:val="1"/>
                <w:bCs w:val="1"/>
                <w:color w:val="auto"/>
              </w:rPr>
              <w:t>International</w:t>
            </w:r>
          </w:p>
        </w:tc>
        <w:tc>
          <w:tcPr>
            <w:tcW w:w="660" w:type="dxa"/>
            <w:vAlign w:val="bottom"/>
          </w:tcPr>
          <w:p>
            <w:pPr>
              <w:spacing w:after="0"/>
              <w:rPr>
                <w:sz w:val="17"/>
                <w:szCs w:val="17"/>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w w:val="88"/>
              </w:rPr>
              <w:t>Total</w:t>
            </w:r>
          </w:p>
        </w:tc>
      </w:tr>
      <w:tr>
        <w:trPr>
          <w:trHeight w:val="48"/>
        </w:trPr>
        <w:tc>
          <w:tcPr>
            <w:tcW w:w="20" w:type="dxa"/>
            <w:vAlign w:val="bottom"/>
          </w:tcPr>
          <w:p>
            <w:pPr>
              <w:spacing w:after="0"/>
              <w:rPr>
                <w:sz w:val="4"/>
                <w:szCs w:val="4"/>
                <w:color w:val="auto"/>
              </w:rPr>
            </w:pPr>
          </w:p>
        </w:tc>
        <w:tc>
          <w:tcPr>
            <w:tcW w:w="4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Wholesale channel</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280,832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37,713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318,545</w:t>
            </w:r>
          </w:p>
        </w:tc>
      </w:tr>
      <w:tr>
        <w:trPr>
          <w:trHeight w:val="237"/>
        </w:trPr>
        <w:tc>
          <w:tcPr>
            <w:tcW w:w="20" w:type="dxa"/>
            <w:vAlign w:val="bottom"/>
          </w:tcPr>
          <w:p>
            <w:pPr>
              <w:spacing w:after="0"/>
              <w:rPr>
                <w:sz w:val="20"/>
                <w:szCs w:val="20"/>
                <w:color w:val="auto"/>
              </w:rPr>
            </w:pPr>
          </w:p>
        </w:tc>
        <w:tc>
          <w:tcPr>
            <w:tcW w:w="4220" w:type="dxa"/>
            <w:vAlign w:val="bottom"/>
          </w:tcPr>
          <w:p>
            <w:pPr>
              <w:jc w:val="right"/>
              <w:ind w:right="59"/>
              <w:spacing w:after="0"/>
              <w:rPr>
                <w:sz w:val="20"/>
                <w:szCs w:val="20"/>
                <w:color w:val="auto"/>
              </w:rPr>
            </w:pPr>
            <w:r>
              <w:rPr>
                <w:rFonts w:ascii="Arial" w:cs="Arial" w:eastAsia="Arial" w:hAnsi="Arial"/>
                <w:sz w:val="16"/>
                <w:szCs w:val="16"/>
                <w:color w:val="auto"/>
              </w:rPr>
              <w:t>Direct-to-consumer</w:t>
            </w:r>
          </w:p>
        </w:tc>
        <w:tc>
          <w:tcPr>
            <w:tcW w:w="300" w:type="dxa"/>
            <w:vAlign w:val="bottom"/>
          </w:tcPr>
          <w:p>
            <w:pPr>
              <w:spacing w:after="0"/>
              <w:rPr>
                <w:sz w:val="20"/>
                <w:szCs w:val="20"/>
                <w:color w:val="auto"/>
              </w:rPr>
            </w:pPr>
          </w:p>
        </w:tc>
        <w:tc>
          <w:tcPr>
            <w:tcW w:w="1440" w:type="dxa"/>
            <w:vAlign w:val="bottom"/>
            <w:gridSpan w:val="3"/>
          </w:tcPr>
          <w:p>
            <w:pPr>
              <w:jc w:val="right"/>
              <w:ind w:right="39"/>
              <w:spacing w:after="0"/>
              <w:rPr>
                <w:sz w:val="20"/>
                <w:szCs w:val="20"/>
                <w:color w:val="auto"/>
              </w:rPr>
            </w:pPr>
            <w:r>
              <w:rPr>
                <w:rFonts w:ascii="Arial" w:cs="Arial" w:eastAsia="Arial" w:hAnsi="Arial"/>
                <w:sz w:val="16"/>
                <w:szCs w:val="16"/>
                <w:color w:val="auto"/>
              </w:rPr>
              <w:t>383,742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6"/>
                <w:szCs w:val="16"/>
                <w:color w:val="auto"/>
              </w:rPr>
              <w:t>53,499</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437,241</w:t>
            </w:r>
          </w:p>
        </w:tc>
      </w:tr>
      <w:tr>
        <w:trPr>
          <w:trHeight w:val="33"/>
        </w:trPr>
        <w:tc>
          <w:tcPr>
            <w:tcW w:w="20" w:type="dxa"/>
            <w:vAlign w:val="bottom"/>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5"/>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383,742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280,832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91,212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755,786</w:t>
            </w: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Royalty income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1,585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5,845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7,994</w:t>
            </w:r>
          </w:p>
        </w:tc>
      </w:tr>
      <w:tr>
        <w:trPr>
          <w:trHeight w:val="392"/>
        </w:trPr>
        <w:tc>
          <w:tcPr>
            <w:tcW w:w="4240" w:type="dxa"/>
            <w:vAlign w:val="bottom"/>
            <w:gridSpan w:val="2"/>
          </w:tcPr>
          <w:p>
            <w:pPr>
              <w:jc w:val="right"/>
              <w:ind w:right="159"/>
              <w:spacing w:after="0"/>
              <w:rPr>
                <w:sz w:val="20"/>
                <w:szCs w:val="20"/>
                <w:color w:val="auto"/>
              </w:rPr>
            </w:pPr>
            <w:r>
              <w:rPr>
                <w:rFonts w:ascii="Arial" w:cs="Arial" w:eastAsia="Arial" w:hAnsi="Arial"/>
                <w:sz w:val="18"/>
                <w:szCs w:val="18"/>
                <w:b w:val="1"/>
                <w:bCs w:val="1"/>
                <w:color w:val="auto"/>
                <w:w w:val="87"/>
              </w:rPr>
              <w:t>Accounts Receivable from Customers and Licensees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Accounts receivable, net,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300" w:type="dxa"/>
            <w:vAlign w:val="bottom"/>
          </w:tcPr>
          <w:p>
            <w:pPr>
              <w:spacing w:after="0"/>
              <w:rPr>
                <w:sz w:val="18"/>
                <w:szCs w:val="18"/>
                <w:color w:val="auto"/>
              </w:rPr>
            </w:pPr>
          </w:p>
        </w:tc>
        <w:tc>
          <w:tcPr>
            <w:tcW w:w="190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30, 2019</w:t>
            </w: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29, 2018</w:t>
            </w:r>
          </w:p>
        </w:tc>
        <w:tc>
          <w:tcPr>
            <w:tcW w:w="300" w:type="dxa"/>
            <w:vAlign w:val="bottom"/>
          </w:tcPr>
          <w:p>
            <w:pPr>
              <w:spacing w:after="0"/>
              <w:rPr>
                <w:sz w:val="18"/>
                <w:szCs w:val="18"/>
                <w:color w:val="auto"/>
              </w:rPr>
            </w:pPr>
          </w:p>
        </w:tc>
        <w:tc>
          <w:tcPr>
            <w:tcW w:w="1740" w:type="dxa"/>
            <w:vAlign w:val="bottom"/>
          </w:tcPr>
          <w:p>
            <w:pPr>
              <w:jc w:val="right"/>
              <w:ind w:right="399"/>
              <w:spacing w:after="0"/>
              <w:rPr>
                <w:sz w:val="20"/>
                <w:szCs w:val="20"/>
                <w:color w:val="auto"/>
              </w:rPr>
            </w:pPr>
            <w:r>
              <w:rPr>
                <w:rFonts w:ascii="Arial" w:cs="Arial" w:eastAsia="Arial" w:hAnsi="Arial"/>
                <w:sz w:val="16"/>
                <w:szCs w:val="16"/>
                <w:b w:val="1"/>
                <w:bCs w:val="1"/>
                <w:color w:val="auto"/>
              </w:rPr>
              <w:t>March 31, 2018</w:t>
            </w:r>
          </w:p>
        </w:tc>
      </w:tr>
      <w:tr>
        <w:trPr>
          <w:trHeight w:val="33"/>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receivables from wholesale customers, net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226,455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244,258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226,348</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Royalties receivable</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7,511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9,279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7,108</w:t>
            </w: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Tenant allowances and other receivables</w:t>
            </w:r>
          </w:p>
        </w:tc>
        <w:tc>
          <w:tcPr>
            <w:tcW w:w="3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15,614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16,588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10,972</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Total gross receivables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249,580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270,125</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244,428</w:t>
            </w:r>
          </w:p>
        </w:tc>
      </w:tr>
      <w:tr>
        <w:trPr>
          <w:trHeight w:val="33"/>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Wholesale accounts receivable reserves</w:t>
            </w:r>
          </w:p>
        </w:tc>
        <w:tc>
          <w:tcPr>
            <w:tcW w:w="3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(10,341)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(11,866)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(23,242)</w:t>
            </w:r>
          </w:p>
        </w:tc>
      </w:tr>
      <w:tr>
        <w:trPr>
          <w:trHeight w:val="33"/>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net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239,239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258,259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221,186</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assets are not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9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recognizes a contract liability when it has received consideration from the customer and has a future obligation to transfer goods to the customer. Total contract liabilities consisted of the following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300" w:type="dxa"/>
            <w:vAlign w:val="bottom"/>
          </w:tcPr>
          <w:p>
            <w:pPr>
              <w:spacing w:after="0"/>
              <w:rPr>
                <w:sz w:val="18"/>
                <w:szCs w:val="18"/>
                <w:color w:val="auto"/>
              </w:rPr>
            </w:pPr>
          </w:p>
        </w:tc>
        <w:tc>
          <w:tcPr>
            <w:tcW w:w="190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30, 2019</w:t>
            </w: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29, 2018</w:t>
            </w:r>
          </w:p>
        </w:tc>
        <w:tc>
          <w:tcPr>
            <w:tcW w:w="300" w:type="dxa"/>
            <w:vAlign w:val="bottom"/>
          </w:tcPr>
          <w:p>
            <w:pPr>
              <w:spacing w:after="0"/>
              <w:rPr>
                <w:sz w:val="18"/>
                <w:szCs w:val="18"/>
                <w:color w:val="auto"/>
              </w:rPr>
            </w:pPr>
          </w:p>
        </w:tc>
        <w:tc>
          <w:tcPr>
            <w:tcW w:w="1740" w:type="dxa"/>
            <w:vAlign w:val="bottom"/>
          </w:tcPr>
          <w:p>
            <w:pPr>
              <w:jc w:val="right"/>
              <w:ind w:right="399"/>
              <w:spacing w:after="0"/>
              <w:rPr>
                <w:sz w:val="20"/>
                <w:szCs w:val="20"/>
                <w:color w:val="auto"/>
              </w:rPr>
            </w:pPr>
            <w:r>
              <w:rPr>
                <w:rFonts w:ascii="Arial" w:cs="Arial" w:eastAsia="Arial" w:hAnsi="Arial"/>
                <w:sz w:val="16"/>
                <w:szCs w:val="16"/>
                <w:b w:val="1"/>
                <w:bCs w:val="1"/>
                <w:color w:val="auto"/>
              </w:rPr>
              <w:t>March 31, 2018</w:t>
            </w:r>
          </w:p>
        </w:tc>
      </w:tr>
      <w:tr>
        <w:trPr>
          <w:trHeight w:val="33"/>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 liabilities-current:</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Unredeemed gift cards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13,724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14,471</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10,903</w:t>
            </w:r>
          </w:p>
        </w:tc>
      </w:tr>
      <w:tr>
        <w:trPr>
          <w:trHeight w:val="33"/>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Unredeemed customer loyalty rewards</w:t>
            </w:r>
          </w:p>
        </w:tc>
        <w:tc>
          <w:tcPr>
            <w:tcW w:w="3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8,176</w:t>
            </w:r>
          </w:p>
        </w:tc>
      </w:tr>
      <w:tr>
        <w:trPr>
          <w:trHeight w:val="250"/>
        </w:trPr>
        <w:tc>
          <w:tcPr>
            <w:tcW w:w="5160" w:type="dxa"/>
            <w:vAlign w:val="bottom"/>
          </w:tcPr>
          <w:p>
            <w:pPr>
              <w:ind w:left="500"/>
              <w:spacing w:after="0"/>
              <w:rPr>
                <w:sz w:val="20"/>
                <w:szCs w:val="20"/>
                <w:color w:val="auto"/>
              </w:rPr>
            </w:pPr>
            <w:r>
              <w:rPr>
                <w:rFonts w:ascii="Arial" w:cs="Arial" w:eastAsia="Arial" w:hAnsi="Arial"/>
                <w:sz w:val="16"/>
                <w:szCs w:val="16"/>
                <w:color w:val="auto"/>
              </w:rPr>
              <w:t>Total contract liabilities-current</w:t>
            </w:r>
            <w:r>
              <w:rPr>
                <w:rFonts w:ascii="Arial" w:cs="Arial" w:eastAsia="Arial" w:hAnsi="Arial"/>
                <w:sz w:val="21"/>
                <w:szCs w:val="21"/>
                <w:color w:val="auto"/>
                <w:vertAlign w:val="superscript"/>
              </w:rPr>
              <w:t>(*)</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22,244</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22,235</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19,079</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with Other current liabilities on the Company's consolidated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operating leases for retail stores, distribution centers, corporate offices, data centers, and certain equipment. Our leases have remaining lease terms of 1 year to 20 years, some of which may include options to extend the leases for up to 5 years, and some of which may include options to early terminate the lease.</w:t>
      </w:r>
    </w:p>
    <w:p>
      <w:pPr>
        <w:sectPr>
          <w:pgSz w:w="11900" w:h="16838" w:orient="portrait"/>
          <w:cols w:equalWidth="0" w:num="1">
            <w:col w:w="11420"/>
          </w:cols>
          <w:pgMar w:left="240" w:top="337" w:right="2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337"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March 30, 2019, the Company's finance leases were not material to the consolidated balance sheets, consolidated statements of operations or statement of cash flows.</w:t>
      </w:r>
    </w:p>
    <w:p>
      <w:pPr>
        <w:spacing w:after="0" w:line="13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components of lease expense are included in Selling, general and administrative expenses on the Company's consolidated statements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ind w:right="239"/>
              <w:spacing w:after="0"/>
              <w:rPr>
                <w:sz w:val="20"/>
                <w:szCs w:val="20"/>
                <w:color w:val="auto"/>
              </w:rPr>
            </w:pPr>
            <w:r>
              <w:rPr>
                <w:rFonts w:ascii="Arial" w:cs="Arial" w:eastAsia="Arial" w:hAnsi="Arial"/>
                <w:sz w:val="16"/>
                <w:szCs w:val="16"/>
                <w:b w:val="1"/>
                <w:bCs w:val="1"/>
                <w:color w:val="auto"/>
                <w:w w:val="95"/>
              </w:rPr>
              <w:t>Fiscal quarter ended</w:t>
            </w:r>
          </w:p>
        </w:tc>
      </w:tr>
      <w:tr>
        <w:trPr>
          <w:trHeight w:val="33"/>
        </w:trPr>
        <w:tc>
          <w:tcPr>
            <w:tcW w:w="9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17"/>
        </w:trPr>
        <w:tc>
          <w:tcPr>
            <w:tcW w:w="936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840" w:type="dxa"/>
            <w:vAlign w:val="bottom"/>
          </w:tcPr>
          <w:p>
            <w:pPr>
              <w:jc w:val="right"/>
              <w:ind w:right="399"/>
              <w:spacing w:after="0"/>
              <w:rPr>
                <w:sz w:val="20"/>
                <w:szCs w:val="20"/>
                <w:color w:val="auto"/>
              </w:rPr>
            </w:pPr>
            <w:r>
              <w:rPr>
                <w:rFonts w:ascii="Arial" w:cs="Arial" w:eastAsia="Arial" w:hAnsi="Arial"/>
                <w:sz w:val="16"/>
                <w:szCs w:val="16"/>
                <w:b w:val="1"/>
                <w:bCs w:val="1"/>
                <w:color w:val="auto"/>
              </w:rPr>
              <w:t>March 30, 2019</w:t>
            </w:r>
          </w:p>
        </w:tc>
      </w:tr>
      <w:tr>
        <w:trPr>
          <w:trHeight w:val="33"/>
        </w:trPr>
        <w:tc>
          <w:tcPr>
            <w:tcW w:w="9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cost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43,219</w:t>
            </w:r>
          </w:p>
        </w:tc>
      </w:tr>
      <w:tr>
        <w:trPr>
          <w:trHeight w:val="257"/>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Variable lease cost </w:t>
            </w:r>
            <w:r>
              <w:rPr>
                <w:rFonts w:ascii="Arial" w:cs="Arial" w:eastAsia="Arial" w:hAnsi="Arial"/>
                <w:sz w:val="21"/>
                <w:szCs w:val="21"/>
                <w:color w:val="auto"/>
                <w:vertAlign w:val="superscript"/>
              </w:rPr>
              <w:t>(*)</w:t>
            </w:r>
          </w:p>
        </w:tc>
        <w:tc>
          <w:tcPr>
            <w:tcW w:w="2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16,448</w:t>
            </w: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lease cost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59,667</w:t>
            </w:r>
          </w:p>
        </w:tc>
      </w:tr>
      <w:tr>
        <w:trPr>
          <w:trHeight w:val="20"/>
        </w:trPr>
        <w:tc>
          <w:tcPr>
            <w:tcW w:w="9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short-term leases, which are immaterial.</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March 30, 2019, the weighted-average remaining operating lease term was 6.3 years and the weighted-average discount rate for operating leases was 4.48%.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Cash paid for amounts included in the measurement of operating lease liabilities in the first quarter of fiscal 2019 was $47.3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March 30, 2019, the maturities of lease liabilities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8"/>
                <w:szCs w:val="18"/>
                <w:color w:val="auto"/>
              </w:rPr>
            </w:pPr>
          </w:p>
        </w:tc>
        <w:tc>
          <w:tcPr>
            <w:tcW w:w="152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Operating leases</w:t>
            </w:r>
          </w:p>
        </w:tc>
      </w:tr>
      <w:tr>
        <w:trPr>
          <w:trHeight w:val="33"/>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Remainder of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140,659</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2020</w:t>
            </w:r>
          </w:p>
        </w:tc>
        <w:tc>
          <w:tcPr>
            <w:tcW w:w="18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173,972</w:t>
            </w: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156,466</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134,733</w:t>
            </w: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114,224</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After 2023</w:t>
            </w:r>
          </w:p>
        </w:tc>
        <w:tc>
          <w:tcPr>
            <w:tcW w:w="18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256,141</w:t>
            </w:r>
          </w:p>
        </w:tc>
      </w:tr>
      <w:tr>
        <w:trPr>
          <w:trHeight w:val="33"/>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lease payments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976,195</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Less: Interest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(131,982)</w:t>
            </w:r>
          </w:p>
        </w:tc>
      </w:tr>
      <w:tr>
        <w:trPr>
          <w:trHeight w:val="33"/>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Present value of lease liabilities</w:t>
            </w:r>
            <w:r>
              <w:rPr>
                <w:rFonts w:ascii="Arial" w:cs="Arial" w:eastAsia="Arial" w:hAnsi="Arial"/>
                <w:sz w:val="21"/>
                <w:szCs w:val="21"/>
                <w:color w:val="auto"/>
                <w:vertAlign w:val="superscript"/>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844,213</w:t>
            </w: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right="120" w:hanging="332"/>
        <w:spacing w:after="0" w:line="27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most of our leases do not provide an implicit rate, we use our incremental borrowing rate based on the information available at commencement date to determine the present value of lease payments. We used the incremental borrowing rate on December 30, 2018, for operating leases that commenced prior to that date.</w:t>
      </w:r>
    </w:p>
    <w:p>
      <w:pPr>
        <w:spacing w:after="0" w:line="1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March 30, 2019, the minimum rental commitments for additional operating lease contracts that have not yet commenced, primarily for retail stores, is $12.1 million. These operating leases will commence in fiscal year 2019 with lease terms of 5 years to 10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29, 2018, the minimum annual rental commitments under current non-cancellable operating leases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8"/>
                <w:szCs w:val="18"/>
                <w:color w:val="auto"/>
              </w:rPr>
            </w:pPr>
          </w:p>
        </w:tc>
        <w:tc>
          <w:tcPr>
            <w:tcW w:w="152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Operating leases</w:t>
            </w:r>
          </w:p>
        </w:tc>
      </w:tr>
      <w:tr>
        <w:trPr>
          <w:trHeight w:val="33"/>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163,963</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2020</w:t>
            </w:r>
          </w:p>
        </w:tc>
        <w:tc>
          <w:tcPr>
            <w:tcW w:w="18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150,010</w:t>
            </w: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134,203</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116,773</w:t>
            </w: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102,487</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18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235,731</w:t>
            </w:r>
          </w:p>
        </w:tc>
      </w:tr>
      <w:tr>
        <w:trPr>
          <w:trHeight w:val="33"/>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903,167</w:t>
            </w: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37" w:right="239" w:bottom="1440" w:gutter="0" w:footer="0" w:header="0"/>
        </w:sectPr>
      </w:pPr>
    </w:p>
    <w:bookmarkStart w:id="11" w:name="page12"/>
    <w:bookmarkEnd w:id="11"/>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ACCUMULATED OTHER COMPREHENSIVE LOSS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30, 2019</w:t>
            </w:r>
          </w:p>
        </w:tc>
        <w:tc>
          <w:tcPr>
            <w:tcW w:w="22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29, 2018</w:t>
            </w:r>
          </w:p>
        </w:tc>
        <w:tc>
          <w:tcPr>
            <w:tcW w:w="260" w:type="dxa"/>
            <w:vAlign w:val="bottom"/>
          </w:tcPr>
          <w:p>
            <w:pPr>
              <w:spacing w:after="0"/>
              <w:rPr>
                <w:sz w:val="18"/>
                <w:szCs w:val="18"/>
                <w:color w:val="auto"/>
              </w:rPr>
            </w:pPr>
          </w:p>
        </w:tc>
        <w:tc>
          <w:tcPr>
            <w:tcW w:w="1660" w:type="dxa"/>
            <w:vAlign w:val="bottom"/>
          </w:tcPr>
          <w:p>
            <w:pPr>
              <w:jc w:val="right"/>
              <w:ind w:right="339"/>
              <w:spacing w:after="0"/>
              <w:rPr>
                <w:sz w:val="20"/>
                <w:szCs w:val="20"/>
                <w:color w:val="auto"/>
              </w:rPr>
            </w:pPr>
            <w:r>
              <w:rPr>
                <w:rFonts w:ascii="Arial" w:cs="Arial" w:eastAsia="Arial" w:hAnsi="Arial"/>
                <w:sz w:val="16"/>
                <w:szCs w:val="16"/>
                <w:b w:val="1"/>
                <w:bCs w:val="1"/>
                <w:color w:val="auto"/>
              </w:rPr>
              <w:t>March 31, 2018</w:t>
            </w:r>
          </w:p>
        </w:tc>
      </w:tr>
      <w:tr>
        <w:trPr>
          <w:trHeight w:val="33"/>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Cumulative foreign currency translation adjustments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(30,053)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(23,047)</w:t>
            </w:r>
          </w:p>
        </w:tc>
      </w:tr>
      <w:tr>
        <w:trPr>
          <w:trHeight w:val="27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Pension and post-retirement obligations</w:t>
            </w:r>
            <w:r>
              <w:rPr>
                <w:rFonts w:ascii="Arial" w:cs="Arial" w:eastAsia="Arial" w:hAnsi="Arial"/>
                <w:sz w:val="21"/>
                <w:szCs w:val="21"/>
                <w:color w:val="auto"/>
                <w:vertAlign w:val="superscript"/>
              </w:rPr>
              <w:t>(*)</w:t>
            </w:r>
          </w:p>
        </w:tc>
        <w:tc>
          <w:tcPr>
            <w:tcW w:w="2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(7,875)</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(7,808)</w:t>
            </w:r>
          </w:p>
        </w:tc>
      </w:tr>
      <w:tr>
        <w:trPr>
          <w:trHeight w:val="244"/>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accumulated other comprehensive loss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(30,855)</w:t>
            </w: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Net of income taxes of $2.9 million, $4.4 million, and $4.4 million, respectively.</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first quarter of both fiscal 2019 and fiscal 2018, no amounts were reclassified from accumulated other comprehensive loss to the statement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goodwill and intangible assets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March 30, 2019</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December 29, 2018</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average useful</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19"/>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life</w:t>
            </w:r>
          </w:p>
        </w:tc>
        <w:tc>
          <w:tcPr>
            <w:tcW w:w="1180" w:type="dxa"/>
            <w:vAlign w:val="bottom"/>
            <w:gridSpan w:val="3"/>
          </w:tcPr>
          <w:p>
            <w:pPr>
              <w:ind w:left="40"/>
              <w:spacing w:after="0"/>
              <w:rPr>
                <w:sz w:val="20"/>
                <w:szCs w:val="20"/>
                <w:color w:val="auto"/>
              </w:rPr>
            </w:pPr>
            <w:r>
              <w:rPr>
                <w:rFonts w:ascii="Arial" w:cs="Arial" w:eastAsia="Arial" w:hAnsi="Arial"/>
                <w:sz w:val="16"/>
                <w:szCs w:val="16"/>
                <w:b w:val="1"/>
                <w:bCs w:val="1"/>
                <w:color w:val="auto"/>
              </w:rPr>
              <w:t>Gross amount</w:t>
            </w: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amortization</w:t>
            </w:r>
          </w:p>
        </w:tc>
        <w:tc>
          <w:tcPr>
            <w:tcW w:w="1240" w:type="dxa"/>
            <w:vAlign w:val="bottom"/>
            <w:gridSpan w:val="3"/>
          </w:tcPr>
          <w:p>
            <w:pPr>
              <w:ind w:left="100"/>
              <w:spacing w:after="0"/>
              <w:rPr>
                <w:sz w:val="20"/>
                <w:szCs w:val="20"/>
                <w:color w:val="auto"/>
              </w:rPr>
            </w:pPr>
            <w:r>
              <w:rPr>
                <w:rFonts w:ascii="Arial" w:cs="Arial" w:eastAsia="Arial" w:hAnsi="Arial"/>
                <w:sz w:val="16"/>
                <w:szCs w:val="16"/>
                <w:b w:val="1"/>
                <w:bCs w:val="1"/>
                <w:color w:val="auto"/>
              </w:rPr>
              <w:t>Net amount</w:t>
            </w:r>
          </w:p>
        </w:tc>
        <w:tc>
          <w:tcPr>
            <w:tcW w:w="180" w:type="dxa"/>
            <w:vAlign w:val="bottom"/>
          </w:tcPr>
          <w:p>
            <w:pPr>
              <w:spacing w:after="0"/>
              <w:rPr>
                <w:sz w:val="18"/>
                <w:szCs w:val="18"/>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b w:val="1"/>
                <w:bCs w:val="1"/>
                <w:color w:val="auto"/>
                <w:w w:val="96"/>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amortization</w:t>
            </w:r>
          </w:p>
        </w:tc>
        <w:tc>
          <w:tcPr>
            <w:tcW w:w="10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Carter's goodwill</w:t>
            </w:r>
          </w:p>
        </w:tc>
        <w:tc>
          <w:tcPr>
            <w:tcW w:w="1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Indefinite</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136,570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136,570</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136,570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136,570</w:t>
            </w:r>
          </w:p>
        </w:tc>
        <w:tc>
          <w:tcPr>
            <w:tcW w:w="0" w:type="dxa"/>
            <w:vAlign w:val="bottom"/>
          </w:tcPr>
          <w:p>
            <w:pPr>
              <w:spacing w:after="0"/>
              <w:rPr>
                <w:sz w:val="1"/>
                <w:szCs w:val="1"/>
                <w:color w:val="auto"/>
              </w:rPr>
            </w:pPr>
          </w:p>
        </w:tc>
      </w:tr>
      <w:tr>
        <w:trPr>
          <w:trHeight w:val="237"/>
        </w:trPr>
        <w:tc>
          <w:tcPr>
            <w:tcW w:w="2740" w:type="dxa"/>
            <w:vAlign w:val="bottom"/>
          </w:tcPr>
          <w:p>
            <w:pPr>
              <w:ind w:left="60"/>
              <w:spacing w:after="0"/>
              <w:rPr>
                <w:sz w:val="20"/>
                <w:szCs w:val="20"/>
                <w:color w:val="auto"/>
              </w:rPr>
            </w:pPr>
            <w:r>
              <w:rPr>
                <w:rFonts w:ascii="Arial" w:cs="Arial" w:eastAsia="Arial" w:hAnsi="Arial"/>
                <w:sz w:val="16"/>
                <w:szCs w:val="16"/>
                <w:color w:val="auto"/>
              </w:rPr>
              <w:t>Canada goodwill</w:t>
            </w: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Indefinite</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39,704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39,704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38,869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38,869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Skip Hop goodwill</w:t>
            </w:r>
          </w:p>
        </w:tc>
        <w:tc>
          <w:tcPr>
            <w:tcW w:w="1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Indefinite</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45,976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45,960</w:t>
            </w:r>
          </w:p>
        </w:tc>
        <w:tc>
          <w:tcPr>
            <w:tcW w:w="0" w:type="dxa"/>
            <w:vAlign w:val="bottom"/>
          </w:tcPr>
          <w:p>
            <w:pPr>
              <w:spacing w:after="0"/>
              <w:rPr>
                <w:sz w:val="1"/>
                <w:szCs w:val="1"/>
                <w:color w:val="auto"/>
              </w:rPr>
            </w:pPr>
          </w:p>
        </w:tc>
      </w:tr>
      <w:tr>
        <w:trPr>
          <w:trHeight w:val="237"/>
        </w:trPr>
        <w:tc>
          <w:tcPr>
            <w:tcW w:w="2740" w:type="dxa"/>
            <w:vAlign w:val="bottom"/>
          </w:tcPr>
          <w:p>
            <w:pPr>
              <w:ind w:left="80"/>
              <w:spacing w:after="0"/>
              <w:rPr>
                <w:sz w:val="20"/>
                <w:szCs w:val="20"/>
                <w:color w:val="auto"/>
              </w:rPr>
            </w:pPr>
            <w:r>
              <w:rPr>
                <w:rFonts w:ascii="Arial" w:cs="Arial" w:eastAsia="Arial" w:hAnsi="Arial"/>
                <w:sz w:val="16"/>
                <w:szCs w:val="16"/>
                <w:color w:val="auto"/>
              </w:rPr>
              <w:t>Carter's Mexico goodwill</w:t>
            </w: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Indefinite</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5,769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5,769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5,702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5,702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goodwill</w:t>
            </w: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228,019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228,019</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227,101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227,101</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tradename</w:t>
            </w:r>
          </w:p>
        </w:tc>
        <w:tc>
          <w:tcPr>
            <w:tcW w:w="1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Indefinite</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220,233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220,233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220,233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220,233</w:t>
            </w:r>
          </w:p>
        </w:tc>
        <w:tc>
          <w:tcPr>
            <w:tcW w:w="0" w:type="dxa"/>
            <w:vAlign w:val="bottom"/>
          </w:tcPr>
          <w:p>
            <w:pPr>
              <w:spacing w:after="0"/>
              <w:rPr>
                <w:sz w:val="1"/>
                <w:szCs w:val="1"/>
                <w:color w:val="auto"/>
              </w:rPr>
            </w:pPr>
          </w:p>
        </w:tc>
      </w:tr>
      <w:tr>
        <w:trPr>
          <w:trHeight w:val="237"/>
        </w:trPr>
        <w:tc>
          <w:tcPr>
            <w:tcW w:w="2740" w:type="dxa"/>
            <w:vAlign w:val="bottom"/>
          </w:tcPr>
          <w:p>
            <w:pPr>
              <w:ind w:left="60"/>
              <w:spacing w:after="0"/>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w:t>
            </w: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Indefinite</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85,500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85,500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85,500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85,500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i w:val="1"/>
                <w:iCs w:val="1"/>
                <w:color w:val="auto"/>
              </w:rPr>
              <w:t xml:space="preserve">Skip Hop </w:t>
            </w:r>
            <w:r>
              <w:rPr>
                <w:rFonts w:ascii="Arial" w:cs="Arial" w:eastAsia="Arial" w:hAnsi="Arial"/>
                <w:sz w:val="16"/>
                <w:szCs w:val="16"/>
                <w:color w:val="auto"/>
              </w:rPr>
              <w:t>tradename</w:t>
            </w:r>
          </w:p>
        </w:tc>
        <w:tc>
          <w:tcPr>
            <w:tcW w:w="1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Indefinite</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56,800</w:t>
            </w:r>
          </w:p>
        </w:tc>
        <w:tc>
          <w:tcPr>
            <w:tcW w:w="0" w:type="dxa"/>
            <w:vAlign w:val="bottom"/>
          </w:tcPr>
          <w:p>
            <w:pPr>
              <w:spacing w:after="0"/>
              <w:rPr>
                <w:sz w:val="1"/>
                <w:szCs w:val="1"/>
                <w:color w:val="auto"/>
              </w:rPr>
            </w:pPr>
          </w:p>
        </w:tc>
      </w:tr>
      <w:tr>
        <w:trPr>
          <w:trHeight w:val="237"/>
        </w:trPr>
        <w:tc>
          <w:tcPr>
            <w:tcW w:w="2740" w:type="dxa"/>
            <w:vAlign w:val="bottom"/>
          </w:tcPr>
          <w:p>
            <w:pPr>
              <w:ind w:left="80"/>
              <w:spacing w:after="0"/>
              <w:rPr>
                <w:sz w:val="20"/>
                <w:szCs w:val="20"/>
                <w:color w:val="auto"/>
              </w:rPr>
            </w:pPr>
            <w:r>
              <w:rPr>
                <w:rFonts w:ascii="Arial" w:cs="Arial" w:eastAsia="Arial" w:hAnsi="Arial"/>
                <w:sz w:val="16"/>
                <w:szCs w:val="16"/>
                <w:color w:val="auto"/>
              </w:rPr>
              <w:t>Finite-life tradenames</w:t>
            </w: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5-20 years</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3,911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3,097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3,911</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3,159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tradenames, net</w:t>
            </w: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366,444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365,630</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366,444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365,692</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Skip Hop customer relationships</w:t>
            </w:r>
          </w:p>
        </w:tc>
        <w:tc>
          <w:tcPr>
            <w:tcW w:w="1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15 years</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41,026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47,300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41,820</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7"/>
              </w:rPr>
              <w:t>Carter's Mexico customer relationships</w:t>
            </w: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10 years</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3,179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2,643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3,146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2,691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customer relationships, net</w:t>
            </w: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50,479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6,810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43,669</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50,446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5,935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44,511</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3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March 31, 2018</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3"/>
        </w:trPr>
        <w:tc>
          <w:tcPr>
            <w:tcW w:w="596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9"/>
        </w:trPr>
        <w:tc>
          <w:tcPr>
            <w:tcW w:w="596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0"/>
        </w:trPr>
        <w:tc>
          <w:tcPr>
            <w:tcW w:w="596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useful life</w:t>
            </w:r>
          </w:p>
        </w:tc>
        <w:tc>
          <w:tcPr>
            <w:tcW w:w="1160" w:type="dxa"/>
            <w:vAlign w:val="bottom"/>
            <w:gridSpan w:val="3"/>
          </w:tcPr>
          <w:p>
            <w:pPr>
              <w:ind w:left="40"/>
              <w:spacing w:after="0"/>
              <w:rPr>
                <w:sz w:val="20"/>
                <w:szCs w:val="20"/>
                <w:color w:val="auto"/>
              </w:rPr>
            </w:pPr>
            <w:r>
              <w:rPr>
                <w:rFonts w:ascii="Arial" w:cs="Arial" w:eastAsia="Arial" w:hAnsi="Arial"/>
                <w:sz w:val="16"/>
                <w:szCs w:val="16"/>
                <w:b w:val="1"/>
                <w:bCs w:val="1"/>
                <w:color w:val="auto"/>
              </w:rPr>
              <w:t>Gross amount</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amortization</w:t>
            </w:r>
          </w:p>
        </w:tc>
        <w:tc>
          <w:tcPr>
            <w:tcW w:w="10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Net amount</w:t>
            </w:r>
          </w:p>
        </w:tc>
      </w:tr>
      <w:tr>
        <w:trPr>
          <w:trHeight w:val="33"/>
        </w:trPr>
        <w:tc>
          <w:tcPr>
            <w:tcW w:w="59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Carter's goodwill</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Indefinite</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136,570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136,570</w:t>
            </w:r>
          </w:p>
        </w:tc>
      </w:tr>
      <w:tr>
        <w:trPr>
          <w:trHeight w:val="237"/>
        </w:trPr>
        <w:tc>
          <w:tcPr>
            <w:tcW w:w="5960" w:type="dxa"/>
            <w:vAlign w:val="bottom"/>
          </w:tcPr>
          <w:p>
            <w:pPr>
              <w:ind w:left="60"/>
              <w:spacing w:after="0"/>
              <w:rPr>
                <w:sz w:val="20"/>
                <w:szCs w:val="20"/>
                <w:color w:val="auto"/>
              </w:rPr>
            </w:pPr>
            <w:r>
              <w:rPr>
                <w:rFonts w:ascii="Arial" w:cs="Arial" w:eastAsia="Arial" w:hAnsi="Arial"/>
                <w:sz w:val="16"/>
                <w:szCs w:val="16"/>
                <w:color w:val="auto"/>
              </w:rPr>
              <w:t>Canada goodwill</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Indefinite</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41,106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41,106</w:t>
            </w:r>
          </w:p>
        </w:tc>
      </w:tr>
      <w:tr>
        <w:trPr>
          <w:trHeight w:val="33"/>
        </w:trPr>
        <w:tc>
          <w:tcPr>
            <w:tcW w:w="5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Skip Hop goodwill</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Indefinite</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46,022</w:t>
            </w:r>
          </w:p>
        </w:tc>
      </w:tr>
      <w:tr>
        <w:trPr>
          <w:trHeight w:val="237"/>
        </w:trPr>
        <w:tc>
          <w:tcPr>
            <w:tcW w:w="5960" w:type="dxa"/>
            <w:vAlign w:val="bottom"/>
          </w:tcPr>
          <w:p>
            <w:pPr>
              <w:ind w:left="60"/>
              <w:spacing w:after="0"/>
              <w:rPr>
                <w:sz w:val="20"/>
                <w:szCs w:val="20"/>
                <w:color w:val="auto"/>
              </w:rPr>
            </w:pPr>
            <w:r>
              <w:rPr>
                <w:rFonts w:ascii="Arial" w:cs="Arial" w:eastAsia="Arial" w:hAnsi="Arial"/>
                <w:sz w:val="16"/>
                <w:szCs w:val="16"/>
                <w:color w:val="auto"/>
              </w:rPr>
              <w:t>Carter's Mexico goodwill</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Indefinite</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6,310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6,310</w:t>
            </w:r>
          </w:p>
        </w:tc>
      </w:tr>
      <w:tr>
        <w:trPr>
          <w:trHeight w:val="33"/>
        </w:trPr>
        <w:tc>
          <w:tcPr>
            <w:tcW w:w="59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goodwill</w:t>
            </w:r>
          </w:p>
        </w:tc>
        <w:tc>
          <w:tcPr>
            <w:tcW w:w="1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230,008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230,008</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50"/>
        </w:trPr>
        <w:tc>
          <w:tcPr>
            <w:tcW w:w="5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tradename</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Indefinite</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220,233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220,233</w:t>
            </w:r>
          </w:p>
        </w:tc>
      </w:tr>
      <w:tr>
        <w:trPr>
          <w:trHeight w:val="237"/>
        </w:trPr>
        <w:tc>
          <w:tcPr>
            <w:tcW w:w="5960" w:type="dxa"/>
            <w:vAlign w:val="bottom"/>
          </w:tcPr>
          <w:p>
            <w:pPr>
              <w:ind w:left="60"/>
              <w:spacing w:after="0"/>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Indefinite</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85,500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85,500</w:t>
            </w:r>
          </w:p>
        </w:tc>
      </w:tr>
      <w:tr>
        <w:trPr>
          <w:trHeight w:val="33"/>
        </w:trPr>
        <w:tc>
          <w:tcPr>
            <w:tcW w:w="5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i w:val="1"/>
                <w:iCs w:val="1"/>
                <w:color w:val="auto"/>
              </w:rPr>
              <w:t xml:space="preserve">Skip Hop </w:t>
            </w:r>
            <w:r>
              <w:rPr>
                <w:rFonts w:ascii="Arial" w:cs="Arial" w:eastAsia="Arial" w:hAnsi="Arial"/>
                <w:sz w:val="16"/>
                <w:szCs w:val="16"/>
                <w:color w:val="auto"/>
              </w:rPr>
              <w:t>tradename</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Indefinite</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56,800</w:t>
            </w:r>
          </w:p>
        </w:tc>
      </w:tr>
      <w:tr>
        <w:trPr>
          <w:trHeight w:val="237"/>
        </w:trPr>
        <w:tc>
          <w:tcPr>
            <w:tcW w:w="5960" w:type="dxa"/>
            <w:vAlign w:val="bottom"/>
          </w:tcPr>
          <w:p>
            <w:pPr>
              <w:ind w:left="60"/>
              <w:spacing w:after="0"/>
              <w:rPr>
                <w:sz w:val="20"/>
                <w:szCs w:val="20"/>
                <w:color w:val="auto"/>
              </w:rPr>
            </w:pPr>
            <w:r>
              <w:rPr>
                <w:rFonts w:ascii="Arial" w:cs="Arial" w:eastAsia="Arial" w:hAnsi="Arial"/>
                <w:sz w:val="16"/>
                <w:szCs w:val="16"/>
                <w:color w:val="auto"/>
              </w:rPr>
              <w:t>Finite-life tradenames</w:t>
            </w:r>
          </w:p>
        </w:tc>
        <w:tc>
          <w:tcPr>
            <w:tcW w:w="182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5-20 years</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3,550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2,973</w:t>
            </w:r>
          </w:p>
        </w:tc>
      </w:tr>
      <w:tr>
        <w:trPr>
          <w:trHeight w:val="33"/>
        </w:trPr>
        <w:tc>
          <w:tcPr>
            <w:tcW w:w="59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tradenames, net</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366,083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365,506</w:t>
            </w:r>
          </w:p>
        </w:tc>
      </w:tr>
      <w:tr>
        <w:trPr>
          <w:trHeight w:val="20"/>
        </w:trPr>
        <w:tc>
          <w:tcPr>
            <w:tcW w:w="5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03"/>
        </w:trPr>
        <w:tc>
          <w:tcPr>
            <w:tcW w:w="5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Skip Hop customer relationships, net</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15 years</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44,202</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Carter's Mexico customer relationships</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10 years</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3,384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3,167</w:t>
            </w:r>
          </w:p>
        </w:tc>
      </w:tr>
      <w:tr>
        <w:trPr>
          <w:trHeight w:val="33"/>
        </w:trPr>
        <w:tc>
          <w:tcPr>
            <w:tcW w:w="59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customer relationships, net</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50,684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47,369</w:t>
            </w:r>
          </w:p>
        </w:tc>
      </w:tr>
      <w:tr>
        <w:trPr>
          <w:trHeight w:val="20"/>
        </w:trPr>
        <w:tc>
          <w:tcPr>
            <w:tcW w:w="5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Amortization expense for intangible assets subject to amortization was approximately $0.9 million and $1.0 million for the first fiscal quarter ended March 30, 2019 and first fiscal quarter ended March 31, 2018,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amortization expense for the next five fiscal years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94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9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3,744</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2021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3,744</w:t>
            </w:r>
          </w:p>
        </w:tc>
      </w:tr>
      <w:tr>
        <w:trPr>
          <w:trHeight w:val="33"/>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3,744</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2023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3,701</w:t>
            </w:r>
          </w:p>
        </w:tc>
      </w:tr>
      <w:tr>
        <w:trPr>
          <w:trHeight w:val="33"/>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4"/>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3,671</w:t>
            </w:r>
          </w:p>
        </w:tc>
      </w:tr>
      <w:tr>
        <w:trPr>
          <w:trHeight w:val="33"/>
        </w:trPr>
        <w:tc>
          <w:tcPr>
            <w:tcW w:w="9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Market Share Repurchases</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total aggregate remaining capacity under outstanding repurchase authorizations as of March 30, 2019 was approximately $352.6 million, based on settled repurchase transactions. The authorizations have no expiration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repurchased and retired shares in open market transactions in the following amounts for the fiscal periods indicated: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0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Fiscal quarter ended</w:t>
            </w:r>
          </w:p>
        </w:tc>
      </w:tr>
      <w:tr>
        <w:trPr>
          <w:trHeight w:val="47"/>
        </w:trPr>
        <w:tc>
          <w:tcPr>
            <w:tcW w:w="76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31"/>
        </w:trPr>
        <w:tc>
          <w:tcPr>
            <w:tcW w:w="7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30, 2019</w:t>
            </w:r>
          </w:p>
        </w:tc>
        <w:tc>
          <w:tcPr>
            <w:tcW w:w="220" w:type="dxa"/>
            <w:vAlign w:val="bottom"/>
          </w:tcPr>
          <w:p>
            <w:pPr>
              <w:spacing w:after="0"/>
              <w:rPr>
                <w:sz w:val="20"/>
                <w:szCs w:val="20"/>
                <w:color w:val="auto"/>
              </w:rPr>
            </w:pPr>
          </w:p>
        </w:tc>
        <w:tc>
          <w:tcPr>
            <w:tcW w:w="1580" w:type="dxa"/>
            <w:vAlign w:val="bottom"/>
          </w:tcPr>
          <w:p>
            <w:pPr>
              <w:jc w:val="right"/>
              <w:ind w:right="279"/>
              <w:spacing w:after="0"/>
              <w:rPr>
                <w:sz w:val="20"/>
                <w:szCs w:val="20"/>
                <w:color w:val="auto"/>
              </w:rPr>
            </w:pPr>
            <w:r>
              <w:rPr>
                <w:rFonts w:ascii="Arial" w:cs="Arial" w:eastAsia="Arial" w:hAnsi="Arial"/>
                <w:sz w:val="16"/>
                <w:szCs w:val="16"/>
                <w:b w:val="1"/>
                <w:bCs w:val="1"/>
                <w:color w:val="auto"/>
              </w:rPr>
              <w:t>March 31, 2018</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Number of shares repurchased</w:t>
            </w:r>
          </w:p>
        </w:tc>
        <w:tc>
          <w:tcPr>
            <w:tcW w:w="2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460,257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221,313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Aggregate cost of shares repurchased (dollars in thousands)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39,966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25,195</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price per share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86.83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113.84</w:t>
            </w:r>
          </w:p>
        </w:tc>
      </w:tr>
      <w:tr>
        <w:trPr>
          <w:trHeight w:val="33"/>
        </w:trPr>
        <w:tc>
          <w:tcPr>
            <w:tcW w:w="7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Future repurchases may occur from time to time in the open market, in privately negotiated transactions, or otherwise. The timing and amount of any repurchases will be determined by the Company's management, based on its evaluation of market conditions, share price, other investment priorities, and other factors.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In the first fiscal quarter ended March 30, 2019 and March 31, 2018, the Company declared and paid cash dividends per share of $0.50 and $0.45, respectively. Future declarations of dividends and the establishment of future record and payment dates are</w:t>
      </w:r>
    </w:p>
    <w:p>
      <w:pPr>
        <w:sectPr>
          <w:pgSz w:w="11900" w:h="16838" w:orient="portrait"/>
          <w:cols w:equalWidth="0" w:num="1">
            <w:col w:w="11420"/>
          </w:cols>
          <w:pgMar w:left="240" w:top="337" w:right="2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37"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the discretion of the Company's Board of Directors and are based on a number of factors, including the Company's future financial performance and other investment priorities.</w:t>
      </w:r>
    </w:p>
    <w:p>
      <w:pPr>
        <w:spacing w:after="0" w:line="13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Provisions in the Company's secured revolving credit facility could have the effect of restricting the Company's ability to pay future cash dividends on, or make future repurchases of, its common stock, as described in the Company's Annual Report on Form 10-K for the 2018 fiscal year ended December 29, 2018.</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LONG-TERM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30, 2019</w:t>
            </w:r>
          </w:p>
        </w:tc>
        <w:tc>
          <w:tcPr>
            <w:tcW w:w="16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29, 2018</w:t>
            </w:r>
          </w:p>
        </w:tc>
        <w:tc>
          <w:tcPr>
            <w:tcW w:w="220" w:type="dxa"/>
            <w:vAlign w:val="bottom"/>
          </w:tcPr>
          <w:p>
            <w:pPr>
              <w:spacing w:after="0"/>
              <w:rPr>
                <w:sz w:val="18"/>
                <w:szCs w:val="18"/>
                <w:color w:val="auto"/>
              </w:rPr>
            </w:pPr>
          </w:p>
        </w:tc>
        <w:tc>
          <w:tcPr>
            <w:tcW w:w="1580" w:type="dxa"/>
            <w:vAlign w:val="bottom"/>
          </w:tcPr>
          <w:p>
            <w:pPr>
              <w:jc w:val="right"/>
              <w:ind w:right="279"/>
              <w:spacing w:after="0"/>
              <w:rPr>
                <w:sz w:val="20"/>
                <w:szCs w:val="20"/>
                <w:color w:val="auto"/>
              </w:rPr>
            </w:pPr>
            <w:r>
              <w:rPr>
                <w:rFonts w:ascii="Arial" w:cs="Arial" w:eastAsia="Arial" w:hAnsi="Arial"/>
                <w:sz w:val="16"/>
                <w:szCs w:val="16"/>
                <w:b w:val="1"/>
                <w:bCs w:val="1"/>
                <w:color w:val="auto"/>
              </w:rPr>
              <w:t>March 31, 2018</w:t>
            </w:r>
          </w:p>
        </w:tc>
      </w:tr>
      <w:tr>
        <w:trPr>
          <w:trHeight w:val="33"/>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 at amounts repayable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400,000</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Less unamortized issuance-related costs for senior notes</w:t>
            </w:r>
          </w:p>
        </w:tc>
        <w:tc>
          <w:tcPr>
            <w:tcW w:w="2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(5,722)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(2,736)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(3,459)</w:t>
            </w:r>
          </w:p>
        </w:tc>
      </w:tr>
      <w:tr>
        <w:trPr>
          <w:trHeight w:val="33"/>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Senior notes, net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494,278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397,264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396,541</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Secured revolving credit facility</w:t>
            </w:r>
          </w:p>
        </w:tc>
        <w:tc>
          <w:tcPr>
            <w:tcW w:w="26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131,000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196,000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221,000</w:t>
            </w:r>
          </w:p>
        </w:tc>
      </w:tr>
      <w:tr>
        <w:trPr>
          <w:trHeight w:val="33"/>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5"/>
        </w:trPr>
        <w:tc>
          <w:tcPr>
            <w:tcW w:w="5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long-term debt, net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625,278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593,264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617,541</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30, 2019, the Company had $131.0 million in outstanding borrowings under its secured revolving credit facility, exclusive of $5.0 million of outstanding letters of credit. As of March 30, 2019, approximately $614.0 million remained available for future borrowing. All outstanding borrowings under the Company's secured revolving credit facility are classified as non-current liabilities on the Company's consolidated balance sheet because of the contractual repayment terms under the credit facility.</w:t>
      </w:r>
    </w:p>
    <w:p>
      <w:pPr>
        <w:spacing w:after="0" w:line="14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of March 30, 2019, the interest rate margins applicable to the secured revolving credit facility were 1.375% for LIBOR (London Interbank Offered Rate) rate loans (which may be adjusted based on a leverage-based pricing grid ranging from 1.125% to 1.875%) and 0.375% for base rate loans (which may be adjusted based on a leverage-based pricing grid ranging from 0.125% to 0.875%).</w:t>
      </w:r>
    </w:p>
    <w:p>
      <w:pPr>
        <w:spacing w:after="0" w:line="14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As of March 30, 2019, U.S. dollar borrowings outstanding under the secured revolving credit facility accrued interest at a LIBOR rate plus the applicable margin, which resulted in a weighted-average borrowing rate of 3.87%. There were no Canadian borrowings outstanding on March 30, 2019.</w:t>
      </w:r>
    </w:p>
    <w:p>
      <w:pPr>
        <w:spacing w:after="0" w:line="83" w:lineRule="exact"/>
        <w:rPr>
          <w:sz w:val="20"/>
          <w:szCs w:val="20"/>
          <w:color w:val="auto"/>
        </w:rPr>
      </w:pPr>
    </w:p>
    <w:p>
      <w:pPr>
        <w:ind w:right="1500"/>
        <w:spacing w:after="0" w:line="399" w:lineRule="auto"/>
        <w:rPr>
          <w:sz w:val="20"/>
          <w:szCs w:val="20"/>
          <w:color w:val="auto"/>
        </w:rPr>
      </w:pPr>
      <w:r>
        <w:rPr>
          <w:rFonts w:ascii="Arial" w:cs="Arial" w:eastAsia="Arial" w:hAnsi="Arial"/>
          <w:sz w:val="18"/>
          <w:szCs w:val="18"/>
          <w:color w:val="auto"/>
        </w:rPr>
        <w:t xml:space="preserve">As of March 30, 2019, the Company was in compliance with the financial and other covenants under the secured revolving credit facility. </w:t>
      </w:r>
      <w:r>
        <w:rPr>
          <w:rFonts w:ascii="Arial" w:cs="Arial" w:eastAsia="Arial" w:hAnsi="Arial"/>
          <w:sz w:val="18"/>
          <w:szCs w:val="18"/>
          <w:b w:val="1"/>
          <w:bCs w:val="1"/>
          <w:color w:val="auto"/>
        </w:rPr>
        <w:t>Senior Notes</w:t>
      </w:r>
    </w:p>
    <w:p>
      <w:pPr>
        <w:spacing w:after="0" w:line="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March 14, 2019, the Company's wholly-owned subsidiary, The William Carter Company ("TWCC"), redeemed $400 million principal amount of senior notes, bearing interest at a rate of 5.25% per annum, and maturing on August 15, 2021, pursuant to the optional redemption provisions of the notes, which required that TWCC pay the outstanding principal plus accrued interest and an early redemption premium of 1.31% of the outstanding principal amounts of the senior notes. This debt redemption resulted in a loss on extinguishment of debt of $7.8 million, consisting of $5.2 million of early redemption premiums and $2.6 million of unamortized debt issuance costs.</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Concurrently, TWCC issued $500 million principal amount of senior notes at par, bearing interest at a rate of 5.625% per annum, and maturing on March 15, 2027, all of which were outstanding as of March 30, 2019. TWCC received net proceeds from the offering of the senior notes of approximately $494.8 million, after deducting underwriting fees, which TWCC used to redeem the senior notes discussed above and repay borrowings outstanding under the Company's secured revolving credit facility. Approximately $5.7 million, including both bank fees and other third party expenses, has been capitalized in connection with the issuance and is being amortized over the term of the senior notes.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37" w:right="239" w:bottom="1440" w:gutter="0" w:footer="0" w:header="0"/>
        </w:sectPr>
      </w:pPr>
    </w:p>
    <w:bookmarkStart w:id="14" w:name="page15"/>
    <w:bookmarkEnd w:id="14"/>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expense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0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Fiscal quarter ended</w:t>
            </w:r>
          </w:p>
        </w:tc>
      </w:tr>
      <w:tr>
        <w:trPr>
          <w:trHeight w:val="33"/>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20"/>
                <w:szCs w:val="20"/>
                <w:color w:val="auto"/>
              </w:rPr>
            </w:pP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30, 2019</w:t>
            </w:r>
          </w:p>
        </w:tc>
        <w:tc>
          <w:tcPr>
            <w:tcW w:w="220" w:type="dxa"/>
            <w:vAlign w:val="bottom"/>
          </w:tcPr>
          <w:p>
            <w:pPr>
              <w:spacing w:after="0"/>
              <w:rPr>
                <w:sz w:val="20"/>
                <w:szCs w:val="20"/>
                <w:color w:val="auto"/>
              </w:rPr>
            </w:pPr>
          </w:p>
        </w:tc>
        <w:tc>
          <w:tcPr>
            <w:tcW w:w="1580" w:type="dxa"/>
            <w:vAlign w:val="bottom"/>
          </w:tcPr>
          <w:p>
            <w:pPr>
              <w:jc w:val="right"/>
              <w:ind w:right="279"/>
              <w:spacing w:after="0"/>
              <w:rPr>
                <w:sz w:val="20"/>
                <w:szCs w:val="20"/>
                <w:color w:val="auto"/>
              </w:rPr>
            </w:pPr>
            <w:r>
              <w:rPr>
                <w:rFonts w:ascii="Arial" w:cs="Arial" w:eastAsia="Arial" w:hAnsi="Arial"/>
                <w:sz w:val="16"/>
                <w:szCs w:val="16"/>
                <w:b w:val="1"/>
                <w:bCs w:val="1"/>
                <w:color w:val="auto"/>
              </w:rPr>
              <w:t>March 31, 2018</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1,344</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Restricted stock:</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Time-based awards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2,284</w:t>
            </w:r>
          </w:p>
        </w:tc>
      </w:tr>
      <w:tr>
        <w:trPr>
          <w:trHeight w:val="237"/>
        </w:trPr>
        <w:tc>
          <w:tcPr>
            <w:tcW w:w="7660" w:type="dxa"/>
            <w:vAlign w:val="bottom"/>
          </w:tcPr>
          <w:p>
            <w:pPr>
              <w:ind w:left="160"/>
              <w:spacing w:after="0"/>
              <w:rPr>
                <w:sz w:val="20"/>
                <w:szCs w:val="20"/>
                <w:color w:val="auto"/>
              </w:rPr>
            </w:pPr>
            <w:r>
              <w:rPr>
                <w:rFonts w:ascii="Arial" w:cs="Arial" w:eastAsia="Arial" w:hAnsi="Arial"/>
                <w:sz w:val="16"/>
                <w:szCs w:val="16"/>
                <w:color w:val="auto"/>
              </w:rPr>
              <w:t>Performance-based awards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1,316</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4,944</w:t>
            </w: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On February 13, 2019, the Company's Board of Directors approved the issuance of the following new awards to certain key employees under the Company's existing stock-based compensation plan, subject to vesting: 159,484 shares of time-based restricted stock awards with a grant-date fair value of $88.87 each; and 61,350 shares of performance-based restricted stock awards with a grant-date fair value of $88.87 each.</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fiscal quarter of 2019, a total of 107,388 restricted stock awards (time- and performance-based) vested.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94"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color w:val="auto"/>
        </w:rPr>
        <w:t>As of March 30, 2019, the Company had gross unrecognized income tax benefits of approximately $14.3 million, of which $12.3 million, if ultimately recognized, may affect the Company's effective income tax rate in the periods settled. The Company has recorded tax positions for which the ultimate deductibility is more likely than not, but for which there is uncertainty about the timing of such deductions.</w:t>
      </w:r>
    </w:p>
    <w:p>
      <w:pPr>
        <w:spacing w:after="0" w:line="12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Included in the reserves for unrecognized tax benefits at March 30, 2019 were approximately $2.9 million of reserves for which the statute of limitations is expected to expire within the next fiscal year. If these tax benefits are ultimately recognized, such recognition, net of federal income taxes, may affect the annual effective income tax rate for fiscal 2019 or fiscal 2020 along with the effective income tax rate in the quarter in which the benefits are recognized.</w:t>
      </w:r>
    </w:p>
    <w:p>
      <w:pPr>
        <w:spacing w:after="0" w:line="10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recognizes interest related to unrecognized tax benefits as a component of interest expense and recognizes penalties related to unrecognized income tax benefits as a component of income tax expense. During the fiscal quarter ended March 30, 2019 and the fiscal quarter ended March 31, 2018, interest expense recorded on uncertain tax positions was not material. The Company had approximately $2.1 million, $1.8 million, and $1.1 million of interest accrued on uncertain tax positions as of March 30, 2019, December 29, 2018, and March 31, 2018,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4"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The Company invests in marketable securities, principally equity-based mutual funds, to mitigate the risk associated with the investment return on employee deferrals of compensation. All of the marketable securities are included in Other assets on the accompanying consolidated balance sheets, and their aggregate fair values were approximately $17.3 million, $15.7 million, and $16.7 million at March 30, 2019, December 29, 2018, and March 31, 2018, respectively.</w:t>
      </w:r>
    </w:p>
    <w:p>
      <w:pPr>
        <w:jc w:val="both"/>
        <w:ind w:right="260"/>
        <w:spacing w:after="0" w:line="255" w:lineRule="auto"/>
        <w:rPr>
          <w:sz w:val="20"/>
          <w:szCs w:val="20"/>
          <w:color w:val="auto"/>
        </w:rPr>
      </w:pPr>
      <w:r>
        <w:rPr>
          <w:rFonts w:ascii="Arial" w:cs="Arial" w:eastAsia="Arial" w:hAnsi="Arial"/>
          <w:sz w:val="18"/>
          <w:szCs w:val="18"/>
          <w:color w:val="auto"/>
        </w:rPr>
        <w:t>These investments are classified as Level 1 within the fair value hierarchy. Gains on the investments in marketable securities were $1.7 million for the first fiscal quarter ended March 30, 2019 and were not material for the first fiscal quarter ended March 31, 2018. These amounts are included in Other expense (income), net on the Company's consolidated statement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Forward Contracts</w:t>
      </w:r>
    </w:p>
    <w:p>
      <w:pPr>
        <w:spacing w:after="0" w:line="94"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Fair values of any unsettled foreign exchange forward contracts are calculated by using readily observable market inputs (market-quoted currency exchange rates in effect between the U.S. dollar and the currencies of Canada and Mexico) and are classified as Level 2 within the fair value hierarchy. Any unsettled foreign exchange forward contracts are included in other current assets or other current liabilities on the Company's consolidated balance sheet at the end of each fiscal reporting period.</w:t>
      </w:r>
    </w:p>
    <w:p>
      <w:pPr>
        <w:spacing w:after="0" w:line="1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March 30, 2019 and December 29, 2018, there were no open foreign currency contracts. As of March 31, 2018, the fair value of open foreign currency contracts was not material.</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3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March 30, 2019, the fair value of the Company's $131.0 million in outstanding borrowings under its secured revolving credit facility approximated the carrying value.</w:t>
      </w:r>
    </w:p>
    <w:p>
      <w:pPr>
        <w:spacing w:after="0" w:line="13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fair value of the Company's senior notes at March 30, 2019 was approximately $518 million. The fair value of these senior notes with a notional value and carrying value (gross of debt cost) of $500 million was estimated using a quoted price as provided in the secondary market, which considers the Company's credit risk and market related conditions, and is therefore within Level 2 of the fair value hierarchy.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basic common shares outstanding to diluted common and common equivalent shares outstanding: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0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Fiscal quarter ended</w:t>
            </w:r>
          </w:p>
        </w:tc>
      </w:tr>
      <w:tr>
        <w:trPr>
          <w:trHeight w:val="47"/>
        </w:trPr>
        <w:tc>
          <w:tcPr>
            <w:tcW w:w="76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31"/>
        </w:trPr>
        <w:tc>
          <w:tcPr>
            <w:tcW w:w="7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30, 2019</w:t>
            </w:r>
          </w:p>
        </w:tc>
        <w:tc>
          <w:tcPr>
            <w:tcW w:w="220" w:type="dxa"/>
            <w:vAlign w:val="bottom"/>
          </w:tcPr>
          <w:p>
            <w:pPr>
              <w:spacing w:after="0"/>
              <w:rPr>
                <w:sz w:val="20"/>
                <w:szCs w:val="20"/>
                <w:color w:val="auto"/>
              </w:rPr>
            </w:pPr>
          </w:p>
        </w:tc>
        <w:tc>
          <w:tcPr>
            <w:tcW w:w="1580" w:type="dxa"/>
            <w:vAlign w:val="bottom"/>
          </w:tcPr>
          <w:p>
            <w:pPr>
              <w:jc w:val="right"/>
              <w:ind w:right="279"/>
              <w:spacing w:after="0"/>
              <w:rPr>
                <w:sz w:val="20"/>
                <w:szCs w:val="20"/>
                <w:color w:val="auto"/>
              </w:rPr>
            </w:pPr>
            <w:r>
              <w:rPr>
                <w:rFonts w:ascii="Arial" w:cs="Arial" w:eastAsia="Arial" w:hAnsi="Arial"/>
                <w:sz w:val="16"/>
                <w:szCs w:val="16"/>
                <w:b w:val="1"/>
                <w:bCs w:val="1"/>
                <w:color w:val="auto"/>
              </w:rPr>
              <w:t>March 31, 2018</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number of common and common equivalent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360"/>
              <w:spacing w:after="0"/>
              <w:rPr>
                <w:sz w:val="20"/>
                <w:szCs w:val="20"/>
                <w:color w:val="auto"/>
              </w:rPr>
            </w:pPr>
            <w:r>
              <w:rPr>
                <w:rFonts w:ascii="Arial" w:cs="Arial" w:eastAsia="Arial" w:hAnsi="Arial"/>
                <w:sz w:val="16"/>
                <w:szCs w:val="16"/>
                <w:color w:val="auto"/>
              </w:rPr>
              <w:t>Basic number of common shares outstanding</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45,070,796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46,772,737</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Dilutive effect of equity awards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300,239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618,678</w:t>
            </w:r>
          </w:p>
        </w:tc>
      </w:tr>
      <w:tr>
        <w:trPr>
          <w:trHeight w:val="284"/>
        </w:trPr>
        <w:tc>
          <w:tcPr>
            <w:tcW w:w="76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Diluted number of common and common equivalent shares outstanding</w:t>
            </w:r>
          </w:p>
        </w:tc>
        <w:tc>
          <w:tcPr>
            <w:tcW w:w="26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45,371,035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47,391,415</w:t>
            </w:r>
          </w:p>
        </w:tc>
      </w:tr>
      <w:tr>
        <w:trPr>
          <w:trHeight w:val="203"/>
        </w:trPr>
        <w:tc>
          <w:tcPr>
            <w:tcW w:w="7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Basic net income per common share (in thousands, except per share data):</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42,469</w:t>
            </w:r>
          </w:p>
        </w:tc>
      </w:tr>
      <w:tr>
        <w:trPr>
          <w:trHeight w:val="237"/>
        </w:trPr>
        <w:tc>
          <w:tcPr>
            <w:tcW w:w="7660" w:type="dxa"/>
            <w:vAlign w:val="bottom"/>
          </w:tcPr>
          <w:p>
            <w:pPr>
              <w:ind w:left="360"/>
              <w:spacing w:after="0"/>
              <w:rPr>
                <w:sz w:val="20"/>
                <w:szCs w:val="20"/>
                <w:color w:val="auto"/>
              </w:rPr>
            </w:pPr>
            <w:r>
              <w:rPr>
                <w:rFonts w:ascii="Arial" w:cs="Arial" w:eastAsia="Arial" w:hAnsi="Arial"/>
                <w:sz w:val="16"/>
                <w:szCs w:val="16"/>
                <w:color w:val="auto"/>
              </w:rPr>
              <w:t>Income allocated to participating securities</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income available to common shareholders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34,175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42,144</w:t>
            </w: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03"/>
        </w:trPr>
        <w:tc>
          <w:tcPr>
            <w:tcW w:w="7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7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 net income per common share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0.90</w:t>
            </w:r>
          </w:p>
        </w:tc>
      </w:tr>
      <w:tr>
        <w:trPr>
          <w:trHeight w:val="216"/>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income per common share (in thousands, except per share data):</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34,466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42,469</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Income allocated to participating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r>
      <w:tr>
        <w:trPr>
          <w:trHeight w:val="284"/>
        </w:trPr>
        <w:tc>
          <w:tcPr>
            <w:tcW w:w="76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income available to common shareholders</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34,175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42,146</w:t>
            </w:r>
          </w:p>
        </w:tc>
      </w:tr>
      <w:tr>
        <w:trPr>
          <w:trHeight w:val="203"/>
        </w:trPr>
        <w:tc>
          <w:tcPr>
            <w:tcW w:w="7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37"/>
        </w:trPr>
        <w:tc>
          <w:tcPr>
            <w:tcW w:w="7660" w:type="dxa"/>
            <w:vAlign w:val="bottom"/>
          </w:tcPr>
          <w:p>
            <w:pPr>
              <w:ind w:left="360"/>
              <w:spacing w:after="0"/>
              <w:rPr>
                <w:sz w:val="20"/>
                <w:szCs w:val="20"/>
                <w:color w:val="auto"/>
              </w:rPr>
            </w:pPr>
            <w:r>
              <w:rPr>
                <w:rFonts w:ascii="Arial" w:cs="Arial" w:eastAsia="Arial" w:hAnsi="Arial"/>
                <w:sz w:val="16"/>
                <w:szCs w:val="16"/>
                <w:color w:val="auto"/>
              </w:rPr>
              <w:t>Diluted net income per common share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0.75</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0.89</w:t>
            </w: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16"/>
        </w:trPr>
        <w:tc>
          <w:tcPr>
            <w:tcW w:w="76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r>
      <w:tr>
        <w:trPr>
          <w:trHeight w:val="231"/>
        </w:trPr>
        <w:tc>
          <w:tcPr>
            <w:tcW w:w="7660" w:type="dxa"/>
            <w:vAlign w:val="bottom"/>
          </w:tcPr>
          <w:p>
            <w:pPr>
              <w:ind w:left="360"/>
              <w:spacing w:after="0"/>
              <w:rPr>
                <w:sz w:val="20"/>
                <w:szCs w:val="20"/>
                <w:color w:val="auto"/>
              </w:rPr>
            </w:pPr>
            <w:r>
              <w:rPr>
                <w:rFonts w:ascii="Arial" w:cs="Arial" w:eastAsia="Arial" w:hAnsi="Arial"/>
                <w:sz w:val="16"/>
                <w:szCs w:val="16"/>
                <w:color w:val="auto"/>
              </w:rPr>
              <w:t>Anti-dilutive awards excluded from diluted earnings per share computation</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776,919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137,980</w:t>
            </w:r>
          </w:p>
        </w:tc>
      </w:tr>
      <w:tr>
        <w:trPr>
          <w:trHeight w:val="33"/>
        </w:trPr>
        <w:tc>
          <w:tcPr>
            <w:tcW w:w="7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OTHER CURRENT AND LONG-TERM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that exceeded five percent of total current liabilities, at the end of any comparable period,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40" w:type="dxa"/>
            <w:vAlign w:val="bottom"/>
          </w:tcPr>
          <w:p>
            <w:pPr>
              <w:spacing w:after="0"/>
              <w:rPr>
                <w:sz w:val="18"/>
                <w:szCs w:val="18"/>
                <w:color w:val="auto"/>
              </w:rPr>
            </w:pPr>
          </w:p>
        </w:tc>
        <w:tc>
          <w:tcPr>
            <w:tcW w:w="17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30, 2019</w:t>
            </w:r>
          </w:p>
        </w:tc>
        <w:tc>
          <w:tcPr>
            <w:tcW w:w="18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29, 2018</w:t>
            </w:r>
          </w:p>
        </w:tc>
        <w:tc>
          <w:tcPr>
            <w:tcW w:w="220" w:type="dxa"/>
            <w:vAlign w:val="bottom"/>
          </w:tcPr>
          <w:p>
            <w:pPr>
              <w:spacing w:after="0"/>
              <w:rPr>
                <w:sz w:val="18"/>
                <w:szCs w:val="18"/>
                <w:color w:val="auto"/>
              </w:rPr>
            </w:pPr>
          </w:p>
        </w:tc>
        <w:tc>
          <w:tcPr>
            <w:tcW w:w="1580" w:type="dxa"/>
            <w:vAlign w:val="bottom"/>
          </w:tcPr>
          <w:p>
            <w:pPr>
              <w:jc w:val="right"/>
              <w:ind w:right="279"/>
              <w:spacing w:after="0"/>
              <w:rPr>
                <w:sz w:val="20"/>
                <w:szCs w:val="20"/>
                <w:color w:val="auto"/>
              </w:rPr>
            </w:pPr>
            <w:r>
              <w:rPr>
                <w:rFonts w:ascii="Arial" w:cs="Arial" w:eastAsia="Arial" w:hAnsi="Arial"/>
                <w:sz w:val="16"/>
                <w:szCs w:val="16"/>
                <w:b w:val="1"/>
                <w:bCs w:val="1"/>
                <w:color w:val="auto"/>
              </w:rPr>
              <w:t>March 31, 2018</w:t>
            </w:r>
          </w:p>
        </w:tc>
      </w:tr>
      <w:tr>
        <w:trPr>
          <w:trHeight w:val="33"/>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salaries and wages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11,745</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20"/>
                <w:szCs w:val="20"/>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22,068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17,415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12,101</w:t>
            </w:r>
          </w:p>
        </w:tc>
      </w:tr>
      <w:tr>
        <w:trPr>
          <w:trHeight w:val="33"/>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taxes</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11,156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11,857</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Accrued employee benefits</w:t>
            </w:r>
          </w:p>
        </w:tc>
        <w:tc>
          <w:tcPr>
            <w:tcW w:w="240" w:type="dxa"/>
            <w:vAlign w:val="bottom"/>
          </w:tcPr>
          <w:p>
            <w:pPr>
              <w:spacing w:after="0"/>
              <w:rPr>
                <w:sz w:val="20"/>
                <w:szCs w:val="20"/>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9,955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16,421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9,443</w:t>
            </w:r>
          </w:p>
        </w:tc>
      </w:tr>
      <w:tr>
        <w:trPr>
          <w:trHeight w:val="33"/>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and deferred rent</w:t>
            </w:r>
          </w:p>
        </w:tc>
        <w:tc>
          <w:tcPr>
            <w:tcW w:w="24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19,120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18,093</w:t>
            </w:r>
          </w:p>
        </w:tc>
      </w:tr>
      <w:tr>
        <w:trPr>
          <w:trHeight w:val="33"/>
        </w:trPr>
        <w:tc>
          <w:tcPr>
            <w:tcW w:w="57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that exceeded five percent of total liabilities, at the end of any comparable period,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March 30, 2019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29, 2018</w:t>
            </w:r>
          </w:p>
        </w:tc>
        <w:tc>
          <w:tcPr>
            <w:tcW w:w="220" w:type="dxa"/>
            <w:vAlign w:val="bottom"/>
          </w:tcPr>
          <w:p>
            <w:pPr>
              <w:spacing w:after="0"/>
              <w:rPr>
                <w:sz w:val="18"/>
                <w:szCs w:val="18"/>
                <w:color w:val="auto"/>
              </w:rPr>
            </w:pPr>
          </w:p>
        </w:tc>
        <w:tc>
          <w:tcPr>
            <w:tcW w:w="1580" w:type="dxa"/>
            <w:vAlign w:val="bottom"/>
          </w:tcPr>
          <w:p>
            <w:pPr>
              <w:jc w:val="right"/>
              <w:ind w:right="279"/>
              <w:spacing w:after="0"/>
              <w:rPr>
                <w:sz w:val="20"/>
                <w:szCs w:val="20"/>
                <w:color w:val="auto"/>
              </w:rPr>
            </w:pPr>
            <w:r>
              <w:rPr>
                <w:rFonts w:ascii="Arial" w:cs="Arial" w:eastAsia="Arial" w:hAnsi="Arial"/>
                <w:sz w:val="16"/>
                <w:szCs w:val="16"/>
                <w:b w:val="1"/>
                <w:bCs w:val="1"/>
                <w:color w:val="auto"/>
              </w:rPr>
              <w:t>March 31, 2018</w:t>
            </w:r>
          </w:p>
        </w:tc>
      </w:tr>
      <w:tr>
        <w:trPr>
          <w:trHeight w:val="33"/>
        </w:trPr>
        <w:tc>
          <w:tcPr>
            <w:tcW w:w="57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lease incentives</w:t>
            </w:r>
          </w:p>
        </w:tc>
        <w:tc>
          <w:tcPr>
            <w:tcW w:w="1520" w:type="dxa"/>
            <w:vAlign w:val="bottom"/>
            <w:shd w:val="clear" w:color="auto" w:fill="CCEEFF"/>
          </w:tcPr>
          <w:p>
            <w:pPr>
              <w:jc w:val="right"/>
              <w:ind w:right="1339"/>
              <w:spacing w:after="0"/>
              <w:rPr>
                <w:sz w:val="20"/>
                <w:szCs w:val="20"/>
                <w:color w:val="auto"/>
              </w:rPr>
            </w:pPr>
            <w:r>
              <w:rPr>
                <w:rFonts w:ascii="Arial" w:cs="Arial" w:eastAsia="Arial" w:hAnsi="Arial"/>
                <w:sz w:val="16"/>
                <w:szCs w:val="16"/>
                <w:color w:val="auto"/>
                <w:w w:val="89"/>
              </w:rPr>
              <w:t>$</w:t>
            </w:r>
          </w:p>
        </w:tc>
        <w:tc>
          <w:tcPr>
            <w:tcW w:w="6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72,345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74,608</w:t>
            </w:r>
          </w:p>
        </w:tc>
      </w:tr>
      <w:tr>
        <w:trPr>
          <w:trHeight w:val="33"/>
        </w:trPr>
        <w:tc>
          <w:tcPr>
            <w:tcW w:w="57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7" w:right="239" w:bottom="1440" w:gutter="0" w:footer="0" w:header="0"/>
        </w:sectPr>
      </w:pPr>
    </w:p>
    <w:bookmarkStart w:id="16" w:name="page17"/>
    <w:bookmarkEnd w:id="16"/>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9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business. The Company is not currently a party to any legal proceedings that it believes would have a material adverse impact on its financial position, results of operations, or cash flows.</w:t>
      </w:r>
    </w:p>
    <w:p>
      <w:pPr>
        <w:spacing w:after="0" w:line="106"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Company's contractual obligations and commitments also include obligations associated with leases, the secured revolving credit agreement, senior notes, employee benefit plans, and facility consolidations/closures as disclosed elsewhere in the notes to the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certain information for our reportable segments and unallocated corporate expenses for the periods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5"/>
          </w:tcPr>
          <w:p>
            <w:pPr>
              <w:ind w:left="980"/>
              <w:spacing w:after="0"/>
              <w:rPr>
                <w:sz w:val="20"/>
                <w:szCs w:val="20"/>
                <w:color w:val="auto"/>
              </w:rPr>
            </w:pPr>
            <w:r>
              <w:rPr>
                <w:rFonts w:ascii="Arial" w:cs="Arial" w:eastAsia="Arial" w:hAnsi="Arial"/>
                <w:sz w:val="16"/>
                <w:szCs w:val="16"/>
                <w:b w:val="1"/>
                <w:bCs w:val="1"/>
                <w:color w:val="auto"/>
              </w:rPr>
              <w:t>Fiscal quarter ended</w:t>
            </w:r>
          </w:p>
        </w:tc>
        <w:tc>
          <w:tcPr>
            <w:tcW w:w="164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559"/>
              <w:spacing w:after="0"/>
              <w:rPr>
                <w:sz w:val="20"/>
                <w:szCs w:val="20"/>
                <w:color w:val="auto"/>
              </w:rPr>
            </w:pPr>
            <w:r>
              <w:rPr>
                <w:rFonts w:ascii="Arial" w:cs="Arial" w:eastAsia="Arial" w:hAnsi="Arial"/>
                <w:sz w:val="16"/>
                <w:szCs w:val="16"/>
                <w:b w:val="1"/>
                <w:bCs w:val="1"/>
                <w:color w:val="auto"/>
              </w:rPr>
              <w:t>% of</w:t>
            </w:r>
          </w:p>
        </w:tc>
      </w:tr>
      <w:tr>
        <w:trPr>
          <w:trHeight w:val="210"/>
        </w:trPr>
        <w:tc>
          <w:tcPr>
            <w:tcW w:w="4660" w:type="dxa"/>
            <w:vAlign w:val="bottom"/>
            <w:gridSpan w:val="3"/>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30, 2019</w:t>
            </w: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Total Net Sales</w:t>
            </w:r>
          </w:p>
        </w:tc>
        <w:tc>
          <w:tcPr>
            <w:tcW w:w="18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 2018</w:t>
            </w:r>
          </w:p>
        </w:tc>
        <w:tc>
          <w:tcPr>
            <w:tcW w:w="164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 Net Sales</w:t>
            </w:r>
          </w:p>
        </w:tc>
      </w:tr>
      <w:tr>
        <w:trPr>
          <w:trHeight w:val="33"/>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6"/>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40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r>
      <w:tr>
        <w:trPr>
          <w:trHeight w:val="237"/>
        </w:trPr>
        <w:tc>
          <w:tcPr>
            <w:tcW w:w="4660" w:type="dxa"/>
            <w:vAlign w:val="bottom"/>
            <w:gridSpan w:val="3"/>
          </w:tcPr>
          <w:p>
            <w:pPr>
              <w:ind w:left="40"/>
              <w:spacing w:after="0"/>
              <w:rPr>
                <w:sz w:val="20"/>
                <w:szCs w:val="20"/>
                <w:color w:val="auto"/>
              </w:rPr>
            </w:pPr>
            <w:r>
              <w:rPr>
                <w:rFonts w:ascii="Arial" w:cs="Arial" w:eastAsia="Arial" w:hAnsi="Arial"/>
                <w:sz w:val="16"/>
                <w:szCs w:val="16"/>
                <w:color w:val="auto"/>
              </w:rPr>
              <w:t>U.S. Retail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377,053</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383,742</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50.8%</w:t>
            </w: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U.S. Wholesale</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275,367</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280,832</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w:t>
            </w:r>
          </w:p>
        </w:tc>
      </w:tr>
      <w:tr>
        <w:trPr>
          <w:trHeight w:val="237"/>
        </w:trPr>
        <w:tc>
          <w:tcPr>
            <w:tcW w:w="4660" w:type="dxa"/>
            <w:vAlign w:val="bottom"/>
            <w:gridSpan w:val="3"/>
          </w:tcPr>
          <w:p>
            <w:pPr>
              <w:ind w:left="40"/>
              <w:spacing w:after="0"/>
              <w:rPr>
                <w:sz w:val="20"/>
                <w:szCs w:val="20"/>
                <w:color w:val="auto"/>
              </w:rPr>
            </w:pPr>
            <w:r>
              <w:rPr>
                <w:rFonts w:ascii="Arial" w:cs="Arial" w:eastAsia="Arial" w:hAnsi="Arial"/>
                <w:sz w:val="16"/>
                <w:szCs w:val="16"/>
                <w:color w:val="auto"/>
              </w:rPr>
              <w:t>International</w:t>
            </w: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88,637</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91,212</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33"/>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741,057</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755,786</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left="379"/>
              <w:spacing w:after="0"/>
              <w:rPr>
                <w:sz w:val="20"/>
                <w:szCs w:val="20"/>
                <w:color w:val="auto"/>
              </w:rPr>
            </w:pPr>
            <w:r>
              <w:rPr>
                <w:rFonts w:ascii="Arial" w:cs="Arial" w:eastAsia="Arial" w:hAnsi="Arial"/>
                <w:sz w:val="16"/>
                <w:szCs w:val="16"/>
                <w:b w:val="1"/>
                <w:bCs w:val="1"/>
                <w:color w:val="auto"/>
              </w:rPr>
              <w:t>% of</w:t>
            </w: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left="379"/>
              <w:spacing w:after="0"/>
              <w:rPr>
                <w:sz w:val="20"/>
                <w:szCs w:val="20"/>
                <w:color w:val="auto"/>
              </w:rPr>
            </w:pPr>
            <w:r>
              <w:rPr>
                <w:rFonts w:ascii="Arial" w:cs="Arial" w:eastAsia="Arial" w:hAnsi="Arial"/>
                <w:sz w:val="16"/>
                <w:szCs w:val="16"/>
                <w:b w:val="1"/>
                <w:bCs w:val="1"/>
                <w:color w:val="auto"/>
                <w:w w:val="85"/>
              </w:rPr>
              <w:t>Segment</w:t>
            </w: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88"/>
              </w:rPr>
              <w:t>Segment</w:t>
            </w:r>
          </w:p>
        </w:tc>
      </w:tr>
      <w:tr>
        <w:trPr>
          <w:trHeight w:val="176"/>
        </w:trPr>
        <w:tc>
          <w:tcPr>
            <w:tcW w:w="466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Operating income:</w:t>
            </w: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left="379"/>
              <w:spacing w:after="0" w:line="176" w:lineRule="exact"/>
              <w:rPr>
                <w:sz w:val="20"/>
                <w:szCs w:val="20"/>
                <w:color w:val="auto"/>
              </w:rPr>
            </w:pPr>
            <w:r>
              <w:rPr>
                <w:rFonts w:ascii="Arial" w:cs="Arial" w:eastAsia="Arial" w:hAnsi="Arial"/>
                <w:sz w:val="16"/>
                <w:szCs w:val="16"/>
                <w:b w:val="1"/>
                <w:bCs w:val="1"/>
                <w:color w:val="auto"/>
                <w:w w:val="86"/>
              </w:rPr>
              <w:t>Net Sales</w:t>
            </w: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240" w:type="dxa"/>
            <w:vAlign w:val="bottom"/>
            <w:tcBorders>
              <w:top w:val="single" w:sz="8" w:color="auto"/>
              <w:bottom w:val="single" w:sz="8" w:color="CCEEFF"/>
            </w:tcBorders>
          </w:tcPr>
          <w:p>
            <w:pPr>
              <w:spacing w:after="0"/>
              <w:rPr>
                <w:sz w:val="4"/>
                <w:szCs w:val="4"/>
                <w:color w:val="auto"/>
              </w:rPr>
            </w:pPr>
          </w:p>
        </w:tc>
        <w:tc>
          <w:tcPr>
            <w:tcW w:w="338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264"/>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U.S. Retail</w:t>
            </w:r>
            <w:r>
              <w:rPr>
                <w:rFonts w:ascii="Arial" w:cs="Arial" w:eastAsia="Arial" w:hAnsi="Arial"/>
                <w:sz w:val="21"/>
                <w:szCs w:val="21"/>
                <w:color w:val="auto"/>
                <w:vertAlign w:val="superscript"/>
              </w:rPr>
              <w:t>(1)</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23,949</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6.4%</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29,518</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70"/>
        </w:trPr>
        <w:tc>
          <w:tcPr>
            <w:tcW w:w="4660" w:type="dxa"/>
            <w:vAlign w:val="bottom"/>
            <w:gridSpan w:val="3"/>
          </w:tcPr>
          <w:p>
            <w:pPr>
              <w:ind w:left="40"/>
              <w:spacing w:after="0"/>
              <w:rPr>
                <w:sz w:val="20"/>
                <w:szCs w:val="20"/>
                <w:color w:val="auto"/>
              </w:rPr>
            </w:pPr>
            <w:r>
              <w:rPr>
                <w:rFonts w:ascii="Arial" w:cs="Arial" w:eastAsia="Arial" w:hAnsi="Arial"/>
                <w:sz w:val="16"/>
                <w:szCs w:val="16"/>
                <w:color w:val="auto"/>
              </w:rPr>
              <w:t>U.S. Wholesale</w:t>
            </w:r>
            <w:r>
              <w:rPr>
                <w:rFonts w:ascii="Arial" w:cs="Arial" w:eastAsia="Arial" w:hAnsi="Arial"/>
                <w:sz w:val="21"/>
                <w:szCs w:val="21"/>
                <w:color w:val="auto"/>
                <w:vertAlign w:val="superscript"/>
              </w:rPr>
              <w:t>(2)</w:t>
            </w:r>
          </w:p>
        </w:tc>
        <w:tc>
          <w:tcPr>
            <w:tcW w:w="54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55,456</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w w:val="92"/>
              </w:rPr>
              <w:t>20.1%</w:t>
            </w:r>
          </w:p>
        </w:tc>
        <w:tc>
          <w:tcPr>
            <w:tcW w:w="54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50,272</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17.9%</w:t>
            </w:r>
          </w:p>
        </w:tc>
      </w:tr>
      <w:tr>
        <w:trPr>
          <w:trHeight w:val="270"/>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International</w:t>
            </w:r>
            <w:r>
              <w:rPr>
                <w:rFonts w:ascii="Arial" w:cs="Arial" w:eastAsia="Arial" w:hAnsi="Arial"/>
                <w:sz w:val="21"/>
                <w:szCs w:val="21"/>
                <w:color w:val="auto"/>
                <w:vertAlign w:val="superscript"/>
              </w:rPr>
              <w:t>(3)</w:t>
            </w:r>
          </w:p>
        </w:tc>
        <w:tc>
          <w:tcPr>
            <w:tcW w:w="5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4,958</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5.6%</w:t>
            </w:r>
          </w:p>
        </w:tc>
        <w:tc>
          <w:tcPr>
            <w:tcW w:w="5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3,762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70"/>
        </w:trPr>
        <w:tc>
          <w:tcPr>
            <w:tcW w:w="46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Corporate expenses</w:t>
            </w:r>
            <w:r>
              <w:rPr>
                <w:rFonts w:ascii="Arial" w:cs="Arial" w:eastAsia="Arial" w:hAnsi="Arial"/>
                <w:sz w:val="21"/>
                <w:szCs w:val="21"/>
                <w:color w:val="auto"/>
                <w:vertAlign w:val="superscript"/>
              </w:rPr>
              <w:t>(4)(5)</w:t>
            </w:r>
          </w:p>
        </w:tc>
        <w:tc>
          <w:tcPr>
            <w:tcW w:w="5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(23,604)</w:t>
            </w:r>
          </w:p>
        </w:tc>
        <w:tc>
          <w:tcPr>
            <w:tcW w:w="12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spacing w:after="0"/>
              <w:rPr>
                <w:sz w:val="23"/>
                <w:szCs w:val="23"/>
                <w:color w:val="auto"/>
              </w:rPr>
            </w:pPr>
          </w:p>
        </w:tc>
        <w:tc>
          <w:tcPr>
            <w:tcW w:w="58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(23,243)</w:t>
            </w:r>
          </w:p>
        </w:tc>
        <w:tc>
          <w:tcPr>
            <w:tcW w:w="100" w:type="dxa"/>
            <w:vAlign w:val="bottom"/>
            <w:tcBorders>
              <w:bottom w:val="single" w:sz="8" w:color="CCEEFF"/>
            </w:tcBorders>
          </w:tcPr>
          <w:p>
            <w:pPr>
              <w:spacing w:after="0"/>
              <w:rPr>
                <w:sz w:val="23"/>
                <w:szCs w:val="23"/>
                <w:color w:val="auto"/>
              </w:rPr>
            </w:pPr>
          </w:p>
        </w:tc>
        <w:tc>
          <w:tcPr>
            <w:tcW w:w="1640" w:type="dxa"/>
            <w:vAlign w:val="bottom"/>
            <w:tcBorders>
              <w:bottom w:val="single" w:sz="8" w:color="CCEEFF"/>
            </w:tcBorders>
          </w:tcPr>
          <w:p>
            <w:pPr>
              <w:spacing w:after="0"/>
              <w:rPr>
                <w:sz w:val="23"/>
                <w:szCs w:val="23"/>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operating income</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60,759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8.2%</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60,309</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35"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Fiscal quarter ended March 31, 2018 includes insurance recovery of approximately $0.4 million associated with storm-related store closures.</w:t>
      </w:r>
    </w:p>
    <w:p>
      <w:pPr>
        <w:spacing w:after="0" w:line="82" w:lineRule="exact"/>
        <w:rPr>
          <w:rFonts w:ascii="Arial" w:cs="Arial" w:eastAsia="Arial" w:hAnsi="Arial"/>
          <w:sz w:val="14"/>
          <w:szCs w:val="14"/>
          <w:color w:val="auto"/>
        </w:rPr>
      </w:pPr>
    </w:p>
    <w:p>
      <w:pPr>
        <w:ind w:left="500" w:hanging="492"/>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approximately $12.8 million of charges related to a customer bankruptcy for the first fiscal quarter ended March 31, 2018.</w:t>
      </w:r>
    </w:p>
    <w:p>
      <w:pPr>
        <w:spacing w:after="0" w:line="82" w:lineRule="exact"/>
        <w:rPr>
          <w:rFonts w:ascii="Arial" w:cs="Arial" w:eastAsia="Arial" w:hAnsi="Arial"/>
          <w:sz w:val="14"/>
          <w:szCs w:val="14"/>
          <w:color w:val="auto"/>
        </w:rPr>
      </w:pPr>
    </w:p>
    <w:p>
      <w:pPr>
        <w:ind w:left="500" w:hanging="492"/>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Fiscal quarter ended March 30, 2019 includes a benefit of $2.1 million related to sale of inventory previously reserved in China.</w:t>
      </w:r>
    </w:p>
    <w:p>
      <w:pPr>
        <w:spacing w:after="0" w:line="82" w:lineRule="exact"/>
        <w:rPr>
          <w:rFonts w:ascii="Arial" w:cs="Arial" w:eastAsia="Arial" w:hAnsi="Arial"/>
          <w:sz w:val="14"/>
          <w:szCs w:val="14"/>
          <w:color w:val="auto"/>
        </w:rPr>
      </w:pPr>
    </w:p>
    <w:p>
      <w:pPr>
        <w:ind w:left="500" w:hanging="492"/>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Fiscal quarter ended March 30, 2019 includes $1.6 million in charges related to organizational restructuring.</w:t>
      </w:r>
    </w:p>
    <w:p>
      <w:pPr>
        <w:spacing w:after="0" w:line="82" w:lineRule="exact"/>
        <w:rPr>
          <w:rFonts w:ascii="Arial" w:cs="Arial" w:eastAsia="Arial" w:hAnsi="Arial"/>
          <w:sz w:val="14"/>
          <w:szCs w:val="14"/>
          <w:color w:val="auto"/>
        </w:rPr>
      </w:pPr>
    </w:p>
    <w:p>
      <w:pPr>
        <w:ind w:left="500" w:right="40" w:hanging="492"/>
        <w:spacing w:after="0" w:line="273"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Corporate expenses include expenses related to incentive compensation, stock-based compensation, executive management, severance and relocation, finance, office occupancy, information technology, certain legal fees, consulting fees, and audit fees.</w:t>
      </w:r>
    </w:p>
    <w:p>
      <w:pPr>
        <w:spacing w:after="0" w:line="134" w:lineRule="exact"/>
        <w:rPr>
          <w:sz w:val="20"/>
          <w:szCs w:val="20"/>
          <w:color w:val="auto"/>
        </w:rPr>
      </w:pPr>
    </w:p>
    <w:p>
      <w:pPr>
        <w:ind w:right="4420"/>
        <w:spacing w:after="0" w:line="346" w:lineRule="auto"/>
        <w:rPr>
          <w:sz w:val="20"/>
          <w:szCs w:val="20"/>
          <w:color w:val="auto"/>
        </w:rPr>
      </w:pPr>
      <w:r>
        <w:rPr>
          <w:rFonts w:ascii="Arial" w:cs="Arial" w:eastAsia="Arial" w:hAnsi="Arial"/>
          <w:sz w:val="18"/>
          <w:szCs w:val="18"/>
          <w:b w:val="1"/>
          <w:bCs w:val="1"/>
          <w:color w:val="auto"/>
        </w:rPr>
        <w:t>NOTE 16 – PENDING ADOPTION OF RECENT ACCOUNTING PRONOUNCEMENTS Credit Losses (ASU 2016-13)</w:t>
      </w:r>
    </w:p>
    <w:p>
      <w:pPr>
        <w:spacing w:after="0" w:line="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 Instruments</w:t>
      </w:r>
      <w:r>
        <w:rPr>
          <w:rFonts w:ascii="Arial" w:cs="Arial" w:eastAsia="Arial" w:hAnsi="Arial"/>
          <w:sz w:val="17"/>
          <w:szCs w:val="17"/>
          <w:color w:val="auto"/>
        </w:rPr>
        <w:t xml:space="preserve"> ("ASU 2016-13")</w:t>
      </w:r>
      <w:r>
        <w:rPr>
          <w:rFonts w:ascii="Arial" w:cs="Arial" w:eastAsia="Arial" w:hAnsi="Arial"/>
          <w:sz w:val="17"/>
          <w:szCs w:val="17"/>
          <w:i w:val="1"/>
          <w:iCs w:val="1"/>
          <w:color w:val="auto"/>
        </w:rPr>
        <w:t>.</w:t>
      </w:r>
      <w:r>
        <w:rPr>
          <w:rFonts w:ascii="Arial" w:cs="Arial" w:eastAsia="Arial" w:hAnsi="Arial"/>
          <w:sz w:val="17"/>
          <w:szCs w:val="17"/>
          <w:color w:val="auto"/>
        </w:rPr>
        <w:t xml:space="preserve"> This new guidance will change how entities account for credit impairment for trade and other receivables, as well as for certain financial 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an entity will recognize a loss (or allowance) upon initial recognition of the asset that reflects all future events that will lead to a loss being realized, regardless of whether it is probable that the future event will occur. The "incurred loss" model considers past events and current conditions, while the "expected loss" model includes expectations for the future which have yet to occur. ASU 2016-13 will be effective for the Company at the beginning of fiscal 2020 with early adoption permitted for fiscal 2019, including interim periods therein. The standard will require entities to record a cumulative-effect adjustment to the balance sheet as of the beginning of the first reporting period in which the guidance is effective. The Company is currently evaluating the potential impact that ASU 2016-13 may have on the timing of recognizing future provisions for expected losses on the Company's accounts receivable.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37" w:right="239" w:bottom="1440" w:gutter="0" w:footer="0" w:header="0"/>
        </w:sectPr>
      </w:pPr>
    </w:p>
    <w:bookmarkStart w:id="17" w:name="page18"/>
    <w:bookmarkEnd w:id="17"/>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 Testing (ASU 2017-04)</w:t>
      </w:r>
    </w:p>
    <w:p>
      <w:pPr>
        <w:spacing w:after="0" w:line="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xml:space="preserve"> ("ASU 2017-04")</w:t>
      </w:r>
      <w:r>
        <w:rPr>
          <w:rFonts w:ascii="Arial" w:cs="Arial" w:eastAsia="Arial" w:hAnsi="Arial"/>
          <w:sz w:val="16"/>
          <w:szCs w:val="16"/>
          <w:i w:val="1"/>
          <w:iCs w:val="1"/>
          <w:color w:val="auto"/>
        </w:rPr>
        <w:t>.</w:t>
      </w:r>
      <w:r>
        <w:rPr>
          <w:rFonts w:ascii="Arial" w:cs="Arial" w:eastAsia="Arial" w:hAnsi="Arial"/>
          <w:sz w:val="16"/>
          <w:szCs w:val="16"/>
          <w:color w:val="auto"/>
        </w:rPr>
        <w:t xml:space="preserve"> ASU 2017-04 will eliminate the requirement to calculate the implied fair value of goodwill (step 2 of the current goodwill 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affected reporting unit. ASU 2017-04 will not change the current guidance for completing Step 1 of the goodwill impairment test, and an entity will still be able to perform the current optional qualitative goodwill impairment assessment before determining whether to proceed to Step 1. Upon adoption, ASU 2017-04 will be applied prospectively. Adoption for the Company will be effective for annual and interim impairment tests performed beginning in fiscal 2020. Early adoption is permitted for annual and interim goodwill impairment testing dates after January 1, 2017. The impact that ASU 2017-04 may have on the Company's financial condition or results of operations will depend on the circumstances of any goodwill impairment event that may occur after adoption.</w:t>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337"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AND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the safe harbor provisions of the Private Securities Litigation Reform Act of 1995 relating to our future performance, including, without limitation, statements with respect to our anticipated financial results for any other quarter or period in fiscal 2019 or any other future period, assessment of our performance and financial position, and drivers of our sales and earnings growth. Such statements are based on current expectations only, and are subject to certain risks, uncertainties, and assumptions. Should one or more of these risks or uncertainties materialize or not materialize, or should any of the underlying assumptions prove incorrect, actual results may vary materially from those anticipated, estimated, or projected. Certain of the risks and uncertainties that could cause actual results and performance to differ materially are described under the heading "Risk Factors" in our most recently filed Annual Report on Form 10-K and other reports filed with the Securities and Exchange Commission from time to time.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We are the largest branded marketer in North America of apparel exclusively for babies and young children. We own two of the most highly recognized and most trusted brand names in the children's apparel industry,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OshKosh B'gosh</w:t>
      </w:r>
      <w:r>
        <w:rPr>
          <w:rFonts w:ascii="Arial" w:cs="Arial" w:eastAsia="Arial" w:hAnsi="Arial"/>
          <w:sz w:val="18"/>
          <w:szCs w:val="18"/>
          <w:color w:val="auto"/>
        </w:rPr>
        <w:t xml:space="preserve"> (or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and a leading baby and young child lifestyle brand, </w:t>
      </w:r>
      <w:r>
        <w:rPr>
          <w:rFonts w:ascii="Arial" w:cs="Arial" w:eastAsia="Arial" w:hAnsi="Arial"/>
          <w:sz w:val="18"/>
          <w:szCs w:val="18"/>
          <w:i w:val="1"/>
          <w:iCs w:val="1"/>
          <w:color w:val="auto"/>
        </w:rPr>
        <w:t>Skip Hop</w:t>
      </w:r>
      <w:r>
        <w:rPr>
          <w:rFonts w:ascii="Arial" w:cs="Arial" w:eastAsia="Arial" w:hAnsi="Arial"/>
          <w:sz w:val="18"/>
          <w:szCs w:val="18"/>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Established in 1865,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is recognized and trusted by consumers for high-quality apparel for children in sizes newborn to 14 and accessories.</w:t>
      </w:r>
    </w:p>
    <w:p>
      <w:pPr>
        <w:spacing w:after="0" w:line="20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Established in 1895,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is a well-known brand, trusted by consumers for apparel for children in sizes newborn to 14, with a focus on playclothes for toddlers and young children, and accessories.</w:t>
      </w:r>
    </w:p>
    <w:p>
      <w:pPr>
        <w:spacing w:after="0" w:line="13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Established in 2003,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re-thinks, re-energizes, and re-imagines durable childhood necessities to create higher value, superior quality, and top-performance goods for parents, babies, and toddlers. We acquired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in February 2017.</w:t>
      </w:r>
    </w:p>
    <w:p>
      <w:pPr>
        <w:spacing w:after="0" w:line="1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vision is to be the leader in baby and young children's apparel and accessories, and to consistently provide high-quality products at a compelling value to consumers. Our multi-channel, global business model - which includes retail stores, eCommerce and wholesale channels - enables us to reach a broad range of consumers around the world. We have extensive experience in the young children's apparel and accessories market and focus on delivering products that satisfy our consumers' needs.</w:t>
      </w:r>
    </w:p>
    <w:p>
      <w:pPr>
        <w:spacing w:after="0" w:line="1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2018 fiscal year ended December 29, 2018.</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9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three segments we use to manage and evaluate our performance are: U.S. Retail, U.S. Wholesale, and International. These segments are our operating and reporting segments. Our U.S. Retail segment consists of revenue primarily from sales of products in the United States through our retail and online stores. Similarly, our U.S. Wholesale segment consists of revenue primarily from sales in the United States of products to our wholesale customers. Finally, our International segment consists of revenue primarily from sales of products outside the United States, largely through our retail stores in Canada and Mexico, our eCommerce site in Canada, and sales to our international wholesale customers and licensees.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4" w:right="239" w:bottom="1440" w:gutter="0" w:footer="0" w:header="0"/>
        </w:sectPr>
      </w:pPr>
    </w:p>
    <w:bookmarkStart w:id="19" w:name="page20"/>
    <w:bookmarkEnd w:id="19"/>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for the periods indicated, selected statement of operations data expressed as a percentage of consolidated net sales: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3640" w:type="dxa"/>
            <w:vAlign w:val="bottom"/>
            <w:gridSpan w:val="3"/>
          </w:tcPr>
          <w:p>
            <w:pPr>
              <w:jc w:val="right"/>
              <w:ind w:right="1019"/>
              <w:spacing w:after="0"/>
              <w:rPr>
                <w:sz w:val="20"/>
                <w:szCs w:val="20"/>
                <w:color w:val="auto"/>
              </w:rPr>
            </w:pPr>
            <w:r>
              <w:rPr>
                <w:rFonts w:ascii="Arial" w:cs="Arial" w:eastAsia="Arial" w:hAnsi="Arial"/>
                <w:sz w:val="16"/>
                <w:szCs w:val="16"/>
                <w:b w:val="1"/>
                <w:bCs w:val="1"/>
                <w:color w:val="auto"/>
              </w:rPr>
              <w:t>Fiscal quarter ended</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840" w:type="dxa"/>
            <w:vAlign w:val="bottom"/>
            <w:gridSpan w:val="2"/>
          </w:tcPr>
          <w:p>
            <w:pPr>
              <w:ind w:left="320"/>
              <w:spacing w:after="0"/>
              <w:rPr>
                <w:sz w:val="20"/>
                <w:szCs w:val="20"/>
                <w:color w:val="auto"/>
              </w:rPr>
            </w:pPr>
            <w:r>
              <w:rPr>
                <w:rFonts w:ascii="Arial" w:cs="Arial" w:eastAsia="Arial" w:hAnsi="Arial"/>
                <w:sz w:val="16"/>
                <w:szCs w:val="16"/>
                <w:b w:val="1"/>
                <w:bCs w:val="1"/>
                <w:color w:val="auto"/>
              </w:rPr>
              <w:t>March 30, 2019</w:t>
            </w: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rPr>
              <w:t>March 31, 2018</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71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780" w:type="dxa"/>
            <w:vAlign w:val="bottom"/>
            <w:gridSpan w:val="3"/>
            <w:shd w:val="clear" w:color="auto" w:fill="CCEEFF"/>
          </w:tcPr>
          <w:p>
            <w:pPr>
              <w:ind w:left="40"/>
              <w:spacing w:after="0" w:line="169" w:lineRule="exact"/>
              <w:rPr>
                <w:sz w:val="20"/>
                <w:szCs w:val="20"/>
                <w:color w:val="auto"/>
              </w:rPr>
            </w:pPr>
            <w:r>
              <w:rPr>
                <w:rFonts w:ascii="Arial" w:cs="Arial" w:eastAsia="Arial" w:hAnsi="Arial"/>
                <w:sz w:val="16"/>
                <w:szCs w:val="16"/>
                <w:b w:val="1"/>
                <w:bCs w:val="1"/>
                <w:color w:val="auto"/>
              </w:rPr>
              <w:t>Net sales</w:t>
            </w: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71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7780" w:type="dxa"/>
            <w:vAlign w:val="bottom"/>
            <w:gridSpan w:val="3"/>
          </w:tcPr>
          <w:p>
            <w:pPr>
              <w:ind w:left="40"/>
              <w:spacing w:after="0"/>
              <w:rPr>
                <w:sz w:val="20"/>
                <w:szCs w:val="20"/>
                <w:color w:val="auto"/>
              </w:rPr>
            </w:pPr>
            <w:r>
              <w:rPr>
                <w:rFonts w:ascii="Arial" w:cs="Arial" w:eastAsia="Arial" w:hAnsi="Arial"/>
                <w:sz w:val="16"/>
                <w:szCs w:val="16"/>
                <w:color w:val="auto"/>
              </w:rPr>
              <w:t>U.S. Retail</w:t>
            </w:r>
          </w:p>
        </w:tc>
        <w:tc>
          <w:tcPr>
            <w:tcW w:w="1740" w:type="dxa"/>
            <w:vAlign w:val="bottom"/>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50.8 %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U.S. Wholesale</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37.2 %</w:t>
            </w:r>
          </w:p>
        </w:tc>
        <w:tc>
          <w:tcPr>
            <w:tcW w:w="0" w:type="dxa"/>
            <w:vAlign w:val="bottom"/>
          </w:tcPr>
          <w:p>
            <w:pPr>
              <w:spacing w:after="0"/>
              <w:rPr>
                <w:sz w:val="1"/>
                <w:szCs w:val="1"/>
                <w:color w:val="auto"/>
              </w:rPr>
            </w:pPr>
          </w:p>
        </w:tc>
      </w:tr>
      <w:tr>
        <w:trPr>
          <w:trHeight w:val="237"/>
        </w:trPr>
        <w:tc>
          <w:tcPr>
            <w:tcW w:w="7780" w:type="dxa"/>
            <w:vAlign w:val="bottom"/>
            <w:gridSpan w:val="3"/>
          </w:tcPr>
          <w:p>
            <w:pPr>
              <w:ind w:left="40"/>
              <w:spacing w:after="0"/>
              <w:rPr>
                <w:sz w:val="20"/>
                <w:szCs w:val="20"/>
                <w:color w:val="auto"/>
              </w:rPr>
            </w:pPr>
            <w:r>
              <w:rPr>
                <w:rFonts w:ascii="Arial" w:cs="Arial" w:eastAsia="Arial" w:hAnsi="Arial"/>
                <w:sz w:val="16"/>
                <w:szCs w:val="16"/>
                <w:color w:val="auto"/>
              </w:rPr>
              <w:t>International</w:t>
            </w:r>
          </w:p>
        </w:tc>
        <w:tc>
          <w:tcPr>
            <w:tcW w:w="174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12.1 %</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71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780" w:type="dxa"/>
            <w:vAlign w:val="bottom"/>
            <w:gridSpan w:val="3"/>
          </w:tcPr>
          <w:p>
            <w:pPr>
              <w:ind w:left="40"/>
              <w:spacing w:after="0"/>
              <w:rPr>
                <w:sz w:val="20"/>
                <w:szCs w:val="20"/>
                <w:color w:val="auto"/>
              </w:rPr>
            </w:pPr>
            <w:r>
              <w:rPr>
                <w:rFonts w:ascii="Arial" w:cs="Arial" w:eastAsia="Arial" w:hAnsi="Arial"/>
                <w:sz w:val="16"/>
                <w:szCs w:val="16"/>
                <w:color w:val="auto"/>
              </w:rPr>
              <w:t>Consolidated net sales</w:t>
            </w:r>
          </w:p>
        </w:tc>
        <w:tc>
          <w:tcPr>
            <w:tcW w:w="174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Cost of goods sold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56.0 %</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44.0 %</w:t>
            </w:r>
          </w:p>
        </w:tc>
        <w:tc>
          <w:tcPr>
            <w:tcW w:w="0" w:type="dxa"/>
            <w:vAlign w:val="bottom"/>
          </w:tcPr>
          <w:p>
            <w:pPr>
              <w:spacing w:after="0"/>
              <w:rPr>
                <w:sz w:val="1"/>
                <w:szCs w:val="1"/>
                <w:color w:val="auto"/>
              </w:rPr>
            </w:pPr>
          </w:p>
        </w:tc>
      </w:tr>
      <w:tr>
        <w:trPr>
          <w:trHeight w:val="237"/>
        </w:trPr>
        <w:tc>
          <w:tcPr>
            <w:tcW w:w="7780" w:type="dxa"/>
            <w:vAlign w:val="bottom"/>
            <w:gridSpan w:val="3"/>
          </w:tcPr>
          <w:p>
            <w:pPr>
              <w:ind w:left="40"/>
              <w:spacing w:after="0"/>
              <w:rPr>
                <w:sz w:val="20"/>
                <w:szCs w:val="20"/>
                <w:color w:val="auto"/>
              </w:rPr>
            </w:pPr>
            <w:r>
              <w:rPr>
                <w:rFonts w:ascii="Arial" w:cs="Arial" w:eastAsia="Arial" w:hAnsi="Arial"/>
                <w:sz w:val="16"/>
                <w:szCs w:val="16"/>
                <w:color w:val="auto"/>
              </w:rPr>
              <w:t>Royalty income</w:t>
            </w:r>
          </w:p>
        </w:tc>
        <w:tc>
          <w:tcPr>
            <w:tcW w:w="17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37.1 %</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0" w:type="dxa"/>
            <w:vAlign w:val="bottom"/>
          </w:tcPr>
          <w:p>
            <w:pPr>
              <w:spacing w:after="0"/>
              <w:rPr>
                <w:sz w:val="1"/>
                <w:szCs w:val="1"/>
                <w:color w:val="auto"/>
              </w:rPr>
            </w:pPr>
          </w:p>
        </w:tc>
      </w:tr>
      <w:tr>
        <w:trPr>
          <w:trHeight w:val="237"/>
        </w:trPr>
        <w:tc>
          <w:tcPr>
            <w:tcW w:w="7780" w:type="dxa"/>
            <w:vAlign w:val="bottom"/>
            <w:gridSpan w:val="3"/>
          </w:tcPr>
          <w:p>
            <w:pPr>
              <w:ind w:left="40"/>
              <w:spacing w:after="0"/>
              <w:rPr>
                <w:sz w:val="20"/>
                <w:szCs w:val="20"/>
                <w:color w:val="auto"/>
              </w:rPr>
            </w:pPr>
            <w:r>
              <w:rPr>
                <w:rFonts w:ascii="Arial" w:cs="Arial" w:eastAsia="Arial" w:hAnsi="Arial"/>
                <w:sz w:val="16"/>
                <w:szCs w:val="16"/>
                <w:color w:val="auto"/>
              </w:rPr>
              <w:t>Interest expense</w:t>
            </w:r>
          </w:p>
        </w:tc>
        <w:tc>
          <w:tcPr>
            <w:tcW w:w="17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840" w:type="dxa"/>
            <w:vAlign w:val="bottom"/>
            <w:tcBorders>
              <w:bottom w:val="single" w:sz="8" w:color="CCEEFF"/>
            </w:tcBorders>
            <w:gridSpan w:val="2"/>
            <w:shd w:val="clear" w:color="auto" w:fill="CCEEFF"/>
          </w:tcPr>
          <w:p>
            <w:pPr>
              <w:ind w:left="1320"/>
              <w:spacing w:after="0"/>
              <w:rPr>
                <w:sz w:val="20"/>
                <w:szCs w:val="20"/>
                <w:color w:val="auto"/>
              </w:rPr>
            </w:pPr>
            <w:r>
              <w:rPr>
                <w:rFonts w:ascii="Arial" w:cs="Arial" w:eastAsia="Arial" w:hAnsi="Arial"/>
                <w:sz w:val="16"/>
                <w:szCs w:val="16"/>
                <w:color w:val="auto"/>
              </w:rPr>
              <w:t>n/m</w:t>
            </w: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24"/>
        </w:trPr>
        <w:tc>
          <w:tcPr>
            <w:tcW w:w="7780" w:type="dxa"/>
            <w:vAlign w:val="bottom"/>
            <w:gridSpan w:val="3"/>
          </w:tcPr>
          <w:p>
            <w:pPr>
              <w:ind w:left="40"/>
              <w:spacing w:after="0"/>
              <w:rPr>
                <w:sz w:val="20"/>
                <w:szCs w:val="20"/>
                <w:color w:val="auto"/>
              </w:rPr>
            </w:pPr>
            <w:r>
              <w:rPr>
                <w:rFonts w:ascii="Arial" w:cs="Arial" w:eastAsia="Arial" w:hAnsi="Arial"/>
                <w:sz w:val="16"/>
                <w:szCs w:val="16"/>
                <w:color w:val="auto"/>
              </w:rPr>
              <w:t>Other expense (income), net</w:t>
            </w:r>
          </w:p>
        </w:tc>
        <w:tc>
          <w:tcPr>
            <w:tcW w:w="1840" w:type="dxa"/>
            <w:vAlign w:val="bottom"/>
            <w:gridSpan w:val="2"/>
            <w:vMerge w:val="restart"/>
          </w:tcPr>
          <w:p>
            <w:pPr>
              <w:ind w:left="1320"/>
              <w:spacing w:after="0"/>
              <w:rPr>
                <w:sz w:val="20"/>
                <w:szCs w:val="20"/>
                <w:color w:val="auto"/>
              </w:rPr>
            </w:pPr>
            <w:r>
              <w:rPr>
                <w:rFonts w:ascii="Arial" w:cs="Arial" w:eastAsia="Arial" w:hAnsi="Arial"/>
                <w:sz w:val="16"/>
                <w:szCs w:val="16"/>
                <w:color w:val="auto"/>
              </w:rPr>
              <w:t>n/m</w:t>
            </w:r>
          </w:p>
        </w:tc>
        <w:tc>
          <w:tcPr>
            <w:tcW w:w="180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Loss on extinguishment of debt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0" w:type="dxa"/>
            <w:vAlign w:val="bottom"/>
          </w:tcPr>
          <w:p>
            <w:pPr>
              <w:spacing w:after="0"/>
              <w:rPr>
                <w:sz w:val="1"/>
                <w:szCs w:val="1"/>
                <w:color w:val="auto"/>
              </w:rPr>
            </w:pPr>
          </w:p>
        </w:tc>
      </w:tr>
      <w:tr>
        <w:trPr>
          <w:trHeight w:val="237"/>
        </w:trPr>
        <w:tc>
          <w:tcPr>
            <w:tcW w:w="7780" w:type="dxa"/>
            <w:vAlign w:val="bottom"/>
            <w:gridSpan w:val="3"/>
          </w:tcPr>
          <w:p>
            <w:pPr>
              <w:ind w:left="20"/>
              <w:spacing w:after="0"/>
              <w:rPr>
                <w:sz w:val="20"/>
                <w:szCs w:val="20"/>
                <w:color w:val="auto"/>
              </w:rPr>
            </w:pPr>
            <w:r>
              <w:rPr>
                <w:rFonts w:ascii="Arial" w:cs="Arial" w:eastAsia="Arial" w:hAnsi="Arial"/>
                <w:sz w:val="16"/>
                <w:szCs w:val="16"/>
                <w:color w:val="auto"/>
              </w:rPr>
              <w:t>Provision for income taxes</w:t>
            </w:r>
          </w:p>
        </w:tc>
        <w:tc>
          <w:tcPr>
            <w:tcW w:w="17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71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 not material.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Results may not be additive due to rounding.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Retail Sales Metrics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Our management's discussion and analysis includes comparable sales metrics for our company-owned retail stores and our eCommerce sites in our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Retail and International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method of calculating comparable sales may not be the same as that of other retailers, as methods vary across the retail industry.</w:t>
      </w:r>
    </w:p>
    <w:p>
      <w:pPr>
        <w:spacing w:after="0" w:line="181" w:lineRule="exact"/>
        <w:rPr>
          <w:sz w:val="20"/>
          <w:szCs w:val="20"/>
          <w:color w:val="auto"/>
        </w:rPr>
      </w:pPr>
    </w:p>
    <w:p>
      <w:pPr>
        <w:ind w:right="1440"/>
        <w:spacing w:after="0" w:line="346" w:lineRule="auto"/>
        <w:rPr>
          <w:sz w:val="20"/>
          <w:szCs w:val="20"/>
          <w:color w:val="auto"/>
        </w:rPr>
      </w:pPr>
      <w:r>
        <w:rPr>
          <w:rFonts w:ascii="Arial" w:cs="Arial" w:eastAsia="Arial" w:hAnsi="Arial"/>
          <w:sz w:val="18"/>
          <w:szCs w:val="18"/>
          <w:b w:val="1"/>
          <w:bCs w:val="1"/>
          <w:color w:val="auto"/>
        </w:rPr>
        <w:t>FIRST FISCAL QUARTER ENDED MARCH 30, 2019 COMPARED TO FIRST FISCAL QUARTER ENDED MARCH 31, 2018 Consolidated Net Sales</w:t>
      </w:r>
    </w:p>
    <w:p>
      <w:pPr>
        <w:spacing w:after="0" w:line="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the first quarter of fiscal 2019, consolidated net sales decreased $14.7 million, or 1.9%, to $741.1 million from $755.8 million in the first quarter of fiscal 2018. Changes in foreign currency exchange rates used for translation in the first quarter of fiscal 2019, as compared to the first quarter of fiscal 2018, had an unfavorable impact on our consolidated net sales of approximately $3.0 million.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Net sales by segment, and each segment's percentage of consolidated net sales,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gridSpan w:val="5"/>
          </w:tcPr>
          <w:p>
            <w:pPr>
              <w:ind w:left="760"/>
              <w:spacing w:after="0"/>
              <w:rPr>
                <w:sz w:val="20"/>
                <w:szCs w:val="20"/>
                <w:color w:val="auto"/>
              </w:rPr>
            </w:pPr>
            <w:r>
              <w:rPr>
                <w:rFonts w:ascii="Arial" w:cs="Arial" w:eastAsia="Arial" w:hAnsi="Arial"/>
                <w:sz w:val="16"/>
                <w:szCs w:val="16"/>
                <w:b w:val="1"/>
                <w:bCs w:val="1"/>
                <w:color w:val="auto"/>
              </w:rPr>
              <w:t>Fiscal quarter ended</w:t>
            </w:r>
          </w:p>
        </w:tc>
        <w:tc>
          <w:tcPr>
            <w:tcW w:w="1400" w:type="dxa"/>
            <w:vAlign w:val="bottom"/>
          </w:tcPr>
          <w:p>
            <w:pPr>
              <w:spacing w:after="0"/>
              <w:rPr>
                <w:sz w:val="18"/>
                <w:szCs w:val="18"/>
                <w:color w:val="auto"/>
              </w:rPr>
            </w:pPr>
          </w:p>
        </w:tc>
      </w:tr>
      <w:tr>
        <w:trPr>
          <w:trHeight w:val="47"/>
        </w:trPr>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209"/>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52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459"/>
              <w:spacing w:after="0"/>
              <w:rPr>
                <w:sz w:val="20"/>
                <w:szCs w:val="20"/>
                <w:color w:val="auto"/>
              </w:rPr>
            </w:pPr>
            <w:r>
              <w:rPr>
                <w:rFonts w:ascii="Arial" w:cs="Arial" w:eastAsia="Arial" w:hAnsi="Arial"/>
                <w:sz w:val="16"/>
                <w:szCs w:val="16"/>
                <w:b w:val="1"/>
                <w:bCs w:val="1"/>
                <w:color w:val="auto"/>
              </w:rPr>
              <w:t>% of</w:t>
            </w:r>
          </w:p>
        </w:tc>
      </w:tr>
      <w:tr>
        <w:trPr>
          <w:trHeight w:val="210"/>
        </w:trPr>
        <w:tc>
          <w:tcPr>
            <w:tcW w:w="5120" w:type="dxa"/>
            <w:vAlign w:val="bottom"/>
            <w:gridSpan w:val="3"/>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30, 2019</w:t>
            </w:r>
          </w:p>
        </w:tc>
        <w:tc>
          <w:tcPr>
            <w:tcW w:w="1500" w:type="dxa"/>
            <w:vAlign w:val="bottom"/>
            <w:gridSpan w:val="2"/>
          </w:tcPr>
          <w:p>
            <w:pPr>
              <w:ind w:left="52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 2018</w:t>
            </w:r>
          </w:p>
        </w:tc>
        <w:tc>
          <w:tcPr>
            <w:tcW w:w="1400" w:type="dxa"/>
            <w:vAlign w:val="bottom"/>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6"/>
        </w:trPr>
        <w:tc>
          <w:tcPr>
            <w:tcW w:w="51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44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37"/>
        </w:trPr>
        <w:tc>
          <w:tcPr>
            <w:tcW w:w="5120" w:type="dxa"/>
            <w:vAlign w:val="bottom"/>
            <w:gridSpan w:val="3"/>
          </w:tcPr>
          <w:p>
            <w:pPr>
              <w:ind w:left="40"/>
              <w:spacing w:after="0"/>
              <w:rPr>
                <w:sz w:val="20"/>
                <w:szCs w:val="20"/>
                <w:color w:val="auto"/>
              </w:rPr>
            </w:pPr>
            <w:r>
              <w:rPr>
                <w:rFonts w:ascii="Arial" w:cs="Arial" w:eastAsia="Arial" w:hAnsi="Arial"/>
                <w:sz w:val="16"/>
                <w:szCs w:val="16"/>
                <w:color w:val="auto"/>
              </w:rPr>
              <w:t>U.S. Retail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377,053</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383,742</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50.8%</w:t>
            </w: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U.S. Wholesale</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275,367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280,832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w:t>
            </w:r>
          </w:p>
        </w:tc>
      </w:tr>
      <w:tr>
        <w:trPr>
          <w:trHeight w:val="237"/>
        </w:trPr>
        <w:tc>
          <w:tcPr>
            <w:tcW w:w="5120" w:type="dxa"/>
            <w:vAlign w:val="bottom"/>
            <w:gridSpan w:val="3"/>
          </w:tcPr>
          <w:p>
            <w:pPr>
              <w:ind w:left="40"/>
              <w:spacing w:after="0"/>
              <w:rPr>
                <w:sz w:val="20"/>
                <w:szCs w:val="20"/>
                <w:color w:val="auto"/>
              </w:rPr>
            </w:pPr>
            <w:r>
              <w:rPr>
                <w:rFonts w:ascii="Arial" w:cs="Arial" w:eastAsia="Arial" w:hAnsi="Arial"/>
                <w:sz w:val="16"/>
                <w:szCs w:val="16"/>
                <w:color w:val="auto"/>
              </w:rPr>
              <w:t>International</w:t>
            </w: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88,637</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91,212</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741,057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755,786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Percentages may not be additive due to rounding.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Retail Sales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Count Data for Company-Operated Retail Stores in our U.S. Retail segment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760" w:type="dxa"/>
            <w:vAlign w:val="bottom"/>
            <w:gridSpan w:val="3"/>
          </w:tcPr>
          <w:p>
            <w:pPr>
              <w:ind w:left="1480"/>
              <w:spacing w:after="0"/>
              <w:rPr>
                <w:sz w:val="20"/>
                <w:szCs w:val="20"/>
                <w:color w:val="auto"/>
              </w:rPr>
            </w:pPr>
            <w:r>
              <w:rPr>
                <w:rFonts w:ascii="Arial" w:cs="Arial" w:eastAsia="Arial" w:hAnsi="Arial"/>
                <w:sz w:val="16"/>
                <w:szCs w:val="16"/>
                <w:b w:val="1"/>
                <w:bCs w:val="1"/>
                <w:color w:val="auto"/>
              </w:rPr>
              <w:t>Store Count</w:t>
            </w:r>
          </w:p>
        </w:tc>
      </w:tr>
      <w:tr>
        <w:trPr>
          <w:trHeight w:val="33"/>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96"/>
        </w:trPr>
        <w:tc>
          <w:tcPr>
            <w:tcW w:w="7660" w:type="dxa"/>
            <w:vAlign w:val="bottom"/>
            <w:gridSpan w:val="3"/>
          </w:tcPr>
          <w:p>
            <w:pPr>
              <w:ind w:left="40"/>
              <w:spacing w:after="0"/>
              <w:rPr>
                <w:sz w:val="20"/>
                <w:szCs w:val="20"/>
                <w:color w:val="auto"/>
              </w:rPr>
            </w:pPr>
            <w:r>
              <w:rPr>
                <w:rFonts w:ascii="Arial" w:cs="Arial" w:eastAsia="Arial" w:hAnsi="Arial"/>
                <w:sz w:val="16"/>
                <w:szCs w:val="16"/>
                <w:b w:val="1"/>
                <w:bCs w:val="1"/>
                <w:color w:val="auto"/>
              </w:rPr>
              <w:t>Region:</w:t>
            </w:r>
          </w:p>
        </w:tc>
        <w:tc>
          <w:tcPr>
            <w:tcW w:w="1940" w:type="dxa"/>
            <w:vAlign w:val="bottom"/>
            <w:gridSpan w:val="2"/>
          </w:tcPr>
          <w:p>
            <w:pPr>
              <w:ind w:left="380"/>
              <w:spacing w:after="0"/>
              <w:rPr>
                <w:sz w:val="20"/>
                <w:szCs w:val="20"/>
                <w:color w:val="auto"/>
              </w:rPr>
            </w:pPr>
            <w:r>
              <w:rPr>
                <w:rFonts w:ascii="Arial" w:cs="Arial" w:eastAsia="Arial" w:hAnsi="Arial"/>
                <w:sz w:val="16"/>
                <w:szCs w:val="16"/>
                <w:b w:val="1"/>
                <w:bCs w:val="1"/>
                <w:color w:val="auto"/>
              </w:rPr>
              <w:t>March 30, 2019</w:t>
            </w:r>
          </w:p>
        </w:tc>
        <w:tc>
          <w:tcPr>
            <w:tcW w:w="182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29, 2018</w:t>
            </w:r>
          </w:p>
        </w:tc>
      </w:tr>
      <w:tr>
        <w:trPr>
          <w:trHeight w:val="48"/>
        </w:trPr>
        <w:tc>
          <w:tcPr>
            <w:tcW w:w="40" w:type="dxa"/>
            <w:vAlign w:val="bottom"/>
            <w:tcBorders>
              <w:bottom w:val="single" w:sz="8" w:color="CCEEFF"/>
            </w:tcBorders>
          </w:tcPr>
          <w:p>
            <w:pPr>
              <w:spacing w:after="0"/>
              <w:rPr>
                <w:sz w:val="4"/>
                <w:szCs w:val="4"/>
                <w:color w:val="auto"/>
              </w:rPr>
            </w:pPr>
          </w:p>
        </w:tc>
        <w:tc>
          <w:tcPr>
            <w:tcW w:w="540" w:type="dxa"/>
            <w:vAlign w:val="bottom"/>
            <w:tcBorders>
              <w:top w:val="single" w:sz="8" w:color="auto"/>
              <w:bottom w:val="single" w:sz="8" w:color="CCEEFF"/>
            </w:tcBorders>
          </w:tcPr>
          <w:p>
            <w:pPr>
              <w:spacing w:after="0"/>
              <w:rPr>
                <w:sz w:val="4"/>
                <w:szCs w:val="4"/>
                <w:color w:val="auto"/>
              </w:rPr>
            </w:pPr>
          </w:p>
        </w:tc>
        <w:tc>
          <w:tcPr>
            <w:tcW w:w="708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5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820" w:type="dxa"/>
            <w:vAlign w:val="bottom"/>
            <w:shd w:val="clear" w:color="auto" w:fill="CCEEFF"/>
          </w:tcPr>
          <w:p>
            <w:pPr>
              <w:ind w:left="1480"/>
              <w:spacing w:after="0"/>
              <w:rPr>
                <w:sz w:val="20"/>
                <w:szCs w:val="20"/>
                <w:color w:val="auto"/>
              </w:rPr>
            </w:pPr>
            <w:r>
              <w:rPr>
                <w:rFonts w:ascii="Arial" w:cs="Arial" w:eastAsia="Arial" w:hAnsi="Arial"/>
                <w:sz w:val="16"/>
                <w:szCs w:val="16"/>
                <w:color w:val="auto"/>
              </w:rPr>
              <w:t>834</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w:t>
            </w:r>
            <w:r>
              <w:rPr>
                <w:rFonts w:ascii="Arial" w:cs="Arial" w:eastAsia="Arial" w:hAnsi="Arial"/>
                <w:sz w:val="21"/>
                <w:szCs w:val="21"/>
                <w:b w:val="1"/>
                <w:bCs w:val="1"/>
                <w:color w:val="auto"/>
                <w:vertAlign w:val="superscript"/>
              </w:rPr>
              <w:t>(*)</w:t>
            </w:r>
          </w:p>
        </w:tc>
      </w:tr>
    </w:tbl>
    <w:p>
      <w:pPr>
        <w:spacing w:after="0" w:line="3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five temporary Skip Hop stores that were closed in January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Net Sales for our U.S. Retail segment</w:t>
      </w:r>
    </w:p>
    <w:p>
      <w:pPr>
        <w:spacing w:after="0" w:line="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Comparable retail net sales decreased 3.7% during the first quarter of fiscal 2019 compared to the first quarter of fiscal 2018 primarily due to a decline in comparable retail store net sales, partially offset by eCommerce sales growth.</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Compared to the first fiscal quarter of 2018, we believe comparable retail net sales were negatively affected in the first fiscal quarter of 2019 by reduced store traffic primarily due to the timing of the Easter holiday, persistent cold weather, and the liquidation of a competitor.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Results</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U.S. Retail segment net sales decreased approximately $6.7 million, or 1.7%, in the first quarter of fiscal 2019 to $377.1 million from $383.7 million in the first quarter of fiscal 2018. This decrease in net sales primarily reflected a/an:</w:t>
      </w:r>
    </w:p>
    <w:p>
      <w:pPr>
        <w:spacing w:after="0" w:line="3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 of $18.6 million in comparable retail store sales, primarily as a result of lower traffic;</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 of $6.3 million due to the effect of store closings;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of $12.9 million from new retail stores that are not yet comparable;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of $4.5 million from eCommerce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Wholesale Sales</w:t>
      </w:r>
    </w:p>
    <w:p>
      <w:pPr>
        <w:spacing w:after="0" w:line="9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U.S. Wholesale segment net sales decreased approximately $5.5 million, or 1.9%, in the first quarter of fiscal 2019 to $275.4 million from $280.8 million in the first quarter of fiscal 2018. This decline reflected a 3.1% decrease in the number of units shipped, which was primarily the result of the loss of sales to bankrupt customers in fiscal 2018, partially offset by a 1.2% increase in the average price per unit.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Sales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Count Data for Company-Operated Retail Stores in our International segment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760" w:type="dxa"/>
            <w:vAlign w:val="bottom"/>
            <w:gridSpan w:val="3"/>
          </w:tcPr>
          <w:p>
            <w:pPr>
              <w:jc w:val="right"/>
              <w:ind w:right="1359"/>
              <w:spacing w:after="0"/>
              <w:rPr>
                <w:sz w:val="20"/>
                <w:szCs w:val="20"/>
                <w:color w:val="auto"/>
              </w:rPr>
            </w:pPr>
            <w:r>
              <w:rPr>
                <w:rFonts w:ascii="Arial" w:cs="Arial" w:eastAsia="Arial" w:hAnsi="Arial"/>
                <w:sz w:val="16"/>
                <w:szCs w:val="16"/>
                <w:b w:val="1"/>
                <w:bCs w:val="1"/>
                <w:color w:val="auto"/>
              </w:rPr>
              <w:t>Store Count</w:t>
            </w:r>
          </w:p>
        </w:tc>
      </w:tr>
      <w:tr>
        <w:trPr>
          <w:trHeight w:val="33"/>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96"/>
        </w:trPr>
        <w:tc>
          <w:tcPr>
            <w:tcW w:w="7660" w:type="dxa"/>
            <w:vAlign w:val="bottom"/>
            <w:gridSpan w:val="3"/>
          </w:tcPr>
          <w:p>
            <w:pPr>
              <w:ind w:left="40"/>
              <w:spacing w:after="0"/>
              <w:rPr>
                <w:sz w:val="20"/>
                <w:szCs w:val="20"/>
                <w:color w:val="auto"/>
              </w:rPr>
            </w:pPr>
            <w:r>
              <w:rPr>
                <w:rFonts w:ascii="Arial" w:cs="Arial" w:eastAsia="Arial" w:hAnsi="Arial"/>
                <w:sz w:val="16"/>
                <w:szCs w:val="16"/>
                <w:b w:val="1"/>
                <w:bCs w:val="1"/>
                <w:color w:val="auto"/>
              </w:rPr>
              <w:t>Region:</w:t>
            </w:r>
          </w:p>
        </w:tc>
        <w:tc>
          <w:tcPr>
            <w:tcW w:w="1960" w:type="dxa"/>
            <w:vAlign w:val="bottom"/>
            <w:gridSpan w:val="2"/>
          </w:tcPr>
          <w:p>
            <w:pPr>
              <w:ind w:left="380"/>
              <w:spacing w:after="0"/>
              <w:rPr>
                <w:sz w:val="20"/>
                <w:szCs w:val="20"/>
                <w:color w:val="auto"/>
              </w:rPr>
            </w:pPr>
            <w:r>
              <w:rPr>
                <w:rFonts w:ascii="Arial" w:cs="Arial" w:eastAsia="Arial" w:hAnsi="Arial"/>
                <w:sz w:val="16"/>
                <w:szCs w:val="16"/>
                <w:b w:val="1"/>
                <w:bCs w:val="1"/>
                <w:color w:val="auto"/>
              </w:rPr>
              <w:t>March 30, 2019</w:t>
            </w:r>
          </w:p>
        </w:tc>
        <w:tc>
          <w:tcPr>
            <w:tcW w:w="180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29, 2018</w:t>
            </w:r>
          </w:p>
        </w:tc>
      </w:tr>
      <w:tr>
        <w:trPr>
          <w:trHeight w:val="48"/>
        </w:trPr>
        <w:tc>
          <w:tcPr>
            <w:tcW w:w="40" w:type="dxa"/>
            <w:vAlign w:val="bottom"/>
            <w:tcBorders>
              <w:bottom w:val="single" w:sz="8" w:color="CCEEFF"/>
            </w:tcBorders>
          </w:tcPr>
          <w:p>
            <w:pPr>
              <w:spacing w:after="0"/>
              <w:rPr>
                <w:sz w:val="4"/>
                <w:szCs w:val="4"/>
                <w:color w:val="auto"/>
              </w:rPr>
            </w:pPr>
          </w:p>
        </w:tc>
        <w:tc>
          <w:tcPr>
            <w:tcW w:w="540" w:type="dxa"/>
            <w:vAlign w:val="bottom"/>
            <w:tcBorders>
              <w:top w:val="single" w:sz="8" w:color="auto"/>
              <w:bottom w:val="single" w:sz="8" w:color="CCEEFF"/>
            </w:tcBorders>
          </w:tcPr>
          <w:p>
            <w:pPr>
              <w:spacing w:after="0"/>
              <w:rPr>
                <w:sz w:val="4"/>
                <w:szCs w:val="4"/>
                <w:color w:val="auto"/>
              </w:rPr>
            </w:pPr>
          </w:p>
        </w:tc>
        <w:tc>
          <w:tcPr>
            <w:tcW w:w="7080" w:type="dxa"/>
            <w:vAlign w:val="bottom"/>
            <w:tcBorders>
              <w:bottom w:val="single" w:sz="8" w:color="CCEEFF"/>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r>
      <w:tr>
        <w:trPr>
          <w:trHeight w:val="23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Canada</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r>
      <w:tr>
        <w:trPr>
          <w:trHeight w:val="237"/>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Mexico</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42</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Net Sales for our International segment</w:t>
      </w:r>
    </w:p>
    <w:p>
      <w:pPr>
        <w:spacing w:after="0" w:line="9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Compared to the first quarter of fiscal 2018, our Canadian comparable retail sales decreased 6.5% in the first quarter of fiscal 2019. We believe comparable retail net sales were negatively affected in the first fiscal quarter of 2019 primarily by the timing of the Easter holiday and persistent cold weather.</w:t>
      </w:r>
    </w:p>
    <w:p>
      <w:pPr>
        <w:sectPr>
          <w:pgSz w:w="11900" w:h="16838" w:orient="portrait"/>
          <w:cols w:equalWidth="0" w:num="1">
            <w:col w:w="11420"/>
          </w:cols>
          <w:pgMar w:left="240" w:top="121"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Results</w:t>
      </w:r>
    </w:p>
    <w:p>
      <w:pPr>
        <w:spacing w:after="0" w:line="9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International segment net sales decreased approximately $2.6 million, or 2.8%, in the first quarter of fiscal 2019 to $88.6 million from $91.2 million in the first quarter of fiscal 2018. Changes in foreign currency exchange rates used for translation had an unfavorable impact on International segment net sales of approximately $3.0 million in the first quarter of fiscal 2019 compared to the first quarter of fiscal 2018.</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$2.6 million decrease in net sales in our International segment primarily reflected a/an:</w:t>
      </w:r>
    </w:p>
    <w:p>
      <w:pPr>
        <w:spacing w:after="0" w:line="9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 of $5.1 million from our Canada stores and wholesale business, partially offset by eCommerce sales growth;</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Decrease of $0.9 million from sales in China, primarily due to transitioning eCommerce and wholesale operations to a full licensing model;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of $2.8 million from international sales to customers across various regions outside of Canada, Mexico, and China.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and Gross Profit</w:t>
      </w:r>
    </w:p>
    <w:p>
      <w:pPr>
        <w:spacing w:after="0" w:line="94"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Our consolidated gross margin decreased from 44.0% in the first quarter of fiscal 2018 to 42.6% in the first quarter of fiscal 2019. Our consolidated gross profit decreased $16.6 million, or 5.0%, to $315.9 million in the first quarter of fiscal 2019 from $332.5 million in the first quarter of fiscal 2018. These decreases were primarily due to changes in customer and channel mix and higher shipping costs in our eCommerce channel.</w:t>
      </w:r>
    </w:p>
    <w:p>
      <w:pPr>
        <w:spacing w:after="0" w:line="1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to the cost of product, cost of goods sold includes expenses related to the merchandising, design, and procurement of product. Also included are outbound shipping costs incurred in the eCommerce channel related to delivery of product to the end consumer.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Definitions of gross profit and gross margin vary across the industry and as such, our metrics may not be comparable to other companies.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Income</w:t>
      </w:r>
    </w:p>
    <w:p>
      <w:pPr>
        <w:spacing w:after="0" w:line="94" w:lineRule="exact"/>
        <w:rPr>
          <w:sz w:val="20"/>
          <w:szCs w:val="20"/>
          <w:color w:val="auto"/>
        </w:rPr>
      </w:pPr>
    </w:p>
    <w:p>
      <w:pPr>
        <w:ind w:right="640"/>
        <w:spacing w:after="0" w:line="399" w:lineRule="auto"/>
        <w:rPr>
          <w:sz w:val="20"/>
          <w:szCs w:val="20"/>
          <w:color w:val="auto"/>
        </w:rPr>
      </w:pPr>
      <w:r>
        <w:rPr>
          <w:rFonts w:ascii="Arial" w:cs="Arial" w:eastAsia="Arial" w:hAnsi="Arial"/>
          <w:sz w:val="18"/>
          <w:szCs w:val="18"/>
          <w:color w:val="auto"/>
        </w:rPr>
        <w:t xml:space="preserve">Royalty income for the first quarter of fiscal 2019 increased $0.6 million, or 6.9% to $8.5 million from $8.0 million in the first quarter of fiscal 2018. </w:t>
      </w:r>
      <w:r>
        <w:rPr>
          <w:rFonts w:ascii="Arial" w:cs="Arial" w:eastAsia="Arial" w:hAnsi="Arial"/>
          <w:sz w:val="18"/>
          <w:szCs w:val="18"/>
          <w:b w:val="1"/>
          <w:bCs w:val="1"/>
          <w:color w:val="auto"/>
        </w:rPr>
        <w:t>Selling, General, and Administrative ("SG&amp;A") Expenses</w:t>
      </w:r>
    </w:p>
    <w:p>
      <w:pPr>
        <w:spacing w:after="0" w:line="1"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Consolidated SG&amp;A expenses in the first quarter of fiscal 2019 decreased $16.5 million, or 5.9%, to $263.7 million from $280.2 million in the first quarter of fiscal 2018. As a percentage of net sales, SG&amp;A expenses decreased from 37.1% in the first quarter of fiscal 2018 to 35.6% in the first quarter of fiscal 2019.</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decreases in SG&amp;A expenses in the first quarter of fiscal 2019 primarily reflected a:</w:t>
      </w:r>
    </w:p>
    <w:p>
      <w:pPr>
        <w:spacing w:after="0" w:line="90" w:lineRule="exact"/>
        <w:rPr>
          <w:sz w:val="20"/>
          <w:szCs w:val="20"/>
          <w:color w:val="auto"/>
        </w:rPr>
      </w:pPr>
    </w:p>
    <w:p>
      <w:pPr>
        <w:ind w:left="6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$14.0 million decrease in provisions for accounts receivable, primarily attributable to the absence of customer bankruptcy-related charges incurred in the first fiscal quarter of 2018;</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$1.8 million decrease in expenses due to the China business model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$1.6 million decrease in expenses related to employee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$1.3 million decrease in marketing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$1.6 million in severance associated with an organizational restructuring;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$1.6 million increase in distribution and freight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Consolidated operating income increased $0.5 million, or 0.7%, to $60.8 million in the first quarter of fiscal 2019 from $60.3 million in the first quarter of fiscal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Consolidated operating margin increased from 8.0% in the first quarter of fiscal 2018 to 8.2% in the first quarter of fiscal 2019.</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2" w:name="page23"/>
    <w:bookmarkEnd w:id="22"/>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changes in each of our segment's operating results and unallocated corporate expenses between the fiscal periods indicated: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Unallocated</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Corporate</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b w:val="1"/>
                <w:bCs w:val="1"/>
                <w:color w:val="auto"/>
              </w:rPr>
              <w:t>U.S. Retail</w:t>
            </w:r>
          </w:p>
        </w:tc>
        <w:tc>
          <w:tcPr>
            <w:tcW w:w="14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U.S. Wholesale</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International</w:t>
            </w: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5"/>
              </w:rPr>
              <w:t>Expenses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 (loss) for the first quarter of fiscal</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29,518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50,272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(23,243)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60,309</w:t>
            </w:r>
          </w:p>
        </w:tc>
        <w:tc>
          <w:tcPr>
            <w:tcW w:w="0" w:type="dxa"/>
            <w:vAlign w:val="bottom"/>
          </w:tcPr>
          <w:p>
            <w:pPr>
              <w:spacing w:after="0"/>
              <w:rPr>
                <w:sz w:val="1"/>
                <w:szCs w:val="1"/>
                <w:color w:val="auto"/>
              </w:rPr>
            </w:pPr>
          </w:p>
        </w:tc>
      </w:tr>
      <w:tr>
        <w:trPr>
          <w:trHeight w:val="220"/>
        </w:trPr>
        <w:tc>
          <w:tcPr>
            <w:tcW w:w="4120" w:type="dxa"/>
            <w:vAlign w:val="bottom"/>
          </w:tcPr>
          <w:p>
            <w:pPr>
              <w:ind w:left="140"/>
              <w:spacing w:after="0"/>
              <w:rPr>
                <w:sz w:val="20"/>
                <w:szCs w:val="20"/>
                <w:color w:val="auto"/>
              </w:rPr>
            </w:pPr>
            <w:r>
              <w:rPr>
                <w:rFonts w:ascii="Arial" w:cs="Arial" w:eastAsia="Arial" w:hAnsi="Arial"/>
                <w:sz w:val="16"/>
                <w:szCs w:val="16"/>
                <w:color w:val="auto"/>
              </w:rPr>
              <w:t>Favorable (unfavorable) change in the first quarter of</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6"/>
                <w:szCs w:val="16"/>
                <w:color w:val="auto"/>
              </w:rPr>
              <w:t>fiscal 2019</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(16,610)</w:t>
            </w:r>
          </w:p>
        </w:tc>
        <w:tc>
          <w:tcPr>
            <w:tcW w:w="0" w:type="dxa"/>
            <w:vAlign w:val="bottom"/>
          </w:tcPr>
          <w:p>
            <w:pPr>
              <w:spacing w:after="0"/>
              <w:rPr>
                <w:sz w:val="1"/>
                <w:szCs w:val="1"/>
                <w:color w:val="auto"/>
              </w:rPr>
            </w:pPr>
          </w:p>
        </w:tc>
      </w:tr>
      <w:tr>
        <w:trPr>
          <w:trHeight w:val="237"/>
        </w:trPr>
        <w:tc>
          <w:tcPr>
            <w:tcW w:w="4120" w:type="dxa"/>
            <w:vAlign w:val="bottom"/>
          </w:tcPr>
          <w:p>
            <w:pPr>
              <w:jc w:val="right"/>
              <w:ind w:right="59"/>
              <w:spacing w:after="0"/>
              <w:rPr>
                <w:sz w:val="20"/>
                <w:szCs w:val="20"/>
                <w:color w:val="auto"/>
              </w:rPr>
            </w:pPr>
            <w:r>
              <w:rPr>
                <w:rFonts w:ascii="Arial" w:cs="Arial" w:eastAsia="Arial" w:hAnsi="Arial"/>
                <w:sz w:val="16"/>
                <w:szCs w:val="16"/>
                <w:color w:val="auto"/>
              </w:rPr>
              <w:t>Royalty income</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SG&amp;A expenses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15,565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16,510</w:t>
            </w:r>
          </w:p>
        </w:tc>
        <w:tc>
          <w:tcPr>
            <w:tcW w:w="0" w:type="dxa"/>
            <w:vAlign w:val="bottom"/>
          </w:tcPr>
          <w:p>
            <w:pPr>
              <w:spacing w:after="0"/>
              <w:rPr>
                <w:sz w:val="1"/>
                <w:szCs w:val="1"/>
                <w:color w:val="auto"/>
              </w:rPr>
            </w:pPr>
          </w:p>
        </w:tc>
      </w:tr>
      <w:tr>
        <w:trPr>
          <w:trHeight w:val="196"/>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 for the first quarter of fiscal</w:t>
            </w:r>
          </w:p>
        </w:tc>
        <w:tc>
          <w:tcPr>
            <w:tcW w:w="2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b w:val="1"/>
                <w:bCs w:val="1"/>
                <w:color w:val="auto"/>
              </w:rPr>
              <w:t>23,949</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b w:val="1"/>
                <w:bCs w:val="1"/>
                <w:color w:val="auto"/>
              </w:rPr>
              <w:t>55,456</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b w:val="1"/>
                <w:bCs w:val="1"/>
                <w:color w:val="auto"/>
              </w:rPr>
              <w:t>4,958</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(23,604)</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b w:val="1"/>
                <w:bCs w:val="1"/>
                <w:color w:val="auto"/>
              </w:rPr>
              <w:t>60,759</w:t>
            </w:r>
          </w:p>
        </w:tc>
        <w:tc>
          <w:tcPr>
            <w:tcW w:w="0" w:type="dxa"/>
            <w:vAlign w:val="bottom"/>
          </w:tcPr>
          <w:p>
            <w:pPr>
              <w:spacing w:after="0"/>
              <w:rPr>
                <w:sz w:val="1"/>
                <w:szCs w:val="1"/>
                <w:color w:val="auto"/>
              </w:rPr>
            </w:pPr>
          </w:p>
        </w:tc>
      </w:tr>
      <w:tr>
        <w:trPr>
          <w:trHeight w:val="228"/>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changes in the operating margin for each of our three operating segments expressed in basis points ("bps") relative to net sales.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00" w:type="dxa"/>
            <w:vAlign w:val="bottom"/>
          </w:tcPr>
          <w:p>
            <w:pPr>
              <w:spacing w:after="0"/>
              <w:rPr>
                <w:sz w:val="18"/>
                <w:szCs w:val="18"/>
                <w:color w:val="auto"/>
              </w:rPr>
            </w:pPr>
          </w:p>
        </w:tc>
        <w:tc>
          <w:tcPr>
            <w:tcW w:w="1880" w:type="dxa"/>
            <w:vAlign w:val="bottom"/>
            <w:gridSpan w:val="2"/>
          </w:tcPr>
          <w:p>
            <w:pPr>
              <w:ind w:left="520"/>
              <w:spacing w:after="0"/>
              <w:rPr>
                <w:sz w:val="20"/>
                <w:szCs w:val="20"/>
                <w:color w:val="auto"/>
              </w:rPr>
            </w:pPr>
            <w:r>
              <w:rPr>
                <w:rFonts w:ascii="Arial" w:cs="Arial" w:eastAsia="Arial" w:hAnsi="Arial"/>
                <w:sz w:val="16"/>
                <w:szCs w:val="16"/>
                <w:b w:val="1"/>
                <w:bCs w:val="1"/>
                <w:color w:val="auto"/>
              </w:rPr>
              <w:t>U.S. Retail</w:t>
            </w:r>
          </w:p>
        </w:tc>
        <w:tc>
          <w:tcPr>
            <w:tcW w:w="1880" w:type="dxa"/>
            <w:vAlign w:val="bottom"/>
            <w:gridSpan w:val="2"/>
          </w:tcPr>
          <w:p>
            <w:pPr>
              <w:ind w:left="360"/>
              <w:spacing w:after="0"/>
              <w:rPr>
                <w:sz w:val="20"/>
                <w:szCs w:val="20"/>
                <w:color w:val="auto"/>
              </w:rPr>
            </w:pPr>
            <w:r>
              <w:rPr>
                <w:rFonts w:ascii="Arial" w:cs="Arial" w:eastAsia="Arial" w:hAnsi="Arial"/>
                <w:sz w:val="16"/>
                <w:szCs w:val="16"/>
                <w:b w:val="1"/>
                <w:bCs w:val="1"/>
                <w:color w:val="auto"/>
              </w:rPr>
              <w:t>U.S. Wholesale</w:t>
            </w:r>
          </w:p>
        </w:tc>
        <w:tc>
          <w:tcPr>
            <w:tcW w:w="1760" w:type="dxa"/>
            <w:vAlign w:val="bottom"/>
          </w:tcPr>
          <w:p>
            <w:pPr>
              <w:jc w:val="right"/>
              <w:ind w:right="339"/>
              <w:spacing w:after="0"/>
              <w:rPr>
                <w:sz w:val="20"/>
                <w:szCs w:val="20"/>
                <w:color w:val="auto"/>
              </w:rPr>
            </w:pPr>
            <w:r>
              <w:rPr>
                <w:rFonts w:ascii="Arial" w:cs="Arial" w:eastAsia="Arial" w:hAnsi="Arial"/>
                <w:sz w:val="16"/>
                <w:szCs w:val="16"/>
                <w:b w:val="1"/>
                <w:bCs w:val="1"/>
                <w:color w:val="auto"/>
              </w:rPr>
              <w:t>International</w:t>
            </w:r>
          </w:p>
        </w:tc>
      </w:tr>
      <w:tr>
        <w:trPr>
          <w:trHeight w:val="33"/>
        </w:trPr>
        <w:tc>
          <w:tcPr>
            <w:tcW w:w="59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5900" w:type="dxa"/>
            <w:vAlign w:val="bottom"/>
            <w:tcBorders>
              <w:bottom w:val="single" w:sz="8" w:color="CCEEFF"/>
            </w:tcBorders>
            <w:shd w:val="clear" w:color="auto" w:fill="CCEEFF"/>
          </w:tcPr>
          <w:p>
            <w:pPr>
              <w:jc w:val="right"/>
              <w:ind w:right="2179"/>
              <w:spacing w:after="0"/>
              <w:rPr>
                <w:sz w:val="20"/>
                <w:szCs w:val="20"/>
                <w:color w:val="auto"/>
              </w:rPr>
            </w:pPr>
            <w:r>
              <w:rPr>
                <w:rFonts w:ascii="Arial" w:cs="Arial" w:eastAsia="Arial" w:hAnsi="Arial"/>
                <w:sz w:val="16"/>
                <w:szCs w:val="16"/>
                <w:b w:val="1"/>
                <w:bCs w:val="1"/>
                <w:color w:val="auto"/>
                <w:w w:val="93"/>
              </w:rPr>
              <w:t>Operating margin for the first quarter of fiscal 2018</w:t>
            </w:r>
          </w:p>
        </w:tc>
        <w:tc>
          <w:tcPr>
            <w:tcW w:w="1760" w:type="dxa"/>
            <w:vAlign w:val="bottom"/>
            <w:tcBorders>
              <w:bottom w:val="single" w:sz="8" w:color="CCEEFF"/>
            </w:tcBorders>
            <w:shd w:val="clear" w:color="auto" w:fill="CCEEFF"/>
          </w:tcPr>
          <w:p>
            <w:pPr>
              <w:ind w:left="1380"/>
              <w:spacing w:after="0"/>
              <w:rPr>
                <w:sz w:val="20"/>
                <w:szCs w:val="20"/>
                <w:color w:val="auto"/>
              </w:rPr>
            </w:pPr>
            <w:r>
              <w:rPr>
                <w:rFonts w:ascii="Arial" w:cs="Arial" w:eastAsia="Arial" w:hAnsi="Arial"/>
                <w:sz w:val="16"/>
                <w:szCs w:val="16"/>
                <w:color w:val="auto"/>
                <w:w w:val="98"/>
              </w:rPr>
              <w:t>7.7%</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37"/>
        </w:trPr>
        <w:tc>
          <w:tcPr>
            <w:tcW w:w="5900" w:type="dxa"/>
            <w:vAlign w:val="bottom"/>
          </w:tcPr>
          <w:p>
            <w:pPr>
              <w:jc w:val="right"/>
              <w:ind w:right="1199"/>
              <w:spacing w:after="0"/>
              <w:rPr>
                <w:sz w:val="20"/>
                <w:szCs w:val="20"/>
                <w:color w:val="auto"/>
              </w:rPr>
            </w:pPr>
            <w:r>
              <w:rPr>
                <w:rFonts w:ascii="Arial" w:cs="Arial" w:eastAsia="Arial" w:hAnsi="Arial"/>
                <w:sz w:val="16"/>
                <w:szCs w:val="16"/>
                <w:color w:val="auto"/>
                <w:w w:val="94"/>
              </w:rPr>
              <w:t>Favorable (unfavorable) bps change in the first quarter of fiscal 2019</w:t>
            </w: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3"/>
        </w:trPr>
        <w:tc>
          <w:tcPr>
            <w:tcW w:w="5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Gross profit</w:t>
            </w: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(40) bps</w:t>
            </w: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(320) bps</w:t>
            </w:r>
          </w:p>
        </w:tc>
        <w:tc>
          <w:tcPr>
            <w:tcW w:w="17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37"/>
        </w:trPr>
        <w:tc>
          <w:tcPr>
            <w:tcW w:w="5900" w:type="dxa"/>
            <w:vAlign w:val="bottom"/>
          </w:tcPr>
          <w:p>
            <w:pPr>
              <w:jc w:val="right"/>
              <w:spacing w:after="0"/>
              <w:rPr>
                <w:sz w:val="20"/>
                <w:szCs w:val="20"/>
                <w:color w:val="auto"/>
              </w:rPr>
            </w:pPr>
            <w:r>
              <w:rPr>
                <w:rFonts w:ascii="Arial" w:cs="Arial" w:eastAsia="Arial" w:hAnsi="Arial"/>
                <w:sz w:val="16"/>
                <w:szCs w:val="16"/>
                <w:color w:val="auto"/>
              </w:rPr>
              <w:t>Royalty income</w:t>
            </w:r>
          </w:p>
        </w:tc>
        <w:tc>
          <w:tcPr>
            <w:tcW w:w="1880" w:type="dxa"/>
            <w:vAlign w:val="bottom"/>
            <w:gridSpan w:val="2"/>
          </w:tcPr>
          <w:p>
            <w:pPr>
              <w:jc w:val="right"/>
              <w:ind w:right="300"/>
              <w:spacing w:after="0"/>
              <w:rPr>
                <w:sz w:val="20"/>
                <w:szCs w:val="20"/>
                <w:color w:val="auto"/>
              </w:rPr>
            </w:pPr>
            <w:r>
              <w:rPr>
                <w:rFonts w:ascii="Arial" w:cs="Arial" w:eastAsia="Arial" w:hAnsi="Arial"/>
                <w:sz w:val="16"/>
                <w:szCs w:val="16"/>
                <w:color w:val="auto"/>
              </w:rPr>
              <w:t>10 bps</w:t>
            </w:r>
          </w:p>
        </w:tc>
        <w:tc>
          <w:tcPr>
            <w:tcW w:w="1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99"/>
              <w:spacing w:after="0"/>
              <w:rPr>
                <w:sz w:val="20"/>
                <w:szCs w:val="20"/>
                <w:color w:val="auto"/>
              </w:rPr>
            </w:pPr>
            <w:r>
              <w:rPr>
                <w:rFonts w:ascii="Arial" w:cs="Arial" w:eastAsia="Arial" w:hAnsi="Arial"/>
                <w:sz w:val="16"/>
                <w:szCs w:val="16"/>
                <w:color w:val="auto"/>
              </w:rPr>
              <w:t>20 bps</w:t>
            </w:r>
          </w:p>
        </w:tc>
      </w:tr>
      <w:tr>
        <w:trPr>
          <w:trHeight w:val="33"/>
        </w:trPr>
        <w:tc>
          <w:tcPr>
            <w:tcW w:w="5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SG&amp;A expenses</w:t>
            </w: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(100) bps</w:t>
            </w: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540 bps</w:t>
            </w:r>
          </w:p>
        </w:tc>
        <w:tc>
          <w:tcPr>
            <w:tcW w:w="17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130 bps</w:t>
            </w:r>
          </w:p>
        </w:tc>
      </w:tr>
      <w:tr>
        <w:trPr>
          <w:trHeight w:val="244"/>
        </w:trPr>
        <w:tc>
          <w:tcPr>
            <w:tcW w:w="5900" w:type="dxa"/>
            <w:vAlign w:val="bottom"/>
          </w:tcPr>
          <w:p>
            <w:pPr>
              <w:jc w:val="right"/>
              <w:ind w:right="2179"/>
              <w:spacing w:after="0"/>
              <w:rPr>
                <w:sz w:val="20"/>
                <w:szCs w:val="20"/>
                <w:color w:val="auto"/>
              </w:rPr>
            </w:pPr>
            <w:r>
              <w:rPr>
                <w:rFonts w:ascii="Arial" w:cs="Arial" w:eastAsia="Arial" w:hAnsi="Arial"/>
                <w:sz w:val="16"/>
                <w:szCs w:val="16"/>
                <w:b w:val="1"/>
                <w:bCs w:val="1"/>
                <w:color w:val="auto"/>
                <w:w w:val="93"/>
              </w:rPr>
              <w:t>Operating margin for the first quarter of fiscal 2019</w:t>
            </w:r>
          </w:p>
        </w:tc>
        <w:tc>
          <w:tcPr>
            <w:tcW w:w="1760" w:type="dxa"/>
            <w:vAlign w:val="bottom"/>
            <w:tcBorders>
              <w:top w:val="single" w:sz="8" w:color="auto"/>
              <w:bottom w:val="single" w:sz="8" w:color="auto"/>
            </w:tcBorders>
          </w:tcPr>
          <w:p>
            <w:pPr>
              <w:ind w:left="1380"/>
              <w:spacing w:after="0"/>
              <w:rPr>
                <w:sz w:val="20"/>
                <w:szCs w:val="20"/>
                <w:color w:val="auto"/>
              </w:rPr>
            </w:pPr>
            <w:r>
              <w:rPr>
                <w:rFonts w:ascii="Arial" w:cs="Arial" w:eastAsia="Arial" w:hAnsi="Arial"/>
                <w:sz w:val="16"/>
                <w:szCs w:val="16"/>
                <w:b w:val="1"/>
                <w:bCs w:val="1"/>
                <w:color w:val="auto"/>
                <w:w w:val="98"/>
              </w:rPr>
              <w:t>6.4%</w:t>
            </w:r>
          </w:p>
        </w:tc>
        <w:tc>
          <w:tcPr>
            <w:tcW w:w="120" w:type="dxa"/>
            <w:vAlign w:val="bottom"/>
          </w:tcPr>
          <w:p>
            <w:pPr>
              <w:spacing w:after="0"/>
              <w:rPr>
                <w:sz w:val="21"/>
                <w:szCs w:val="21"/>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w:t>
            </w:r>
          </w:p>
        </w:tc>
        <w:tc>
          <w:tcPr>
            <w:tcW w:w="120" w:type="dxa"/>
            <w:vAlign w:val="bottom"/>
          </w:tcPr>
          <w:p>
            <w:pPr>
              <w:spacing w:after="0"/>
              <w:rPr>
                <w:sz w:val="21"/>
                <w:szCs w:val="21"/>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w:t>
            </w:r>
          </w:p>
        </w:tc>
      </w:tr>
      <w:tr>
        <w:trPr>
          <w:trHeight w:val="20"/>
        </w:trPr>
        <w:tc>
          <w:tcPr>
            <w:tcW w:w="59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Retail Operating Income</w:t>
      </w:r>
    </w:p>
    <w:p>
      <w:pPr>
        <w:spacing w:after="0" w:line="9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U.S. Retail segment operating income decreased by $5.6 million, or 18.9%, to $23.9 million in the first quarter of fiscal 2019 from $29.5 million in the first quarter of fiscal 2018. This segment's operating margin decreased 130 bps from 7.7% in the first quarter of fiscal 2018 to 6.4% in the first quarter of fiscal 2019. The primary drivers of the change in operating margin were a:</w:t>
      </w:r>
    </w:p>
    <w:p>
      <w:pPr>
        <w:spacing w:after="0" w:line="46" w:lineRule="exact"/>
        <w:rPr>
          <w:sz w:val="20"/>
          <w:szCs w:val="20"/>
          <w:color w:val="auto"/>
        </w:rPr>
      </w:pPr>
    </w:p>
    <w:p>
      <w:pPr>
        <w:ind w:left="660" w:right="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40 bps decrease in gross profit, primarily due to higher product costs, including eCommerce shipping costs, partially offset by a higher average price per unit;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100 bps increase in SG&amp;A expenses, primarily due to a:</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70 bps increase in expenses associated with new retail stores;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40 bps increase in distribution and freight expense;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30 bps increase in expenses related to eCommerce growth;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30 bps decrease in marketing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Wholesale Operating Income</w:t>
      </w:r>
    </w:p>
    <w:p>
      <w:pPr>
        <w:spacing w:after="0" w:line="9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U.S. Wholesale segment operating income in the first quarter of fiscal 2019 increased $5.2 million, or 10.3%, to $55.5 million from $50.3 million in the first quarter of fiscal 2018. The segment's operating margin increased 220 bps from 17.9% in the first quarter of fiscal 2018 to 20.1% in the first quarter of fiscal 2019. The primary drivers of the change in operating margin were a:</w:t>
      </w:r>
    </w:p>
    <w:p>
      <w:pPr>
        <w:spacing w:after="0" w:line="4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320 bps decrease in gross profit, primarily due to changes in customer mix and higher provisions for inventory; and</w:t>
      </w:r>
    </w:p>
    <w:p>
      <w:pPr>
        <w:spacing w:after="0" w:line="23" w:lineRule="exact"/>
        <w:rPr>
          <w:rFonts w:ascii="Arial" w:cs="Arial" w:eastAsia="Arial" w:hAnsi="Arial"/>
          <w:sz w:val="18"/>
          <w:szCs w:val="18"/>
          <w:color w:val="auto"/>
        </w:rPr>
      </w:pPr>
    </w:p>
    <w:p>
      <w:pPr>
        <w:ind w:left="660" w:right="4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540 bps decrease in SG&amp;A expenses, primarily due to the absence of a provision for a customer bankruptcy that occurred in the first fiscal quarter of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Operating Income</w:t>
      </w:r>
    </w:p>
    <w:p>
      <w:pPr>
        <w:spacing w:after="0" w:line="9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International segment operating income increased by $1.2 million, or 31.8%, to $5.0 million in the first quarter of fiscal 2019 from $3.8 million in the first quarter of fiscal 2018. This segment's operating margin increased 150 bps from 4.1% in the first quarter of fiscal 2018 to 5.6% in the first quarter of fiscal 2019. The primary drivers of the change in operating margin were:</w:t>
      </w:r>
    </w:p>
    <w:p>
      <w:pPr>
        <w:spacing w:after="0" w:line="4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130 bps decrease in SG&amp;A expenses, primarily due to the China business model change, and</w:t>
      </w:r>
    </w:p>
    <w:p>
      <w:pPr>
        <w:spacing w:after="0" w:line="23" w:lineRule="exact"/>
        <w:rPr>
          <w:rFonts w:ascii="Arial" w:cs="Arial" w:eastAsia="Arial" w:hAnsi="Arial"/>
          <w:sz w:val="18"/>
          <w:szCs w:val="18"/>
          <w:color w:val="auto"/>
        </w:rPr>
      </w:pPr>
    </w:p>
    <w:p>
      <w:pPr>
        <w:ind w:left="660" w:right="300" w:hanging="328"/>
        <w:spacing w:after="0" w:line="290"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consistent period over period gross profit relative to net sales. The benefit from the sale of inventory previously reserved in China during the first quarter of fiscal 2019 was fully offset by increased promotional activity for sales to customers across various regions.</w:t>
      </w:r>
    </w:p>
    <w:p>
      <w:pPr>
        <w:sectPr>
          <w:pgSz w:w="11900" w:h="16838" w:orient="portrait"/>
          <w:cols w:equalWidth="0" w:num="1">
            <w:col w:w="11420"/>
          </w:cols>
          <w:pgMar w:left="240" w:top="121"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Expenses</w:t>
      </w:r>
    </w:p>
    <w:p>
      <w:pPr>
        <w:spacing w:after="0" w:line="90"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Unallocated corporate expenses increased by $0.4 million, or 1.6%, in the first quarter of fiscal 2019 compared to the first quarter of fiscal 2018. Unallocated corporate expenses, as a percentage of consolidated net sales, increased from 3.1% in the first quarter of fiscal 2018 to 3.2% in the first quarter of fiscal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Interest expense in the first quarter of fiscal 2019 and 2018 was $9.6 million and $8.0 million, respectively. Weighted-average borrowings for the first quarter of fiscal 2019 were approximately $639.5 million with an effective interest rate of 5.28%, compared to weighted-average borrowings for the first quarter of fiscal 2018 of $652.9 million with an effective interest rate of 4.81%. The decrease in weighted-average borrowings during the first quarter of fiscal 2019 was attributable to lower borrowings under our secured revolving credit facility.</w:t>
      </w:r>
    </w:p>
    <w:p>
      <w:pPr>
        <w:spacing w:after="0" w:line="14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increase in the weighted-average interest rate for the first quarter of fiscal 2019 compared to the first quarter of fiscal 2018 was due primarily to a higher LIBOR rate for the outstanding borrowings on our variable-rate secured revolving credit facility during the 2019 period and incremental interest expense associated with the refinancing of the senior notes.</w:t>
      </w:r>
    </w:p>
    <w:p>
      <w:pPr>
        <w:spacing w:after="0" w:line="14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On our consolidated balance sheet, unamortized debt issuance costs associated with our senior notes are presented as a direct reduction in the carrying value of the associated debt liability for all periods presented. See Note 8, </w:t>
      </w:r>
      <w:r>
        <w:rPr>
          <w:rFonts w:ascii="Arial" w:cs="Arial" w:eastAsia="Arial" w:hAnsi="Arial"/>
          <w:sz w:val="18"/>
          <w:szCs w:val="18"/>
          <w:i w:val="1"/>
          <w:iCs w:val="1"/>
          <w:color w:val="auto"/>
        </w:rPr>
        <w:t>Long-term Debt</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Other expense (income), net is comprised primarily of gains and losses on foreign currency transactions and, if utilized during a reporting period, gains and losses on foreign currency forward contracts.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first quarter of fiscal 2019, loss on extinguishment of debt was $7.8 million due to the early extinguishment of $400 million in aggregate principal amount, 5.25% senior notes due 2021. Concurrently, we issued $500 million in aggregate principal amount, 5.625% senior notes due 2027, allowing us to extend our maturity schedule.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consolidated effective income tax rate for the first quarter of fiscal 2019 was 21.2% compared to 19.7% for the first quarter of fiscal 2018. The higher effective rate for the first quarter of fiscal 2019 relates primarily to the impact of stock based compensation.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consolidated net income for the first quarter of fiscal 2019 decreased by $8.0 million, or 18.8%, to $34.5 million compared to $42.5 million in the first quarter of fiscal 2018. These changes were due to the factors previously discussed.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9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ongoing cash needs are primarily for working capital and capital expenditures. We expect that our primary sources of liquidity will continue to be cash and cash equivalents on hand, cash flow from operations, and, if necessary, borrowings available under our secured revolving credit facility. We expect that these sources and access to capital markets will fund our ongoing requirements for the foreseeable future. Further, we do not expect current economic conditions to prevent us from meeting our cash requirements. These sources of liquidity may be affected by events described in our risk factors, as further discussed under the heading "Risk Factors" in our most recently filed Annual Report on Form 10-K and other reports filed with the Securities and Exchange Commission from time to time.</w:t>
      </w:r>
    </w:p>
    <w:p>
      <w:pPr>
        <w:spacing w:after="0" w:line="15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As of March 30, 2019, the Company had $160.1 million of cash and cash equivalents in major financial institutions, including $69.0 million in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accounts receivable at March 30, 2019 were $239.2 million compared to $221.2 million at March 31, 2018 and $258.3 million at December 29, 2018. The overall increase of $18.1 million, or 8.2%, at March 30, 2019 compared to March 31, 2018 was a result of decreased provisions for accounts receivable and timing of customer receipts. Due to the seasonal nature of our</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operations, the net accounts receivable balance at March 30, 2019 is not comparable to the net accounts receivable balance at December 29, 2018.</w:t>
      </w:r>
    </w:p>
    <w:p>
      <w:pPr>
        <w:spacing w:after="0" w:line="1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Inventories at March 30, 2019 were $519.8 million compared to $479.3 million at March 31, 2018 and $574.2 million at December 29, 2018. The increase of $40.4 million, or 8.4%, at March 30, 2019 compared to March 31, 2018 primarily reflects increased wholesale demand and new retail store locations, along with the timing of the Easter holiday. Due to the seasonal nature of our operations, the inventories balance at March 30, 2019 is not comparable to the inventories balance at December 29, 2018.</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cash provided by operating activities for the first quarter of fiscal 2019 was $37.0 million compared to net cash provided by operating activities of $64.1 million in the first quarter of fiscal 2018. This decrease in operating cash flow for the 2019 period was due primarily to working capital changes and lower net income.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9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Net cash used in investing activities was $9.4 million for the first quarter of fiscal 2019 compared to $14.4 million in the first quarter of fiscal 2018. Capital expenditures were $9.4 million in the first quarter of fiscal 2019 compared to $14.7 million in the first quarter of fiscal 2018, reflecting timing of new store openings in the 2018 fiscal period. Capital spending in the first quarter of fiscal 2019 included approximately $4.4 million for our U.S. and international retail store openings and re-modelings, $2.0 million for information technology initiatives, and $1.8 million for distribution and office facilities.</w:t>
      </w:r>
    </w:p>
    <w:p>
      <w:pPr>
        <w:spacing w:after="0" w:line="11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plan to invest approximately $85 million in total capital expenditures for all of fiscal 2019, primarily for our U.S. and international retail store openings and re-modelings, information technology initiatives, and distribution facilities.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9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Net cash used in financing activities was $38.0 million in the first quarter of fiscal 2019 compared to $48.3 million in the first quarter of fiscal 2018. The net decrease in cash used in financing activities in the 2019 period primarily reflected the redemption of $400 million in principal amount of senior notes, the premium paid on the early extinguishment of the $400 million senior notes, a decrease in borrowings on the revolving credit facility, increased repurchases of common stock, and increased dividend payments, partially offset by the issuance of $500 million in principal amount of senior notes.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9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of March 30, 2019, we had $131.0 million in outstanding borrowings under our secured revolving credit facility, exclusive of $5.0 million of outstanding letters of credit. As of March 30, 2019, approximately $614.0 million was available for future borrowing. All outstanding borrowings under our secured revolving credit facility are classified as non-current liabilities on our consolidated balance sheet because of the contractual repayment terms under the credit facility. However, these repayment terms also allow us to repay some or all of the outstanding borrowings at any time.</w:t>
      </w:r>
    </w:p>
    <w:p>
      <w:pPr>
        <w:spacing w:after="0" w:line="13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interest rate margins applicable to our secured revolving credit facility as of March 30, 2019 were 1.375% for LIBOR rate loans (which may be adjusted based on a leverage-based pricing grid ranging from 1.125% to 1.875%) and 0.375% for base rate loans (which may be adjusted based on a leverage-based pricing grid ranging from 0.125% to 0.875%).</w:t>
      </w:r>
    </w:p>
    <w:p>
      <w:pPr>
        <w:spacing w:after="0" w:line="14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March 30, 2019, U.S. dollar borrowings outstanding under the secured revolving credit facility accrued interest at a LIBOR rate plus the applicable margin, which resulted in a weighted-average borrowing rate of 3.87%.</w:t>
      </w:r>
    </w:p>
    <w:p>
      <w:pPr>
        <w:spacing w:after="0" w:line="130" w:lineRule="exact"/>
        <w:rPr>
          <w:sz w:val="20"/>
          <w:szCs w:val="20"/>
          <w:color w:val="auto"/>
        </w:rPr>
      </w:pPr>
    </w:p>
    <w:p>
      <w:pPr>
        <w:ind w:right="2160"/>
        <w:spacing w:after="0" w:line="399" w:lineRule="auto"/>
        <w:rPr>
          <w:sz w:val="20"/>
          <w:szCs w:val="20"/>
          <w:color w:val="auto"/>
        </w:rPr>
      </w:pPr>
      <w:r>
        <w:rPr>
          <w:rFonts w:ascii="Arial" w:cs="Arial" w:eastAsia="Arial" w:hAnsi="Arial"/>
          <w:sz w:val="18"/>
          <w:szCs w:val="18"/>
          <w:color w:val="auto"/>
        </w:rPr>
        <w:t xml:space="preserve">As of March 30, 2019, we were in compliance with the financial and other covenants under our secured revolving credit facility. </w:t>
      </w:r>
      <w:r>
        <w:rPr>
          <w:rFonts w:ascii="Arial" w:cs="Arial" w:eastAsia="Arial" w:hAnsi="Arial"/>
          <w:sz w:val="18"/>
          <w:szCs w:val="18"/>
          <w:b w:val="1"/>
          <w:bCs w:val="1"/>
          <w:color w:val="auto"/>
        </w:rPr>
        <w:t>Senior Notes</w:t>
      </w:r>
    </w:p>
    <w:p>
      <w:pPr>
        <w:spacing w:after="0" w:line="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On March 14, 2019, TWCC redeemed $400 million principal amount of senior notes, bearing interest at a rate of 5.25% per annum, and maturing on August 15, 2021, pursuant to the optional redemption provisions of the notes, which required that TWCC pay the outstanding principal plus accrued interest and an early redemption premium of 1.31% of the outstanding principal amounts of the senior notes. This debt redemption resulted in a loss on extinguishment of debt of $7.8 million, consisting of $5.2 million of early redemption premiums and $2.6 million of unamortized debt issuance costs.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5" w:name="page26"/>
    <w:bookmarkEnd w:id="25"/>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Concurrently, TWCC issued $500 million principal amount of senior notes at par, bearing interest at a rate of 5.625% per annum, and maturing on March 15, 2027, all of which were outstanding as of March 30, 2019. TWCC received net proceeds from the offering of the senior notes of approximately $494.8 million, after deducting the underwriting fees, which TWCC used to redeem the senior notes discussed above and repay borrowings under the secured revolving credit facility. Approximately $5.7 million, including both bank fees and other third party expenses, has been capitalized in connection with the issuance and is being amortized over the term of the senior notes.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94"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the first quarter of fiscal 2019, the Company repurchased and retired 460,257 shares in open market transactions for approximately $40.0 million at an average price of $86.83 per share. In the first quarter of fiscal 2018, the Company repurchased and retired 221,313 shares in open market transactions for approximately $25.2 million, at an average price of $113.84 per share.</w:t>
      </w:r>
    </w:p>
    <w:p>
      <w:pPr>
        <w:spacing w:after="0" w:line="14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total remaining capacity under all remaining repurchase authorizations as of March 30, 2019 was approximately $352.6 million. Future repurchases may be made in the open market or in privately negotiated transactions, with the level and timing of activity being at management's discretion depending on market conditions, share price, other investment priorities, and other factors. The share repurchase authorizations have no expiration date.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the first quarter of fiscal 2019, we paid quarterly cash dividends of $0.50 per share. In the first quarter of fiscal 2018, we paid quarterly cash dividends of $0.45 per share. Future declarations of quarterly dividends and the establishment of future record and payment dates are at the discretion of our Board of Directors and will be based on a number of factors, including our future financial performance and other investment priorities.</w:t>
      </w:r>
    </w:p>
    <w:p>
      <w:pPr>
        <w:spacing w:after="0" w:line="10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As disclosed in our most recent Annual Report on Form 10-K for the 2018 fiscal year ended December 29, 2018, provisions in our secured revolving credit facility could have the effect of restricting our ability to pay future cash dividends on or make future repurchases of our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which have been prepared in accordance with U.S. GAAP.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materially from these estimates under different assumptions or conditions.</w:t>
      </w:r>
    </w:p>
    <w:p>
      <w:pPr>
        <w:spacing w:after="0" w:line="15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critical accounting policies and estimates are described under the heading "Critical Accounting Policies and Estimates" in Item 7 of our most recent Annual Report on Form 10-K for the 2018 fiscal year ended December 29, 2018. Our critical accounting 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tradename,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 except for the effects that the adoption of ASC 842, Leases</w:t>
      </w:r>
      <w:r>
        <w:rPr>
          <w:rFonts w:ascii="Arial" w:cs="Arial" w:eastAsia="Arial" w:hAnsi="Arial"/>
          <w:sz w:val="16"/>
          <w:szCs w:val="16"/>
          <w:i w:val="1"/>
          <w:iCs w:val="1"/>
          <w:color w:val="auto"/>
        </w:rPr>
        <w:t>,</w:t>
      </w:r>
      <w:r>
        <w:rPr>
          <w:rFonts w:ascii="Arial" w:cs="Arial" w:eastAsia="Arial" w:hAnsi="Arial"/>
          <w:sz w:val="16"/>
          <w:szCs w:val="16"/>
          <w:color w:val="auto"/>
        </w:rPr>
        <w:t xml:space="preserve"> had on our policies as disclosed under the header "Accounting Policies" in Note 2, </w:t>
      </w:r>
      <w:r>
        <w:rPr>
          <w:rFonts w:ascii="Arial" w:cs="Arial" w:eastAsia="Arial" w:hAnsi="Arial"/>
          <w:sz w:val="16"/>
          <w:szCs w:val="16"/>
          <w:i w:val="1"/>
          <w:iCs w:val="1"/>
          <w:color w:val="auto"/>
        </w:rPr>
        <w:t>Basis of Presentation</w:t>
      </w:r>
      <w:r>
        <w:rPr>
          <w:rFonts w:ascii="Arial" w:cs="Arial" w:eastAsia="Arial" w:hAnsi="Arial"/>
          <w:sz w:val="16"/>
          <w:szCs w:val="16"/>
          <w:color w:val="auto"/>
        </w:rPr>
        <w:t>, to the accompanying unaudited condensed consolidated financial statements contained in Item 1 of this Quarterly Report on Form 10-Q.</w:t>
      </w:r>
    </w:p>
    <w:p>
      <w:pPr>
        <w:spacing w:after="0" w:line="12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Additionally, information related to the pending adoption of recently issued accounting standards is provided in Note 16, </w:t>
      </w:r>
      <w:r>
        <w:rPr>
          <w:rFonts w:ascii="Arial" w:cs="Arial" w:eastAsia="Arial" w:hAnsi="Arial"/>
          <w:sz w:val="18"/>
          <w:szCs w:val="18"/>
          <w:i w:val="1"/>
          <w:iCs w:val="1"/>
          <w:color w:val="auto"/>
        </w:rPr>
        <w:t>Pending Adoption of Recent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Pronouncements</w:t>
      </w:r>
      <w:r>
        <w:rPr>
          <w:rFonts w:ascii="Arial" w:cs="Arial" w:eastAsia="Arial" w:hAnsi="Arial"/>
          <w:sz w:val="18"/>
          <w:szCs w:val="18"/>
          <w:color w:val="auto"/>
        </w:rPr>
        <w:t>, to the accompanying unaudited condensed consolidated financial statements contained in Item 1 of this Quarterly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10-Q.</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ind w:right="4120"/>
        <w:spacing w:after="0" w:line="346" w:lineRule="auto"/>
        <w:rPr>
          <w:sz w:val="20"/>
          <w:szCs w:val="20"/>
          <w:color w:val="auto"/>
        </w:rPr>
      </w:pPr>
      <w:r>
        <w:rPr>
          <w:rFonts w:ascii="Arial" w:cs="Arial" w:eastAsia="Arial" w:hAnsi="Arial"/>
          <w:sz w:val="18"/>
          <w:szCs w:val="18"/>
          <w:b w:val="1"/>
          <w:bCs w:val="1"/>
          <w:color w:val="auto"/>
        </w:rPr>
        <w:t>ITEM 3. QUANTITATIVE AND QUALITATIVE DISCLOSURES ABOUT MARKET RISK Currency and Interest Rate Risks</w:t>
      </w:r>
    </w:p>
    <w:p>
      <w:pPr>
        <w:spacing w:after="0" w:line="1"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In the operation of our business, we have market risk exposures including those related to foreign currency and interest rates. We employ various strategies to attempt to minimize our exposure to these risks.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9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We cannot predict the impact that future currency fluctuations may have on our financial position, results of operations, or cash flows in future periods.</w:t>
      </w:r>
    </w:p>
    <w:p>
      <w:pPr>
        <w:spacing w:after="0" w:line="106"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0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Fluctuations in currency exchange rates, primarily between the U.S. dollar and the currencies of Canada, Mexico, Hong Kong, and the United Kingdom, may affect our results of operations, financial position, and cash flows. Transactions by certain foreign subsidiaries may be denominated in currencies other than that entity's functional currency. Foreign currency transaction gains and losses also include the impact of non-current intercompany loans with foreign subsidiaries that are marked to market. In our statement of operations, these gains and losses are recorded within Other income/expense, net.</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overall strategy to manage the level of exposure to the risk of foreign currency exchange rate fluctuations, some of our foreign operations may use currency forward contracts from time to time to hedge the foreign currency exchange risk associated with purchases that are made in U.S. dollars, primarily for inventory purchases. As part of this strategy, we primarily use foreign currency forward exchange contracts that have maturities of less than 12 months to provide continuing coverage throughout the hedging period.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operating results are subject to risk from interest rate fluctuations on our secured revolving credit facility, which carries variable interest rates. Our variable rate borrowings outstanding as of March 30, 2019 were $131.0 million. An increase or decrease of 1% in the effective interest rate on that amount would increase or decrease our annual pre-tax interest expense by approximately $1.3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enter into various purchase order commitments with our suppliers. We generally can cancel these arrangements, although in some instances we may be subject to a termination charge reflecting a percentage of work performed prior to cancellation.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as of the end of the period covered by this Quarterly Report on Form 10-Q. Based upon that evaluation, our Chief Executive Officer and Chief Financial Officer have concluded that our disclosure controls and procedures are effective as of March 30,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principal executive officer and principal financial officer also conducted an evaluation of the Company’s internal control over financial reporting (“Internal Control”) to determine whether any changes in Internal Control occurred during the fiscal quarter ended March 30, 2019 that have materially affected, or which are reasonably likely to materially affect, Internal Control.</w:t>
      </w:r>
    </w:p>
    <w:p>
      <w:pPr>
        <w:spacing w:after="0" w:line="14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were no changes in the Company’s Internal Control that materially affected, or were likely to materially affect, such control over financial reporting during the fiscal quarter ended March 30, 2019.</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4" w:right="239" w:bottom="1440" w:gutter="0" w:footer="0" w:header="0"/>
        </w:sectPr>
      </w:pPr>
    </w:p>
    <w:bookmarkStart w:id="27" w:name="page28"/>
    <w:bookmarkEnd w:id="27"/>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described in our Form 10-K for the 2018 fiscal year ended December 29, 2018.</w:t>
      </w:r>
    </w:p>
    <w:p>
      <w:pPr>
        <w:spacing w:after="0" w:line="200" w:lineRule="exact"/>
        <w:rPr>
          <w:sz w:val="20"/>
          <w:szCs w:val="20"/>
          <w:color w:val="auto"/>
        </w:rPr>
      </w:pPr>
    </w:p>
    <w:p>
      <w:pPr>
        <w:spacing w:after="0" w:line="2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364" w:right="4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share repurchases during the first quarter of fiscal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1"/>
              </w:rPr>
              <w:t>Approximate</w:t>
            </w:r>
          </w:p>
        </w:tc>
      </w:tr>
      <w:tr>
        <w:trPr>
          <w:trHeight w:val="203"/>
        </w:trPr>
        <w:tc>
          <w:tcPr>
            <w:tcW w:w="4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8"/>
              </w:rPr>
              <w:t>dollar value of shares</w:t>
            </w:r>
          </w:p>
        </w:tc>
      </w:tr>
      <w:tr>
        <w:trPr>
          <w:trHeight w:val="203"/>
        </w:trPr>
        <w:tc>
          <w:tcPr>
            <w:tcW w:w="4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4"/>
              </w:rPr>
              <w:t>that may</w:t>
            </w:r>
          </w:p>
        </w:tc>
      </w:tr>
      <w:tr>
        <w:trPr>
          <w:trHeight w:val="203"/>
        </w:trPr>
        <w:tc>
          <w:tcPr>
            <w:tcW w:w="4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yet be</w:t>
            </w:r>
          </w:p>
        </w:tc>
      </w:tr>
      <w:tr>
        <w:trPr>
          <w:trHeight w:val="203"/>
        </w:trPr>
        <w:tc>
          <w:tcPr>
            <w:tcW w:w="424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88"/>
              </w:rPr>
              <w:t>purchased as part of</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6"/>
              </w:rPr>
              <w:t>purchased</w:t>
            </w:r>
          </w:p>
        </w:tc>
      </w:tr>
      <w:tr>
        <w:trPr>
          <w:trHeight w:val="203"/>
        </w:trPr>
        <w:tc>
          <w:tcPr>
            <w:tcW w:w="424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84"/>
              </w:rPr>
              <w:t>of shares</w:t>
            </w:r>
          </w:p>
        </w:tc>
        <w:tc>
          <w:tcPr>
            <w:tcW w:w="120" w:type="dxa"/>
            <w:vAlign w:val="bottom"/>
          </w:tcPr>
          <w:p>
            <w:pPr>
              <w:spacing w:after="0"/>
              <w:rPr>
                <w:sz w:val="17"/>
                <w:szCs w:val="17"/>
                <w:color w:val="auto"/>
              </w:rPr>
            </w:pPr>
          </w:p>
        </w:tc>
        <w:tc>
          <w:tcPr>
            <w:tcW w:w="1820" w:type="dxa"/>
            <w:vAlign w:val="bottom"/>
            <w:gridSpan w:val="2"/>
          </w:tcPr>
          <w:p>
            <w:pPr>
              <w:ind w:left="80"/>
              <w:spacing w:after="0"/>
              <w:rPr>
                <w:sz w:val="20"/>
                <w:szCs w:val="20"/>
                <w:color w:val="auto"/>
              </w:rPr>
            </w:pPr>
            <w:r>
              <w:rPr>
                <w:rFonts w:ascii="Arial" w:cs="Arial" w:eastAsia="Arial" w:hAnsi="Arial"/>
                <w:sz w:val="16"/>
                <w:szCs w:val="16"/>
                <w:b w:val="1"/>
                <w:bCs w:val="1"/>
                <w:color w:val="auto"/>
                <w:w w:val="99"/>
              </w:rPr>
              <w:t>Average price paid per</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under the plans</w:t>
            </w:r>
          </w:p>
        </w:tc>
      </w:tr>
      <w:tr>
        <w:trPr>
          <w:trHeight w:val="243"/>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purchased</w:t>
            </w:r>
            <w:r>
              <w:rPr>
                <w:rFonts w:ascii="Arial" w:cs="Arial" w:eastAsia="Arial" w:hAnsi="Arial"/>
                <w:sz w:val="21"/>
                <w:szCs w:val="21"/>
                <w:b w:val="1"/>
                <w:bCs w:val="1"/>
                <w:color w:val="auto"/>
                <w:w w:val="85"/>
                <w:vertAlign w:val="superscript"/>
              </w:rPr>
              <w:t>(1)</w:t>
            </w:r>
          </w:p>
        </w:tc>
        <w:tc>
          <w:tcPr>
            <w:tcW w:w="12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plans or programs</w:t>
            </w:r>
            <w:r>
              <w:rPr>
                <w:rFonts w:ascii="Arial" w:cs="Arial" w:eastAsia="Arial" w:hAnsi="Arial"/>
                <w:sz w:val="21"/>
                <w:szCs w:val="21"/>
                <w:b w:val="1"/>
                <w:bCs w:val="1"/>
                <w:color w:val="auto"/>
                <w:w w:val="88"/>
                <w:vertAlign w:val="superscript"/>
              </w:rPr>
              <w:t>(2)</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or programs</w:t>
            </w:r>
            <w:r>
              <w:rPr>
                <w:rFonts w:ascii="Arial" w:cs="Arial" w:eastAsia="Arial" w:hAnsi="Arial"/>
                <w:sz w:val="21"/>
                <w:szCs w:val="21"/>
                <w:b w:val="1"/>
                <w:bCs w:val="1"/>
                <w:color w:val="auto"/>
                <w:w w:val="87"/>
                <w:vertAlign w:val="superscript"/>
              </w:rPr>
              <w:t>(3)</w:t>
            </w: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30, 2018 through January 26, 2019</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177,117</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$81.28</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177,117</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$378,217,140</w:t>
            </w:r>
          </w:p>
        </w:tc>
      </w:tr>
      <w:tr>
        <w:trPr>
          <w:trHeight w:val="216"/>
        </w:trPr>
        <w:tc>
          <w:tcPr>
            <w:tcW w:w="4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January 27, 2019 through February 23, 2019</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157,220</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$83.83</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126,494</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$367,613,000</w:t>
            </w:r>
          </w:p>
        </w:tc>
      </w:tr>
      <w:tr>
        <w:trPr>
          <w:trHeight w:val="216"/>
        </w:trPr>
        <w:tc>
          <w:tcPr>
            <w:tcW w:w="4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February 24, 2019 through March 30, 2019</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169,764</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$95.54</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156,646</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$352,646,702</w:t>
            </w:r>
          </w:p>
        </w:tc>
      </w:tr>
      <w:tr>
        <w:trPr>
          <w:trHeight w:val="216"/>
        </w:trPr>
        <w:tc>
          <w:tcPr>
            <w:tcW w:w="424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504,101</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460,257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0"/>
        </w:trPr>
        <w:tc>
          <w:tcPr>
            <w:tcW w:w="4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35" w:lineRule="exact"/>
        <w:rPr>
          <w:sz w:val="20"/>
          <w:szCs w:val="20"/>
          <w:color w:val="auto"/>
        </w:rPr>
      </w:pPr>
    </w:p>
    <w:p>
      <w:pPr>
        <w:ind w:left="340" w:right="380" w:hanging="332"/>
        <w:spacing w:after="0" w:line="273"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shares of our common stock surrendered by our employees to satisfy required tax withholding upon the vesting of restricted stock awards. There were 43,844 shares surrendered between January 27, 2019 and March 30, 2019.</w:t>
      </w:r>
    </w:p>
    <w:p>
      <w:pPr>
        <w:spacing w:after="0" w:line="38" w:lineRule="exact"/>
        <w:rPr>
          <w:rFonts w:ascii="Arial" w:cs="Arial" w:eastAsia="Arial" w:hAnsi="Arial"/>
          <w:sz w:val="14"/>
          <w:szCs w:val="14"/>
          <w:color w:val="auto"/>
        </w:rPr>
      </w:pPr>
    </w:p>
    <w:p>
      <w:pPr>
        <w:ind w:left="340" w:right="140" w:hanging="332"/>
        <w:spacing w:after="0" w:line="312" w:lineRule="auto"/>
        <w:tabs>
          <w:tab w:leader="none" w:pos="3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 xml:space="preserve">Share purchases during the first quarter of fiscal 2019 were made in compliance with all applicable rules and regulations and in accordance with the share repurchase authorizations described in Note 7, </w:t>
      </w:r>
      <w:r>
        <w:rPr>
          <w:rFonts w:ascii="Arial" w:cs="Arial" w:eastAsia="Arial" w:hAnsi="Arial"/>
          <w:sz w:val="13"/>
          <w:szCs w:val="13"/>
          <w:i w:val="1"/>
          <w:iCs w:val="1"/>
          <w:color w:val="auto"/>
        </w:rPr>
        <w:t>Common Stock</w:t>
      </w:r>
      <w:r>
        <w:rPr>
          <w:rFonts w:ascii="Arial" w:cs="Arial" w:eastAsia="Arial" w:hAnsi="Arial"/>
          <w:sz w:val="13"/>
          <w:szCs w:val="13"/>
          <w:color w:val="auto"/>
        </w:rPr>
        <w:t>, to our accompanying unaudited condensed consolidated financial statements included in Item 1 of this Quarterly Report on Form 10-Q.</w:t>
      </w:r>
    </w:p>
    <w:p>
      <w:pPr>
        <w:spacing w:after="0" w:line="16" w:lineRule="exact"/>
        <w:rPr>
          <w:rFonts w:ascii="Arial" w:cs="Arial" w:eastAsia="Arial" w:hAnsi="Arial"/>
          <w:sz w:val="13"/>
          <w:szCs w:val="13"/>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Under share repurchase authorizations approved by our Board of Directors.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8"/>
        </w:trPr>
        <w:tc>
          <w:tcPr>
            <w:tcW w:w="1760" w:type="dxa"/>
            <w:vAlign w:val="bottom"/>
            <w:gridSpan w:val="3"/>
          </w:tcPr>
          <w:p>
            <w:pPr>
              <w:ind w:left="40"/>
              <w:spacing w:after="0"/>
              <w:rPr>
                <w:sz w:val="20"/>
                <w:szCs w:val="20"/>
                <w:color w:val="auto"/>
              </w:rPr>
            </w:pPr>
            <w:r>
              <w:rPr>
                <w:rFonts w:ascii="Arial" w:cs="Arial" w:eastAsia="Arial" w:hAnsi="Arial"/>
                <w:sz w:val="18"/>
                <w:szCs w:val="18"/>
                <w:b w:val="1"/>
                <w:bCs w:val="1"/>
                <w:color w:val="auto"/>
              </w:rPr>
              <w:t>Exhibit Number</w:t>
            </w:r>
          </w:p>
        </w:tc>
        <w:tc>
          <w:tcPr>
            <w:tcW w:w="9600" w:type="dxa"/>
            <w:vAlign w:val="bottom"/>
            <w:gridSpan w:val="12"/>
          </w:tcPr>
          <w:p>
            <w:pPr>
              <w:spacing w:after="0"/>
              <w:rPr>
                <w:sz w:val="20"/>
                <w:szCs w:val="20"/>
                <w:color w:val="auto"/>
              </w:rPr>
            </w:pPr>
            <w:r>
              <w:rPr>
                <w:rFonts w:ascii="Arial" w:cs="Arial" w:eastAsia="Arial" w:hAnsi="Arial"/>
                <w:sz w:val="18"/>
                <w:szCs w:val="18"/>
                <w:b w:val="1"/>
                <w:bCs w:val="1"/>
                <w:color w:val="auto"/>
              </w:rPr>
              <w:t>Description of Exhibits</w:t>
            </w:r>
          </w:p>
        </w:tc>
      </w:tr>
      <w:tr>
        <w:trPr>
          <w:trHeight w:val="20"/>
        </w:trPr>
        <w:tc>
          <w:tcPr>
            <w:tcW w:w="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7"/>
        </w:trPr>
        <w:tc>
          <w:tcPr>
            <w:tcW w:w="40" w:type="dxa"/>
            <w:vAlign w:val="bottom"/>
          </w:tcPr>
          <w:p>
            <w:pPr>
              <w:spacing w:after="0"/>
              <w:rPr>
                <w:sz w:val="24"/>
                <w:szCs w:val="24"/>
                <w:color w:val="auto"/>
              </w:rPr>
            </w:pPr>
          </w:p>
        </w:tc>
        <w:tc>
          <w:tcPr>
            <w:tcW w:w="1260" w:type="dxa"/>
            <w:vAlign w:val="bottom"/>
          </w:tcPr>
          <w:p>
            <w:pPr>
              <w:jc w:val="center"/>
              <w:ind w:left="310"/>
              <w:spacing w:after="0"/>
              <w:rPr>
                <w:sz w:val="20"/>
                <w:szCs w:val="20"/>
                <w:color w:val="auto"/>
              </w:rPr>
            </w:pPr>
            <w:r>
              <w:rPr>
                <w:rFonts w:ascii="Arial" w:cs="Arial" w:eastAsia="Arial" w:hAnsi="Arial"/>
                <w:sz w:val="18"/>
                <w:szCs w:val="18"/>
                <w:color w:val="auto"/>
                <w:w w:val="87"/>
              </w:rPr>
              <w:t>1.1</w:t>
            </w:r>
          </w:p>
        </w:tc>
        <w:tc>
          <w:tcPr>
            <w:tcW w:w="460" w:type="dxa"/>
            <w:vAlign w:val="bottom"/>
          </w:tcPr>
          <w:p>
            <w:pPr>
              <w:spacing w:after="0"/>
              <w:rPr>
                <w:sz w:val="24"/>
                <w:szCs w:val="24"/>
                <w:color w:val="auto"/>
              </w:rPr>
            </w:pPr>
          </w:p>
        </w:tc>
        <w:tc>
          <w:tcPr>
            <w:tcW w:w="9320" w:type="dxa"/>
            <w:vAlign w:val="bottom"/>
            <w:tcBorders>
              <w:bottom w:val="single" w:sz="8" w:color="0000FF"/>
            </w:tcBorders>
            <w:gridSpan w:val="9"/>
          </w:tcPr>
          <w:p>
            <w:pPr>
              <w:spacing w:after="0"/>
              <w:rPr>
                <w:rFonts w:ascii="Arial" w:cs="Arial" w:eastAsia="Arial" w:hAnsi="Arial"/>
                <w:sz w:val="18"/>
                <w:szCs w:val="18"/>
                <w:color w:val="0000FF"/>
                <w:w w:val="90"/>
              </w:rPr>
            </w:pPr>
            <w:hyperlink r:id="rId10">
              <w:r>
                <w:rPr>
                  <w:rFonts w:ascii="Arial" w:cs="Arial" w:eastAsia="Arial" w:hAnsi="Arial"/>
                  <w:sz w:val="18"/>
                  <w:szCs w:val="18"/>
                  <w:color w:val="0000FF"/>
                  <w:w w:val="90"/>
                </w:rPr>
                <w:t>Purchase Agreement, dated February 28, 2019, by and among The William Carter Company, certain guarantors from time to time</w:t>
              </w:r>
            </w:hyperlink>
          </w:p>
        </w:tc>
        <w:tc>
          <w:tcPr>
            <w:tcW w:w="280" w:type="dxa"/>
            <w:vAlign w:val="bottom"/>
            <w:gridSpan w:val="3"/>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6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10">
              <w:r>
                <w:rPr>
                  <w:rFonts w:ascii="Arial" w:cs="Arial" w:eastAsia="Arial" w:hAnsi="Arial"/>
                  <w:sz w:val="18"/>
                  <w:szCs w:val="18"/>
                  <w:color w:val="0000FF"/>
                  <w:w w:val="92"/>
                </w:rPr>
                <w:t>party thereto and Merrill Lynch, Pierce, Fenner &amp; Smith Incorporated</w:t>
              </w:r>
            </w:hyperlink>
          </w:p>
        </w:tc>
        <w:tc>
          <w:tcPr>
            <w:tcW w:w="4540" w:type="dxa"/>
            <w:vAlign w:val="bottom"/>
            <w:gridSpan w:val="5"/>
          </w:tcPr>
          <w:p>
            <w:pPr>
              <w:spacing w:after="0"/>
              <w:rPr>
                <w:sz w:val="17"/>
                <w:szCs w:val="17"/>
                <w:color w:val="auto"/>
              </w:rPr>
            </w:pPr>
          </w:p>
        </w:tc>
      </w:tr>
      <w:tr>
        <w:trPr>
          <w:trHeight w:val="250"/>
        </w:trPr>
        <w:tc>
          <w:tcPr>
            <w:tcW w:w="1300" w:type="dxa"/>
            <w:vAlign w:val="bottom"/>
            <w:gridSpan w:val="2"/>
          </w:tcPr>
          <w:p>
            <w:pPr>
              <w:jc w:val="center"/>
              <w:ind w:left="350"/>
              <w:spacing w:after="0"/>
              <w:rPr>
                <w:sz w:val="20"/>
                <w:szCs w:val="20"/>
                <w:color w:val="auto"/>
              </w:rPr>
            </w:pPr>
            <w:r>
              <w:rPr>
                <w:rFonts w:ascii="Arial" w:cs="Arial" w:eastAsia="Arial" w:hAnsi="Arial"/>
                <w:sz w:val="18"/>
                <w:szCs w:val="18"/>
                <w:color w:val="auto"/>
                <w:w w:val="87"/>
              </w:rPr>
              <w:t>3.1</w:t>
            </w:r>
          </w:p>
        </w:tc>
        <w:tc>
          <w:tcPr>
            <w:tcW w:w="460" w:type="dxa"/>
            <w:vAlign w:val="bottom"/>
          </w:tcPr>
          <w:p>
            <w:pPr>
              <w:spacing w:after="0"/>
              <w:rPr>
                <w:sz w:val="21"/>
                <w:szCs w:val="21"/>
                <w:color w:val="auto"/>
              </w:rPr>
            </w:pPr>
          </w:p>
        </w:tc>
        <w:tc>
          <w:tcPr>
            <w:tcW w:w="9580" w:type="dxa"/>
            <w:vAlign w:val="bottom"/>
            <w:tcBorders>
              <w:bottom w:val="single" w:sz="8" w:color="0000FF"/>
            </w:tcBorders>
            <w:gridSpan w:val="11"/>
          </w:tcPr>
          <w:p>
            <w:pPr>
              <w:spacing w:after="0"/>
              <w:rPr>
                <w:rFonts w:ascii="Arial" w:cs="Arial" w:eastAsia="Arial" w:hAnsi="Arial"/>
                <w:sz w:val="18"/>
                <w:szCs w:val="18"/>
                <w:color w:val="0000FF"/>
                <w:w w:val="91"/>
              </w:rPr>
            </w:pPr>
            <w:hyperlink r:id="rId11">
              <w:r>
                <w:rPr>
                  <w:rFonts w:ascii="Arial" w:cs="Arial" w:eastAsia="Arial" w:hAnsi="Arial"/>
                  <w:sz w:val="18"/>
                  <w:szCs w:val="18"/>
                  <w:color w:val="0000FF"/>
                  <w:w w:val="91"/>
                </w:rPr>
                <w:t>Certificate of Incorporation of Carter's, Inc., as amended on May 22, 2017 (incorporated by reference to Exhibit 3.1 of Carter's, Inc.'s</w:t>
              </w:r>
            </w:hyperlink>
          </w:p>
        </w:tc>
        <w:tc>
          <w:tcPr>
            <w:tcW w:w="2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2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11">
              <w:r>
                <w:rPr>
                  <w:rFonts w:ascii="Arial" w:cs="Arial" w:eastAsia="Arial" w:hAnsi="Arial"/>
                  <w:sz w:val="18"/>
                  <w:szCs w:val="18"/>
                  <w:color w:val="0000FF"/>
                  <w:w w:val="92"/>
                </w:rPr>
                <w:t>Current Report on Form 8-K filed on May 23, 2017).</w:t>
              </w:r>
            </w:hyperlink>
          </w:p>
        </w:tc>
        <w:tc>
          <w:tcPr>
            <w:tcW w:w="5780" w:type="dxa"/>
            <w:vAlign w:val="bottom"/>
            <w:gridSpan w:val="8"/>
          </w:tcPr>
          <w:p>
            <w:pPr>
              <w:spacing w:after="0"/>
              <w:rPr>
                <w:sz w:val="17"/>
                <w:szCs w:val="17"/>
                <w:color w:val="auto"/>
              </w:rPr>
            </w:pPr>
          </w:p>
        </w:tc>
      </w:tr>
      <w:tr>
        <w:trPr>
          <w:trHeight w:val="250"/>
        </w:trPr>
        <w:tc>
          <w:tcPr>
            <w:tcW w:w="1300" w:type="dxa"/>
            <w:vAlign w:val="bottom"/>
            <w:gridSpan w:val="2"/>
          </w:tcPr>
          <w:p>
            <w:pPr>
              <w:jc w:val="center"/>
              <w:ind w:left="350"/>
              <w:spacing w:after="0"/>
              <w:rPr>
                <w:sz w:val="20"/>
                <w:szCs w:val="20"/>
                <w:color w:val="auto"/>
              </w:rPr>
            </w:pPr>
            <w:r>
              <w:rPr>
                <w:rFonts w:ascii="Arial" w:cs="Arial" w:eastAsia="Arial" w:hAnsi="Arial"/>
                <w:sz w:val="18"/>
                <w:szCs w:val="18"/>
                <w:color w:val="auto"/>
                <w:w w:val="87"/>
              </w:rPr>
              <w:t>3.2</w:t>
            </w:r>
          </w:p>
        </w:tc>
        <w:tc>
          <w:tcPr>
            <w:tcW w:w="460" w:type="dxa"/>
            <w:vAlign w:val="bottom"/>
          </w:tcPr>
          <w:p>
            <w:pPr>
              <w:spacing w:after="0"/>
              <w:rPr>
                <w:sz w:val="21"/>
                <w:szCs w:val="21"/>
                <w:color w:val="auto"/>
              </w:rPr>
            </w:pPr>
          </w:p>
        </w:tc>
        <w:tc>
          <w:tcPr>
            <w:tcW w:w="9560" w:type="dxa"/>
            <w:vAlign w:val="bottom"/>
            <w:tcBorders>
              <w:bottom w:val="single" w:sz="8" w:color="0000FF"/>
            </w:tcBorders>
            <w:gridSpan w:val="10"/>
          </w:tcPr>
          <w:p>
            <w:pPr>
              <w:spacing w:after="0"/>
              <w:rPr>
                <w:rFonts w:ascii="Arial" w:cs="Arial" w:eastAsia="Arial" w:hAnsi="Arial"/>
                <w:sz w:val="18"/>
                <w:szCs w:val="18"/>
                <w:color w:val="0000FF"/>
                <w:w w:val="90"/>
              </w:rPr>
            </w:pPr>
            <w:hyperlink r:id="rId12">
              <w:r>
                <w:rPr>
                  <w:rFonts w:ascii="Arial" w:cs="Arial" w:eastAsia="Arial" w:hAnsi="Arial"/>
                  <w:sz w:val="18"/>
                  <w:szCs w:val="18"/>
                  <w:color w:val="0000FF"/>
                  <w:w w:val="90"/>
                </w:rPr>
                <w:t>Amended and Restated By-Laws of Carter's, Inc. (incorporated by reference to Exhibit 3.2 of Carter's, Inc.'s Current Report on Form</w:t>
              </w:r>
            </w:hyperlink>
          </w:p>
        </w:tc>
        <w:tc>
          <w:tcPr>
            <w:tcW w:w="40" w:type="dxa"/>
            <w:vAlign w:val="bottom"/>
            <w:gridSpan w:val="2"/>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0" w:type="dxa"/>
            <w:vAlign w:val="bottom"/>
            <w:gridSpan w:val="12"/>
          </w:tcPr>
          <w:p>
            <w:pPr>
              <w:spacing w:after="0" w:line="196" w:lineRule="exact"/>
              <w:rPr>
                <w:rFonts w:ascii="Arial" w:cs="Arial" w:eastAsia="Arial" w:hAnsi="Arial"/>
                <w:sz w:val="18"/>
                <w:szCs w:val="18"/>
                <w:color w:val="0000FF"/>
              </w:rPr>
            </w:pPr>
            <w:hyperlink r:id="rId12">
              <w:r>
                <w:rPr>
                  <w:rFonts w:ascii="Arial" w:cs="Arial" w:eastAsia="Arial" w:hAnsi="Arial"/>
                  <w:sz w:val="18"/>
                  <w:szCs w:val="18"/>
                  <w:color w:val="0000FF"/>
                </w:rPr>
                <w:t>8-K filed on May 23, 2017).</w:t>
              </w:r>
            </w:hyperlink>
          </w:p>
        </w:tc>
      </w:tr>
      <w:tr>
        <w:trPr>
          <w:trHeight w:val="20"/>
        </w:trPr>
        <w:tc>
          <w:tcPr>
            <w:tcW w:w="1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250"/>
        </w:trPr>
        <w:tc>
          <w:tcPr>
            <w:tcW w:w="1300" w:type="dxa"/>
            <w:vAlign w:val="bottom"/>
            <w:gridSpan w:val="2"/>
          </w:tcPr>
          <w:p>
            <w:pPr>
              <w:jc w:val="center"/>
              <w:ind w:left="350"/>
              <w:spacing w:after="0"/>
              <w:rPr>
                <w:sz w:val="20"/>
                <w:szCs w:val="20"/>
                <w:color w:val="auto"/>
              </w:rPr>
            </w:pPr>
            <w:r>
              <w:rPr>
                <w:rFonts w:ascii="Arial" w:cs="Arial" w:eastAsia="Arial" w:hAnsi="Arial"/>
                <w:sz w:val="18"/>
                <w:szCs w:val="18"/>
                <w:color w:val="auto"/>
                <w:w w:val="87"/>
              </w:rPr>
              <w:t>4.1</w:t>
            </w:r>
          </w:p>
        </w:tc>
        <w:tc>
          <w:tcPr>
            <w:tcW w:w="460" w:type="dxa"/>
            <w:vAlign w:val="bottom"/>
          </w:tcPr>
          <w:p>
            <w:pPr>
              <w:spacing w:after="0"/>
              <w:rPr>
                <w:sz w:val="21"/>
                <w:szCs w:val="21"/>
                <w:color w:val="auto"/>
              </w:rPr>
            </w:pPr>
          </w:p>
        </w:tc>
        <w:tc>
          <w:tcPr>
            <w:tcW w:w="9600" w:type="dxa"/>
            <w:vAlign w:val="bottom"/>
            <w:tcBorders>
              <w:bottom w:val="single" w:sz="8" w:color="0000FF"/>
            </w:tcBorders>
            <w:gridSpan w:val="12"/>
          </w:tcPr>
          <w:p>
            <w:pPr>
              <w:spacing w:after="0"/>
              <w:rPr>
                <w:rFonts w:ascii="Arial" w:cs="Arial" w:eastAsia="Arial" w:hAnsi="Arial"/>
                <w:sz w:val="18"/>
                <w:szCs w:val="18"/>
                <w:color w:val="0000FF"/>
                <w:w w:val="90"/>
              </w:rPr>
            </w:pPr>
            <w:hyperlink r:id="rId13">
              <w:r>
                <w:rPr>
                  <w:rFonts w:ascii="Arial" w:cs="Arial" w:eastAsia="Arial" w:hAnsi="Arial"/>
                  <w:sz w:val="18"/>
                  <w:szCs w:val="18"/>
                  <w:color w:val="0000FF"/>
                  <w:w w:val="90"/>
                </w:rPr>
                <w:t>Indenture, dated March 14, 2019, by and among The William Carter Company, certain guarantors from time to time party thereto and</w:t>
              </w:r>
            </w:hyperlink>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0" w:type="dxa"/>
            <w:vAlign w:val="bottom"/>
            <w:gridSpan w:val="12"/>
          </w:tcPr>
          <w:p>
            <w:pPr>
              <w:spacing w:after="0" w:line="196" w:lineRule="exact"/>
              <w:rPr>
                <w:rFonts w:ascii="Arial" w:cs="Arial" w:eastAsia="Arial" w:hAnsi="Arial"/>
                <w:sz w:val="18"/>
                <w:szCs w:val="18"/>
                <w:color w:val="0000FF"/>
                <w:w w:val="93"/>
              </w:rPr>
            </w:pPr>
            <w:hyperlink r:id="rId13">
              <w:r>
                <w:rPr>
                  <w:rFonts w:ascii="Arial" w:cs="Arial" w:eastAsia="Arial" w:hAnsi="Arial"/>
                  <w:sz w:val="18"/>
                  <w:szCs w:val="18"/>
                  <w:color w:val="0000FF"/>
                  <w:w w:val="93"/>
                </w:rPr>
                <w:t>Wells Fargo Bank, National Association, as Trustee (incorporated by reference to Exhibit 4.1 of Carter's, Inc.'s Current Report on</w:t>
              </w:r>
            </w:hyperlink>
          </w:p>
        </w:tc>
      </w:tr>
      <w:tr>
        <w:trPr>
          <w:trHeight w:val="196"/>
        </w:trPr>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2"/>
              </w:rPr>
            </w:pPr>
            <w:hyperlink r:id="rId13">
              <w:r>
                <w:rPr>
                  <w:rFonts w:ascii="Arial" w:cs="Arial" w:eastAsia="Arial" w:hAnsi="Arial"/>
                  <w:sz w:val="18"/>
                  <w:szCs w:val="18"/>
                  <w:color w:val="0000FF"/>
                  <w:w w:val="92"/>
                </w:rPr>
                <w:t>Form 8-K filed on March 14, 2019).</w:t>
              </w:r>
            </w:hyperlink>
          </w:p>
        </w:tc>
        <w:tc>
          <w:tcPr>
            <w:tcW w:w="6700" w:type="dxa"/>
            <w:vAlign w:val="bottom"/>
            <w:tcBorders>
              <w:top w:val="single" w:sz="8" w:color="0000FF"/>
            </w:tcBorders>
            <w:gridSpan w:val="5"/>
          </w:tcPr>
          <w:p>
            <w:pPr>
              <w:spacing w:after="0"/>
              <w:rPr>
                <w:sz w:val="17"/>
                <w:szCs w:val="17"/>
                <w:color w:val="auto"/>
              </w:rPr>
            </w:pPr>
          </w:p>
        </w:tc>
        <w:tc>
          <w:tcPr>
            <w:tcW w:w="300" w:type="dxa"/>
            <w:vAlign w:val="bottom"/>
            <w:gridSpan w:val="4"/>
          </w:tcPr>
          <w:p>
            <w:pPr>
              <w:spacing w:after="0"/>
              <w:rPr>
                <w:sz w:val="17"/>
                <w:szCs w:val="17"/>
                <w:color w:val="auto"/>
              </w:rPr>
            </w:pPr>
          </w:p>
        </w:tc>
      </w:tr>
      <w:tr>
        <w:trPr>
          <w:trHeight w:val="250"/>
        </w:trPr>
        <w:tc>
          <w:tcPr>
            <w:tcW w:w="1300" w:type="dxa"/>
            <w:vAlign w:val="bottom"/>
            <w:gridSpan w:val="2"/>
          </w:tcPr>
          <w:p>
            <w:pPr>
              <w:jc w:val="center"/>
              <w:ind w:left="350"/>
              <w:spacing w:after="0"/>
              <w:rPr>
                <w:sz w:val="20"/>
                <w:szCs w:val="20"/>
                <w:color w:val="auto"/>
              </w:rPr>
            </w:pPr>
            <w:r>
              <w:rPr>
                <w:rFonts w:ascii="Arial" w:cs="Arial" w:eastAsia="Arial" w:hAnsi="Arial"/>
                <w:sz w:val="18"/>
                <w:szCs w:val="18"/>
                <w:color w:val="auto"/>
                <w:w w:val="87"/>
              </w:rPr>
              <w:t>4.2</w:t>
            </w:r>
          </w:p>
        </w:tc>
        <w:tc>
          <w:tcPr>
            <w:tcW w:w="460" w:type="dxa"/>
            <w:vAlign w:val="bottom"/>
          </w:tcPr>
          <w:p>
            <w:pPr>
              <w:spacing w:after="0"/>
              <w:rPr>
                <w:sz w:val="21"/>
                <w:szCs w:val="21"/>
                <w:color w:val="auto"/>
              </w:rPr>
            </w:pPr>
          </w:p>
        </w:tc>
        <w:tc>
          <w:tcPr>
            <w:tcW w:w="9600" w:type="dxa"/>
            <w:vAlign w:val="bottom"/>
            <w:gridSpan w:val="12"/>
          </w:tcPr>
          <w:p>
            <w:pPr>
              <w:spacing w:after="0"/>
              <w:rPr>
                <w:rFonts w:ascii="Arial" w:cs="Arial" w:eastAsia="Arial" w:hAnsi="Arial"/>
                <w:sz w:val="18"/>
                <w:szCs w:val="18"/>
                <w:color w:val="0000FF"/>
              </w:rPr>
            </w:pPr>
            <w:hyperlink r:id="rId13">
              <w:r>
                <w:rPr>
                  <w:rFonts w:ascii="Arial" w:cs="Arial" w:eastAsia="Arial" w:hAnsi="Arial"/>
                  <w:sz w:val="18"/>
                  <w:szCs w:val="18"/>
                  <w:color w:val="0000FF"/>
                </w:rPr>
                <w:t>Form of 5.625% Senior Notes due 2027 (included in Exhibit 4.1).</w:t>
              </w:r>
            </w:hyperlink>
          </w:p>
        </w:tc>
      </w:tr>
      <w:tr>
        <w:trPr>
          <w:trHeight w:val="250"/>
        </w:trPr>
        <w:tc>
          <w:tcPr>
            <w:tcW w:w="1300" w:type="dxa"/>
            <w:vAlign w:val="bottom"/>
            <w:gridSpan w:val="2"/>
          </w:tcPr>
          <w:p>
            <w:pPr>
              <w:jc w:val="center"/>
              <w:ind w:left="330"/>
              <w:spacing w:after="0"/>
              <w:rPr>
                <w:sz w:val="20"/>
                <w:szCs w:val="20"/>
                <w:color w:val="auto"/>
              </w:rPr>
            </w:pPr>
            <w:r>
              <w:rPr>
                <w:rFonts w:ascii="Arial" w:cs="Arial" w:eastAsia="Arial" w:hAnsi="Arial"/>
                <w:sz w:val="18"/>
                <w:szCs w:val="18"/>
                <w:color w:val="auto"/>
                <w:w w:val="91"/>
              </w:rPr>
              <w:t>31.1</w:t>
            </w:r>
          </w:p>
        </w:tc>
        <w:tc>
          <w:tcPr>
            <w:tcW w:w="460" w:type="dxa"/>
            <w:vAlign w:val="bottom"/>
          </w:tcPr>
          <w:p>
            <w:pPr>
              <w:spacing w:after="0"/>
              <w:rPr>
                <w:sz w:val="21"/>
                <w:szCs w:val="21"/>
                <w:color w:val="auto"/>
              </w:rPr>
            </w:pPr>
          </w:p>
        </w:tc>
        <w:tc>
          <w:tcPr>
            <w:tcW w:w="4720" w:type="dxa"/>
            <w:vAlign w:val="bottom"/>
            <w:tcBorders>
              <w:top w:val="single" w:sz="8" w:color="0000FF"/>
            </w:tcBorders>
            <w:gridSpan w:val="6"/>
          </w:tcPr>
          <w:p>
            <w:pPr>
              <w:spacing w:after="0"/>
              <w:rPr>
                <w:rFonts w:ascii="Arial" w:cs="Arial" w:eastAsia="Arial" w:hAnsi="Arial"/>
                <w:sz w:val="18"/>
                <w:szCs w:val="18"/>
                <w:color w:val="0000FF"/>
                <w:w w:val="94"/>
              </w:rPr>
            </w:pPr>
            <w:hyperlink w:anchor="page32">
              <w:r>
                <w:rPr>
                  <w:rFonts w:ascii="Arial" w:cs="Arial" w:eastAsia="Arial" w:hAnsi="Arial"/>
                  <w:sz w:val="18"/>
                  <w:szCs w:val="18"/>
                  <w:color w:val="0000FF"/>
                  <w:w w:val="94"/>
                </w:rPr>
                <w:t>Rule 13a-15(e)/15d-15(e) and 13a-15(f)/15d-15(f) Certification.</w:t>
              </w:r>
            </w:hyperlink>
          </w:p>
        </w:tc>
        <w:tc>
          <w:tcPr>
            <w:tcW w:w="4880" w:type="dxa"/>
            <w:vAlign w:val="bottom"/>
            <w:gridSpan w:val="6"/>
          </w:tcPr>
          <w:p>
            <w:pPr>
              <w:spacing w:after="0"/>
              <w:rPr>
                <w:sz w:val="21"/>
                <w:szCs w:val="21"/>
                <w:color w:val="auto"/>
              </w:rPr>
            </w:pPr>
          </w:p>
        </w:tc>
      </w:tr>
      <w:tr>
        <w:trPr>
          <w:trHeight w:val="20"/>
        </w:trPr>
        <w:tc>
          <w:tcPr>
            <w:tcW w:w="1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0" w:type="dxa"/>
            <w:vAlign w:val="bottom"/>
            <w:gridSpan w:val="5"/>
            <w:shd w:val="clear" w:color="auto" w:fill="0000FF"/>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r>
      <w:tr>
        <w:trPr>
          <w:trHeight w:val="250"/>
        </w:trPr>
        <w:tc>
          <w:tcPr>
            <w:tcW w:w="1300" w:type="dxa"/>
            <w:vAlign w:val="bottom"/>
            <w:gridSpan w:val="2"/>
          </w:tcPr>
          <w:p>
            <w:pPr>
              <w:jc w:val="center"/>
              <w:ind w:left="330"/>
              <w:spacing w:after="0"/>
              <w:rPr>
                <w:sz w:val="20"/>
                <w:szCs w:val="20"/>
                <w:color w:val="auto"/>
              </w:rPr>
            </w:pPr>
            <w:r>
              <w:rPr>
                <w:rFonts w:ascii="Arial" w:cs="Arial" w:eastAsia="Arial" w:hAnsi="Arial"/>
                <w:sz w:val="18"/>
                <w:szCs w:val="18"/>
                <w:color w:val="auto"/>
                <w:w w:val="91"/>
              </w:rPr>
              <w:t>31.2</w:t>
            </w:r>
          </w:p>
        </w:tc>
        <w:tc>
          <w:tcPr>
            <w:tcW w:w="460" w:type="dxa"/>
            <w:vAlign w:val="bottom"/>
          </w:tcPr>
          <w:p>
            <w:pPr>
              <w:spacing w:after="0"/>
              <w:rPr>
                <w:sz w:val="21"/>
                <w:szCs w:val="21"/>
                <w:color w:val="auto"/>
              </w:rPr>
            </w:pPr>
          </w:p>
        </w:tc>
        <w:tc>
          <w:tcPr>
            <w:tcW w:w="9600" w:type="dxa"/>
            <w:vAlign w:val="bottom"/>
            <w:gridSpan w:val="12"/>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Rule 13a-15(e)/15d-15(e) and 13a-15(f)/15d-15(f) Certification.</w:t>
              </w:r>
            </w:hyperlink>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7" w:lineRule="exact"/>
        <w:rPr>
          <w:sz w:val="20"/>
          <w:szCs w:val="20"/>
          <w:color w:val="auto"/>
        </w:rPr>
      </w:pPr>
    </w:p>
    <w:p>
      <w:pPr>
        <w:ind w:left="1760" w:hanging="984"/>
        <w:spacing w:after="0"/>
        <w:tabs>
          <w:tab w:leader="none" w:pos="1760" w:val="left"/>
        </w:tabs>
        <w:numPr>
          <w:ilvl w:val="0"/>
          <w:numId w:val="18"/>
        </w:numPr>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Section 1350 Certification.</w:t>
        </w:r>
      </w:hyperlink>
    </w:p>
    <w:p>
      <w:pPr>
        <w:spacing w:after="0" w:line="63" w:lineRule="exact"/>
        <w:rPr>
          <w:sz w:val="20"/>
          <w:szCs w:val="20"/>
          <w:color w:val="auto"/>
        </w:rPr>
      </w:pPr>
    </w:p>
    <w:p>
      <w:pPr>
        <w:ind w:left="740"/>
        <w:spacing w:after="0"/>
        <w:tabs>
          <w:tab w:leader="none" w:pos="17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364" w:right="299" w:bottom="1440" w:gutter="0" w:footer="0" w:header="0"/>
        </w:sectPr>
      </w:pPr>
    </w:p>
    <w:bookmarkStart w:id="30" w:name="page31"/>
    <w:bookmarkEnd w:id="30"/>
    <w:p>
      <w:pPr>
        <w:ind w:left="5080"/>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their behalf by the undersigned, thereunto duly authorized.</w:t>
      </w:r>
    </w:p>
    <w:p>
      <w:pPr>
        <w:spacing w:after="0" w:line="38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CARTER’S,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300"/>
        <w:spacing w:after="0"/>
        <w:tabs>
          <w:tab w:leader="none" w:pos="6140" w:val="left"/>
        </w:tabs>
        <w:rPr>
          <w:sz w:val="20"/>
          <w:szCs w:val="20"/>
          <w:color w:val="auto"/>
        </w:rPr>
      </w:pPr>
      <w:r>
        <w:rPr>
          <w:rFonts w:ascii="Arial" w:cs="Arial" w:eastAsia="Arial" w:hAnsi="Arial"/>
          <w:sz w:val="18"/>
          <w:szCs w:val="18"/>
          <w:color w:val="auto"/>
        </w:rPr>
        <w:t>April 30, 2019</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31750</wp:posOffset>
            </wp:positionV>
            <wp:extent cx="26073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84" w:lineRule="exact"/>
        <w:rPr>
          <w:sz w:val="20"/>
          <w:szCs w:val="20"/>
          <w:color w:val="auto"/>
        </w:rPr>
      </w:pPr>
    </w:p>
    <w:p>
      <w:pPr>
        <w:jc w:val="center"/>
        <w:ind w:left="2780"/>
        <w:spacing w:after="0"/>
        <w:rPr>
          <w:sz w:val="20"/>
          <w:szCs w:val="20"/>
          <w:color w:val="auto"/>
        </w:rPr>
      </w:pPr>
      <w:r>
        <w:rPr>
          <w:rFonts w:ascii="Arial" w:cs="Arial" w:eastAsia="Arial" w:hAnsi="Arial"/>
          <w:sz w:val="18"/>
          <w:szCs w:val="18"/>
          <w:color w:val="auto"/>
        </w:rPr>
        <w:t>Michael D. Casey</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300"/>
        <w:spacing w:after="0"/>
        <w:tabs>
          <w:tab w:leader="none" w:pos="5740" w:val="left"/>
        </w:tabs>
        <w:rPr>
          <w:sz w:val="20"/>
          <w:szCs w:val="20"/>
          <w:color w:val="auto"/>
        </w:rPr>
      </w:pPr>
      <w:r>
        <w:rPr>
          <w:rFonts w:ascii="Arial" w:cs="Arial" w:eastAsia="Arial" w:hAnsi="Arial"/>
          <w:sz w:val="18"/>
          <w:szCs w:val="18"/>
          <w:color w:val="auto"/>
        </w:rPr>
        <w:t>April 30, 2019</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31750</wp:posOffset>
            </wp:positionV>
            <wp:extent cx="26073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84" w:lineRule="exact"/>
        <w:rPr>
          <w:sz w:val="20"/>
          <w:szCs w:val="20"/>
          <w:color w:val="auto"/>
        </w:rPr>
      </w:pPr>
    </w:p>
    <w:p>
      <w:pPr>
        <w:jc w:val="center"/>
        <w:ind w:left="2780"/>
        <w:spacing w:after="0"/>
        <w:rPr>
          <w:sz w:val="20"/>
          <w:szCs w:val="20"/>
          <w:color w:val="auto"/>
        </w:rPr>
      </w:pPr>
      <w:r>
        <w:rPr>
          <w:rFonts w:ascii="Arial" w:cs="Arial" w:eastAsia="Arial" w:hAnsi="Arial"/>
          <w:sz w:val="18"/>
          <w:szCs w:val="18"/>
          <w:color w:val="auto"/>
        </w:rPr>
        <w:t>Richard F. Westenberger</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Executive Vice President and</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00"/>
          </w:cols>
          <w:pgMar w:left="240" w:top="589" w:right="115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D. Casey, certify that:</w:t>
      </w:r>
    </w:p>
    <w:p>
      <w:pPr>
        <w:spacing w:after="0" w:line="25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Carter’s, Inc.;</w:t>
      </w:r>
    </w:p>
    <w:p>
      <w:pPr>
        <w:spacing w:after="0" w:line="252"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300" w:firstLine="5"/>
        <w:spacing w:after="0" w:line="264" w:lineRule="auto"/>
        <w:tabs>
          <w:tab w:leader="none" w:pos="154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40" w:firstLine="5"/>
        <w:spacing w:after="0" w:line="264" w:lineRule="auto"/>
        <w:tabs>
          <w:tab w:leader="none" w:pos="155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160" w:firstLine="5"/>
        <w:spacing w:after="0" w:line="342" w:lineRule="auto"/>
        <w:tabs>
          <w:tab w:leader="none" w:pos="1545"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right="80" w:firstLine="5"/>
        <w:spacing w:after="0" w:line="264" w:lineRule="auto"/>
        <w:tabs>
          <w:tab w:leader="none" w:pos="155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380" w:firstLine="5"/>
        <w:spacing w:after="0" w:line="308" w:lineRule="auto"/>
        <w:tabs>
          <w:tab w:leader="none" w:pos="1545"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right="80" w:firstLine="5"/>
        <w:spacing w:after="0" w:line="277" w:lineRule="auto"/>
        <w:tabs>
          <w:tab w:leader="none" w:pos="155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60"/>
        <w:spacing w:after="0"/>
        <w:tabs>
          <w:tab w:leader="none" w:pos="6980" w:val="left"/>
        </w:tabs>
        <w:rPr>
          <w:sz w:val="20"/>
          <w:szCs w:val="20"/>
          <w:color w:val="auto"/>
        </w:rPr>
      </w:pPr>
      <w:r>
        <w:rPr>
          <w:rFonts w:ascii="Arial" w:cs="Arial" w:eastAsia="Arial" w:hAnsi="Arial"/>
          <w:sz w:val="18"/>
          <w:szCs w:val="18"/>
          <w:color w:val="auto"/>
        </w:rPr>
        <w:t>April 30, 2019</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18351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835150" cy="17145"/>
                    </a:xfrm>
                    <a:prstGeom prst="rect">
                      <a:avLst/>
                    </a:prstGeom>
                    <a:noFill/>
                  </pic:spPr>
                </pic:pic>
              </a:graphicData>
            </a:graphic>
          </wp:anchor>
        </w:drawing>
      </w:r>
    </w:p>
    <w:p>
      <w:pPr>
        <w:spacing w:after="0" w:line="70" w:lineRule="exact"/>
        <w:rPr>
          <w:sz w:val="20"/>
          <w:szCs w:val="20"/>
          <w:color w:val="auto"/>
        </w:rPr>
      </w:pPr>
    </w:p>
    <w:p>
      <w:pPr>
        <w:jc w:val="center"/>
        <w:ind w:left="4460"/>
        <w:spacing w:after="0"/>
        <w:rPr>
          <w:sz w:val="20"/>
          <w:szCs w:val="20"/>
          <w:color w:val="auto"/>
        </w:rPr>
      </w:pPr>
      <w:r>
        <w:rPr>
          <w:rFonts w:ascii="Arial" w:cs="Arial" w:eastAsia="Arial" w:hAnsi="Arial"/>
          <w:sz w:val="18"/>
          <w:szCs w:val="18"/>
          <w:color w:val="auto"/>
        </w:rPr>
        <w:t>Michael D. Casey</w:t>
      </w:r>
    </w:p>
    <w:p>
      <w:pPr>
        <w:spacing w:after="0" w:line="63" w:lineRule="exact"/>
        <w:rPr>
          <w:sz w:val="20"/>
          <w:szCs w:val="20"/>
          <w:color w:val="auto"/>
        </w:rPr>
      </w:pPr>
    </w:p>
    <w:p>
      <w:pPr>
        <w:jc w:val="center"/>
        <w:ind w:left="44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34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Richard F. Westenberger, certify that:</w:t>
      </w:r>
    </w:p>
    <w:p>
      <w:pPr>
        <w:spacing w:after="0" w:line="25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Carter’s, Inc.;</w:t>
      </w:r>
    </w:p>
    <w:p>
      <w:pPr>
        <w:spacing w:after="0" w:line="252"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300" w:firstLine="5"/>
        <w:spacing w:after="0" w:line="264" w:lineRule="auto"/>
        <w:tabs>
          <w:tab w:leader="none" w:pos="154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40" w:firstLine="5"/>
        <w:spacing w:after="0" w:line="264" w:lineRule="auto"/>
        <w:tabs>
          <w:tab w:leader="none" w:pos="15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160" w:firstLine="5"/>
        <w:spacing w:after="0" w:line="342" w:lineRule="auto"/>
        <w:tabs>
          <w:tab w:leader="none" w:pos="1545"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right="80" w:firstLine="5"/>
        <w:spacing w:after="0" w:line="264" w:lineRule="auto"/>
        <w:tabs>
          <w:tab w:leader="none" w:pos="15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380" w:firstLine="5"/>
        <w:spacing w:after="0" w:line="308" w:lineRule="auto"/>
        <w:tabs>
          <w:tab w:leader="none" w:pos="1545"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right="80" w:firstLine="5"/>
        <w:spacing w:after="0" w:line="277" w:lineRule="auto"/>
        <w:tabs>
          <w:tab w:leader="none" w:pos="15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960"/>
        <w:spacing w:after="0"/>
        <w:tabs>
          <w:tab w:leader="none" w:pos="6420" w:val="left"/>
        </w:tabs>
        <w:rPr>
          <w:sz w:val="20"/>
          <w:szCs w:val="20"/>
          <w:color w:val="auto"/>
        </w:rPr>
      </w:pPr>
      <w:r>
        <w:rPr>
          <w:rFonts w:ascii="Arial" w:cs="Arial" w:eastAsia="Arial" w:hAnsi="Arial"/>
          <w:sz w:val="18"/>
          <w:szCs w:val="18"/>
          <w:color w:val="auto"/>
        </w:rPr>
        <w:t>April 30, 2019</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21697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84"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Richard F. Westenberger</w:t>
      </w:r>
    </w:p>
    <w:p>
      <w:pPr>
        <w:spacing w:after="0" w:line="63" w:lineRule="exact"/>
        <w:rPr>
          <w:sz w:val="20"/>
          <w:szCs w:val="20"/>
          <w:color w:val="auto"/>
        </w:rPr>
      </w:pPr>
    </w:p>
    <w:p>
      <w:pPr>
        <w:ind w:left="69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247"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Each of the undersigned in the capacity indicated hereby certifies that, to his knowledge, this Report on Form 10-Q for the fiscal quarter ended March 30, 2019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660"/>
        <w:spacing w:after="0"/>
        <w:tabs>
          <w:tab w:leader="none" w:pos="6580" w:val="left"/>
        </w:tabs>
        <w:rPr>
          <w:sz w:val="20"/>
          <w:szCs w:val="20"/>
          <w:color w:val="auto"/>
        </w:rPr>
      </w:pPr>
      <w:r>
        <w:rPr>
          <w:rFonts w:ascii="Arial" w:cs="Arial" w:eastAsia="Arial" w:hAnsi="Arial"/>
          <w:sz w:val="18"/>
          <w:szCs w:val="18"/>
          <w:color w:val="auto"/>
        </w:rPr>
        <w:t>April 30, 2019</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143510</wp:posOffset>
            </wp:positionV>
            <wp:extent cx="284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259" w:lineRule="exact"/>
        <w:rPr>
          <w:sz w:val="20"/>
          <w:szCs w:val="20"/>
          <w:color w:val="auto"/>
        </w:rPr>
      </w:pPr>
    </w:p>
    <w:p>
      <w:pPr>
        <w:jc w:val="center"/>
        <w:ind w:left="3680"/>
        <w:spacing w:after="0"/>
        <w:rPr>
          <w:sz w:val="20"/>
          <w:szCs w:val="20"/>
          <w:color w:val="auto"/>
        </w:rPr>
      </w:pPr>
      <w:r>
        <w:rPr>
          <w:rFonts w:ascii="Arial" w:cs="Arial" w:eastAsia="Arial" w:hAnsi="Arial"/>
          <w:sz w:val="18"/>
          <w:szCs w:val="18"/>
          <w:color w:val="auto"/>
        </w:rPr>
        <w:t>Michael D. Casey</w:t>
      </w:r>
    </w:p>
    <w:p>
      <w:pPr>
        <w:spacing w:after="0" w:line="63" w:lineRule="exact"/>
        <w:rPr>
          <w:sz w:val="20"/>
          <w:szCs w:val="20"/>
          <w:color w:val="auto"/>
        </w:rPr>
      </w:pPr>
    </w:p>
    <w:p>
      <w:pPr>
        <w:jc w:val="center"/>
        <w:ind w:left="368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60"/>
        <w:spacing w:after="0"/>
        <w:tabs>
          <w:tab w:leader="none" w:pos="6180" w:val="left"/>
        </w:tabs>
        <w:rPr>
          <w:sz w:val="20"/>
          <w:szCs w:val="20"/>
          <w:color w:val="auto"/>
        </w:rPr>
      </w:pPr>
      <w:r>
        <w:rPr>
          <w:rFonts w:ascii="Arial" w:cs="Arial" w:eastAsia="Arial" w:hAnsi="Arial"/>
          <w:sz w:val="18"/>
          <w:szCs w:val="18"/>
          <w:color w:val="auto"/>
        </w:rPr>
        <w:t>April 30, 2019</w:t>
      </w:r>
      <w:r>
        <w:rPr>
          <w:sz w:val="20"/>
          <w:szCs w:val="20"/>
          <w:color w:val="auto"/>
        </w:rPr>
        <w:tab/>
      </w:r>
      <w:r>
        <w:rPr>
          <w:rFonts w:ascii="Arial" w:cs="Arial" w:eastAsia="Arial" w:hAnsi="Arial"/>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143510</wp:posOffset>
            </wp:positionV>
            <wp:extent cx="28473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25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Richard F. Westenberger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420"/>
      </w:cols>
      <w:pgMar w:left="240" w:top="2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lvl w:ilvl="1">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32"/>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10" Type="http://schemas.openxmlformats.org/officeDocument/2006/relationships/hyperlink" Target="http://www.sec.gov/Archives/edgar/data/1060822/000119312519074908/d718900dex11.htm" TargetMode="External"/><Relationship Id="rId11" Type="http://schemas.openxmlformats.org/officeDocument/2006/relationships/hyperlink" Target="http://www.sec.gov/Archives/edgar/data/1060822/000119312517179483/d400342dex31.htm" TargetMode="External"/><Relationship Id="rId12" Type="http://schemas.openxmlformats.org/officeDocument/2006/relationships/hyperlink" Target="http://www.sec.gov/Archives/edgar/data/1060822/000119312517179483/d400342dex32.htm" TargetMode="External"/><Relationship Id="rId13" Type="http://schemas.openxmlformats.org/officeDocument/2006/relationships/hyperlink" Target="http://www.sec.gov/Archives/edgar/data/1060822/000119312519074908/d718900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2019-12-28T13:22:04Z</dcterms:created>
  <dcterms:modified xsi:type="dcterms:W3CDTF">2019-12-28T13:22:04Z</dcterms:modified>
</cp:coreProperties>
</file>