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4360"/>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225425</wp:posOffset>
            </wp:positionH>
            <wp:positionV relativeFrom="page">
              <wp:posOffset>782955</wp:posOffset>
            </wp:positionV>
            <wp:extent cx="709803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098030" cy="8255"/>
                    </a:xfrm>
                    <a:prstGeom prst="rect">
                      <a:avLst/>
                    </a:prstGeom>
                    <a:noFill/>
                  </pic:spPr>
                </pic:pic>
              </a:graphicData>
            </a:graphic>
          </wp:anchor>
        </w:drawing>
        <w:drawing>
          <wp:anchor simplePos="0" relativeHeight="251657728" behindDoc="1" locked="0" layoutInCell="0" allowOverlap="1">
            <wp:simplePos x="0" y="0"/>
            <wp:positionH relativeFrom="page">
              <wp:posOffset>225425</wp:posOffset>
            </wp:positionH>
            <wp:positionV relativeFrom="page">
              <wp:posOffset>723265</wp:posOffset>
            </wp:positionV>
            <wp:extent cx="709803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098030" cy="8255"/>
                    </a:xfrm>
                    <a:prstGeom prst="rect">
                      <a:avLst/>
                    </a:prstGeom>
                    <a:noFill/>
                  </pic:spPr>
                </pic:pic>
              </a:graphicData>
            </a:graphic>
          </wp:anchor>
        </w:drawing>
        <w:t>UNITED STATES</w:t>
      </w:r>
    </w:p>
    <w:p>
      <w:pPr>
        <w:spacing w:after="0" w:line="61" w:lineRule="exact"/>
        <w:rPr>
          <w:sz w:val="24"/>
          <w:szCs w:val="24"/>
          <w:color w:val="auto"/>
        </w:rPr>
      </w:pPr>
    </w:p>
    <w:p>
      <w:pPr>
        <w:ind w:left="2360"/>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24"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2868295</wp:posOffset>
            </wp:positionH>
            <wp:positionV relativeFrom="paragraph">
              <wp:posOffset>85725</wp:posOffset>
            </wp:positionV>
            <wp:extent cx="140589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05890" cy="8255"/>
                    </a:xfrm>
                    <a:prstGeom prst="rect">
                      <a:avLst/>
                    </a:prstGeom>
                    <a:noFill/>
                  </pic:spPr>
                </pic:pic>
              </a:graphicData>
            </a:graphic>
          </wp:anchor>
        </w:drawing>
      </w:r>
    </w:p>
    <w:p>
      <w:pPr>
        <w:spacing w:after="0" w:line="28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2868295</wp:posOffset>
            </wp:positionH>
            <wp:positionV relativeFrom="paragraph">
              <wp:posOffset>87630</wp:posOffset>
            </wp:positionV>
            <wp:extent cx="140589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05890" cy="8255"/>
                    </a:xfrm>
                    <a:prstGeom prst="rect">
                      <a:avLst/>
                    </a:prstGeom>
                    <a:noFill/>
                  </pic:spPr>
                </pic:pic>
              </a:graphicData>
            </a:graphic>
          </wp:anchor>
        </w:drawing>
      </w:r>
    </w:p>
    <w:p>
      <w:pPr>
        <w:spacing w:after="0" w:line="200" w:lineRule="exact"/>
        <w:rPr>
          <w:sz w:val="24"/>
          <w:szCs w:val="24"/>
          <w:color w:val="auto"/>
        </w:rPr>
      </w:pPr>
    </w:p>
    <w:p>
      <w:pPr>
        <w:spacing w:after="0" w:line="23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3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Pursuant to Section 13 OR 15(d)</w:t>
      </w:r>
    </w:p>
    <w:p>
      <w:pPr>
        <w:spacing w:after="0" w:line="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of The Securities Exchange Act of 1934</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Date of Report (Date of earliest event reported): October 26, 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2868295</wp:posOffset>
            </wp:positionH>
            <wp:positionV relativeFrom="paragraph">
              <wp:posOffset>90805</wp:posOffset>
            </wp:positionV>
            <wp:extent cx="140589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05890" cy="8255"/>
                    </a:xfrm>
                    <a:prstGeom prst="rect">
                      <a:avLst/>
                    </a:prstGeom>
                    <a:noFill/>
                  </pic:spPr>
                </pic:pic>
              </a:graphicData>
            </a:graphic>
          </wp:anchor>
        </w:drawing>
      </w:r>
    </w:p>
    <w:p>
      <w:pPr>
        <w:spacing w:after="0" w:line="234"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43"/>
          <w:szCs w:val="43"/>
          <w:b w:val="1"/>
          <w:bCs w:val="1"/>
          <w:color w:val="auto"/>
        </w:rPr>
        <w:t>Carter’s, Inc.</w:t>
      </w:r>
    </w:p>
    <w:p>
      <w:pPr>
        <w:spacing w:after="0" w:line="58"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2868295</wp:posOffset>
            </wp:positionH>
            <wp:positionV relativeFrom="paragraph">
              <wp:posOffset>175895</wp:posOffset>
            </wp:positionV>
            <wp:extent cx="140589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05890" cy="8255"/>
                    </a:xfrm>
                    <a:prstGeom prst="rect">
                      <a:avLst/>
                    </a:prstGeom>
                    <a:noFill/>
                  </pic:spPr>
                </pic:pic>
              </a:graphicData>
            </a:graphic>
          </wp:anchor>
        </w:drawing>
      </w:r>
    </w:p>
    <w:p>
      <w:pPr>
        <w:sectPr>
          <w:pgSz w:w="11900" w:h="16838" w:orient="portrait"/>
          <w:cols w:equalWidth="0" w:num="1">
            <w:col w:w="11240"/>
          </w:cols>
          <w:pgMar w:left="320" w:top="1294" w:right="339" w:bottom="1440" w:gutter="0" w:footer="0" w:header="0"/>
        </w:sectPr>
      </w:pPr>
    </w:p>
    <w:p>
      <w:pPr>
        <w:spacing w:after="0" w:line="390" w:lineRule="exact"/>
        <w:rPr>
          <w:sz w:val="24"/>
          <w:szCs w:val="24"/>
          <w:color w:val="auto"/>
        </w:rPr>
      </w:pPr>
    </w:p>
    <w:p>
      <w:pPr>
        <w:ind w:left="1400"/>
        <w:spacing w:after="0"/>
        <w:rPr>
          <w:sz w:val="20"/>
          <w:szCs w:val="20"/>
          <w:color w:val="auto"/>
        </w:rPr>
      </w:pPr>
      <w:r>
        <w:rPr>
          <w:rFonts w:ascii="Times New Roman" w:cs="Times New Roman" w:eastAsia="Times New Roman" w:hAnsi="Times New Roman"/>
          <w:sz w:val="18"/>
          <w:szCs w:val="18"/>
          <w:b w:val="1"/>
          <w:bCs w:val="1"/>
          <w:color w:val="auto"/>
        </w:rPr>
        <w:t>Delaware</w:t>
      </w:r>
    </w:p>
    <w:p>
      <w:pPr>
        <w:spacing w:after="0" w:line="29" w:lineRule="exact"/>
        <w:rPr>
          <w:sz w:val="24"/>
          <w:szCs w:val="24"/>
          <w:color w:val="auto"/>
        </w:rPr>
      </w:pPr>
    </w:p>
    <w:p>
      <w:pPr>
        <w:ind w:left="720"/>
        <w:spacing w:after="0"/>
        <w:rPr>
          <w:sz w:val="20"/>
          <w:szCs w:val="20"/>
          <w:color w:val="auto"/>
        </w:rPr>
      </w:pPr>
      <w:r>
        <w:rPr>
          <w:rFonts w:ascii="Times New Roman" w:cs="Times New Roman" w:eastAsia="Times New Roman" w:hAnsi="Times New Roman"/>
          <w:sz w:val="18"/>
          <w:szCs w:val="18"/>
          <w:b w:val="1"/>
          <w:bCs w:val="1"/>
          <w:color w:val="auto"/>
        </w:rPr>
        <w:t>(State or other jurisdiction</w:t>
      </w:r>
    </w:p>
    <w:p>
      <w:pPr>
        <w:ind w:left="1100"/>
        <w:spacing w:after="0"/>
        <w:rPr>
          <w:sz w:val="20"/>
          <w:szCs w:val="20"/>
          <w:color w:val="auto"/>
        </w:rPr>
      </w:pPr>
      <w:r>
        <w:rPr>
          <w:rFonts w:ascii="Times New Roman" w:cs="Times New Roman" w:eastAsia="Times New Roman" w:hAnsi="Times New Roman"/>
          <w:sz w:val="18"/>
          <w:szCs w:val="18"/>
          <w:b w:val="1"/>
          <w:bCs w:val="1"/>
          <w:color w:val="auto"/>
        </w:rPr>
        <w:t>of incorporation)</w:t>
      </w:r>
    </w:p>
    <w:p>
      <w:pPr>
        <w:spacing w:after="0" w:line="20" w:lineRule="exact"/>
        <w:rPr>
          <w:sz w:val="24"/>
          <w:szCs w:val="24"/>
          <w:color w:val="auto"/>
        </w:rPr>
      </w:pPr>
      <w:r>
        <w:rPr>
          <w:sz w:val="24"/>
          <w:szCs w:val="24"/>
          <w:color w:val="auto"/>
        </w:rPr>
        <w:br w:type="column"/>
      </w:r>
    </w:p>
    <w:p>
      <w:pPr>
        <w:spacing w:after="0" w:line="370" w:lineRule="exact"/>
        <w:rPr>
          <w:sz w:val="24"/>
          <w:szCs w:val="24"/>
          <w:color w:val="auto"/>
        </w:rPr>
      </w:pPr>
    </w:p>
    <w:p>
      <w:pPr>
        <w:jc w:val="center"/>
        <w:ind w:right="1400"/>
        <w:spacing w:after="0"/>
        <w:rPr>
          <w:sz w:val="20"/>
          <w:szCs w:val="20"/>
          <w:color w:val="auto"/>
        </w:rPr>
      </w:pPr>
      <w:r>
        <w:rPr>
          <w:rFonts w:ascii="Times New Roman" w:cs="Times New Roman" w:eastAsia="Times New Roman" w:hAnsi="Times New Roman"/>
          <w:sz w:val="18"/>
          <w:szCs w:val="18"/>
          <w:b w:val="1"/>
          <w:bCs w:val="1"/>
          <w:color w:val="auto"/>
        </w:rPr>
        <w:t>001-31829</w:t>
      </w:r>
    </w:p>
    <w:p>
      <w:pPr>
        <w:spacing w:after="0" w:line="31" w:lineRule="exact"/>
        <w:rPr>
          <w:sz w:val="24"/>
          <w:szCs w:val="24"/>
          <w:color w:val="auto"/>
        </w:rPr>
      </w:pPr>
    </w:p>
    <w:p>
      <w:pPr>
        <w:jc w:val="center"/>
        <w:ind w:right="1400"/>
        <w:spacing w:after="0"/>
        <w:rPr>
          <w:sz w:val="20"/>
          <w:szCs w:val="20"/>
          <w:color w:val="auto"/>
        </w:rPr>
      </w:pPr>
      <w:r>
        <w:rPr>
          <w:rFonts w:ascii="Times New Roman" w:cs="Times New Roman" w:eastAsia="Times New Roman" w:hAnsi="Times New Roman"/>
          <w:sz w:val="18"/>
          <w:szCs w:val="18"/>
          <w:b w:val="1"/>
          <w:bCs w:val="1"/>
          <w:color w:val="auto"/>
        </w:rPr>
        <w:t>(Commission File Number)</w:t>
      </w:r>
    </w:p>
    <w:p>
      <w:pPr>
        <w:spacing w:after="0" w:line="20" w:lineRule="exact"/>
        <w:rPr>
          <w:sz w:val="24"/>
          <w:szCs w:val="24"/>
          <w:color w:val="auto"/>
        </w:rPr>
      </w:pPr>
      <w:r>
        <w:rPr>
          <w:sz w:val="24"/>
          <w:szCs w:val="24"/>
          <w:color w:val="auto"/>
        </w:rPr>
        <w:br w:type="column"/>
      </w:r>
    </w:p>
    <w:p>
      <w:pPr>
        <w:spacing w:after="0" w:line="370" w:lineRule="exact"/>
        <w:rPr>
          <w:sz w:val="24"/>
          <w:szCs w:val="24"/>
          <w:color w:val="auto"/>
        </w:rPr>
      </w:pPr>
    </w:p>
    <w:p>
      <w:pPr>
        <w:jc w:val="center"/>
        <w:ind w:right="1060"/>
        <w:spacing w:after="0"/>
        <w:rPr>
          <w:sz w:val="20"/>
          <w:szCs w:val="20"/>
          <w:color w:val="auto"/>
        </w:rPr>
      </w:pPr>
      <w:r>
        <w:rPr>
          <w:rFonts w:ascii="Times New Roman" w:cs="Times New Roman" w:eastAsia="Times New Roman" w:hAnsi="Times New Roman"/>
          <w:sz w:val="18"/>
          <w:szCs w:val="18"/>
          <w:b w:val="1"/>
          <w:bCs w:val="1"/>
          <w:color w:val="auto"/>
        </w:rPr>
        <w:t>13-3912933</w:t>
      </w:r>
    </w:p>
    <w:p>
      <w:pPr>
        <w:spacing w:after="0" w:line="29" w:lineRule="exact"/>
        <w:rPr>
          <w:sz w:val="24"/>
          <w:szCs w:val="24"/>
          <w:color w:val="auto"/>
        </w:rPr>
      </w:pPr>
    </w:p>
    <w:p>
      <w:pPr>
        <w:jc w:val="center"/>
        <w:ind w:right="1060"/>
        <w:spacing w:after="0"/>
        <w:rPr>
          <w:sz w:val="20"/>
          <w:szCs w:val="20"/>
          <w:color w:val="auto"/>
        </w:rPr>
      </w:pPr>
      <w:r>
        <w:rPr>
          <w:rFonts w:ascii="Times New Roman" w:cs="Times New Roman" w:eastAsia="Times New Roman" w:hAnsi="Times New Roman"/>
          <w:sz w:val="18"/>
          <w:szCs w:val="18"/>
          <w:b w:val="1"/>
          <w:bCs w:val="1"/>
          <w:color w:val="auto"/>
        </w:rPr>
        <w:t>(I.R.S. Employer</w:t>
      </w:r>
    </w:p>
    <w:p>
      <w:pPr>
        <w:jc w:val="center"/>
        <w:ind w:right="1060"/>
        <w:spacing w:after="0"/>
        <w:rPr>
          <w:sz w:val="20"/>
          <w:szCs w:val="20"/>
          <w:color w:val="auto"/>
        </w:rPr>
      </w:pPr>
      <w:r>
        <w:rPr>
          <w:rFonts w:ascii="Times New Roman" w:cs="Times New Roman" w:eastAsia="Times New Roman" w:hAnsi="Times New Roman"/>
          <w:sz w:val="17"/>
          <w:szCs w:val="17"/>
          <w:b w:val="1"/>
          <w:bCs w:val="1"/>
          <w:color w:val="auto"/>
        </w:rPr>
        <w:t>Identification No.)</w:t>
      </w:r>
    </w:p>
    <w:p>
      <w:pPr>
        <w:spacing w:after="0" w:line="91" w:lineRule="exact"/>
        <w:rPr>
          <w:sz w:val="24"/>
          <w:szCs w:val="24"/>
          <w:color w:val="auto"/>
        </w:rPr>
      </w:pPr>
    </w:p>
    <w:p>
      <w:pPr>
        <w:sectPr>
          <w:pgSz w:w="11900" w:h="16838" w:orient="portrait"/>
          <w:cols w:equalWidth="0" w:num="3">
            <w:col w:w="3840" w:space="720"/>
            <w:col w:w="3500" w:space="720"/>
            <w:col w:w="2460"/>
          </w:cols>
          <w:pgMar w:left="320" w:top="1294" w:right="339" w:bottom="1440" w:gutter="0" w:footer="0" w:header="0"/>
          <w:type w:val="continuous"/>
        </w:sectPr>
      </w:pPr>
    </w:p>
    <w:p>
      <w:pPr>
        <w:jc w:val="center"/>
        <w:spacing w:after="0"/>
        <w:rPr>
          <w:sz w:val="20"/>
          <w:szCs w:val="20"/>
          <w:color w:val="auto"/>
        </w:rPr>
      </w:pPr>
      <w:r>
        <w:rPr>
          <w:rFonts w:ascii="Times New Roman" w:cs="Times New Roman" w:eastAsia="Times New Roman" w:hAnsi="Times New Roman"/>
          <w:sz w:val="18"/>
          <w:szCs w:val="18"/>
          <w:b w:val="1"/>
          <w:bCs w:val="1"/>
          <w:color w:val="auto"/>
        </w:rPr>
        <w:t>Phipps Tower,</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3438 Peachtree Road NE, Suite 1800</w:t>
      </w:r>
    </w:p>
    <w:p>
      <w:pPr>
        <w:spacing w:after="0" w:line="2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Atlanta, Georgia 30326</w:t>
      </w:r>
    </w:p>
    <w:p>
      <w:pPr>
        <w:spacing w:after="0" w:line="12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(Address of principal executive offices, including zip code)</w:t>
      </w:r>
    </w:p>
    <w:p>
      <w:pPr>
        <w:spacing w:after="0" w:line="11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(678) 791-1000</w:t>
      </w:r>
    </w:p>
    <w:p>
      <w:pPr>
        <w:spacing w:after="0" w:line="12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(Registrant's telephone number, including area code)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2868295</wp:posOffset>
            </wp:positionH>
            <wp:positionV relativeFrom="paragraph">
              <wp:posOffset>146050</wp:posOffset>
            </wp:positionV>
            <wp:extent cx="140589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05890" cy="8255"/>
                    </a:xfrm>
                    <a:prstGeom prst="rect">
                      <a:avLst/>
                    </a:prstGeom>
                    <a:noFill/>
                  </pic:spPr>
                </pic:pic>
              </a:graphicData>
            </a:graphic>
          </wp:anchor>
        </w:drawing>
      </w:r>
    </w:p>
    <w:p>
      <w:pPr>
        <w:sectPr>
          <w:pgSz w:w="11900" w:h="16838" w:orient="portrait"/>
          <w:cols w:equalWidth="0" w:num="1">
            <w:col w:w="11240"/>
          </w:cols>
          <w:pgMar w:left="320" w:top="1294" w:right="339" w:bottom="1440" w:gutter="0" w:footer="0" w:header="0"/>
          <w:type w:val="continuous"/>
        </w:sectPr>
      </w:pPr>
    </w:p>
    <w:p>
      <w:pPr>
        <w:spacing w:after="0" w:line="360" w:lineRule="exact"/>
        <w:rPr>
          <w:sz w:val="24"/>
          <w:szCs w:val="24"/>
          <w:color w:val="auto"/>
        </w:rPr>
      </w:pPr>
    </w:p>
    <w:p>
      <w:pPr>
        <w:ind w:right="62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67" w:lineRule="exact"/>
        <w:rPr>
          <w:sz w:val="24"/>
          <w:szCs w:val="24"/>
          <w:color w:val="auto"/>
        </w:rPr>
      </w:pPr>
    </w:p>
    <w:p>
      <w:pPr>
        <w:ind w:left="560" w:hanging="534"/>
        <w:spacing w:after="0"/>
        <w:tabs>
          <w:tab w:leader="none" w:pos="5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76" w:lineRule="exact"/>
        <w:rPr>
          <w:rFonts w:ascii="MS PGothic" w:cs="MS PGothic" w:eastAsia="MS PGothic" w:hAnsi="MS PGothic"/>
          <w:sz w:val="18"/>
          <w:szCs w:val="18"/>
          <w:color w:val="auto"/>
        </w:rPr>
      </w:pPr>
    </w:p>
    <w:p>
      <w:pPr>
        <w:ind w:left="560" w:hanging="534"/>
        <w:spacing w:after="0"/>
        <w:tabs>
          <w:tab w:leader="none" w:pos="5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76" w:lineRule="exact"/>
        <w:rPr>
          <w:rFonts w:ascii="MS PGothic" w:cs="MS PGothic" w:eastAsia="MS PGothic" w:hAnsi="MS PGothic"/>
          <w:sz w:val="18"/>
          <w:szCs w:val="18"/>
          <w:color w:val="auto"/>
        </w:rPr>
      </w:pPr>
    </w:p>
    <w:p>
      <w:pPr>
        <w:ind w:left="560" w:hanging="534"/>
        <w:spacing w:after="0"/>
        <w:tabs>
          <w:tab w:leader="none" w:pos="5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76" w:lineRule="exact"/>
        <w:rPr>
          <w:rFonts w:ascii="MS PGothic" w:cs="MS PGothic" w:eastAsia="MS PGothic" w:hAnsi="MS PGothic"/>
          <w:sz w:val="18"/>
          <w:szCs w:val="18"/>
          <w:color w:val="auto"/>
        </w:rPr>
      </w:pPr>
    </w:p>
    <w:p>
      <w:pPr>
        <w:ind w:left="560" w:hanging="534"/>
        <w:spacing w:after="0"/>
        <w:tabs>
          <w:tab w:leader="none" w:pos="5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34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p>
      <w:pPr>
        <w:spacing w:after="0" w:line="214" w:lineRule="exact"/>
        <w:rPr>
          <w:sz w:val="24"/>
          <w:szCs w:val="24"/>
          <w:color w:val="auto"/>
        </w:rPr>
      </w:pPr>
    </w:p>
    <w:tbl>
      <w:tblPr>
        <w:tblLayout w:type="fixed"/>
        <w:tblInd w:w="0" w:type="dxa"/>
        <w:tblCellMar>
          <w:top w:w="0" w:type="dxa"/>
          <w:left w:w="0" w:type="dxa"/>
          <w:bottom w:w="0" w:type="dxa"/>
          <w:right w:w="0" w:type="dxa"/>
        </w:tblCellMar>
      </w:tblPr>
      <w:tr>
        <w:trPr>
          <w:trHeight w:val="215"/>
        </w:trPr>
        <w:tc>
          <w:tcPr>
            <w:tcW w:w="440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Title of each class</w:t>
            </w:r>
          </w:p>
        </w:tc>
        <w:tc>
          <w:tcPr>
            <w:tcW w:w="294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w w:val="99"/>
              </w:rPr>
              <w:t>Trading Symbol(s)</w:t>
            </w:r>
          </w:p>
        </w:tc>
        <w:tc>
          <w:tcPr>
            <w:tcW w:w="390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Name of each exchange on which registered</w:t>
            </w:r>
          </w:p>
        </w:tc>
      </w:tr>
      <w:tr>
        <w:trPr>
          <w:trHeight w:val="231"/>
        </w:trPr>
        <w:tc>
          <w:tcPr>
            <w:tcW w:w="43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Common stock, par value $0.01 per share</w:t>
            </w:r>
          </w:p>
        </w:tc>
        <w:tc>
          <w:tcPr>
            <w:tcW w:w="100" w:type="dxa"/>
            <w:vAlign w:val="bottom"/>
          </w:tcPr>
          <w:p>
            <w:pPr>
              <w:spacing w:after="0"/>
              <w:rPr>
                <w:sz w:val="20"/>
                <w:szCs w:val="20"/>
                <w:color w:val="auto"/>
              </w:rPr>
            </w:pPr>
          </w:p>
        </w:tc>
        <w:tc>
          <w:tcPr>
            <w:tcW w:w="28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CRI</w:t>
            </w:r>
          </w:p>
        </w:tc>
        <w:tc>
          <w:tcPr>
            <w:tcW w:w="100" w:type="dxa"/>
            <w:vAlign w:val="bottom"/>
          </w:tcPr>
          <w:p>
            <w:pPr>
              <w:spacing w:after="0"/>
              <w:rPr>
                <w:sz w:val="20"/>
                <w:szCs w:val="20"/>
                <w:color w:val="auto"/>
              </w:rPr>
            </w:pPr>
          </w:p>
        </w:tc>
        <w:tc>
          <w:tcPr>
            <w:tcW w:w="39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New York Stock Exchange</w:t>
            </w:r>
          </w:p>
        </w:tc>
      </w:tr>
    </w:tbl>
    <w:p>
      <w:pPr>
        <w:spacing w:after="0" w:line="287" w:lineRule="exact"/>
        <w:rPr>
          <w:sz w:val="24"/>
          <w:szCs w:val="24"/>
          <w:color w:val="auto"/>
        </w:rPr>
      </w:pPr>
    </w:p>
    <w:p>
      <w:pPr>
        <w:jc w:val="both"/>
        <w:ind w:right="460"/>
        <w:spacing w:after="0" w:line="261"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88" w:lineRule="exact"/>
        <w:rPr>
          <w:sz w:val="24"/>
          <w:szCs w:val="24"/>
          <w:color w:val="auto"/>
        </w:rPr>
      </w:pPr>
    </w:p>
    <w:p>
      <w:pPr>
        <w:ind w:right="16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698500</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51435</wp:posOffset>
            </wp:positionV>
            <wp:extent cx="71323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1294" w:right="339" w:bottom="1440" w:gutter="0" w:footer="0" w:header="0"/>
          <w:type w:val="continuous"/>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Item 2.02 Results of Operations and Financial Condition.</w:t>
      </w:r>
    </w:p>
    <w:p>
      <w:pPr>
        <w:spacing w:after="0" w:line="256" w:lineRule="exact"/>
        <w:rPr>
          <w:sz w:val="20"/>
          <w:szCs w:val="20"/>
          <w:color w:val="auto"/>
        </w:rPr>
      </w:pPr>
    </w:p>
    <w:p>
      <w:pPr>
        <w:ind w:right="180"/>
        <w:spacing w:after="0" w:line="282" w:lineRule="auto"/>
        <w:rPr>
          <w:sz w:val="20"/>
          <w:szCs w:val="20"/>
          <w:color w:val="auto"/>
        </w:rPr>
      </w:pPr>
      <w:r>
        <w:rPr>
          <w:rFonts w:ascii="Times New Roman" w:cs="Times New Roman" w:eastAsia="Times New Roman" w:hAnsi="Times New Roman"/>
          <w:sz w:val="18"/>
          <w:szCs w:val="18"/>
          <w:color w:val="auto"/>
        </w:rPr>
        <w:t>On October 30, 2026, Carter’s, Inc. (the "Company") issued a press release announcing its financial results for its fiscal quarter ended October 3, 2026. A copy of that press release is attached as Exhibit 99.1 to this Current Report on Form 8-K.</w:t>
      </w:r>
    </w:p>
    <w:p>
      <w:pPr>
        <w:spacing w:after="0" w:line="135" w:lineRule="exact"/>
        <w:rPr>
          <w:sz w:val="20"/>
          <w:szCs w:val="20"/>
          <w:color w:val="auto"/>
        </w:rPr>
      </w:pPr>
    </w:p>
    <w:p>
      <w:pPr>
        <w:jc w:val="both"/>
        <w:ind w:right="100"/>
        <w:spacing w:after="0" w:line="266" w:lineRule="auto"/>
        <w:rPr>
          <w:sz w:val="20"/>
          <w:szCs w:val="20"/>
          <w:color w:val="auto"/>
        </w:rPr>
      </w:pPr>
      <w:r>
        <w:rPr>
          <w:rFonts w:ascii="Times New Roman" w:cs="Times New Roman" w:eastAsia="Times New Roman" w:hAnsi="Times New Roman"/>
          <w:sz w:val="18"/>
          <w:szCs w:val="18"/>
          <w:color w:val="auto"/>
        </w:rPr>
        <w:t>The information in the Current Report on Form 8-K is being furnished and shall not be deemed "filed" for the purposes of Section 18 of the Securities Act of 1934, as amended (the "Exchange Act"), or otherwise subject to the liabilities of that Section. The information in this Current Report on Form 8-K shall not be incorporated by reference into any registration statement or other document filed pursuant to the Securities Act of 1933, as amended.</w:t>
      </w:r>
    </w:p>
    <w:p>
      <w:pPr>
        <w:spacing w:after="0" w:line="199" w:lineRule="exact"/>
        <w:rPr>
          <w:sz w:val="20"/>
          <w:szCs w:val="20"/>
          <w:color w:val="auto"/>
        </w:rPr>
      </w:pPr>
    </w:p>
    <w:p>
      <w:pPr>
        <w:ind w:right="300"/>
        <w:spacing w:after="0" w:line="271" w:lineRule="auto"/>
        <w:rPr>
          <w:sz w:val="20"/>
          <w:szCs w:val="20"/>
          <w:color w:val="auto"/>
        </w:rPr>
      </w:pPr>
      <w:r>
        <w:rPr>
          <w:rFonts w:ascii="Times New Roman" w:cs="Times New Roman" w:eastAsia="Times New Roman" w:hAnsi="Times New Roman"/>
          <w:sz w:val="18"/>
          <w:szCs w:val="18"/>
          <w:b w:val="1"/>
          <w:bCs w:val="1"/>
          <w:color w:val="auto"/>
        </w:rPr>
        <w:t>Item 5.02 Departure of Directors or Certain Officers; Election of Directors; Appointment of Certain Officers; Compensatory Arrangements of Certain Officers.</w:t>
      </w:r>
    </w:p>
    <w:p>
      <w:pPr>
        <w:spacing w:after="0" w:line="185" w:lineRule="exact"/>
        <w:rPr>
          <w:sz w:val="20"/>
          <w:szCs w:val="20"/>
          <w:color w:val="auto"/>
        </w:rPr>
      </w:pPr>
    </w:p>
    <w:p>
      <w:pPr>
        <w:ind w:right="560"/>
        <w:spacing w:after="0" w:line="282" w:lineRule="auto"/>
        <w:rPr>
          <w:sz w:val="20"/>
          <w:szCs w:val="20"/>
          <w:color w:val="auto"/>
        </w:rPr>
      </w:pPr>
      <w:r>
        <w:rPr>
          <w:rFonts w:ascii="Times New Roman" w:cs="Times New Roman" w:eastAsia="Times New Roman" w:hAnsi="Times New Roman"/>
          <w:sz w:val="18"/>
          <w:szCs w:val="18"/>
          <w:color w:val="auto"/>
        </w:rPr>
        <w:t>On October 26, 2026, Richard F. Westenberger gave notice of his decision to step down as Chief Operating Officer, which will be effective upon the Company's appointment of a new Chief Operating Officer. Mr. Westenberger will continue to serve as the Company's Chief Financial Officer.</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8.01 Other Events.</w:t>
      </w:r>
    </w:p>
    <w:p>
      <w:pPr>
        <w:spacing w:after="0" w:line="243" w:lineRule="exact"/>
        <w:rPr>
          <w:sz w:val="20"/>
          <w:szCs w:val="20"/>
          <w:color w:val="auto"/>
        </w:rPr>
      </w:pPr>
    </w:p>
    <w:p>
      <w:pPr>
        <w:ind w:right="300"/>
        <w:spacing w:after="0" w:line="266" w:lineRule="auto"/>
        <w:rPr>
          <w:sz w:val="20"/>
          <w:szCs w:val="20"/>
          <w:color w:val="auto"/>
        </w:rPr>
      </w:pPr>
      <w:r>
        <w:rPr>
          <w:rFonts w:ascii="Times New Roman" w:cs="Times New Roman" w:eastAsia="Times New Roman" w:hAnsi="Times New Roman"/>
          <w:sz w:val="18"/>
          <w:szCs w:val="18"/>
          <w:color w:val="auto"/>
        </w:rPr>
        <w:t>On October 30, 2026, the Company issued a press release announcing the evolution of its leadership structure. A copy of the Company's press release is attached hereto as Exhibit 99.2 and is incorporated herein by reference.</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9.01 Financial Statements and Exhibits.</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8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 Exhibits</w:t>
            </w:r>
          </w:p>
        </w:tc>
        <w:tc>
          <w:tcPr>
            <w:tcW w:w="266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474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0"/>
        </w:trPr>
        <w:tc>
          <w:tcPr>
            <w:tcW w:w="660" w:type="dxa"/>
            <w:vAlign w:val="bottom"/>
          </w:tcPr>
          <w:p>
            <w:pPr>
              <w:spacing w:after="0"/>
              <w:rPr>
                <w:sz w:val="24"/>
                <w:szCs w:val="24"/>
                <w:color w:val="auto"/>
              </w:rPr>
            </w:pPr>
          </w:p>
        </w:tc>
        <w:tc>
          <w:tcPr>
            <w:tcW w:w="11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Exhibit</w:t>
            </w:r>
          </w:p>
        </w:tc>
        <w:tc>
          <w:tcPr>
            <w:tcW w:w="8220" w:type="dxa"/>
            <w:vAlign w:val="bottom"/>
            <w:gridSpan w:val="3"/>
            <w:vMerge w:val="restart"/>
          </w:tcPr>
          <w:p>
            <w:pPr>
              <w:spacing w:after="0"/>
              <w:rPr>
                <w:sz w:val="20"/>
                <w:szCs w:val="20"/>
                <w:color w:val="auto"/>
              </w:rPr>
            </w:pPr>
            <w:r>
              <w:rPr>
                <w:rFonts w:ascii="Times New Roman" w:cs="Times New Roman" w:eastAsia="Times New Roman" w:hAnsi="Times New Roman"/>
                <w:sz w:val="18"/>
                <w:szCs w:val="18"/>
                <w:b w:val="1"/>
                <w:bCs w:val="1"/>
                <w:color w:val="auto"/>
              </w:rPr>
              <w:t>Description</w:t>
            </w:r>
          </w:p>
        </w:tc>
        <w:tc>
          <w:tcPr>
            <w:tcW w:w="1180" w:type="dxa"/>
            <w:vAlign w:val="bottom"/>
            <w:vMerge w:val="restart"/>
          </w:tcPr>
          <w:p>
            <w:pPr>
              <w:spacing w:after="0"/>
              <w:rPr>
                <w:sz w:val="24"/>
                <w:szCs w:val="24"/>
                <w:color w:val="auto"/>
              </w:rPr>
            </w:pPr>
          </w:p>
        </w:tc>
        <w:tc>
          <w:tcPr>
            <w:tcW w:w="0" w:type="dxa"/>
            <w:vAlign w:val="bottom"/>
          </w:tcPr>
          <w:p>
            <w:pPr>
              <w:spacing w:after="0"/>
              <w:rPr>
                <w:sz w:val="1"/>
                <w:szCs w:val="1"/>
                <w:color w:val="auto"/>
              </w:rPr>
            </w:pPr>
          </w:p>
        </w:tc>
      </w:tr>
      <w:tr>
        <w:trPr>
          <w:trHeight w:val="245"/>
        </w:trPr>
        <w:tc>
          <w:tcPr>
            <w:tcW w:w="660" w:type="dxa"/>
            <w:vAlign w:val="bottom"/>
          </w:tcPr>
          <w:p>
            <w:pPr>
              <w:spacing w:after="0"/>
              <w:rPr>
                <w:sz w:val="21"/>
                <w:szCs w:val="21"/>
                <w:color w:val="auto"/>
              </w:rPr>
            </w:pPr>
          </w:p>
        </w:tc>
        <w:tc>
          <w:tcPr>
            <w:tcW w:w="11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Number</w:t>
            </w:r>
          </w:p>
        </w:tc>
        <w:tc>
          <w:tcPr>
            <w:tcW w:w="8220" w:type="dxa"/>
            <w:vAlign w:val="bottom"/>
            <w:tcBorders>
              <w:bottom w:val="single" w:sz="8" w:color="auto"/>
            </w:tcBorders>
            <w:gridSpan w:val="3"/>
            <w:vMerge w:val="continue"/>
          </w:tcPr>
          <w:p>
            <w:pPr>
              <w:spacing w:after="0"/>
              <w:rPr>
                <w:sz w:val="21"/>
                <w:szCs w:val="21"/>
                <w:color w:val="auto"/>
              </w:rPr>
            </w:pPr>
          </w:p>
        </w:tc>
        <w:tc>
          <w:tcPr>
            <w:tcW w:w="118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840" w:type="dxa"/>
            <w:vAlign w:val="bottom"/>
            <w:gridSpan w:val="2"/>
          </w:tcPr>
          <w:p>
            <w:pPr>
              <w:ind w:left="680"/>
              <w:spacing w:after="0"/>
              <w:rPr>
                <w:sz w:val="20"/>
                <w:szCs w:val="20"/>
                <w:color w:val="auto"/>
              </w:rPr>
            </w:pPr>
            <w:r>
              <w:rPr>
                <w:rFonts w:ascii="Times New Roman" w:cs="Times New Roman" w:eastAsia="Times New Roman" w:hAnsi="Times New Roman"/>
                <w:sz w:val="18"/>
                <w:szCs w:val="18"/>
                <w:color w:val="auto"/>
              </w:rPr>
              <w:t>99.1</w:t>
            </w:r>
          </w:p>
        </w:tc>
        <w:tc>
          <w:tcPr>
            <w:tcW w:w="2660" w:type="dxa"/>
            <w:vAlign w:val="bottom"/>
            <w:tcBorders>
              <w:bottom w:val="single" w:sz="8" w:color="0000FF"/>
            </w:tcBorders>
          </w:tcPr>
          <w:p>
            <w:pPr>
              <w:spacing w:after="0"/>
              <w:rPr>
                <w:sz w:val="20"/>
                <w:szCs w:val="20"/>
                <w:color w:val="auto"/>
              </w:rPr>
            </w:pPr>
            <w:r>
              <w:rPr>
                <w:rFonts w:ascii="Times New Roman" w:cs="Times New Roman" w:eastAsia="Times New Roman" w:hAnsi="Times New Roman"/>
                <w:sz w:val="18"/>
                <w:szCs w:val="18"/>
                <w:color w:val="0000FF"/>
                <w:w w:val="99"/>
              </w:rPr>
              <w:t>Press release dated October 30, 2026</w:t>
            </w:r>
          </w:p>
        </w:tc>
        <w:tc>
          <w:tcPr>
            <w:tcW w:w="6740" w:type="dxa"/>
            <w:vAlign w:val="bottom"/>
            <w:gridSpan w:val="3"/>
          </w:tcPr>
          <w:p>
            <w:pPr>
              <w:spacing w:after="0"/>
              <w:rPr>
                <w:sz w:val="21"/>
                <w:szCs w:val="21"/>
                <w:color w:val="auto"/>
              </w:rPr>
            </w:pPr>
          </w:p>
        </w:tc>
        <w:tc>
          <w:tcPr>
            <w:tcW w:w="0" w:type="dxa"/>
            <w:vAlign w:val="bottom"/>
          </w:tcPr>
          <w:p>
            <w:pPr>
              <w:spacing w:after="0"/>
              <w:rPr>
                <w:sz w:val="1"/>
                <w:szCs w:val="1"/>
                <w:color w:val="auto"/>
              </w:rPr>
            </w:pPr>
          </w:p>
        </w:tc>
      </w:tr>
      <w:tr>
        <w:trPr>
          <w:trHeight w:val="210"/>
        </w:trPr>
        <w:tc>
          <w:tcPr>
            <w:tcW w:w="1840" w:type="dxa"/>
            <w:vAlign w:val="bottom"/>
            <w:gridSpan w:val="2"/>
          </w:tcPr>
          <w:p>
            <w:pPr>
              <w:ind w:left="680"/>
              <w:spacing w:after="0"/>
              <w:rPr>
                <w:sz w:val="20"/>
                <w:szCs w:val="20"/>
                <w:color w:val="auto"/>
              </w:rPr>
            </w:pPr>
            <w:r>
              <w:rPr>
                <w:rFonts w:ascii="Times New Roman" w:cs="Times New Roman" w:eastAsia="Times New Roman" w:hAnsi="Times New Roman"/>
                <w:sz w:val="18"/>
                <w:szCs w:val="18"/>
                <w:color w:val="auto"/>
              </w:rPr>
              <w:t>99.2</w:t>
            </w:r>
          </w:p>
        </w:tc>
        <w:tc>
          <w:tcPr>
            <w:tcW w:w="9400" w:type="dxa"/>
            <w:vAlign w:val="bottom"/>
            <w:gridSpan w:val="4"/>
          </w:tcPr>
          <w:p>
            <w:pPr>
              <w:spacing w:after="0"/>
              <w:rPr>
                <w:sz w:val="20"/>
                <w:szCs w:val="20"/>
                <w:color w:val="auto"/>
              </w:rPr>
            </w:pPr>
            <w:r>
              <w:rPr>
                <w:rFonts w:ascii="Times New Roman" w:cs="Times New Roman" w:eastAsia="Times New Roman" w:hAnsi="Times New Roman"/>
                <w:sz w:val="18"/>
                <w:szCs w:val="18"/>
                <w:color w:val="0000FF"/>
              </w:rPr>
              <w:t>Leadership press release dated October 30, 2026</w:t>
            </w:r>
          </w:p>
        </w:tc>
        <w:tc>
          <w:tcPr>
            <w:tcW w:w="0" w:type="dxa"/>
            <w:vAlign w:val="bottom"/>
          </w:tcPr>
          <w:p>
            <w:pPr>
              <w:spacing w:after="0"/>
              <w:rPr>
                <w:sz w:val="1"/>
                <w:szCs w:val="1"/>
                <w:color w:val="auto"/>
              </w:rPr>
            </w:pPr>
          </w:p>
        </w:tc>
      </w:tr>
      <w:tr>
        <w:trPr>
          <w:trHeight w:val="20"/>
        </w:trPr>
        <w:tc>
          <w:tcPr>
            <w:tcW w:w="1840" w:type="dxa"/>
            <w:vAlign w:val="bottom"/>
            <w:gridSpan w:val="2"/>
          </w:tcPr>
          <w:p>
            <w:pPr>
              <w:spacing w:after="0" w:line="20" w:lineRule="exact"/>
              <w:rPr>
                <w:sz w:val="1"/>
                <w:szCs w:val="1"/>
                <w:color w:val="auto"/>
              </w:rPr>
            </w:pPr>
          </w:p>
        </w:tc>
        <w:tc>
          <w:tcPr>
            <w:tcW w:w="3480" w:type="dxa"/>
            <w:vAlign w:val="bottom"/>
            <w:gridSpan w:val="2"/>
            <w:shd w:val="clear" w:color="auto" w:fill="0000FF"/>
          </w:tcPr>
          <w:p>
            <w:pPr>
              <w:spacing w:after="0" w:line="20" w:lineRule="exact"/>
              <w:rPr>
                <w:sz w:val="1"/>
                <w:szCs w:val="1"/>
                <w:color w:val="auto"/>
              </w:rPr>
            </w:pPr>
          </w:p>
        </w:tc>
        <w:tc>
          <w:tcPr>
            <w:tcW w:w="59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840" w:type="dxa"/>
            <w:vAlign w:val="bottom"/>
            <w:gridSpan w:val="2"/>
          </w:tcPr>
          <w:p>
            <w:pPr>
              <w:ind w:left="680"/>
              <w:spacing w:after="0"/>
              <w:rPr>
                <w:sz w:val="20"/>
                <w:szCs w:val="20"/>
                <w:color w:val="auto"/>
              </w:rPr>
            </w:pPr>
            <w:r>
              <w:rPr>
                <w:rFonts w:ascii="Times New Roman" w:cs="Times New Roman" w:eastAsia="Times New Roman" w:hAnsi="Times New Roman"/>
                <w:sz w:val="18"/>
                <w:szCs w:val="18"/>
                <w:color w:val="auto"/>
              </w:rPr>
              <w:t>104</w:t>
            </w:r>
          </w:p>
        </w:tc>
        <w:tc>
          <w:tcPr>
            <w:tcW w:w="940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The cover page from this Current Report on Form 8-K, formatted as Inline XBRL</w:t>
            </w:r>
          </w:p>
        </w:tc>
        <w:tc>
          <w:tcPr>
            <w:tcW w:w="0" w:type="dxa"/>
            <w:vAlign w:val="bottom"/>
          </w:tcPr>
          <w:p>
            <w:pPr>
              <w:spacing w:after="0"/>
              <w:rPr>
                <w:sz w:val="1"/>
                <w:szCs w:val="1"/>
                <w:color w:val="auto"/>
              </w:rPr>
            </w:pPr>
          </w:p>
        </w:tc>
      </w:tr>
      <w:tr>
        <w:trPr>
          <w:trHeight w:val="979"/>
        </w:trPr>
        <w:tc>
          <w:tcPr>
            <w:tcW w:w="660" w:type="dxa"/>
            <w:vAlign w:val="bottom"/>
            <w:tcBorders>
              <w:bottom w:val="single" w:sz="8" w:color="9A9A9A"/>
            </w:tcBorders>
          </w:tcPr>
          <w:p>
            <w:pPr>
              <w:spacing w:after="0"/>
              <w:rPr>
                <w:sz w:val="24"/>
                <w:szCs w:val="24"/>
                <w:color w:val="auto"/>
              </w:rPr>
            </w:pPr>
          </w:p>
        </w:tc>
        <w:tc>
          <w:tcPr>
            <w:tcW w:w="1180" w:type="dxa"/>
            <w:vAlign w:val="bottom"/>
            <w:tcBorders>
              <w:bottom w:val="single" w:sz="8" w:color="9A9A9A"/>
            </w:tcBorders>
          </w:tcPr>
          <w:p>
            <w:pPr>
              <w:spacing w:after="0"/>
              <w:rPr>
                <w:sz w:val="24"/>
                <w:szCs w:val="24"/>
                <w:color w:val="auto"/>
              </w:rPr>
            </w:pPr>
          </w:p>
        </w:tc>
        <w:tc>
          <w:tcPr>
            <w:tcW w:w="2660" w:type="dxa"/>
            <w:vAlign w:val="bottom"/>
            <w:tcBorders>
              <w:bottom w:val="single" w:sz="8" w:color="9A9A9A"/>
            </w:tcBorders>
          </w:tcPr>
          <w:p>
            <w:pPr>
              <w:spacing w:after="0"/>
              <w:rPr>
                <w:sz w:val="24"/>
                <w:szCs w:val="24"/>
                <w:color w:val="auto"/>
              </w:rPr>
            </w:pPr>
          </w:p>
        </w:tc>
        <w:tc>
          <w:tcPr>
            <w:tcW w:w="820" w:type="dxa"/>
            <w:vAlign w:val="bottom"/>
            <w:tcBorders>
              <w:bottom w:val="single" w:sz="8" w:color="9A9A9A"/>
            </w:tcBorders>
          </w:tcPr>
          <w:p>
            <w:pPr>
              <w:spacing w:after="0"/>
              <w:rPr>
                <w:sz w:val="24"/>
                <w:szCs w:val="24"/>
                <w:color w:val="auto"/>
              </w:rPr>
            </w:pPr>
          </w:p>
        </w:tc>
        <w:tc>
          <w:tcPr>
            <w:tcW w:w="4740" w:type="dxa"/>
            <w:vAlign w:val="bottom"/>
            <w:tcBorders>
              <w:bottom w:val="single" w:sz="8" w:color="9A9A9A"/>
            </w:tcBorders>
          </w:tcPr>
          <w:p>
            <w:pPr>
              <w:spacing w:after="0"/>
              <w:rPr>
                <w:sz w:val="24"/>
                <w:szCs w:val="24"/>
                <w:color w:val="auto"/>
              </w:rPr>
            </w:pPr>
          </w:p>
        </w:tc>
        <w:tc>
          <w:tcPr>
            <w:tcW w:w="118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927" w:right="339" w:bottom="1440" w:gutter="0" w:footer="0" w:header="0"/>
        </w:sectPr>
      </w:pPr>
    </w:p>
    <w:bookmarkStart w:id="2" w:name="page3"/>
    <w:bookmarkEnd w:id="2"/>
    <w:p>
      <w:pPr>
        <w:jc w:val="center"/>
        <w:ind w:right="-479"/>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200" w:lineRule="exact"/>
        <w:rPr>
          <w:sz w:val="20"/>
          <w:szCs w:val="20"/>
          <w:color w:val="auto"/>
        </w:rPr>
      </w:pPr>
    </w:p>
    <w:p>
      <w:pPr>
        <w:spacing w:after="0" w:line="245" w:lineRule="exact"/>
        <w:rPr>
          <w:sz w:val="20"/>
          <w:szCs w:val="20"/>
          <w:color w:val="auto"/>
        </w:rPr>
      </w:pPr>
    </w:p>
    <w:p>
      <w:pPr>
        <w:ind w:firstLine="486"/>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Carter’s, Inc. has duly caused this report to be signed on its behalf by the undersigned hereunto duly authorized.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ind w:left="20"/>
        <w:spacing w:after="0"/>
        <w:tabs>
          <w:tab w:leader="none" w:pos="2360" w:val="left"/>
        </w:tabs>
        <w:rPr>
          <w:sz w:val="20"/>
          <w:szCs w:val="20"/>
          <w:color w:val="auto"/>
        </w:rPr>
      </w:pPr>
      <w:r>
        <w:rPr>
          <w:rFonts w:ascii="Times New Roman" w:cs="Times New Roman" w:eastAsia="Times New Roman" w:hAnsi="Times New Roman"/>
          <w:sz w:val="18"/>
          <w:szCs w:val="18"/>
          <w:color w:val="auto"/>
        </w:rPr>
        <w:t>October 30, 2026</w:t>
      </w:r>
      <w:r>
        <w:rPr>
          <w:sz w:val="20"/>
          <w:szCs w:val="20"/>
          <w:color w:val="auto"/>
        </w:rPr>
        <w:tab/>
      </w:r>
      <w:r>
        <w:rPr>
          <w:rFonts w:ascii="Times New Roman" w:cs="Times New Roman" w:eastAsia="Times New Roman" w:hAnsi="Times New Roman"/>
          <w:sz w:val="18"/>
          <w:szCs w:val="18"/>
          <w:color w:val="auto"/>
        </w:rPr>
        <w:t>CARTER’S, INC.</w:t>
      </w:r>
    </w:p>
    <w:p>
      <w:pPr>
        <w:spacing w:after="0" w:line="266" w:lineRule="exact"/>
        <w:rPr>
          <w:sz w:val="20"/>
          <w:szCs w:val="20"/>
          <w:color w:val="auto"/>
        </w:rPr>
      </w:pPr>
    </w:p>
    <w:tbl>
      <w:tblPr>
        <w:tblLayout w:type="fixed"/>
        <w:tblInd w:w="2380" w:type="dxa"/>
        <w:tblCellMar>
          <w:top w:w="0" w:type="dxa"/>
          <w:left w:w="0" w:type="dxa"/>
          <w:bottom w:w="0" w:type="dxa"/>
          <w:right w:w="0" w:type="dxa"/>
        </w:tblCellMar>
      </w:tblPr>
      <w:tr>
        <w:trPr>
          <w:trHeight w:val="241"/>
        </w:trPr>
        <w:tc>
          <w:tcPr>
            <w:tcW w:w="98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61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Antonio D. Robinson</w:t>
            </w:r>
          </w:p>
        </w:tc>
      </w:tr>
      <w:tr>
        <w:trPr>
          <w:trHeight w:val="225"/>
        </w:trPr>
        <w:tc>
          <w:tcPr>
            <w:tcW w:w="980" w:type="dxa"/>
            <w:vAlign w:val="bottom"/>
          </w:tcPr>
          <w:p>
            <w:pPr>
              <w:spacing w:after="0"/>
              <w:rPr>
                <w:sz w:val="20"/>
                <w:szCs w:val="20"/>
                <w:color w:val="auto"/>
              </w:rPr>
            </w:pPr>
            <w:r>
              <w:rPr>
                <w:rFonts w:ascii="Times New Roman" w:cs="Times New Roman" w:eastAsia="Times New Roman" w:hAnsi="Times New Roman"/>
                <w:sz w:val="18"/>
                <w:szCs w:val="18"/>
                <w:color w:val="auto"/>
              </w:rPr>
              <w:t>Name:</w:t>
            </w:r>
          </w:p>
        </w:tc>
        <w:tc>
          <w:tcPr>
            <w:tcW w:w="6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Antonio D. Robinson</w:t>
            </w:r>
          </w:p>
        </w:tc>
      </w:tr>
      <w:tr>
        <w:trPr>
          <w:trHeight w:val="234"/>
        </w:trPr>
        <w:tc>
          <w:tcPr>
            <w:tcW w:w="98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6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Chief Administrative &amp; Compliance Officer, Corporate Secretary</w:t>
            </w:r>
          </w:p>
        </w:tc>
      </w:tr>
    </w:tbl>
    <w:p>
      <w:pPr>
        <w:sectPr>
          <w:pgSz w:w="11900" w:h="16838" w:orient="portrait"/>
          <w:cols w:equalWidth="0" w:num="1">
            <w:col w:w="10760"/>
          </w:cols>
          <w:pgMar w:left="320" w:top="887" w:right="81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18"/>
          <w:szCs w:val="18"/>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214630</wp:posOffset>
            </wp:positionV>
            <wp:extent cx="1997075" cy="30861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997075" cy="3086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ind w:left="6900"/>
        <w:spacing w:after="0"/>
        <w:rPr>
          <w:sz w:val="20"/>
          <w:szCs w:val="20"/>
          <w:color w:val="auto"/>
        </w:rPr>
      </w:pPr>
      <w:r>
        <w:rPr>
          <w:rFonts w:ascii="Times New Roman" w:cs="Times New Roman" w:eastAsia="Times New Roman" w:hAnsi="Times New Roman"/>
          <w:sz w:val="22"/>
          <w:szCs w:val="22"/>
          <w:b w:val="1"/>
          <w:bCs w:val="1"/>
          <w:color w:val="auto"/>
        </w:rPr>
        <w:t>Contact:</w:t>
      </w:r>
    </w:p>
    <w:p>
      <w:pPr>
        <w:spacing w:after="0" w:line="33" w:lineRule="exact"/>
        <w:rPr>
          <w:sz w:val="20"/>
          <w:szCs w:val="20"/>
          <w:color w:val="auto"/>
        </w:rPr>
      </w:pPr>
    </w:p>
    <w:p>
      <w:pPr>
        <w:ind w:left="6900"/>
        <w:spacing w:after="0"/>
        <w:rPr>
          <w:sz w:val="20"/>
          <w:szCs w:val="20"/>
          <w:color w:val="auto"/>
        </w:rPr>
      </w:pPr>
      <w:r>
        <w:rPr>
          <w:rFonts w:ascii="Times New Roman" w:cs="Times New Roman" w:eastAsia="Times New Roman" w:hAnsi="Times New Roman"/>
          <w:sz w:val="22"/>
          <w:szCs w:val="22"/>
          <w:color w:val="auto"/>
        </w:rPr>
        <w:t>T.C. Robillard</w:t>
      </w:r>
    </w:p>
    <w:p>
      <w:pPr>
        <w:spacing w:after="0" w:line="17" w:lineRule="exact"/>
        <w:rPr>
          <w:sz w:val="20"/>
          <w:szCs w:val="20"/>
          <w:color w:val="auto"/>
        </w:rPr>
      </w:pPr>
    </w:p>
    <w:p>
      <w:pPr>
        <w:ind w:left="6900"/>
        <w:spacing w:after="0"/>
        <w:rPr>
          <w:sz w:val="20"/>
          <w:szCs w:val="20"/>
          <w:color w:val="auto"/>
        </w:rPr>
      </w:pPr>
      <w:r>
        <w:rPr>
          <w:rFonts w:ascii="Times New Roman" w:cs="Times New Roman" w:eastAsia="Times New Roman" w:hAnsi="Times New Roman"/>
          <w:sz w:val="22"/>
          <w:szCs w:val="22"/>
          <w:color w:val="auto"/>
        </w:rPr>
        <w:t>Vice President, Investor Relations</w:t>
      </w:r>
    </w:p>
    <w:p>
      <w:pPr>
        <w:spacing w:after="0" w:line="17" w:lineRule="exact"/>
        <w:rPr>
          <w:sz w:val="20"/>
          <w:szCs w:val="20"/>
          <w:color w:val="auto"/>
        </w:rPr>
      </w:pPr>
    </w:p>
    <w:p>
      <w:pPr>
        <w:ind w:left="6900"/>
        <w:spacing w:after="0"/>
        <w:rPr>
          <w:sz w:val="20"/>
          <w:szCs w:val="20"/>
          <w:color w:val="auto"/>
        </w:rPr>
      </w:pPr>
      <w:r>
        <w:rPr>
          <w:rFonts w:ascii="Times New Roman" w:cs="Times New Roman" w:eastAsia="Times New Roman" w:hAnsi="Times New Roman"/>
          <w:sz w:val="22"/>
          <w:szCs w:val="22"/>
          <w:color w:val="auto"/>
        </w:rPr>
        <w:t>tc.robillard@carters.com</w:t>
      </w:r>
    </w:p>
    <w:p>
      <w:pPr>
        <w:spacing w:after="0" w:line="3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Carter</w:t>
      </w:r>
      <w:r>
        <w:rPr>
          <w:rFonts w:ascii="Times New Roman" w:cs="Times New Roman" w:eastAsia="Times New Roman" w:hAnsi="Times New Roman"/>
          <w:sz w:val="25"/>
          <w:szCs w:val="25"/>
          <w:color w:val="auto"/>
        </w:rPr>
        <w:t>’</w:t>
      </w:r>
      <w:r>
        <w:rPr>
          <w:rFonts w:ascii="Times New Roman" w:cs="Times New Roman" w:eastAsia="Times New Roman" w:hAnsi="Times New Roman"/>
          <w:sz w:val="25"/>
          <w:szCs w:val="25"/>
          <w:b w:val="1"/>
          <w:bCs w:val="1"/>
          <w:color w:val="auto"/>
        </w:rPr>
        <w:t>s, Inc. Reports Third Quarter Fiscal 2026 Results</w:t>
      </w:r>
    </w:p>
    <w:p>
      <w:pPr>
        <w:spacing w:after="0" w:line="237" w:lineRule="exact"/>
        <w:rPr>
          <w:sz w:val="20"/>
          <w:szCs w:val="20"/>
          <w:color w:val="auto"/>
        </w:rPr>
      </w:pPr>
    </w:p>
    <w:p>
      <w:pPr>
        <w:ind w:left="320" w:hanging="312"/>
        <w:spacing w:after="0"/>
        <w:tabs>
          <w:tab w:leader="none" w:pos="320" w:val="left"/>
        </w:tabs>
        <w:numPr>
          <w:ilvl w:val="0"/>
          <w:numId w:val="2"/>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Net sales $752 million vs. $758 million in Q3 2025, decrease of 0.7%</w:t>
      </w:r>
    </w:p>
    <w:p>
      <w:pPr>
        <w:spacing w:after="0" w:line="125" w:lineRule="exact"/>
        <w:rPr>
          <w:rFonts w:ascii="Times New Roman" w:cs="Times New Roman" w:eastAsia="Times New Roman" w:hAnsi="Times New Roman"/>
          <w:sz w:val="22"/>
          <w:szCs w:val="22"/>
          <w:b w:val="1"/>
          <w:bCs w:val="1"/>
          <w:color w:val="auto"/>
        </w:rPr>
      </w:pPr>
    </w:p>
    <w:p>
      <w:pPr>
        <w:ind w:left="320" w:hanging="312"/>
        <w:spacing w:after="0"/>
        <w:tabs>
          <w:tab w:leader="none" w:pos="320" w:val="left"/>
        </w:tabs>
        <w:numPr>
          <w:ilvl w:val="0"/>
          <w:numId w:val="2"/>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U.S. Retail comparable sales increased 0.4%</w:t>
      </w:r>
    </w:p>
    <w:p>
      <w:pPr>
        <w:spacing w:after="0" w:line="111" w:lineRule="exact"/>
        <w:rPr>
          <w:rFonts w:ascii="Times New Roman" w:cs="Times New Roman" w:eastAsia="Times New Roman" w:hAnsi="Times New Roman"/>
          <w:sz w:val="22"/>
          <w:szCs w:val="22"/>
          <w:b w:val="1"/>
          <w:bCs w:val="1"/>
          <w:color w:val="auto"/>
        </w:rPr>
      </w:pPr>
    </w:p>
    <w:p>
      <w:pPr>
        <w:ind w:left="320" w:hanging="312"/>
        <w:spacing w:after="0"/>
        <w:tabs>
          <w:tab w:leader="none" w:pos="320" w:val="left"/>
        </w:tabs>
        <w:numPr>
          <w:ilvl w:val="0"/>
          <w:numId w:val="2"/>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Operating income $56 million vs. $29 million in Q3 2025</w:t>
      </w:r>
    </w:p>
    <w:p>
      <w:pPr>
        <w:spacing w:after="0" w:line="111" w:lineRule="exact"/>
        <w:rPr>
          <w:rFonts w:ascii="Times New Roman" w:cs="Times New Roman" w:eastAsia="Times New Roman" w:hAnsi="Times New Roman"/>
          <w:sz w:val="22"/>
          <w:szCs w:val="22"/>
          <w:b w:val="1"/>
          <w:bCs w:val="1"/>
          <w:color w:val="auto"/>
        </w:rPr>
      </w:pPr>
    </w:p>
    <w:p>
      <w:pPr>
        <w:ind w:left="320" w:hanging="312"/>
        <w:spacing w:after="0"/>
        <w:tabs>
          <w:tab w:leader="none" w:pos="320" w:val="left"/>
        </w:tabs>
        <w:numPr>
          <w:ilvl w:val="0"/>
          <w:numId w:val="2"/>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Adjusted operating income $57 million vs. $39 million in Q3 2025, growth of 45%</w:t>
      </w:r>
    </w:p>
    <w:p>
      <w:pPr>
        <w:spacing w:after="0" w:line="111" w:lineRule="exact"/>
        <w:rPr>
          <w:rFonts w:ascii="Times New Roman" w:cs="Times New Roman" w:eastAsia="Times New Roman" w:hAnsi="Times New Roman"/>
          <w:sz w:val="22"/>
          <w:szCs w:val="22"/>
          <w:b w:val="1"/>
          <w:bCs w:val="1"/>
          <w:color w:val="auto"/>
        </w:rPr>
      </w:pPr>
    </w:p>
    <w:p>
      <w:pPr>
        <w:ind w:left="320" w:hanging="312"/>
        <w:spacing w:after="0"/>
        <w:tabs>
          <w:tab w:leader="none" w:pos="320" w:val="left"/>
        </w:tabs>
        <w:numPr>
          <w:ilvl w:val="0"/>
          <w:numId w:val="2"/>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Diluted EPS $1.00 vs. $0.32 in Q3 2025</w:t>
      </w:r>
    </w:p>
    <w:p>
      <w:pPr>
        <w:spacing w:after="0" w:line="111" w:lineRule="exact"/>
        <w:rPr>
          <w:rFonts w:ascii="Times New Roman" w:cs="Times New Roman" w:eastAsia="Times New Roman" w:hAnsi="Times New Roman"/>
          <w:sz w:val="22"/>
          <w:szCs w:val="22"/>
          <w:b w:val="1"/>
          <w:bCs w:val="1"/>
          <w:color w:val="auto"/>
        </w:rPr>
      </w:pPr>
    </w:p>
    <w:p>
      <w:pPr>
        <w:ind w:left="320" w:hanging="312"/>
        <w:spacing w:after="0"/>
        <w:tabs>
          <w:tab w:leader="none" w:pos="320" w:val="left"/>
        </w:tabs>
        <w:numPr>
          <w:ilvl w:val="0"/>
          <w:numId w:val="2"/>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Adjusted diluted EPS $1.03 vs. $0.74 in Q3 2025, growth of 39%</w:t>
      </w:r>
    </w:p>
    <w:p>
      <w:pPr>
        <w:spacing w:after="0" w:line="111" w:lineRule="exact"/>
        <w:rPr>
          <w:rFonts w:ascii="Times New Roman" w:cs="Times New Roman" w:eastAsia="Times New Roman" w:hAnsi="Times New Roman"/>
          <w:sz w:val="22"/>
          <w:szCs w:val="22"/>
          <w:b w:val="1"/>
          <w:bCs w:val="1"/>
          <w:color w:val="auto"/>
        </w:rPr>
      </w:pPr>
    </w:p>
    <w:p>
      <w:pPr>
        <w:ind w:left="320" w:hanging="312"/>
        <w:spacing w:after="0"/>
        <w:tabs>
          <w:tab w:leader="none" w:pos="320" w:val="left"/>
        </w:tabs>
        <w:numPr>
          <w:ilvl w:val="0"/>
          <w:numId w:val="2"/>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Returned $27 million to shareholders through dividends in the first three quarters of fiscal 2026</w:t>
      </w:r>
    </w:p>
    <w:p>
      <w:pPr>
        <w:spacing w:after="0" w:line="125" w:lineRule="exact"/>
        <w:rPr>
          <w:rFonts w:ascii="Times New Roman" w:cs="Times New Roman" w:eastAsia="Times New Roman" w:hAnsi="Times New Roman"/>
          <w:sz w:val="22"/>
          <w:szCs w:val="22"/>
          <w:b w:val="1"/>
          <w:bCs w:val="1"/>
          <w:color w:val="auto"/>
        </w:rPr>
      </w:pPr>
    </w:p>
    <w:p>
      <w:pPr>
        <w:ind w:left="320" w:hanging="312"/>
        <w:spacing w:after="0"/>
        <w:tabs>
          <w:tab w:leader="none" w:pos="320" w:val="left"/>
        </w:tabs>
        <w:numPr>
          <w:ilvl w:val="0"/>
          <w:numId w:val="2"/>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Announced strategic evolution of leadership structure; see separate press release issued today</w:t>
      </w:r>
    </w:p>
    <w:p>
      <w:pPr>
        <w:spacing w:after="0" w:line="111" w:lineRule="exact"/>
        <w:rPr>
          <w:rFonts w:ascii="Times New Roman" w:cs="Times New Roman" w:eastAsia="Times New Roman" w:hAnsi="Times New Roman"/>
          <w:sz w:val="22"/>
          <w:szCs w:val="22"/>
          <w:b w:val="1"/>
          <w:bCs w:val="1"/>
          <w:color w:val="auto"/>
        </w:rPr>
      </w:pPr>
    </w:p>
    <w:p>
      <w:pPr>
        <w:ind w:left="320" w:hanging="312"/>
        <w:spacing w:after="0"/>
        <w:tabs>
          <w:tab w:leader="none" w:pos="320" w:val="left"/>
        </w:tabs>
        <w:numPr>
          <w:ilvl w:val="0"/>
          <w:numId w:val="2"/>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Updates full year 2026 outlook</w:t>
      </w:r>
    </w:p>
    <w:p>
      <w:pPr>
        <w:spacing w:after="0" w:line="210" w:lineRule="exact"/>
        <w:rPr>
          <w:sz w:val="20"/>
          <w:szCs w:val="20"/>
          <w:color w:val="auto"/>
        </w:rPr>
      </w:pPr>
    </w:p>
    <w:p>
      <w:pPr>
        <w:ind w:right="600"/>
        <w:spacing w:after="0" w:line="335" w:lineRule="auto"/>
        <w:rPr>
          <w:sz w:val="20"/>
          <w:szCs w:val="20"/>
          <w:color w:val="auto"/>
        </w:rPr>
      </w:pPr>
      <w:r>
        <w:rPr>
          <w:rFonts w:ascii="Times New Roman" w:cs="Times New Roman" w:eastAsia="Times New Roman" w:hAnsi="Times New Roman"/>
          <w:sz w:val="22"/>
          <w:szCs w:val="22"/>
          <w:color w:val="auto"/>
        </w:rPr>
        <w:t>ATLANTA, October 30, 2026 — Carter’s, Inc. (NYSE:CRI), North America’s largest and most-enduring apparel company exclusively for babies and young children, today reported its third quarter fiscal 2026 results.</w:t>
      </w:r>
    </w:p>
    <w:p>
      <w:pPr>
        <w:spacing w:after="0" w:line="77" w:lineRule="exact"/>
        <w:rPr>
          <w:sz w:val="20"/>
          <w:szCs w:val="20"/>
          <w:color w:val="auto"/>
        </w:rPr>
      </w:pPr>
    </w:p>
    <w:p>
      <w:pPr>
        <w:ind w:right="20"/>
        <w:spacing w:after="0" w:line="358" w:lineRule="auto"/>
        <w:rPr>
          <w:sz w:val="20"/>
          <w:szCs w:val="20"/>
          <w:color w:val="auto"/>
        </w:rPr>
      </w:pPr>
      <w:r>
        <w:rPr>
          <w:rFonts w:ascii="Times New Roman" w:cs="Times New Roman" w:eastAsia="Times New Roman" w:hAnsi="Times New Roman"/>
          <w:sz w:val="22"/>
          <w:szCs w:val="22"/>
          <w:color w:val="auto"/>
        </w:rPr>
        <w:t>“I am pleased with the significant progress of the company’s profitability improvement initiatives in the third quarter, especially in light of delivering slight growth in U.S. Retail comparative sales and overall net sales that were slightly above our outlook amid an uneven macroeconomic environment. As the quarter unfolded, the U.S. Retail team quickly and effectively worked to adjust our marketing and promotional efforts in response to the challenges to help deliver these results. Our solid third quarter performance is currently expected to contribute to another year of growth in net sales, U.S. Retail comparable sales, and operating profit for fiscal 2026, even as we moderate our revenue outlook to reflect the continued pressure on our consumers from the ongoing economic and geopolitical uncertainty,” said Sharon Price John, Chief Executive Officer &amp; President. “Separately, over the past several months in my new role, we have continued to define a strategic framework based on our tenets of keeping the consumer at the center of all that we do, leveraging the power of our market-leading brands, and utilizing our meaningful data and insights to drive innovation and decision making while staying focused on delivering profitable sales. Indicative of our intent to take significant and rapid steps to improve the business, for the first time in 25 years, during the quarter we successfully launched a comprehensive initiative for our</w:t>
      </w:r>
    </w:p>
    <w:p>
      <w:pPr>
        <w:spacing w:after="0" w:line="2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ectPr>
          <w:pgSz w:w="11900" w:h="16838" w:orient="portrait"/>
          <w:cols w:equalWidth="0" w:num="1">
            <w:col w:w="11240"/>
          </w:cols>
          <w:pgMar w:left="320" w:top="891" w:right="339" w:bottom="1440" w:gutter="0" w:footer="0" w:header="0"/>
        </w:sectPr>
      </w:pPr>
    </w:p>
    <w:bookmarkStart w:id="4" w:name="page5"/>
    <w:bookmarkEnd w:id="4"/>
    <w:p>
      <w:pPr>
        <w:ind w:right="300"/>
        <w:spacing w:after="0" w:line="363" w:lineRule="auto"/>
        <w:rPr>
          <w:sz w:val="20"/>
          <w:szCs w:val="20"/>
          <w:color w:val="auto"/>
        </w:rPr>
      </w:pPr>
      <w:r>
        <w:rPr>
          <w:rFonts w:ascii="Times New Roman" w:cs="Times New Roman" w:eastAsia="Times New Roman" w:hAnsi="Times New Roman"/>
          <w:sz w:val="22"/>
          <w:szCs w:val="22"/>
          <w:color w:val="auto"/>
        </w:rPr>
        <w:t xml:space="preserve">flagship </w:t>
      </w:r>
      <w:r>
        <w:rPr>
          <w:rFonts w:ascii="Times New Roman" w:cs="Times New Roman" w:eastAsia="Times New Roman" w:hAnsi="Times New Roman"/>
          <w:sz w:val="22"/>
          <w:szCs w:val="22"/>
          <w:i w:val="1"/>
          <w:iCs w:val="1"/>
          <w:color w:val="auto"/>
        </w:rPr>
        <w:t>Carter’s</w:t>
      </w:r>
      <w:r>
        <w:rPr>
          <w:rFonts w:ascii="Times New Roman" w:cs="Times New Roman" w:eastAsia="Times New Roman" w:hAnsi="Times New Roman"/>
          <w:sz w:val="22"/>
          <w:szCs w:val="22"/>
          <w:color w:val="auto"/>
        </w:rPr>
        <w:t xml:space="preserve"> brand, including a reimagined logo and brand promise of “let every child's light shine”, with the goal of increasing appeal and relevance to today’s generation of parents. Separately, we announced the evolution of our leadership structure designed to increase synergy, improve processes, and better align with our go-forward strategy. While early, I’m encouraged by our progress and believe we are well positioned to continue to unlock this iconic company's potential to deliver meaningful shareholder returns over time,” Ms. John concluded.</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Adjustments to Reported GAAP Results</w:t>
      </w:r>
    </w:p>
    <w:p>
      <w:pPr>
        <w:spacing w:after="0" w:line="129" w:lineRule="exact"/>
        <w:rPr>
          <w:sz w:val="20"/>
          <w:szCs w:val="20"/>
          <w:color w:val="auto"/>
        </w:rPr>
      </w:pPr>
    </w:p>
    <w:p>
      <w:pPr>
        <w:spacing w:after="0" w:line="382" w:lineRule="auto"/>
        <w:rPr>
          <w:sz w:val="20"/>
          <w:szCs w:val="20"/>
          <w:color w:val="auto"/>
        </w:rPr>
      </w:pPr>
      <w:r>
        <w:rPr>
          <w:rFonts w:ascii="Times New Roman" w:cs="Times New Roman" w:eastAsia="Times New Roman" w:hAnsi="Times New Roman"/>
          <w:sz w:val="21"/>
          <w:szCs w:val="21"/>
          <w:color w:val="auto"/>
        </w:rPr>
        <w:t>In addition to the results presented in this earnings release in accordance with GAAP, the Company has provided adjusted, non-GAAP financial measurements, as presented below. The Company believes these non-GAAP financial measurements provide a meaningful comparison of the Company’s results and afford investors a view of what management considers to be the Company’s core performance. These measures are presented for informational purposes only. See “Reconciliation of Adjusted Results to GAAP” section of this release for additional disclosures and reconciliations regarding these non-GAAP financial measures.</w:t>
      </w:r>
    </w:p>
    <w:p>
      <w:pPr>
        <w:spacing w:after="0" w:line="63" w:lineRule="exact"/>
        <w:rPr>
          <w:sz w:val="20"/>
          <w:szCs w:val="20"/>
          <w:color w:val="auto"/>
        </w:rPr>
      </w:pPr>
    </w:p>
    <w:p>
      <w:pPr>
        <w:ind w:right="80"/>
        <w:spacing w:after="0" w:line="361" w:lineRule="auto"/>
        <w:rPr>
          <w:sz w:val="20"/>
          <w:szCs w:val="20"/>
          <w:color w:val="auto"/>
        </w:rPr>
      </w:pPr>
      <w:r>
        <w:rPr>
          <w:rFonts w:ascii="Times New Roman" w:cs="Times New Roman" w:eastAsia="Times New Roman" w:hAnsi="Times New Roman"/>
          <w:sz w:val="22"/>
          <w:szCs w:val="22"/>
          <w:color w:val="auto"/>
        </w:rPr>
        <w:t>Third quarter fiscal 2026 results included expenses associated with intellectual property litigation costs. Results for the first three quarters of fiscal 2026 included a benefit related to the receipt of a refund of previously paid import duties and related interest as well as expenses associated with leadership transition and intellectual property litigation costs. Third quarter and the first three quarters of fiscal 2025 results included expenses related to organizational restructuring initiatives, operating model improvement costs, leadership transition costs, a non-cash charge for settlement of the OshKosh B’Gosh Pension Plan, and a tax charge associated with the termination of the Company’s deferred compensation plan.</w:t>
      </w:r>
    </w:p>
    <w:p>
      <w:pPr>
        <w:spacing w:after="0" w:line="64"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296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960" w:type="dxa"/>
            <w:vAlign w:val="bottom"/>
            <w:tcBorders>
              <w:bottom w:val="single" w:sz="8" w:color="auto"/>
            </w:tcBorders>
            <w:gridSpan w:val="5"/>
          </w:tcPr>
          <w:p>
            <w:pPr>
              <w:ind w:left="160"/>
              <w:spacing w:after="0"/>
              <w:rPr>
                <w:sz w:val="20"/>
                <w:szCs w:val="20"/>
                <w:color w:val="auto"/>
              </w:rPr>
            </w:pPr>
            <w:r>
              <w:rPr>
                <w:rFonts w:ascii="Times New Roman" w:cs="Times New Roman" w:eastAsia="Times New Roman" w:hAnsi="Times New Roman"/>
                <w:sz w:val="16"/>
                <w:szCs w:val="16"/>
                <w:b w:val="1"/>
                <w:bCs w:val="1"/>
                <w:color w:val="auto"/>
              </w:rPr>
              <w:t>Third Fiscal Quarter</w:t>
            </w:r>
          </w:p>
        </w:tc>
        <w:tc>
          <w:tcPr>
            <w:tcW w:w="10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296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gridSpan w:val="4"/>
          </w:tcPr>
          <w:p>
            <w:pPr>
              <w:jc w:val="right"/>
              <w:ind w:right="199"/>
              <w:spacing w:after="0"/>
              <w:rPr>
                <w:sz w:val="20"/>
                <w:szCs w:val="20"/>
                <w:color w:val="auto"/>
              </w:rPr>
            </w:pPr>
            <w:r>
              <w:rPr>
                <w:rFonts w:ascii="Times New Roman" w:cs="Times New Roman" w:eastAsia="Times New Roman" w:hAnsi="Times New Roman"/>
                <w:sz w:val="16"/>
                <w:szCs w:val="16"/>
                <w:b w:val="1"/>
                <w:bCs w:val="1"/>
                <w:color w:val="auto"/>
              </w:rPr>
              <w:t>2026</w:t>
            </w:r>
          </w:p>
        </w:tc>
        <w:tc>
          <w:tcPr>
            <w:tcW w:w="58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spacing w:after="0"/>
              <w:rPr>
                <w:sz w:val="18"/>
                <w:szCs w:val="18"/>
                <w:color w:val="auto"/>
              </w:rPr>
            </w:pPr>
          </w:p>
        </w:tc>
        <w:tc>
          <w:tcPr>
            <w:tcW w:w="120" w:type="dxa"/>
            <w:vAlign w:val="bottom"/>
            <w:tcBorders>
              <w:bottom w:val="single" w:sz="8" w:color="auto"/>
              <w:right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gridSpan w:val="4"/>
          </w:tcPr>
          <w:p>
            <w:pPr>
              <w:jc w:val="right"/>
              <w:ind w:right="199"/>
              <w:spacing w:after="0"/>
              <w:rPr>
                <w:sz w:val="20"/>
                <w:szCs w:val="20"/>
                <w:color w:val="auto"/>
              </w:rPr>
            </w:pPr>
            <w:r>
              <w:rPr>
                <w:rFonts w:ascii="Times New Roman" w:cs="Times New Roman" w:eastAsia="Times New Roman" w:hAnsi="Times New Roman"/>
                <w:sz w:val="16"/>
                <w:szCs w:val="16"/>
                <w:b w:val="1"/>
                <w:bCs w:val="1"/>
                <w:color w:val="auto"/>
              </w:rPr>
              <w:t>2025</w:t>
            </w:r>
          </w:p>
        </w:tc>
        <w:tc>
          <w:tcPr>
            <w:tcW w:w="58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57"/>
        </w:trPr>
        <w:tc>
          <w:tcPr>
            <w:tcW w:w="2960" w:type="dxa"/>
            <w:vAlign w:val="bottom"/>
            <w:vMerge w:val="restart"/>
          </w:tcPr>
          <w:p>
            <w:pPr>
              <w:ind w:left="20"/>
              <w:spacing w:after="0"/>
              <w:rPr>
                <w:sz w:val="20"/>
                <w:szCs w:val="20"/>
                <w:color w:val="auto"/>
              </w:rPr>
            </w:pPr>
            <w:r>
              <w:rPr>
                <w:rFonts w:ascii="Times New Roman" w:cs="Times New Roman" w:eastAsia="Times New Roman" w:hAnsi="Times New Roman"/>
                <w:sz w:val="16"/>
                <w:szCs w:val="16"/>
                <w:color w:val="auto"/>
              </w:rPr>
              <w:t>(In millions, except earnings per share)</w:t>
            </w:r>
          </w:p>
        </w:tc>
        <w:tc>
          <w:tcPr>
            <w:tcW w:w="120" w:type="dxa"/>
            <w:vAlign w:val="bottom"/>
          </w:tcPr>
          <w:p>
            <w:pPr>
              <w:spacing w:after="0"/>
              <w:rPr>
                <w:sz w:val="13"/>
                <w:szCs w:val="13"/>
                <w:color w:val="auto"/>
              </w:rPr>
            </w:pPr>
          </w:p>
        </w:tc>
        <w:tc>
          <w:tcPr>
            <w:tcW w:w="920" w:type="dxa"/>
            <w:vAlign w:val="bottom"/>
          </w:tcPr>
          <w:p>
            <w:pPr>
              <w:jc w:val="right"/>
              <w:ind w:right="99"/>
              <w:spacing w:after="0" w:line="158" w:lineRule="exact"/>
              <w:rPr>
                <w:sz w:val="20"/>
                <w:szCs w:val="20"/>
                <w:color w:val="auto"/>
              </w:rPr>
            </w:pPr>
            <w:r>
              <w:rPr>
                <w:rFonts w:ascii="Times New Roman" w:cs="Times New Roman" w:eastAsia="Times New Roman" w:hAnsi="Times New Roman"/>
                <w:sz w:val="16"/>
                <w:szCs w:val="16"/>
                <w:b w:val="1"/>
                <w:bCs w:val="1"/>
                <w:color w:val="auto"/>
              </w:rPr>
              <w:t>Operating</w:t>
            </w:r>
          </w:p>
        </w:tc>
        <w:tc>
          <w:tcPr>
            <w:tcW w:w="100" w:type="dxa"/>
            <w:vAlign w:val="bottom"/>
          </w:tcPr>
          <w:p>
            <w:pPr>
              <w:spacing w:after="0"/>
              <w:rPr>
                <w:sz w:val="13"/>
                <w:szCs w:val="13"/>
                <w:color w:val="auto"/>
              </w:rPr>
            </w:pPr>
          </w:p>
        </w:tc>
        <w:tc>
          <w:tcPr>
            <w:tcW w:w="960" w:type="dxa"/>
            <w:vAlign w:val="bottom"/>
            <w:gridSpan w:val="2"/>
          </w:tcPr>
          <w:p>
            <w:pPr>
              <w:jc w:val="center"/>
              <w:ind w:right="120"/>
              <w:spacing w:after="0" w:line="158" w:lineRule="exact"/>
              <w:rPr>
                <w:sz w:val="20"/>
                <w:szCs w:val="20"/>
                <w:color w:val="auto"/>
              </w:rPr>
            </w:pPr>
            <w:r>
              <w:rPr>
                <w:rFonts w:ascii="Times New Roman" w:cs="Times New Roman" w:eastAsia="Times New Roman" w:hAnsi="Times New Roman"/>
                <w:sz w:val="16"/>
                <w:szCs w:val="16"/>
                <w:b w:val="1"/>
                <w:bCs w:val="1"/>
                <w:color w:val="auto"/>
                <w:w w:val="99"/>
              </w:rPr>
              <w:t>% Net</w:t>
            </w:r>
          </w:p>
        </w:tc>
        <w:tc>
          <w:tcPr>
            <w:tcW w:w="1000" w:type="dxa"/>
            <w:vAlign w:val="bottom"/>
            <w:gridSpan w:val="3"/>
            <w:vMerge w:val="restart"/>
          </w:tcPr>
          <w:p>
            <w:pPr>
              <w:ind w:left="60"/>
              <w:spacing w:after="0"/>
              <w:rPr>
                <w:sz w:val="20"/>
                <w:szCs w:val="20"/>
                <w:color w:val="auto"/>
              </w:rPr>
            </w:pPr>
            <w:r>
              <w:rPr>
                <w:rFonts w:ascii="Times New Roman" w:cs="Times New Roman" w:eastAsia="Times New Roman" w:hAnsi="Times New Roman"/>
                <w:sz w:val="16"/>
                <w:szCs w:val="16"/>
                <w:b w:val="1"/>
                <w:bCs w:val="1"/>
                <w:color w:val="auto"/>
              </w:rPr>
              <w:t>Net Income</w:t>
            </w:r>
          </w:p>
        </w:tc>
        <w:tc>
          <w:tcPr>
            <w:tcW w:w="140" w:type="dxa"/>
            <w:vAlign w:val="bottom"/>
          </w:tcPr>
          <w:p>
            <w:pPr>
              <w:spacing w:after="0"/>
              <w:rPr>
                <w:sz w:val="13"/>
                <w:szCs w:val="13"/>
                <w:color w:val="auto"/>
              </w:rPr>
            </w:pPr>
          </w:p>
        </w:tc>
        <w:tc>
          <w:tcPr>
            <w:tcW w:w="840" w:type="dxa"/>
            <w:vAlign w:val="bottom"/>
            <w:tcBorders>
              <w:right w:val="single" w:sz="8" w:color="auto"/>
            </w:tcBorders>
            <w:gridSpan w:val="2"/>
          </w:tcPr>
          <w:p>
            <w:pPr>
              <w:ind w:left="40"/>
              <w:spacing w:after="0" w:line="158" w:lineRule="exact"/>
              <w:rPr>
                <w:sz w:val="20"/>
                <w:szCs w:val="20"/>
                <w:color w:val="auto"/>
              </w:rPr>
            </w:pPr>
            <w:r>
              <w:rPr>
                <w:rFonts w:ascii="Times New Roman" w:cs="Times New Roman" w:eastAsia="Times New Roman" w:hAnsi="Times New Roman"/>
                <w:sz w:val="16"/>
                <w:szCs w:val="16"/>
                <w:b w:val="1"/>
                <w:bCs w:val="1"/>
                <w:color w:val="auto"/>
              </w:rPr>
              <w:t>Diluted</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00" w:type="dxa"/>
            <w:vAlign w:val="bottom"/>
          </w:tcPr>
          <w:p>
            <w:pPr>
              <w:jc w:val="right"/>
              <w:ind w:right="79"/>
              <w:spacing w:after="0" w:line="158" w:lineRule="exact"/>
              <w:rPr>
                <w:sz w:val="20"/>
                <w:szCs w:val="20"/>
                <w:color w:val="auto"/>
              </w:rPr>
            </w:pPr>
            <w:r>
              <w:rPr>
                <w:rFonts w:ascii="Times New Roman" w:cs="Times New Roman" w:eastAsia="Times New Roman" w:hAnsi="Times New Roman"/>
                <w:sz w:val="16"/>
                <w:szCs w:val="16"/>
                <w:b w:val="1"/>
                <w:bCs w:val="1"/>
                <w:color w:val="auto"/>
              </w:rPr>
              <w:t>Operating</w:t>
            </w:r>
          </w:p>
        </w:tc>
        <w:tc>
          <w:tcPr>
            <w:tcW w:w="100" w:type="dxa"/>
            <w:vAlign w:val="bottom"/>
          </w:tcPr>
          <w:p>
            <w:pPr>
              <w:spacing w:after="0"/>
              <w:rPr>
                <w:sz w:val="13"/>
                <w:szCs w:val="13"/>
                <w:color w:val="auto"/>
              </w:rPr>
            </w:pPr>
          </w:p>
        </w:tc>
        <w:tc>
          <w:tcPr>
            <w:tcW w:w="1040" w:type="dxa"/>
            <w:vAlign w:val="bottom"/>
            <w:gridSpan w:val="2"/>
            <w:vMerge w:val="restart"/>
          </w:tcPr>
          <w:p>
            <w:pPr>
              <w:ind w:left="60"/>
              <w:spacing w:after="0"/>
              <w:rPr>
                <w:sz w:val="20"/>
                <w:szCs w:val="20"/>
                <w:color w:val="auto"/>
              </w:rPr>
            </w:pPr>
            <w:r>
              <w:rPr>
                <w:rFonts w:ascii="Times New Roman" w:cs="Times New Roman" w:eastAsia="Times New Roman" w:hAnsi="Times New Roman"/>
                <w:sz w:val="16"/>
                <w:szCs w:val="16"/>
                <w:b w:val="1"/>
                <w:bCs w:val="1"/>
                <w:color w:val="auto"/>
              </w:rPr>
              <w:t>% Net Sales</w:t>
            </w:r>
          </w:p>
        </w:tc>
        <w:tc>
          <w:tcPr>
            <w:tcW w:w="1040" w:type="dxa"/>
            <w:vAlign w:val="bottom"/>
            <w:gridSpan w:val="3"/>
            <w:vMerge w:val="restart"/>
          </w:tcPr>
          <w:p>
            <w:pPr>
              <w:ind w:left="80"/>
              <w:spacing w:after="0"/>
              <w:rPr>
                <w:sz w:val="20"/>
                <w:szCs w:val="20"/>
                <w:color w:val="auto"/>
              </w:rPr>
            </w:pPr>
            <w:r>
              <w:rPr>
                <w:rFonts w:ascii="Times New Roman" w:cs="Times New Roman" w:eastAsia="Times New Roman" w:hAnsi="Times New Roman"/>
                <w:sz w:val="16"/>
                <w:szCs w:val="16"/>
                <w:b w:val="1"/>
                <w:bCs w:val="1"/>
                <w:color w:val="auto"/>
              </w:rPr>
              <w:t>Net Income</w:t>
            </w:r>
          </w:p>
        </w:tc>
        <w:tc>
          <w:tcPr>
            <w:tcW w:w="900" w:type="dxa"/>
            <w:vAlign w:val="bottom"/>
            <w:gridSpan w:val="2"/>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Diluted EPS</w:t>
            </w:r>
          </w:p>
        </w:tc>
        <w:tc>
          <w:tcPr>
            <w:tcW w:w="0" w:type="dxa"/>
            <w:vAlign w:val="bottom"/>
          </w:tcPr>
          <w:p>
            <w:pPr>
              <w:spacing w:after="0"/>
              <w:rPr>
                <w:sz w:val="1"/>
                <w:szCs w:val="1"/>
                <w:color w:val="auto"/>
              </w:rPr>
            </w:pPr>
          </w:p>
        </w:tc>
      </w:tr>
      <w:tr>
        <w:trPr>
          <w:trHeight w:val="214"/>
        </w:trPr>
        <w:tc>
          <w:tcPr>
            <w:tcW w:w="296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jc w:val="right"/>
              <w:ind w:right="199"/>
              <w:spacing w:after="0"/>
              <w:rPr>
                <w:sz w:val="20"/>
                <w:szCs w:val="20"/>
                <w:color w:val="auto"/>
              </w:rPr>
            </w:pPr>
            <w:r>
              <w:rPr>
                <w:rFonts w:ascii="Times New Roman" w:cs="Times New Roman" w:eastAsia="Times New Roman" w:hAnsi="Times New Roman"/>
                <w:sz w:val="16"/>
                <w:szCs w:val="16"/>
                <w:b w:val="1"/>
                <w:bCs w:val="1"/>
                <w:color w:val="auto"/>
              </w:rPr>
              <w:t>Income</w:t>
            </w:r>
          </w:p>
        </w:tc>
        <w:tc>
          <w:tcPr>
            <w:tcW w:w="100" w:type="dxa"/>
            <w:vAlign w:val="bottom"/>
          </w:tcPr>
          <w:p>
            <w:pPr>
              <w:spacing w:after="0"/>
              <w:rPr>
                <w:sz w:val="18"/>
                <w:szCs w:val="18"/>
                <w:color w:val="auto"/>
              </w:rPr>
            </w:pPr>
          </w:p>
        </w:tc>
        <w:tc>
          <w:tcPr>
            <w:tcW w:w="96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rPr>
              <w:t>Sales</w:t>
            </w:r>
          </w:p>
        </w:tc>
        <w:tc>
          <w:tcPr>
            <w:tcW w:w="1000" w:type="dxa"/>
            <w:vAlign w:val="bottom"/>
            <w:gridSpan w:val="3"/>
            <w:vMerge w:val="continue"/>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Borders>
              <w:right w:val="single" w:sz="8" w:color="auto"/>
            </w:tcBorders>
            <w:gridSpan w:val="2"/>
          </w:tcPr>
          <w:p>
            <w:pPr>
              <w:ind w:left="140"/>
              <w:spacing w:after="0"/>
              <w:rPr>
                <w:sz w:val="20"/>
                <w:szCs w:val="20"/>
                <w:color w:val="auto"/>
              </w:rPr>
            </w:pPr>
            <w:r>
              <w:rPr>
                <w:rFonts w:ascii="Times New Roman" w:cs="Times New Roman" w:eastAsia="Times New Roman" w:hAnsi="Times New Roman"/>
                <w:sz w:val="16"/>
                <w:szCs w:val="16"/>
                <w:b w:val="1"/>
                <w:bCs w:val="1"/>
                <w:color w:val="auto"/>
              </w:rPr>
              <w:t>EPS</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jc w:val="right"/>
              <w:ind w:right="179"/>
              <w:spacing w:after="0"/>
              <w:rPr>
                <w:sz w:val="20"/>
                <w:szCs w:val="20"/>
                <w:color w:val="auto"/>
              </w:rPr>
            </w:pPr>
            <w:r>
              <w:rPr>
                <w:rFonts w:ascii="Times New Roman" w:cs="Times New Roman" w:eastAsia="Times New Roman" w:hAnsi="Times New Roman"/>
                <w:sz w:val="16"/>
                <w:szCs w:val="16"/>
                <w:b w:val="1"/>
                <w:bCs w:val="1"/>
                <w:color w:val="auto"/>
              </w:rPr>
              <w:t>Income</w:t>
            </w:r>
          </w:p>
        </w:tc>
        <w:tc>
          <w:tcPr>
            <w:tcW w:w="100" w:type="dxa"/>
            <w:vAlign w:val="bottom"/>
          </w:tcPr>
          <w:p>
            <w:pPr>
              <w:spacing w:after="0"/>
              <w:rPr>
                <w:sz w:val="18"/>
                <w:szCs w:val="18"/>
                <w:color w:val="auto"/>
              </w:rPr>
            </w:pPr>
          </w:p>
        </w:tc>
        <w:tc>
          <w:tcPr>
            <w:tcW w:w="1040" w:type="dxa"/>
            <w:vAlign w:val="bottom"/>
            <w:gridSpan w:val="2"/>
            <w:vMerge w:val="continue"/>
          </w:tcPr>
          <w:p>
            <w:pPr>
              <w:spacing w:after="0"/>
              <w:rPr>
                <w:sz w:val="18"/>
                <w:szCs w:val="18"/>
                <w:color w:val="auto"/>
              </w:rPr>
            </w:pPr>
          </w:p>
        </w:tc>
        <w:tc>
          <w:tcPr>
            <w:tcW w:w="1040" w:type="dxa"/>
            <w:vAlign w:val="bottom"/>
            <w:gridSpan w:val="3"/>
            <w:vMerge w:val="continue"/>
          </w:tcPr>
          <w:p>
            <w:pPr>
              <w:spacing w:after="0"/>
              <w:rPr>
                <w:sz w:val="18"/>
                <w:szCs w:val="18"/>
                <w:color w:val="auto"/>
              </w:rPr>
            </w:pPr>
          </w:p>
        </w:tc>
        <w:tc>
          <w:tcPr>
            <w:tcW w:w="90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29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As reported (GAAP)</w:t>
            </w: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55.8</w:t>
            </w:r>
          </w:p>
        </w:tc>
        <w:tc>
          <w:tcPr>
            <w:tcW w:w="100" w:type="dxa"/>
            <w:vAlign w:val="bottom"/>
            <w:tcBorders>
              <w:top w:val="single" w:sz="8" w:color="CCEEFF"/>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7.4 %</w:t>
            </w:r>
          </w:p>
        </w:tc>
        <w:tc>
          <w:tcPr>
            <w:tcW w:w="12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36.6</w:t>
            </w: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1.00</w:t>
            </w:r>
          </w:p>
        </w:tc>
        <w:tc>
          <w:tcPr>
            <w:tcW w:w="120" w:type="dxa"/>
            <w:vAlign w:val="bottom"/>
            <w:tcBorders>
              <w:top w:val="single" w:sz="8" w:color="auto"/>
              <w:right w:val="single" w:sz="8" w:color="auto"/>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29.1</w:t>
            </w:r>
          </w:p>
        </w:tc>
        <w:tc>
          <w:tcPr>
            <w:tcW w:w="100" w:type="dxa"/>
            <w:vAlign w:val="bottom"/>
            <w:tcBorders>
              <w:top w:val="single" w:sz="8" w:color="CCEEFF"/>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3.8 %</w:t>
            </w:r>
          </w:p>
        </w:tc>
        <w:tc>
          <w:tcPr>
            <w:tcW w:w="10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11.6</w:t>
            </w:r>
          </w:p>
        </w:tc>
        <w:tc>
          <w:tcPr>
            <w:tcW w:w="12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0.32</w:t>
            </w:r>
          </w:p>
        </w:tc>
        <w:tc>
          <w:tcPr>
            <w:tcW w:w="0" w:type="dxa"/>
            <w:vAlign w:val="bottom"/>
          </w:tcPr>
          <w:p>
            <w:pPr>
              <w:spacing w:after="0"/>
              <w:rPr>
                <w:sz w:val="1"/>
                <w:szCs w:val="1"/>
                <w:color w:val="auto"/>
              </w:rPr>
            </w:pPr>
          </w:p>
        </w:tc>
      </w:tr>
      <w:tr>
        <w:trPr>
          <w:trHeight w:val="213"/>
        </w:trPr>
        <w:tc>
          <w:tcPr>
            <w:tcW w:w="29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IP litigation</w:t>
            </w:r>
          </w:p>
        </w:tc>
        <w:tc>
          <w:tcPr>
            <w:tcW w:w="1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w:t>
            </w: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0.9</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0.02</w:t>
            </w:r>
          </w:p>
        </w:tc>
        <w:tc>
          <w:tcPr>
            <w:tcW w:w="12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0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9"/>
        </w:trPr>
        <w:tc>
          <w:tcPr>
            <w:tcW w:w="2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Organizational restructuring</w:t>
            </w:r>
          </w:p>
        </w:tc>
        <w:tc>
          <w:tcPr>
            <w:tcW w:w="1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6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9"/>
                <w:szCs w:val="19"/>
                <w:color w:val="auto"/>
              </w:rPr>
            </w:pPr>
          </w:p>
        </w:tc>
        <w:tc>
          <w:tcPr>
            <w:tcW w:w="840" w:type="dxa"/>
            <w:vAlign w:val="bottom"/>
            <w:tcBorders>
              <w:right w:val="single" w:sz="8" w:color="auto"/>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6.1</w:t>
            </w:r>
          </w:p>
        </w:tc>
        <w:tc>
          <w:tcPr>
            <w:tcW w:w="10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0.13</w:t>
            </w:r>
          </w:p>
        </w:tc>
        <w:tc>
          <w:tcPr>
            <w:tcW w:w="0" w:type="dxa"/>
            <w:vAlign w:val="bottom"/>
          </w:tcPr>
          <w:p>
            <w:pPr>
              <w:spacing w:after="0"/>
              <w:rPr>
                <w:sz w:val="1"/>
                <w:szCs w:val="1"/>
                <w:color w:val="auto"/>
              </w:rPr>
            </w:pPr>
          </w:p>
        </w:tc>
      </w:tr>
      <w:tr>
        <w:trPr>
          <w:trHeight w:val="213"/>
        </w:trPr>
        <w:tc>
          <w:tcPr>
            <w:tcW w:w="29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Operating model improvement costs</w:t>
            </w:r>
          </w:p>
        </w:tc>
        <w:tc>
          <w:tcPr>
            <w:tcW w:w="1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840" w:type="dxa"/>
            <w:vAlign w:val="bottom"/>
            <w:tcBorders>
              <w:right w:val="single" w:sz="8" w:color="auto"/>
            </w:tcBorders>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w:t>
            </w: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0.08</w:t>
            </w:r>
          </w:p>
        </w:tc>
        <w:tc>
          <w:tcPr>
            <w:tcW w:w="0" w:type="dxa"/>
            <w:vAlign w:val="bottom"/>
          </w:tcPr>
          <w:p>
            <w:pPr>
              <w:spacing w:after="0"/>
              <w:rPr>
                <w:sz w:val="1"/>
                <w:szCs w:val="1"/>
                <w:color w:val="auto"/>
              </w:rPr>
            </w:pPr>
          </w:p>
        </w:tc>
      </w:tr>
      <w:tr>
        <w:trPr>
          <w:trHeight w:val="219"/>
        </w:trPr>
        <w:tc>
          <w:tcPr>
            <w:tcW w:w="2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Leadership transition costs</w:t>
            </w:r>
          </w:p>
        </w:tc>
        <w:tc>
          <w:tcPr>
            <w:tcW w:w="1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6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9"/>
                <w:szCs w:val="19"/>
                <w:color w:val="auto"/>
              </w:rPr>
            </w:pPr>
          </w:p>
        </w:tc>
        <w:tc>
          <w:tcPr>
            <w:tcW w:w="840" w:type="dxa"/>
            <w:vAlign w:val="bottom"/>
            <w:tcBorders>
              <w:right w:val="single" w:sz="8" w:color="auto"/>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0.5</w:t>
            </w:r>
          </w:p>
        </w:tc>
        <w:tc>
          <w:tcPr>
            <w:tcW w:w="10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0.4</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0.01</w:t>
            </w:r>
          </w:p>
        </w:tc>
        <w:tc>
          <w:tcPr>
            <w:tcW w:w="0" w:type="dxa"/>
            <w:vAlign w:val="bottom"/>
          </w:tcPr>
          <w:p>
            <w:pPr>
              <w:spacing w:after="0"/>
              <w:rPr>
                <w:sz w:val="1"/>
                <w:szCs w:val="1"/>
                <w:color w:val="auto"/>
              </w:rPr>
            </w:pPr>
          </w:p>
        </w:tc>
      </w:tr>
      <w:tr>
        <w:trPr>
          <w:trHeight w:val="213"/>
        </w:trPr>
        <w:tc>
          <w:tcPr>
            <w:tcW w:w="29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Pension plan settlement</w:t>
            </w:r>
          </w:p>
        </w:tc>
        <w:tc>
          <w:tcPr>
            <w:tcW w:w="1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840" w:type="dxa"/>
            <w:vAlign w:val="bottom"/>
            <w:tcBorders>
              <w:right w:val="single" w:sz="8" w:color="auto"/>
            </w:tcBorders>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6.7</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0.18</w:t>
            </w:r>
          </w:p>
        </w:tc>
        <w:tc>
          <w:tcPr>
            <w:tcW w:w="0" w:type="dxa"/>
            <w:vAlign w:val="bottom"/>
          </w:tcPr>
          <w:p>
            <w:pPr>
              <w:spacing w:after="0"/>
              <w:rPr>
                <w:sz w:val="1"/>
                <w:szCs w:val="1"/>
                <w:color w:val="auto"/>
              </w:rPr>
            </w:pPr>
          </w:p>
        </w:tc>
      </w:tr>
      <w:tr>
        <w:trPr>
          <w:trHeight w:val="216"/>
        </w:trPr>
        <w:tc>
          <w:tcPr>
            <w:tcW w:w="2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Deferred compensation plan termination</w:t>
            </w: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8"/>
                <w:szCs w:val="18"/>
                <w:color w:val="auto"/>
              </w:rPr>
            </w:pPr>
          </w:p>
        </w:tc>
        <w:tc>
          <w:tcPr>
            <w:tcW w:w="840" w:type="dxa"/>
            <w:vAlign w:val="bottom"/>
            <w:tcBorders>
              <w:right w:val="single" w:sz="8" w:color="auto"/>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0.8</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0.02</w:t>
            </w:r>
          </w:p>
        </w:tc>
        <w:tc>
          <w:tcPr>
            <w:tcW w:w="0" w:type="dxa"/>
            <w:vAlign w:val="bottom"/>
          </w:tcPr>
          <w:p>
            <w:pPr>
              <w:spacing w:after="0"/>
              <w:rPr>
                <w:sz w:val="1"/>
                <w:szCs w:val="1"/>
                <w:color w:val="auto"/>
              </w:rPr>
            </w:pPr>
          </w:p>
        </w:tc>
      </w:tr>
      <w:tr>
        <w:trPr>
          <w:trHeight w:val="252"/>
        </w:trPr>
        <w:tc>
          <w:tcPr>
            <w:tcW w:w="296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As adjusted</w:t>
            </w: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56.9</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rPr>
              <w:t>7.6 %</w:t>
            </w:r>
          </w:p>
        </w:tc>
        <w:tc>
          <w:tcPr>
            <w:tcW w:w="120" w:type="dxa"/>
            <w:vAlign w:val="bottom"/>
          </w:tcPr>
          <w:p>
            <w:pPr>
              <w:spacing w:after="0"/>
              <w:rPr>
                <w:sz w:val="21"/>
                <w:szCs w:val="21"/>
                <w:color w:val="auto"/>
              </w:rPr>
            </w:pPr>
          </w:p>
        </w:tc>
        <w:tc>
          <w:tcPr>
            <w:tcW w:w="320" w:type="dxa"/>
            <w:vAlign w:val="bottom"/>
            <w:tcBorders>
              <w:top w:val="single" w:sz="8" w:color="auto"/>
              <w:bottom w:val="single" w:sz="8" w:color="auto"/>
            </w:tcBorders>
          </w:tcPr>
          <w:p>
            <w:pPr>
              <w:jc w:val="right"/>
              <w:ind w:right="13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37.5</w:t>
            </w:r>
          </w:p>
        </w:tc>
        <w:tc>
          <w:tcPr>
            <w:tcW w:w="100" w:type="dxa"/>
            <w:vAlign w:val="bottom"/>
          </w:tcPr>
          <w:p>
            <w:pPr>
              <w:spacing w:after="0"/>
              <w:rPr>
                <w:sz w:val="21"/>
                <w:szCs w:val="21"/>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1.03</w:t>
            </w:r>
          </w:p>
        </w:tc>
        <w:tc>
          <w:tcPr>
            <w:tcW w:w="120" w:type="dxa"/>
            <w:vAlign w:val="bottom"/>
            <w:tcBorders>
              <w:right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39.4</w:t>
            </w: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rPr>
              <w:t>5.2 %</w:t>
            </w:r>
          </w:p>
        </w:tc>
        <w:tc>
          <w:tcPr>
            <w:tcW w:w="100" w:type="dxa"/>
            <w:vAlign w:val="bottom"/>
          </w:tcPr>
          <w:p>
            <w:pPr>
              <w:spacing w:after="0"/>
              <w:rPr>
                <w:sz w:val="21"/>
                <w:szCs w:val="21"/>
                <w:color w:val="auto"/>
              </w:rPr>
            </w:pPr>
          </w:p>
        </w:tc>
        <w:tc>
          <w:tcPr>
            <w:tcW w:w="340" w:type="dxa"/>
            <w:vAlign w:val="bottom"/>
            <w:tcBorders>
              <w:top w:val="single" w:sz="8" w:color="auto"/>
              <w:bottom w:val="single" w:sz="8" w:color="auto"/>
            </w:tcBorders>
          </w:tcPr>
          <w:p>
            <w:pPr>
              <w:jc w:val="right"/>
              <w:ind w:right="15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26.8</w:t>
            </w:r>
          </w:p>
        </w:tc>
        <w:tc>
          <w:tcPr>
            <w:tcW w:w="120" w:type="dxa"/>
            <w:vAlign w:val="bottom"/>
          </w:tcPr>
          <w:p>
            <w:pPr>
              <w:spacing w:after="0"/>
              <w:rPr>
                <w:sz w:val="21"/>
                <w:szCs w:val="21"/>
                <w:color w:val="auto"/>
              </w:rPr>
            </w:pPr>
          </w:p>
        </w:tc>
        <w:tc>
          <w:tcPr>
            <w:tcW w:w="32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6"/>
                <w:szCs w:val="16"/>
                <w:b w:val="1"/>
                <w:bCs w:val="1"/>
                <w:color w:val="auto"/>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0.74</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1240"/>
          </w:cols>
          <w:pgMar w:left="320" w:top="945" w:right="339" w:bottom="1440" w:gutter="0" w:footer="0" w:header="0"/>
        </w:sectPr>
      </w:pPr>
    </w:p>
    <w:bookmarkStart w:id="5" w:name="page6"/>
    <w:bookmarkEnd w:id="5"/>
    <w:tbl>
      <w:tblPr>
        <w:tblLayout w:type="fixed"/>
        <w:tblInd w:w="40" w:type="dxa"/>
        <w:tblCellMar>
          <w:top w:w="0" w:type="dxa"/>
          <w:left w:w="0" w:type="dxa"/>
          <w:bottom w:w="0" w:type="dxa"/>
          <w:right w:w="0" w:type="dxa"/>
        </w:tblCellMar>
      </w:tblPr>
      <w:tr>
        <w:trPr>
          <w:trHeight w:val="215"/>
        </w:trPr>
        <w:tc>
          <w:tcPr>
            <w:tcW w:w="290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2040" w:type="dxa"/>
            <w:vAlign w:val="bottom"/>
            <w:tcBorders>
              <w:bottom w:val="single" w:sz="8" w:color="auto"/>
            </w:tcBorders>
            <w:gridSpan w:val="5"/>
          </w:tcPr>
          <w:p>
            <w:pPr>
              <w:ind w:left="160"/>
              <w:spacing w:after="0"/>
              <w:rPr>
                <w:sz w:val="20"/>
                <w:szCs w:val="20"/>
                <w:color w:val="auto"/>
              </w:rPr>
            </w:pPr>
            <w:r>
              <w:rPr>
                <w:rFonts w:ascii="Times New Roman" w:cs="Times New Roman" w:eastAsia="Times New Roman" w:hAnsi="Times New Roman"/>
                <w:sz w:val="16"/>
                <w:szCs w:val="16"/>
                <w:b w:val="1"/>
                <w:bCs w:val="1"/>
                <w:color w:val="auto"/>
              </w:rPr>
              <w:t>First Three Quarters</w:t>
            </w:r>
          </w:p>
        </w:tc>
        <w:tc>
          <w:tcPr>
            <w:tcW w:w="10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290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gridSpan w:val="4"/>
          </w:tcPr>
          <w:p>
            <w:pPr>
              <w:jc w:val="right"/>
              <w:ind w:right="119"/>
              <w:spacing w:after="0"/>
              <w:rPr>
                <w:sz w:val="20"/>
                <w:szCs w:val="20"/>
                <w:color w:val="auto"/>
              </w:rPr>
            </w:pPr>
            <w:r>
              <w:rPr>
                <w:rFonts w:ascii="Times New Roman" w:cs="Times New Roman" w:eastAsia="Times New Roman" w:hAnsi="Times New Roman"/>
                <w:sz w:val="16"/>
                <w:szCs w:val="16"/>
                <w:b w:val="1"/>
                <w:bCs w:val="1"/>
                <w:color w:val="auto"/>
              </w:rPr>
              <w:t>2026</w:t>
            </w:r>
          </w:p>
        </w:tc>
        <w:tc>
          <w:tcPr>
            <w:tcW w:w="66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spacing w:after="0"/>
              <w:rPr>
                <w:sz w:val="18"/>
                <w:szCs w:val="18"/>
                <w:color w:val="auto"/>
              </w:rPr>
            </w:pPr>
          </w:p>
        </w:tc>
        <w:tc>
          <w:tcPr>
            <w:tcW w:w="140" w:type="dxa"/>
            <w:vAlign w:val="bottom"/>
            <w:tcBorders>
              <w:bottom w:val="single" w:sz="8" w:color="auto"/>
              <w:right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gridSpan w:val="4"/>
          </w:tcPr>
          <w:p>
            <w:pPr>
              <w:jc w:val="right"/>
              <w:ind w:right="179"/>
              <w:spacing w:after="0"/>
              <w:rPr>
                <w:sz w:val="20"/>
                <w:szCs w:val="20"/>
                <w:color w:val="auto"/>
              </w:rPr>
            </w:pPr>
            <w:r>
              <w:rPr>
                <w:rFonts w:ascii="Times New Roman" w:cs="Times New Roman" w:eastAsia="Times New Roman" w:hAnsi="Times New Roman"/>
                <w:sz w:val="16"/>
                <w:szCs w:val="16"/>
                <w:b w:val="1"/>
                <w:bCs w:val="1"/>
                <w:color w:val="auto"/>
              </w:rPr>
              <w:t>2025</w:t>
            </w:r>
          </w:p>
        </w:tc>
        <w:tc>
          <w:tcPr>
            <w:tcW w:w="6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57"/>
        </w:trPr>
        <w:tc>
          <w:tcPr>
            <w:tcW w:w="2900" w:type="dxa"/>
            <w:vAlign w:val="bottom"/>
            <w:vMerge w:val="restart"/>
          </w:tcPr>
          <w:p>
            <w:pPr>
              <w:ind w:left="20"/>
              <w:spacing w:after="0"/>
              <w:rPr>
                <w:sz w:val="20"/>
                <w:szCs w:val="20"/>
                <w:color w:val="auto"/>
              </w:rPr>
            </w:pPr>
            <w:r>
              <w:rPr>
                <w:rFonts w:ascii="Times New Roman" w:cs="Times New Roman" w:eastAsia="Times New Roman" w:hAnsi="Times New Roman"/>
                <w:sz w:val="16"/>
                <w:szCs w:val="16"/>
                <w:color w:val="auto"/>
              </w:rPr>
              <w:t>(In millions, except earnings per share)</w:t>
            </w:r>
          </w:p>
        </w:tc>
        <w:tc>
          <w:tcPr>
            <w:tcW w:w="120" w:type="dxa"/>
            <w:vAlign w:val="bottom"/>
          </w:tcPr>
          <w:p>
            <w:pPr>
              <w:spacing w:after="0"/>
              <w:rPr>
                <w:sz w:val="13"/>
                <w:szCs w:val="13"/>
                <w:color w:val="auto"/>
              </w:rPr>
            </w:pPr>
          </w:p>
        </w:tc>
        <w:tc>
          <w:tcPr>
            <w:tcW w:w="920" w:type="dxa"/>
            <w:vAlign w:val="bottom"/>
          </w:tcPr>
          <w:p>
            <w:pPr>
              <w:jc w:val="right"/>
              <w:ind w:right="99"/>
              <w:spacing w:after="0" w:line="158" w:lineRule="exact"/>
              <w:rPr>
                <w:sz w:val="20"/>
                <w:szCs w:val="20"/>
                <w:color w:val="auto"/>
              </w:rPr>
            </w:pPr>
            <w:r>
              <w:rPr>
                <w:rFonts w:ascii="Times New Roman" w:cs="Times New Roman" w:eastAsia="Times New Roman" w:hAnsi="Times New Roman"/>
                <w:sz w:val="16"/>
                <w:szCs w:val="16"/>
                <w:b w:val="1"/>
                <w:bCs w:val="1"/>
                <w:color w:val="auto"/>
              </w:rPr>
              <w:t>Operating</w:t>
            </w:r>
          </w:p>
        </w:tc>
        <w:tc>
          <w:tcPr>
            <w:tcW w:w="100" w:type="dxa"/>
            <w:vAlign w:val="bottom"/>
          </w:tcPr>
          <w:p>
            <w:pPr>
              <w:spacing w:after="0"/>
              <w:rPr>
                <w:sz w:val="13"/>
                <w:szCs w:val="13"/>
                <w:color w:val="auto"/>
              </w:rPr>
            </w:pPr>
          </w:p>
        </w:tc>
        <w:tc>
          <w:tcPr>
            <w:tcW w:w="960" w:type="dxa"/>
            <w:vAlign w:val="bottom"/>
            <w:gridSpan w:val="2"/>
          </w:tcPr>
          <w:p>
            <w:pPr>
              <w:jc w:val="center"/>
              <w:ind w:right="120"/>
              <w:spacing w:after="0" w:line="158" w:lineRule="exact"/>
              <w:rPr>
                <w:sz w:val="20"/>
                <w:szCs w:val="20"/>
                <w:color w:val="auto"/>
              </w:rPr>
            </w:pPr>
            <w:r>
              <w:rPr>
                <w:rFonts w:ascii="Times New Roman" w:cs="Times New Roman" w:eastAsia="Times New Roman" w:hAnsi="Times New Roman"/>
                <w:sz w:val="16"/>
                <w:szCs w:val="16"/>
                <w:b w:val="1"/>
                <w:bCs w:val="1"/>
                <w:color w:val="auto"/>
                <w:w w:val="99"/>
              </w:rPr>
              <w:t>% Net</w:t>
            </w:r>
          </w:p>
        </w:tc>
        <w:tc>
          <w:tcPr>
            <w:tcW w:w="1020" w:type="dxa"/>
            <w:vAlign w:val="bottom"/>
            <w:gridSpan w:val="3"/>
            <w:vMerge w:val="restart"/>
          </w:tcPr>
          <w:p>
            <w:pPr>
              <w:ind w:left="60"/>
              <w:spacing w:after="0"/>
              <w:rPr>
                <w:sz w:val="20"/>
                <w:szCs w:val="20"/>
                <w:color w:val="auto"/>
              </w:rPr>
            </w:pPr>
            <w:r>
              <w:rPr>
                <w:rFonts w:ascii="Times New Roman" w:cs="Times New Roman" w:eastAsia="Times New Roman" w:hAnsi="Times New Roman"/>
                <w:sz w:val="16"/>
                <w:szCs w:val="16"/>
                <w:b w:val="1"/>
                <w:bCs w:val="1"/>
                <w:color w:val="auto"/>
              </w:rPr>
              <w:t>Net Income</w:t>
            </w:r>
          </w:p>
        </w:tc>
        <w:tc>
          <w:tcPr>
            <w:tcW w:w="120" w:type="dxa"/>
            <w:vAlign w:val="bottom"/>
          </w:tcPr>
          <w:p>
            <w:pPr>
              <w:spacing w:after="0"/>
              <w:rPr>
                <w:sz w:val="13"/>
                <w:szCs w:val="13"/>
                <w:color w:val="auto"/>
              </w:rPr>
            </w:pPr>
          </w:p>
        </w:tc>
        <w:tc>
          <w:tcPr>
            <w:tcW w:w="860" w:type="dxa"/>
            <w:vAlign w:val="bottom"/>
            <w:tcBorders>
              <w:right w:val="single" w:sz="8" w:color="auto"/>
            </w:tcBorders>
            <w:gridSpan w:val="2"/>
          </w:tcPr>
          <w:p>
            <w:pPr>
              <w:ind w:left="40"/>
              <w:spacing w:after="0" w:line="158" w:lineRule="exact"/>
              <w:rPr>
                <w:sz w:val="20"/>
                <w:szCs w:val="20"/>
                <w:color w:val="auto"/>
              </w:rPr>
            </w:pPr>
            <w:r>
              <w:rPr>
                <w:rFonts w:ascii="Times New Roman" w:cs="Times New Roman" w:eastAsia="Times New Roman" w:hAnsi="Times New Roman"/>
                <w:sz w:val="16"/>
                <w:szCs w:val="16"/>
                <w:b w:val="1"/>
                <w:bCs w:val="1"/>
                <w:color w:val="auto"/>
              </w:rPr>
              <w:t>Diluted</w:t>
            </w: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60" w:type="dxa"/>
            <w:vAlign w:val="bottom"/>
          </w:tcPr>
          <w:p>
            <w:pPr>
              <w:jc w:val="right"/>
              <w:ind w:right="119"/>
              <w:spacing w:after="0" w:line="158" w:lineRule="exact"/>
              <w:rPr>
                <w:sz w:val="20"/>
                <w:szCs w:val="20"/>
                <w:color w:val="auto"/>
              </w:rPr>
            </w:pPr>
            <w:r>
              <w:rPr>
                <w:rFonts w:ascii="Times New Roman" w:cs="Times New Roman" w:eastAsia="Times New Roman" w:hAnsi="Times New Roman"/>
                <w:sz w:val="16"/>
                <w:szCs w:val="16"/>
                <w:b w:val="1"/>
                <w:bCs w:val="1"/>
                <w:color w:val="auto"/>
              </w:rPr>
              <w:t>Operating</w:t>
            </w:r>
          </w:p>
        </w:tc>
        <w:tc>
          <w:tcPr>
            <w:tcW w:w="100" w:type="dxa"/>
            <w:vAlign w:val="bottom"/>
          </w:tcPr>
          <w:p>
            <w:pPr>
              <w:spacing w:after="0"/>
              <w:rPr>
                <w:sz w:val="13"/>
                <w:szCs w:val="13"/>
                <w:color w:val="auto"/>
              </w:rPr>
            </w:pPr>
          </w:p>
        </w:tc>
        <w:tc>
          <w:tcPr>
            <w:tcW w:w="940" w:type="dxa"/>
            <w:vAlign w:val="bottom"/>
            <w:gridSpan w:val="2"/>
          </w:tcPr>
          <w:p>
            <w:pPr>
              <w:jc w:val="center"/>
              <w:ind w:right="100"/>
              <w:spacing w:after="0" w:line="158" w:lineRule="exact"/>
              <w:rPr>
                <w:sz w:val="20"/>
                <w:szCs w:val="20"/>
                <w:color w:val="auto"/>
              </w:rPr>
            </w:pPr>
            <w:r>
              <w:rPr>
                <w:rFonts w:ascii="Times New Roman" w:cs="Times New Roman" w:eastAsia="Times New Roman" w:hAnsi="Times New Roman"/>
                <w:sz w:val="16"/>
                <w:szCs w:val="16"/>
                <w:b w:val="1"/>
                <w:bCs w:val="1"/>
                <w:color w:val="auto"/>
                <w:w w:val="99"/>
              </w:rPr>
              <w:t>% Net</w:t>
            </w:r>
          </w:p>
        </w:tc>
        <w:tc>
          <w:tcPr>
            <w:tcW w:w="1040" w:type="dxa"/>
            <w:vAlign w:val="bottom"/>
            <w:gridSpan w:val="3"/>
            <w:vMerge w:val="restart"/>
          </w:tcPr>
          <w:p>
            <w:pPr>
              <w:ind w:left="60"/>
              <w:spacing w:after="0"/>
              <w:rPr>
                <w:sz w:val="20"/>
                <w:szCs w:val="20"/>
                <w:color w:val="auto"/>
              </w:rPr>
            </w:pPr>
            <w:r>
              <w:rPr>
                <w:rFonts w:ascii="Times New Roman" w:cs="Times New Roman" w:eastAsia="Times New Roman" w:hAnsi="Times New Roman"/>
                <w:sz w:val="16"/>
                <w:szCs w:val="16"/>
                <w:b w:val="1"/>
                <w:bCs w:val="1"/>
                <w:color w:val="auto"/>
              </w:rPr>
              <w:t>Net Income</w:t>
            </w:r>
          </w:p>
        </w:tc>
        <w:tc>
          <w:tcPr>
            <w:tcW w:w="920" w:type="dxa"/>
            <w:vAlign w:val="bottom"/>
            <w:gridSpan w:val="2"/>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Diluted EPS</w:t>
            </w:r>
          </w:p>
        </w:tc>
        <w:tc>
          <w:tcPr>
            <w:tcW w:w="0" w:type="dxa"/>
            <w:vAlign w:val="bottom"/>
          </w:tcPr>
          <w:p>
            <w:pPr>
              <w:spacing w:after="0"/>
              <w:rPr>
                <w:sz w:val="1"/>
                <w:szCs w:val="1"/>
                <w:color w:val="auto"/>
              </w:rPr>
            </w:pPr>
          </w:p>
        </w:tc>
      </w:tr>
      <w:tr>
        <w:trPr>
          <w:trHeight w:val="214"/>
        </w:trPr>
        <w:tc>
          <w:tcPr>
            <w:tcW w:w="290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jc w:val="right"/>
              <w:ind w:right="199"/>
              <w:spacing w:after="0"/>
              <w:rPr>
                <w:sz w:val="20"/>
                <w:szCs w:val="20"/>
                <w:color w:val="auto"/>
              </w:rPr>
            </w:pPr>
            <w:r>
              <w:rPr>
                <w:rFonts w:ascii="Times New Roman" w:cs="Times New Roman" w:eastAsia="Times New Roman" w:hAnsi="Times New Roman"/>
                <w:sz w:val="16"/>
                <w:szCs w:val="16"/>
                <w:b w:val="1"/>
                <w:bCs w:val="1"/>
                <w:color w:val="auto"/>
              </w:rPr>
              <w:t>Income</w:t>
            </w:r>
          </w:p>
        </w:tc>
        <w:tc>
          <w:tcPr>
            <w:tcW w:w="100" w:type="dxa"/>
            <w:vAlign w:val="bottom"/>
          </w:tcPr>
          <w:p>
            <w:pPr>
              <w:spacing w:after="0"/>
              <w:rPr>
                <w:sz w:val="18"/>
                <w:szCs w:val="18"/>
                <w:color w:val="auto"/>
              </w:rPr>
            </w:pPr>
          </w:p>
        </w:tc>
        <w:tc>
          <w:tcPr>
            <w:tcW w:w="96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rPr>
              <w:t>Sales</w:t>
            </w:r>
          </w:p>
        </w:tc>
        <w:tc>
          <w:tcPr>
            <w:tcW w:w="1020" w:type="dxa"/>
            <w:vAlign w:val="bottom"/>
            <w:gridSpan w:val="3"/>
            <w:vMerge w:val="continue"/>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Borders>
              <w:right w:val="single" w:sz="8" w:color="auto"/>
            </w:tcBorders>
            <w:gridSpan w:val="2"/>
          </w:tcPr>
          <w:p>
            <w:pPr>
              <w:ind w:left="140"/>
              <w:spacing w:after="0"/>
              <w:rPr>
                <w:sz w:val="20"/>
                <w:szCs w:val="20"/>
                <w:color w:val="auto"/>
              </w:rPr>
            </w:pPr>
            <w:r>
              <w:rPr>
                <w:rFonts w:ascii="Times New Roman" w:cs="Times New Roman" w:eastAsia="Times New Roman" w:hAnsi="Times New Roman"/>
                <w:sz w:val="16"/>
                <w:szCs w:val="16"/>
                <w:b w:val="1"/>
                <w:bCs w:val="1"/>
                <w:color w:val="auto"/>
              </w:rPr>
              <w:t>EPS</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jc w:val="right"/>
              <w:ind w:right="219"/>
              <w:spacing w:after="0"/>
              <w:rPr>
                <w:sz w:val="20"/>
                <w:szCs w:val="20"/>
                <w:color w:val="auto"/>
              </w:rPr>
            </w:pPr>
            <w:r>
              <w:rPr>
                <w:rFonts w:ascii="Times New Roman" w:cs="Times New Roman" w:eastAsia="Times New Roman" w:hAnsi="Times New Roman"/>
                <w:sz w:val="16"/>
                <w:szCs w:val="16"/>
                <w:b w:val="1"/>
                <w:bCs w:val="1"/>
                <w:color w:val="auto"/>
              </w:rPr>
              <w:t>Income</w:t>
            </w:r>
          </w:p>
        </w:tc>
        <w:tc>
          <w:tcPr>
            <w:tcW w:w="100" w:type="dxa"/>
            <w:vAlign w:val="bottom"/>
          </w:tcPr>
          <w:p>
            <w:pPr>
              <w:spacing w:after="0"/>
              <w:rPr>
                <w:sz w:val="18"/>
                <w:szCs w:val="18"/>
                <w:color w:val="auto"/>
              </w:rPr>
            </w:pPr>
          </w:p>
        </w:tc>
        <w:tc>
          <w:tcPr>
            <w:tcW w:w="94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Sales</w:t>
            </w:r>
          </w:p>
        </w:tc>
        <w:tc>
          <w:tcPr>
            <w:tcW w:w="1040" w:type="dxa"/>
            <w:vAlign w:val="bottom"/>
            <w:gridSpan w:val="3"/>
            <w:vMerge w:val="continue"/>
          </w:tcPr>
          <w:p>
            <w:pPr>
              <w:spacing w:after="0"/>
              <w:rPr>
                <w:sz w:val="18"/>
                <w:szCs w:val="18"/>
                <w:color w:val="auto"/>
              </w:rPr>
            </w:pPr>
          </w:p>
        </w:tc>
        <w:tc>
          <w:tcPr>
            <w:tcW w:w="92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29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As reported (GAAP)</w:t>
            </w: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224.0</w:t>
            </w:r>
          </w:p>
        </w:tc>
        <w:tc>
          <w:tcPr>
            <w:tcW w:w="100" w:type="dxa"/>
            <w:vAlign w:val="bottom"/>
            <w:tcBorders>
              <w:top w:val="single" w:sz="8" w:color="CCEEFF"/>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10.9 %</w:t>
            </w:r>
          </w:p>
        </w:tc>
        <w:tc>
          <w:tcPr>
            <w:tcW w:w="1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155.9</w:t>
            </w: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4.27</w:t>
            </w:r>
          </w:p>
        </w:tc>
        <w:tc>
          <w:tcPr>
            <w:tcW w:w="140" w:type="dxa"/>
            <w:vAlign w:val="bottom"/>
            <w:tcBorders>
              <w:top w:val="single" w:sz="8" w:color="auto"/>
              <w:right w:val="single" w:sz="8" w:color="auto"/>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59.2</w:t>
            </w:r>
          </w:p>
        </w:tc>
        <w:tc>
          <w:tcPr>
            <w:tcW w:w="100" w:type="dxa"/>
            <w:vAlign w:val="bottom"/>
            <w:tcBorders>
              <w:top w:val="single" w:sz="8" w:color="CCEEFF"/>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3.0 %</w:t>
            </w:r>
          </w:p>
        </w:tc>
        <w:tc>
          <w:tcPr>
            <w:tcW w:w="10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27.6</w:t>
            </w:r>
          </w:p>
        </w:tc>
        <w:tc>
          <w:tcPr>
            <w:tcW w:w="12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0.75</w:t>
            </w:r>
          </w:p>
        </w:tc>
        <w:tc>
          <w:tcPr>
            <w:tcW w:w="0" w:type="dxa"/>
            <w:vAlign w:val="bottom"/>
          </w:tcPr>
          <w:p>
            <w:pPr>
              <w:spacing w:after="0"/>
              <w:rPr>
                <w:sz w:val="1"/>
                <w:szCs w:val="1"/>
                <w:color w:val="auto"/>
              </w:rPr>
            </w:pPr>
          </w:p>
        </w:tc>
      </w:tr>
      <w:tr>
        <w:trPr>
          <w:trHeight w:val="213"/>
        </w:trPr>
        <w:tc>
          <w:tcPr>
            <w:tcW w:w="29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Tariff refund recovery</w:t>
            </w:r>
          </w:p>
        </w:tc>
        <w:tc>
          <w:tcPr>
            <w:tcW w:w="1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(127.7)</w:t>
            </w: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(100.1)</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(2.74)</w:t>
            </w:r>
          </w:p>
        </w:tc>
        <w:tc>
          <w:tcPr>
            <w:tcW w:w="14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2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9"/>
        </w:trPr>
        <w:tc>
          <w:tcPr>
            <w:tcW w:w="2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Leadership transition costs</w:t>
            </w:r>
          </w:p>
        </w:tc>
        <w:tc>
          <w:tcPr>
            <w:tcW w:w="1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4.7</w:t>
            </w:r>
          </w:p>
        </w:tc>
        <w:tc>
          <w:tcPr>
            <w:tcW w:w="10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0.10</w:t>
            </w:r>
          </w:p>
        </w:tc>
        <w:tc>
          <w:tcPr>
            <w:tcW w:w="14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7.7</w:t>
            </w:r>
          </w:p>
        </w:tc>
        <w:tc>
          <w:tcPr>
            <w:tcW w:w="10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7.0</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0.19</w:t>
            </w:r>
          </w:p>
        </w:tc>
        <w:tc>
          <w:tcPr>
            <w:tcW w:w="0" w:type="dxa"/>
            <w:vAlign w:val="bottom"/>
          </w:tcPr>
          <w:p>
            <w:pPr>
              <w:spacing w:after="0"/>
              <w:rPr>
                <w:sz w:val="1"/>
                <w:szCs w:val="1"/>
                <w:color w:val="auto"/>
              </w:rPr>
            </w:pPr>
          </w:p>
        </w:tc>
      </w:tr>
      <w:tr>
        <w:trPr>
          <w:trHeight w:val="213"/>
        </w:trPr>
        <w:tc>
          <w:tcPr>
            <w:tcW w:w="29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IP litigation</w:t>
            </w:r>
          </w:p>
        </w:tc>
        <w:tc>
          <w:tcPr>
            <w:tcW w:w="1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w:t>
            </w: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0.05</w:t>
            </w:r>
          </w:p>
        </w:tc>
        <w:tc>
          <w:tcPr>
            <w:tcW w:w="14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2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9"/>
        </w:trPr>
        <w:tc>
          <w:tcPr>
            <w:tcW w:w="2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Organizational restructuring</w:t>
            </w:r>
          </w:p>
        </w:tc>
        <w:tc>
          <w:tcPr>
            <w:tcW w:w="1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7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9"/>
                <w:szCs w:val="19"/>
                <w:color w:val="auto"/>
              </w:rPr>
            </w:pPr>
          </w:p>
        </w:tc>
        <w:tc>
          <w:tcPr>
            <w:tcW w:w="860" w:type="dxa"/>
            <w:vAlign w:val="bottom"/>
            <w:tcBorders>
              <w:right w:val="single" w:sz="8" w:color="auto"/>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6.1</w:t>
            </w:r>
          </w:p>
        </w:tc>
        <w:tc>
          <w:tcPr>
            <w:tcW w:w="10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0.13</w:t>
            </w:r>
          </w:p>
        </w:tc>
        <w:tc>
          <w:tcPr>
            <w:tcW w:w="0" w:type="dxa"/>
            <w:vAlign w:val="bottom"/>
          </w:tcPr>
          <w:p>
            <w:pPr>
              <w:spacing w:after="0"/>
              <w:rPr>
                <w:sz w:val="1"/>
                <w:szCs w:val="1"/>
                <w:color w:val="auto"/>
              </w:rPr>
            </w:pPr>
          </w:p>
        </w:tc>
      </w:tr>
      <w:tr>
        <w:trPr>
          <w:trHeight w:val="213"/>
        </w:trPr>
        <w:tc>
          <w:tcPr>
            <w:tcW w:w="29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Operating model improvement costs</w:t>
            </w:r>
          </w:p>
        </w:tc>
        <w:tc>
          <w:tcPr>
            <w:tcW w:w="1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8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860" w:type="dxa"/>
            <w:vAlign w:val="bottom"/>
            <w:tcBorders>
              <w:right w:val="single" w:sz="8" w:color="auto"/>
            </w:tcBorders>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13.5</w:t>
            </w: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10.2</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0.29</w:t>
            </w:r>
          </w:p>
        </w:tc>
        <w:tc>
          <w:tcPr>
            <w:tcW w:w="0" w:type="dxa"/>
            <w:vAlign w:val="bottom"/>
          </w:tcPr>
          <w:p>
            <w:pPr>
              <w:spacing w:after="0"/>
              <w:rPr>
                <w:sz w:val="1"/>
                <w:szCs w:val="1"/>
                <w:color w:val="auto"/>
              </w:rPr>
            </w:pPr>
          </w:p>
        </w:tc>
      </w:tr>
      <w:tr>
        <w:trPr>
          <w:trHeight w:val="219"/>
        </w:trPr>
        <w:tc>
          <w:tcPr>
            <w:tcW w:w="2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Pension plan settlement</w:t>
            </w:r>
          </w:p>
        </w:tc>
        <w:tc>
          <w:tcPr>
            <w:tcW w:w="1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7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9"/>
                <w:szCs w:val="19"/>
                <w:color w:val="auto"/>
              </w:rPr>
            </w:pPr>
          </w:p>
        </w:tc>
        <w:tc>
          <w:tcPr>
            <w:tcW w:w="860" w:type="dxa"/>
            <w:vAlign w:val="bottom"/>
            <w:tcBorders>
              <w:right w:val="single" w:sz="8" w:color="auto"/>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6.7</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0.19</w:t>
            </w:r>
          </w:p>
        </w:tc>
        <w:tc>
          <w:tcPr>
            <w:tcW w:w="0" w:type="dxa"/>
            <w:vAlign w:val="bottom"/>
          </w:tcPr>
          <w:p>
            <w:pPr>
              <w:spacing w:after="0"/>
              <w:rPr>
                <w:sz w:val="1"/>
                <w:szCs w:val="1"/>
                <w:color w:val="auto"/>
              </w:rPr>
            </w:pPr>
          </w:p>
        </w:tc>
      </w:tr>
      <w:tr>
        <w:trPr>
          <w:trHeight w:val="213"/>
        </w:trPr>
        <w:tc>
          <w:tcPr>
            <w:tcW w:w="29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Deferred compensation plan termination</w:t>
            </w:r>
          </w:p>
        </w:tc>
        <w:tc>
          <w:tcPr>
            <w:tcW w:w="1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8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860" w:type="dxa"/>
            <w:vAlign w:val="bottom"/>
            <w:tcBorders>
              <w:right w:val="single" w:sz="8" w:color="auto"/>
            </w:tcBorders>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0.8</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0.02</w:t>
            </w:r>
          </w:p>
        </w:tc>
        <w:tc>
          <w:tcPr>
            <w:tcW w:w="0" w:type="dxa"/>
            <w:vAlign w:val="bottom"/>
          </w:tcPr>
          <w:p>
            <w:pPr>
              <w:spacing w:after="0"/>
              <w:rPr>
                <w:sz w:val="1"/>
                <w:szCs w:val="1"/>
                <w:color w:val="auto"/>
              </w:rPr>
            </w:pPr>
          </w:p>
        </w:tc>
      </w:tr>
      <w:tr>
        <w:trPr>
          <w:trHeight w:val="237"/>
        </w:trPr>
        <w:tc>
          <w:tcPr>
            <w:tcW w:w="29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As adjusted</w:t>
            </w: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103.5</w:t>
            </w:r>
          </w:p>
        </w:tc>
        <w:tc>
          <w:tcPr>
            <w:tcW w:w="960" w:type="dxa"/>
            <w:vAlign w:val="bottom"/>
            <w:tcBorders>
              <w:top w:val="single" w:sz="8" w:color="CCEEFF"/>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5.0 %</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40" w:type="dxa"/>
            <w:vAlign w:val="bottom"/>
            <w:tcBorders>
              <w:top w:val="single" w:sz="8" w:color="auto"/>
              <w:bottom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61.2</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1.68</w:t>
            </w:r>
          </w:p>
        </w:tc>
        <w:tc>
          <w:tcPr>
            <w:tcW w:w="140" w:type="dxa"/>
            <w:vAlign w:val="bottom"/>
            <w:tcBorders>
              <w:top w:val="single" w:sz="8" w:color="CCEEFF"/>
              <w:bottom w:val="single" w:sz="8" w:color="CCEEFF"/>
              <w:right w:val="single" w:sz="8" w:color="auto"/>
            </w:tcBorders>
            <w:shd w:val="clear" w:color="auto" w:fill="CCEEFF"/>
          </w:tcPr>
          <w:p>
            <w:pPr>
              <w:spacing w:after="0"/>
              <w:rPr>
                <w:sz w:val="20"/>
                <w:szCs w:val="20"/>
                <w:color w:val="auto"/>
              </w:rPr>
            </w:pP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86.5</w:t>
            </w:r>
          </w:p>
        </w:tc>
        <w:tc>
          <w:tcPr>
            <w:tcW w:w="940" w:type="dxa"/>
            <w:vAlign w:val="bottom"/>
            <w:tcBorders>
              <w:top w:val="single" w:sz="8" w:color="CCEEFF"/>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4.4 %</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320" w:type="dxa"/>
            <w:vAlign w:val="bottom"/>
            <w:tcBorders>
              <w:top w:val="single" w:sz="8" w:color="auto"/>
              <w:bottom w:val="single" w:sz="8" w:color="auto"/>
            </w:tcBorders>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56.9</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32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w:t>
            </w: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1.57</w:t>
            </w:r>
          </w:p>
        </w:tc>
        <w:tc>
          <w:tcPr>
            <w:tcW w:w="0" w:type="dxa"/>
            <w:vAlign w:val="bottom"/>
          </w:tcPr>
          <w:p>
            <w:pPr>
              <w:spacing w:after="0"/>
              <w:rPr>
                <w:sz w:val="1"/>
                <w:szCs w:val="1"/>
                <w:color w:val="auto"/>
              </w:rPr>
            </w:pPr>
          </w:p>
        </w:tc>
      </w:tr>
      <w:tr>
        <w:trPr>
          <w:trHeight w:val="20"/>
        </w:trPr>
        <w:tc>
          <w:tcPr>
            <w:tcW w:w="29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5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Note: Results may not be additive due to rounding.</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Consolidated Results</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i w:val="1"/>
          <w:iCs w:val="1"/>
          <w:color w:val="auto"/>
        </w:rPr>
        <w:t>Third Quarter Fiscal 2026 compared to Third Quarter Fiscal 2025</w:t>
      </w:r>
    </w:p>
    <w:p>
      <w:pPr>
        <w:spacing w:after="0" w:line="129" w:lineRule="exact"/>
        <w:rPr>
          <w:sz w:val="20"/>
          <w:szCs w:val="20"/>
          <w:color w:val="auto"/>
        </w:rPr>
      </w:pPr>
    </w:p>
    <w:p>
      <w:pPr>
        <w:ind w:right="40"/>
        <w:spacing w:after="0" w:line="362" w:lineRule="auto"/>
        <w:rPr>
          <w:sz w:val="20"/>
          <w:szCs w:val="20"/>
          <w:color w:val="auto"/>
        </w:rPr>
      </w:pPr>
      <w:r>
        <w:rPr>
          <w:rFonts w:ascii="Times New Roman" w:cs="Times New Roman" w:eastAsia="Times New Roman" w:hAnsi="Times New Roman"/>
          <w:sz w:val="22"/>
          <w:szCs w:val="22"/>
          <w:color w:val="auto"/>
        </w:rPr>
        <w:t>Net sales decreased $5.4 million, or 0.7%, to $752.5 million, compared to $757.8 million in the third quarter of fiscal 2025. Net sales increased 4.5% in the International segment, were comparable to prior year in U.S. Retail, and decreased 3.8% in U.S. Wholesale. U.S. Retail comparable net sales increased 0.4%. Changes in foreign currency exchange rates used for translation had a favorable effect on consolidated net sales of approximately $0.9 million, or 0.1% in the third quarter of fiscal 2026, as compared to the third quarter of fiscal 2025.</w:t>
      </w:r>
    </w:p>
    <w:p>
      <w:pPr>
        <w:spacing w:after="0" w:line="77" w:lineRule="exact"/>
        <w:rPr>
          <w:sz w:val="20"/>
          <w:szCs w:val="20"/>
          <w:color w:val="auto"/>
        </w:rPr>
      </w:pPr>
    </w:p>
    <w:p>
      <w:pPr>
        <w:ind w:right="80"/>
        <w:spacing w:after="0" w:line="384" w:lineRule="auto"/>
        <w:rPr>
          <w:sz w:val="20"/>
          <w:szCs w:val="20"/>
          <w:color w:val="auto"/>
        </w:rPr>
      </w:pPr>
      <w:r>
        <w:rPr>
          <w:rFonts w:ascii="Times New Roman" w:cs="Times New Roman" w:eastAsia="Times New Roman" w:hAnsi="Times New Roman"/>
          <w:sz w:val="21"/>
          <w:szCs w:val="21"/>
          <w:color w:val="auto"/>
        </w:rPr>
        <w:t>Operating income increased $26.7 million, or 91.7%, to $55.8 million, compared to $29.1 million in the third quarter of fiscal 2025, reflecting higher realized pricing, benefits from productivity initiatives, and the non-recurrence of organizational restructuring and operating model improvement costs in the prior year period. These benefits were partially offset by increased marketing investments as well as general cost inflation. Operating margin increased to 7.4%, compared to 3.8% in the prior year.</w:t>
      </w:r>
    </w:p>
    <w:p>
      <w:pPr>
        <w:spacing w:after="0" w:line="61" w:lineRule="exact"/>
        <w:rPr>
          <w:sz w:val="20"/>
          <w:szCs w:val="20"/>
          <w:color w:val="auto"/>
        </w:rPr>
      </w:pPr>
    </w:p>
    <w:p>
      <w:pPr>
        <w:ind w:right="20"/>
        <w:spacing w:after="0" w:line="367" w:lineRule="auto"/>
        <w:rPr>
          <w:sz w:val="20"/>
          <w:szCs w:val="20"/>
          <w:color w:val="auto"/>
        </w:rPr>
      </w:pPr>
      <w:r>
        <w:rPr>
          <w:rFonts w:ascii="Times New Roman" w:cs="Times New Roman" w:eastAsia="Times New Roman" w:hAnsi="Times New Roman"/>
          <w:sz w:val="22"/>
          <w:szCs w:val="22"/>
          <w:color w:val="auto"/>
        </w:rPr>
        <w:t>Adjusted operating income (a non-GAAP measure) increased $17.6 million, or 44.6% to $56.9 million, compared to $39.4 million in the third quarter of fiscal 2025, principally due to higher realized pricing and benefits from productivity initiatives, which more than offset increased marketing investments and general cost inflation. Adjusted operating margin increased to 7.6%, compared to 5.2% in the prior year period.</w:t>
      </w:r>
    </w:p>
    <w:p>
      <w:pPr>
        <w:spacing w:after="0" w:line="73" w:lineRule="exact"/>
        <w:rPr>
          <w:sz w:val="20"/>
          <w:szCs w:val="20"/>
          <w:color w:val="auto"/>
        </w:rPr>
      </w:pPr>
    </w:p>
    <w:p>
      <w:pPr>
        <w:ind w:right="520"/>
        <w:spacing w:after="0" w:line="373" w:lineRule="auto"/>
        <w:rPr>
          <w:sz w:val="20"/>
          <w:szCs w:val="20"/>
          <w:color w:val="auto"/>
        </w:rPr>
      </w:pPr>
      <w:r>
        <w:rPr>
          <w:rFonts w:ascii="Times New Roman" w:cs="Times New Roman" w:eastAsia="Times New Roman" w:hAnsi="Times New Roman"/>
          <w:sz w:val="22"/>
          <w:szCs w:val="22"/>
          <w:color w:val="auto"/>
        </w:rPr>
        <w:t>Net income was $36.6 million, or $1.00 per diluted share, compared to $11.6 million, or $0.32 per diluted share, in the third quarter of fiscal 2025.</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Adjusted net income (a non-GAAP measure) was $37.5 million, compared to $26.8 million in the third quarter of fiscal 2025.</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Adjusted earnings per diluted share (a non-GAAP measure) was $1.03, compared to $0.74 in the prior-year quarter.</w:t>
      </w:r>
    </w:p>
    <w:p>
      <w:pPr>
        <w:spacing w:after="0" w:line="200" w:lineRule="exact"/>
        <w:rPr>
          <w:sz w:val="20"/>
          <w:szCs w:val="20"/>
          <w:color w:val="auto"/>
        </w:rPr>
      </w:pPr>
    </w:p>
    <w:p>
      <w:pPr>
        <w:spacing w:after="0" w:line="39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1220"/>
          </w:cols>
          <w:pgMar w:left="320" w:top="1028" w:right="35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22"/>
          <w:szCs w:val="22"/>
          <w:i w:val="1"/>
          <w:iCs w:val="1"/>
          <w:color w:val="auto"/>
        </w:rPr>
        <w:t>First Three Quarters of Fiscal 2026 compared to First Three Quarters of Fiscal 2025</w:t>
      </w:r>
    </w:p>
    <w:p>
      <w:pPr>
        <w:spacing w:after="0" w:line="129" w:lineRule="exact"/>
        <w:rPr>
          <w:sz w:val="20"/>
          <w:szCs w:val="20"/>
          <w:color w:val="auto"/>
        </w:rPr>
      </w:pPr>
    </w:p>
    <w:p>
      <w:pPr>
        <w:jc w:val="both"/>
        <w:ind w:right="240"/>
        <w:spacing w:after="0" w:line="362" w:lineRule="auto"/>
        <w:rPr>
          <w:sz w:val="20"/>
          <w:szCs w:val="20"/>
          <w:color w:val="auto"/>
        </w:rPr>
      </w:pPr>
      <w:r>
        <w:rPr>
          <w:rFonts w:ascii="Times New Roman" w:cs="Times New Roman" w:eastAsia="Times New Roman" w:hAnsi="Times New Roman"/>
          <w:sz w:val="22"/>
          <w:szCs w:val="22"/>
          <w:color w:val="auto"/>
        </w:rPr>
        <w:t>Net sales increased $76.1 million, or 3.9%, to $2.05 billion, compared to $1.97 billion in the first three quarters of fiscal 2025, reflecting growth in each segment. Net sales in the International, U.S. Retail, and U.S. Wholesale segments grew 6.8%, 4.5%, and 1.8%, respectively. U.S. Retail comparable net sales increased 5.0%. Changes in foreign currency exchange rates used for translation had a favorable effect on consolidated net sales of approximately $8.9 million, or 0.5% in the first three quarters of fiscal 2026, as compared to the first three quarters of fiscal 2025.</w:t>
      </w:r>
    </w:p>
    <w:p>
      <w:pPr>
        <w:spacing w:after="0" w:line="77" w:lineRule="exact"/>
        <w:rPr>
          <w:sz w:val="20"/>
          <w:szCs w:val="20"/>
          <w:color w:val="auto"/>
        </w:rPr>
      </w:pPr>
    </w:p>
    <w:p>
      <w:pPr>
        <w:spacing w:after="0" w:line="362" w:lineRule="auto"/>
        <w:rPr>
          <w:sz w:val="20"/>
          <w:szCs w:val="20"/>
          <w:color w:val="auto"/>
        </w:rPr>
      </w:pPr>
      <w:r>
        <w:rPr>
          <w:rFonts w:ascii="Times New Roman" w:cs="Times New Roman" w:eastAsia="Times New Roman" w:hAnsi="Times New Roman"/>
          <w:sz w:val="22"/>
          <w:szCs w:val="22"/>
          <w:color w:val="auto"/>
        </w:rPr>
        <w:t>Operating income increased $164.8 million to $224.0 million, compared to $59.2 million in the first three quarters of fiscal 2025, reflecting a recovery of previously paid import duties, benefits from productivity initiatives, and the non-recurrence of organizational restructuring and operating model improvement costs in the prior year period. These benefits were partially offset by incremental tariff costs, increased marketing investments, and general cost inflation. Operating margin increased to 10.9%, compared to 3.0% in the prior year period.</w:t>
      </w:r>
    </w:p>
    <w:p>
      <w:pPr>
        <w:spacing w:after="0" w:line="77" w:lineRule="exact"/>
        <w:rPr>
          <w:sz w:val="20"/>
          <w:szCs w:val="20"/>
          <w:color w:val="auto"/>
        </w:rPr>
      </w:pPr>
    </w:p>
    <w:p>
      <w:pPr>
        <w:ind w:right="120"/>
        <w:spacing w:after="0" w:line="367" w:lineRule="auto"/>
        <w:rPr>
          <w:sz w:val="20"/>
          <w:szCs w:val="20"/>
          <w:color w:val="auto"/>
        </w:rPr>
      </w:pPr>
      <w:r>
        <w:rPr>
          <w:rFonts w:ascii="Times New Roman" w:cs="Times New Roman" w:eastAsia="Times New Roman" w:hAnsi="Times New Roman"/>
          <w:sz w:val="22"/>
          <w:szCs w:val="22"/>
          <w:color w:val="auto"/>
        </w:rPr>
        <w:t>Adjusted operating income (a non-GAAP measure) increased $17.0 million, or 19.6% to $103.5 million, compared to $86.5 million in the first three quarters of fiscal 2025, principally due to higher net sales and the benefits from productivity initiatives, which more than offset incremental tariff costs, increased marketing investments, and general cost inflation. Adjusted operating margin increased to 5.0%, compared to 4.4% in the prior year period.</w:t>
      </w:r>
    </w:p>
    <w:p>
      <w:pPr>
        <w:spacing w:after="0" w:line="59" w:lineRule="exact"/>
        <w:rPr>
          <w:sz w:val="20"/>
          <w:szCs w:val="20"/>
          <w:color w:val="auto"/>
        </w:rPr>
      </w:pPr>
    </w:p>
    <w:p>
      <w:pPr>
        <w:ind w:right="400"/>
        <w:spacing w:after="0" w:line="386" w:lineRule="auto"/>
        <w:rPr>
          <w:sz w:val="20"/>
          <w:szCs w:val="20"/>
          <w:color w:val="auto"/>
        </w:rPr>
      </w:pPr>
      <w:r>
        <w:rPr>
          <w:rFonts w:ascii="Times New Roman" w:cs="Times New Roman" w:eastAsia="Times New Roman" w:hAnsi="Times New Roman"/>
          <w:sz w:val="22"/>
          <w:szCs w:val="22"/>
          <w:color w:val="auto"/>
        </w:rPr>
        <w:t>Net income was $155.9 million, or $4.27 per diluted share, compared to $27.6 million, or $0.75 per diluted share, in the first three quarters of fiscal 2025.</w:t>
      </w:r>
    </w:p>
    <w:p>
      <w:pPr>
        <w:spacing w:after="0" w:line="50" w:lineRule="exact"/>
        <w:rPr>
          <w:sz w:val="20"/>
          <w:szCs w:val="20"/>
          <w:color w:val="auto"/>
        </w:rPr>
      </w:pPr>
    </w:p>
    <w:p>
      <w:pPr>
        <w:ind w:right="40"/>
        <w:spacing w:after="0" w:line="372" w:lineRule="auto"/>
        <w:rPr>
          <w:sz w:val="20"/>
          <w:szCs w:val="20"/>
          <w:color w:val="auto"/>
        </w:rPr>
      </w:pPr>
      <w:r>
        <w:rPr>
          <w:rFonts w:ascii="Times New Roman" w:cs="Times New Roman" w:eastAsia="Times New Roman" w:hAnsi="Times New Roman"/>
          <w:sz w:val="22"/>
          <w:szCs w:val="22"/>
          <w:color w:val="auto"/>
        </w:rPr>
        <w:t>Adjusted net income (a non-GAAP measure) was $61.2 million, compared to $56.9 million in the first three quarters of fiscal 2025. Adjusted earnings per diluted share (a non-GAAP measure) was $1.68, compared to adjusted earnings per diluted share of $1.57 in the first three quarters of fiscal 2025.</w:t>
      </w:r>
    </w:p>
    <w:p>
      <w:pPr>
        <w:spacing w:after="0" w:line="66" w:lineRule="exact"/>
        <w:rPr>
          <w:sz w:val="20"/>
          <w:szCs w:val="20"/>
          <w:color w:val="auto"/>
        </w:rPr>
      </w:pPr>
    </w:p>
    <w:p>
      <w:pPr>
        <w:ind w:right="60"/>
        <w:spacing w:after="0" w:line="366" w:lineRule="auto"/>
        <w:rPr>
          <w:sz w:val="20"/>
          <w:szCs w:val="20"/>
          <w:color w:val="auto"/>
        </w:rPr>
      </w:pPr>
      <w:r>
        <w:rPr>
          <w:rFonts w:ascii="Times New Roman" w:cs="Times New Roman" w:eastAsia="Times New Roman" w:hAnsi="Times New Roman"/>
          <w:sz w:val="22"/>
          <w:szCs w:val="22"/>
          <w:color w:val="auto"/>
        </w:rPr>
        <w:t>Net cash provided by operations in the first three quarters of fiscal 2026 was $101.8 million, compared to net cash used in operations of $136.3 million in the first three quarters of fiscal 2025. The improved operating cash flow was primarily driven by the receipt of a refund of previously paid import duties and improved working capital.</w:t>
      </w:r>
    </w:p>
    <w:p>
      <w:pPr>
        <w:spacing w:after="0" w:line="71" w:lineRule="exact"/>
        <w:rPr>
          <w:sz w:val="20"/>
          <w:szCs w:val="20"/>
          <w:color w:val="auto"/>
        </w:rPr>
      </w:pPr>
    </w:p>
    <w:p>
      <w:pPr>
        <w:ind w:right="560"/>
        <w:spacing w:after="0" w:line="386" w:lineRule="auto"/>
        <w:rPr>
          <w:sz w:val="20"/>
          <w:szCs w:val="20"/>
          <w:color w:val="auto"/>
        </w:rPr>
      </w:pPr>
      <w:r>
        <w:rPr>
          <w:rFonts w:ascii="Times New Roman" w:cs="Times New Roman" w:eastAsia="Times New Roman" w:hAnsi="Times New Roman"/>
          <w:sz w:val="22"/>
          <w:szCs w:val="22"/>
          <w:color w:val="auto"/>
        </w:rPr>
        <w:t>See “Reconciliation of Adjusted Results to GAAP” sections of this release for additional disclosures regarding non-GAAP measures.</w:t>
      </w:r>
    </w:p>
    <w:p>
      <w:pPr>
        <w:spacing w:after="0" w:line="200" w:lineRule="exact"/>
        <w:rPr>
          <w:sz w:val="20"/>
          <w:szCs w:val="20"/>
          <w:color w:val="auto"/>
        </w:rPr>
      </w:pPr>
    </w:p>
    <w:p>
      <w:pPr>
        <w:spacing w:after="0" w:line="210"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1160"/>
          </w:cols>
          <w:pgMar w:left="320" w:top="945" w:right="41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22"/>
          <w:szCs w:val="22"/>
          <w:b w:val="1"/>
          <w:bCs w:val="1"/>
          <w:color w:val="auto"/>
        </w:rPr>
        <w:t>Return of Capital</w:t>
      </w:r>
    </w:p>
    <w:p>
      <w:pPr>
        <w:spacing w:after="0" w:line="129" w:lineRule="exact"/>
        <w:rPr>
          <w:sz w:val="20"/>
          <w:szCs w:val="20"/>
          <w:color w:val="auto"/>
        </w:rPr>
      </w:pPr>
    </w:p>
    <w:p>
      <w:pPr>
        <w:spacing w:after="0" w:line="366" w:lineRule="auto"/>
        <w:rPr>
          <w:sz w:val="20"/>
          <w:szCs w:val="20"/>
          <w:color w:val="auto"/>
        </w:rPr>
      </w:pPr>
      <w:r>
        <w:rPr>
          <w:rFonts w:ascii="Times New Roman" w:cs="Times New Roman" w:eastAsia="Times New Roman" w:hAnsi="Times New Roman"/>
          <w:sz w:val="22"/>
          <w:szCs w:val="22"/>
          <w:color w:val="auto"/>
        </w:rPr>
        <w:t>In the third quarter of fiscal 2026, the Company paid a cash dividend of $0.25 per common share totaling $9.1 million. In the first three quarters of fiscal 2026, the Company paid cash dividends totaling $27.5 million. No shares were repurchased in the first three quarters of fiscal 2026.</w:t>
      </w:r>
    </w:p>
    <w:p>
      <w:pPr>
        <w:spacing w:after="0" w:line="71" w:lineRule="exact"/>
        <w:rPr>
          <w:sz w:val="20"/>
          <w:szCs w:val="20"/>
          <w:color w:val="auto"/>
        </w:rPr>
      </w:pPr>
    </w:p>
    <w:p>
      <w:pPr>
        <w:jc w:val="both"/>
        <w:ind w:right="220"/>
        <w:spacing w:after="0" w:line="372" w:lineRule="auto"/>
        <w:rPr>
          <w:sz w:val="20"/>
          <w:szCs w:val="20"/>
          <w:color w:val="auto"/>
        </w:rPr>
      </w:pPr>
      <w:r>
        <w:rPr>
          <w:rFonts w:ascii="Times New Roman" w:cs="Times New Roman" w:eastAsia="Times New Roman" w:hAnsi="Times New Roman"/>
          <w:sz w:val="22"/>
          <w:szCs w:val="22"/>
          <w:color w:val="auto"/>
        </w:rPr>
        <w:t>Future declarations of quarterly dividends and the establishment of future record and payment dates will be at the discretion of the Company’s Board of Directors based on a number of factors, including business conditions, the Company’s future financial performance, investment priorities, and other considerations.</w:t>
      </w:r>
    </w:p>
    <w:p>
      <w:pPr>
        <w:spacing w:after="0" w:line="6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2026 Business Outlook</w:t>
      </w:r>
    </w:p>
    <w:p>
      <w:pPr>
        <w:spacing w:after="0" w:line="129" w:lineRule="exact"/>
        <w:rPr>
          <w:sz w:val="20"/>
          <w:szCs w:val="20"/>
          <w:color w:val="auto"/>
        </w:rPr>
      </w:pPr>
    </w:p>
    <w:p>
      <w:pPr>
        <w:ind w:right="20"/>
        <w:spacing w:after="0" w:line="361" w:lineRule="auto"/>
        <w:rPr>
          <w:sz w:val="20"/>
          <w:szCs w:val="20"/>
          <w:color w:val="auto"/>
        </w:rPr>
      </w:pPr>
      <w:r>
        <w:rPr>
          <w:rFonts w:ascii="Times New Roman" w:cs="Times New Roman" w:eastAsia="Times New Roman" w:hAnsi="Times New Roman"/>
          <w:sz w:val="22"/>
          <w:szCs w:val="22"/>
          <w:color w:val="auto"/>
        </w:rPr>
        <w:t>The Company does not reconcile forward-looking adjusted operating income or adjusted diluted earnings per share to its most directly comparable GAAP measures because it cannot predict with reasonable certainty the ultimate outcome of certain components of such reconciliations that are not within its control due to factors described above, or others that may arise, without unreasonable effort. For these reasons, the Company is unable to assess the probable significance of the unavailable information, which could materially impact the amount of future operating income or diluted EPS, the most directly comparable GAAP metrics to adjusted operating income and adjusted diluted earnings per share, respectively.</w:t>
      </w:r>
    </w:p>
    <w:p>
      <w:pPr>
        <w:spacing w:after="0" w:line="79" w:lineRule="exact"/>
        <w:rPr>
          <w:sz w:val="20"/>
          <w:szCs w:val="20"/>
          <w:color w:val="auto"/>
        </w:rPr>
      </w:pPr>
    </w:p>
    <w:p>
      <w:pPr>
        <w:ind w:right="140"/>
        <w:spacing w:after="0" w:line="373" w:lineRule="auto"/>
        <w:rPr>
          <w:sz w:val="20"/>
          <w:szCs w:val="20"/>
          <w:color w:val="auto"/>
        </w:rPr>
      </w:pPr>
      <w:r>
        <w:rPr>
          <w:rFonts w:ascii="Times New Roman" w:cs="Times New Roman" w:eastAsia="Times New Roman" w:hAnsi="Times New Roman"/>
          <w:sz w:val="22"/>
          <w:szCs w:val="22"/>
          <w:color w:val="auto"/>
        </w:rPr>
        <w:t>The Company’s fiscal year 2025 and fourth quarter of 2025 included a 53rd week, which contributed approximately $37 million in consolidated net sales.</w:t>
      </w:r>
    </w:p>
    <w:p>
      <w:pPr>
        <w:spacing w:after="0" w:line="64" w:lineRule="exact"/>
        <w:rPr>
          <w:sz w:val="20"/>
          <w:szCs w:val="20"/>
          <w:color w:val="auto"/>
        </w:rPr>
      </w:pPr>
    </w:p>
    <w:p>
      <w:pPr>
        <w:ind w:right="120"/>
        <w:spacing w:after="0" w:line="365" w:lineRule="auto"/>
        <w:rPr>
          <w:sz w:val="20"/>
          <w:szCs w:val="20"/>
          <w:color w:val="auto"/>
        </w:rPr>
      </w:pPr>
      <w:r>
        <w:rPr>
          <w:rFonts w:ascii="Times New Roman" w:cs="Times New Roman" w:eastAsia="Times New Roman" w:hAnsi="Times New Roman"/>
          <w:sz w:val="22"/>
          <w:szCs w:val="22"/>
          <w:color w:val="auto"/>
        </w:rPr>
        <w:t>The Company’s outlook (and related assumptions) for the fourth quarter 2026 includes an anticipated non-GAAP adjustment for third-party legal costs related to IP litigation of approximately $1 million to $2 million. The Company’s full-year fiscal 2026 outlook (and related assumptions) includes anticipated non-GAAP adjustments for leadership transition costs and third-party legal costs related to IP litigation of approximately $8 million to $9 million and a recovery of previously paid import duties and related interest of $132 million.</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For fiscal year 2026 </w:t>
      </w:r>
      <w:r>
        <w:rPr>
          <w:rFonts w:ascii="Times New Roman" w:cs="Times New Roman" w:eastAsia="Times New Roman" w:hAnsi="Times New Roman"/>
          <w:sz w:val="22"/>
          <w:szCs w:val="22"/>
          <w:color w:val="auto"/>
        </w:rPr>
        <w:t>(a 52 week fiscal year), the Company projects approximately:</w:t>
      </w:r>
    </w:p>
    <w:p>
      <w:pPr>
        <w:spacing w:after="0" w:line="183" w:lineRule="exact"/>
        <w:rPr>
          <w:sz w:val="20"/>
          <w:szCs w:val="20"/>
          <w:color w:val="auto"/>
        </w:rPr>
      </w:pPr>
    </w:p>
    <w:p>
      <w:pPr>
        <w:ind w:left="660" w:hanging="328"/>
        <w:spacing w:after="0"/>
        <w:tabs>
          <w:tab w:leader="none" w:pos="66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$2.91 billion to $2.93 billion in net sales ($2.898 billion in fiscal 2025, a 53 week fiscal year);</w:t>
      </w:r>
    </w:p>
    <w:p>
      <w:pPr>
        <w:spacing w:after="0" w:line="71" w:lineRule="exact"/>
        <w:rPr>
          <w:rFonts w:ascii="Times New Roman" w:cs="Times New Roman" w:eastAsia="Times New Roman" w:hAnsi="Times New Roman"/>
          <w:sz w:val="22"/>
          <w:szCs w:val="22"/>
          <w:color w:val="auto"/>
        </w:rPr>
      </w:pPr>
    </w:p>
    <w:p>
      <w:pPr>
        <w:ind w:left="660" w:right="520" w:hanging="328"/>
        <w:spacing w:after="0" w:line="307" w:lineRule="auto"/>
        <w:tabs>
          <w:tab w:leader="none" w:pos="655"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$178 million to $187 million in adjusted operating income, reflecting low-single digit to mid-single digit percentage growth ($176 million in fiscal 2025);</w:t>
      </w:r>
    </w:p>
    <w:p>
      <w:pPr>
        <w:ind w:left="660" w:right="100" w:hanging="328"/>
        <w:spacing w:after="0" w:line="307" w:lineRule="auto"/>
        <w:tabs>
          <w:tab w:leader="none" w:pos="655"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$3.05 to $3.23 in adjusted diluted earnings per share, reflecting a high-single digit to low-double digit percentage decline ($3.47 in fiscal 2025);</w:t>
      </w:r>
    </w:p>
    <w:p>
      <w:pPr>
        <w:ind w:left="660" w:hanging="328"/>
        <w:spacing w:after="0"/>
        <w:tabs>
          <w:tab w:leader="none" w:pos="66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Operating cash flow of $240 million to $250 million; and</w:t>
      </w:r>
    </w:p>
    <w:p>
      <w:pPr>
        <w:spacing w:after="0" w:line="71" w:lineRule="exact"/>
        <w:rPr>
          <w:rFonts w:ascii="Times New Roman" w:cs="Times New Roman" w:eastAsia="Times New Roman" w:hAnsi="Times New Roman"/>
          <w:sz w:val="22"/>
          <w:szCs w:val="22"/>
          <w:color w:val="auto"/>
        </w:rPr>
      </w:pPr>
    </w:p>
    <w:p>
      <w:pPr>
        <w:ind w:left="660" w:hanging="328"/>
        <w:spacing w:after="0"/>
        <w:tabs>
          <w:tab w:leader="none" w:pos="66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Capital expenditures of $50 million.</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The Company’s outlook for fiscal year 2026 assumes (comparisons vs. prior year unless otherwise noted):</w:t>
      </w:r>
    </w:p>
    <w:p>
      <w:pPr>
        <w:spacing w:after="0" w:line="71" w:lineRule="exact"/>
        <w:rPr>
          <w:sz w:val="20"/>
          <w:szCs w:val="20"/>
          <w:color w:val="auto"/>
        </w:rPr>
      </w:pPr>
    </w:p>
    <w:p>
      <w:pPr>
        <w:ind w:left="660" w:hanging="328"/>
        <w:spacing w:after="0"/>
        <w:tabs>
          <w:tab w:leader="none" w:pos="66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Slightly lower gross margin rate;</w:t>
      </w:r>
    </w:p>
    <w:p>
      <w:pPr>
        <w:spacing w:after="0" w:line="71" w:lineRule="exact"/>
        <w:rPr>
          <w:rFonts w:ascii="Times New Roman" w:cs="Times New Roman" w:eastAsia="Times New Roman" w:hAnsi="Times New Roman"/>
          <w:sz w:val="22"/>
          <w:szCs w:val="22"/>
          <w:color w:val="auto"/>
        </w:rPr>
      </w:pPr>
    </w:p>
    <w:p>
      <w:pPr>
        <w:ind w:left="660" w:hanging="328"/>
        <w:spacing w:after="0"/>
        <w:tabs>
          <w:tab w:leader="none" w:pos="66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Comparable SG&amp;A expense;</w:t>
      </w:r>
    </w:p>
    <w:p>
      <w:pPr>
        <w:sectPr>
          <w:pgSz w:w="11900" w:h="16838" w:orient="portrait"/>
          <w:cols w:equalWidth="0" w:num="1">
            <w:col w:w="11220"/>
          </w:cols>
          <w:pgMar w:left="320" w:top="945" w:right="359" w:bottom="1440" w:gutter="0" w:footer="0" w:header="0"/>
        </w:sectPr>
      </w:pPr>
    </w:p>
    <w:p>
      <w:pPr>
        <w:spacing w:after="0" w:line="35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5</w:t>
      </w:r>
    </w:p>
    <w:p>
      <w:pPr>
        <w:sectPr>
          <w:pgSz w:w="11900" w:h="16838" w:orient="portrait"/>
          <w:cols w:equalWidth="0" w:num="1">
            <w:col w:w="11220"/>
          </w:cols>
          <w:pgMar w:left="320" w:top="945" w:right="359" w:bottom="1440" w:gutter="0" w:footer="0" w:header="0"/>
          <w:type w:val="continuous"/>
        </w:sectPr>
      </w:pPr>
    </w:p>
    <w:bookmarkStart w:id="8" w:name="page9"/>
    <w:bookmarkEnd w:id="8"/>
    <w:p>
      <w:pPr>
        <w:ind w:left="660" w:hanging="328"/>
        <w:spacing w:after="0"/>
        <w:tabs>
          <w:tab w:leader="none" w:pos="66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Net interest expense of approximately $32 million;</w:t>
      </w:r>
    </w:p>
    <w:p>
      <w:pPr>
        <w:spacing w:after="0" w:line="71" w:lineRule="exact"/>
        <w:rPr>
          <w:rFonts w:ascii="Times New Roman" w:cs="Times New Roman" w:eastAsia="Times New Roman" w:hAnsi="Times New Roman"/>
          <w:sz w:val="22"/>
          <w:szCs w:val="22"/>
          <w:color w:val="auto"/>
        </w:rPr>
      </w:pPr>
    </w:p>
    <w:p>
      <w:pPr>
        <w:ind w:left="660" w:hanging="328"/>
        <w:spacing w:after="0"/>
        <w:tabs>
          <w:tab w:leader="none" w:pos="66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Effective tax rate of approximately 23%; and</w:t>
      </w:r>
    </w:p>
    <w:p>
      <w:pPr>
        <w:spacing w:after="0" w:line="71" w:lineRule="exact"/>
        <w:rPr>
          <w:rFonts w:ascii="Times New Roman" w:cs="Times New Roman" w:eastAsia="Times New Roman" w:hAnsi="Times New Roman"/>
          <w:sz w:val="22"/>
          <w:szCs w:val="22"/>
          <w:color w:val="auto"/>
        </w:rPr>
      </w:pPr>
    </w:p>
    <w:p>
      <w:pPr>
        <w:ind w:left="660" w:hanging="328"/>
        <w:spacing w:after="0"/>
        <w:tabs>
          <w:tab w:leader="none" w:pos="66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Average number of shares outstanding of approximately 36 million.</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For the fourth quarter of fiscal 2026 </w:t>
      </w:r>
      <w:r>
        <w:rPr>
          <w:rFonts w:ascii="Times New Roman" w:cs="Times New Roman" w:eastAsia="Times New Roman" w:hAnsi="Times New Roman"/>
          <w:sz w:val="22"/>
          <w:szCs w:val="22"/>
          <w:color w:val="auto"/>
        </w:rPr>
        <w:t>(a 13 week fiscal quarter), the Company projects approximately:</w:t>
      </w:r>
    </w:p>
    <w:p>
      <w:pPr>
        <w:spacing w:after="0" w:line="75" w:lineRule="exact"/>
        <w:rPr>
          <w:sz w:val="20"/>
          <w:szCs w:val="20"/>
          <w:color w:val="auto"/>
        </w:rPr>
      </w:pPr>
    </w:p>
    <w:p>
      <w:pPr>
        <w:ind w:left="660" w:hanging="328"/>
        <w:spacing w:after="0"/>
        <w:tabs>
          <w:tab w:leader="none" w:pos="66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$860 million to $880 million in net sales ($925 million in Q4 fiscal 2025, a 14 week fiscal quarter);</w:t>
      </w:r>
    </w:p>
    <w:p>
      <w:pPr>
        <w:spacing w:after="0" w:line="71" w:lineRule="exact"/>
        <w:rPr>
          <w:rFonts w:ascii="Times New Roman" w:cs="Times New Roman" w:eastAsia="Times New Roman" w:hAnsi="Times New Roman"/>
          <w:sz w:val="22"/>
          <w:szCs w:val="22"/>
          <w:color w:val="auto"/>
        </w:rPr>
      </w:pPr>
    </w:p>
    <w:p>
      <w:pPr>
        <w:ind w:left="660" w:hanging="328"/>
        <w:spacing w:after="0"/>
        <w:tabs>
          <w:tab w:leader="none" w:pos="66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$74 million to $83 million in adjusted operating income ($89 million in Q4 fiscal 2025); and</w:t>
      </w:r>
    </w:p>
    <w:p>
      <w:pPr>
        <w:spacing w:after="0" w:line="71" w:lineRule="exact"/>
        <w:rPr>
          <w:rFonts w:ascii="Times New Roman" w:cs="Times New Roman" w:eastAsia="Times New Roman" w:hAnsi="Times New Roman"/>
          <w:sz w:val="22"/>
          <w:szCs w:val="22"/>
          <w:color w:val="auto"/>
        </w:rPr>
      </w:pPr>
    </w:p>
    <w:p>
      <w:pPr>
        <w:ind w:left="660" w:hanging="328"/>
        <w:spacing w:after="0"/>
        <w:tabs>
          <w:tab w:leader="none" w:pos="66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$1.37 to $1.55 in adjusted diluted earnings per share ($1.90 in Q4 fiscal 2025).</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The Company’s outlook for fourth quarter fiscal 2026 assumes (comparisons vs. prior year unless otherwise noted):</w:t>
      </w:r>
    </w:p>
    <w:p>
      <w:pPr>
        <w:spacing w:after="0" w:line="71" w:lineRule="exact"/>
        <w:rPr>
          <w:sz w:val="20"/>
          <w:szCs w:val="20"/>
          <w:color w:val="auto"/>
        </w:rPr>
      </w:pPr>
    </w:p>
    <w:p>
      <w:pPr>
        <w:ind w:left="660" w:hanging="328"/>
        <w:spacing w:after="0"/>
        <w:tabs>
          <w:tab w:leader="none" w:pos="66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Higher gross margin rate;</w:t>
      </w:r>
    </w:p>
    <w:p>
      <w:pPr>
        <w:spacing w:after="0" w:line="71" w:lineRule="exact"/>
        <w:rPr>
          <w:rFonts w:ascii="Times New Roman" w:cs="Times New Roman" w:eastAsia="Times New Roman" w:hAnsi="Times New Roman"/>
          <w:sz w:val="22"/>
          <w:szCs w:val="22"/>
          <w:color w:val="auto"/>
        </w:rPr>
      </w:pPr>
    </w:p>
    <w:p>
      <w:pPr>
        <w:ind w:left="660" w:hanging="328"/>
        <w:spacing w:after="0"/>
        <w:tabs>
          <w:tab w:leader="none" w:pos="66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Comparable to low-single digit decrease in SG&amp;A expense;</w:t>
      </w:r>
    </w:p>
    <w:p>
      <w:pPr>
        <w:spacing w:after="0" w:line="71" w:lineRule="exact"/>
        <w:rPr>
          <w:rFonts w:ascii="Times New Roman" w:cs="Times New Roman" w:eastAsia="Times New Roman" w:hAnsi="Times New Roman"/>
          <w:sz w:val="22"/>
          <w:szCs w:val="22"/>
          <w:color w:val="auto"/>
        </w:rPr>
      </w:pPr>
    </w:p>
    <w:p>
      <w:pPr>
        <w:ind w:left="660" w:hanging="328"/>
        <w:spacing w:after="0"/>
        <w:tabs>
          <w:tab w:leader="none" w:pos="66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Net interest expense of approximately $10 million;</w:t>
      </w:r>
    </w:p>
    <w:p>
      <w:pPr>
        <w:spacing w:after="0" w:line="71" w:lineRule="exact"/>
        <w:rPr>
          <w:rFonts w:ascii="Times New Roman" w:cs="Times New Roman" w:eastAsia="Times New Roman" w:hAnsi="Times New Roman"/>
          <w:sz w:val="22"/>
          <w:szCs w:val="22"/>
          <w:color w:val="auto"/>
        </w:rPr>
      </w:pPr>
    </w:p>
    <w:p>
      <w:pPr>
        <w:ind w:left="660" w:hanging="328"/>
        <w:spacing w:after="0"/>
        <w:tabs>
          <w:tab w:leader="none" w:pos="66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Average number of shares outstanding of approximately 36 million.</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Conference Call</w:t>
      </w:r>
    </w:p>
    <w:p>
      <w:pPr>
        <w:spacing w:after="0" w:line="102" w:lineRule="exact"/>
        <w:rPr>
          <w:sz w:val="20"/>
          <w:szCs w:val="20"/>
          <w:color w:val="auto"/>
        </w:rPr>
      </w:pPr>
    </w:p>
    <w:p>
      <w:pPr>
        <w:spacing w:after="0" w:line="312" w:lineRule="auto"/>
        <w:rPr>
          <w:sz w:val="20"/>
          <w:szCs w:val="20"/>
          <w:color w:val="auto"/>
        </w:rPr>
      </w:pPr>
      <w:r>
        <w:rPr>
          <w:rFonts w:ascii="Times New Roman" w:cs="Times New Roman" w:eastAsia="Times New Roman" w:hAnsi="Times New Roman"/>
          <w:sz w:val="22"/>
          <w:szCs w:val="22"/>
          <w:color w:val="auto"/>
        </w:rPr>
        <w:t xml:space="preserve">The Company will hold a conference call with investors to discuss third quarter fiscal 2026 results and its business outlook on October 30, 2026, at 8:30 a.m. Eastern Time (ET). To listen to a live webcast and view the accompanying presentation materials, please visit ir.carters.com and select links for “News &amp; Events” followed by “Events.” To access the call by phone, please preregister on </w:t>
      </w:r>
      <w:r>
        <w:rPr>
          <w:rFonts w:ascii="Times New Roman" w:cs="Times New Roman" w:eastAsia="Times New Roman" w:hAnsi="Times New Roman"/>
          <w:sz w:val="22"/>
          <w:szCs w:val="22"/>
          <w:color w:val="0000FF"/>
        </w:rPr>
        <w:t>https://register-conf.media-server.com/register/BI7875ac900b784e79b5a34e479a9e48d7</w:t>
      </w:r>
      <w:r>
        <w:rPr>
          <w:rFonts w:ascii="Times New Roman" w:cs="Times New Roman" w:eastAsia="Times New Roman" w:hAnsi="Times New Roman"/>
          <w:sz w:val="22"/>
          <w:szCs w:val="22"/>
          <w:color w:val="auto"/>
        </w:rPr>
        <w:t xml:space="preserve"> to receive your dial-in number and unique passcode. A presentation of third quarter results will be available in the “Events” section at ir.carters.com at approximately 7:00 a.m. ET. Important information may be disseminated initially or exclusively via the website; investors should consult the site to access this information.</w:t>
      </w:r>
    </w:p>
    <w:p>
      <w:pPr>
        <w:spacing w:after="0" w:line="10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 xml:space="preserve">A webcast replay will be available shortly after the conclusion of the call at </w:t>
      </w:r>
      <w:r>
        <w:rPr>
          <w:rFonts w:ascii="Times New Roman" w:cs="Times New Roman" w:eastAsia="Times New Roman" w:hAnsi="Times New Roman"/>
          <w:sz w:val="22"/>
          <w:szCs w:val="22"/>
          <w:color w:val="0000FF"/>
        </w:rPr>
        <w:t>ir.carters.com</w:t>
      </w:r>
      <w:r>
        <w:rPr>
          <w:rFonts w:ascii="Times New Roman" w:cs="Times New Roman" w:eastAsia="Times New Roman" w:hAnsi="Times New Roman"/>
          <w:sz w:val="22"/>
          <w:szCs w:val="22"/>
          <w:color w:val="auto"/>
        </w:rPr>
        <w:t>.</w:t>
      </w:r>
    </w:p>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About Carter’s, Inc.</w:t>
      </w:r>
    </w:p>
    <w:p>
      <w:pPr>
        <w:spacing w:after="0" w:line="75" w:lineRule="exact"/>
        <w:rPr>
          <w:sz w:val="20"/>
          <w:szCs w:val="20"/>
          <w:color w:val="auto"/>
        </w:rPr>
      </w:pPr>
    </w:p>
    <w:p>
      <w:pPr>
        <w:spacing w:after="0" w:line="310" w:lineRule="auto"/>
        <w:rPr>
          <w:sz w:val="20"/>
          <w:szCs w:val="20"/>
          <w:color w:val="auto"/>
        </w:rPr>
      </w:pPr>
      <w:r>
        <w:rPr>
          <w:rFonts w:ascii="Times New Roman" w:cs="Times New Roman" w:eastAsia="Times New Roman" w:hAnsi="Times New Roman"/>
          <w:sz w:val="22"/>
          <w:szCs w:val="22"/>
          <w:color w:val="auto"/>
        </w:rPr>
        <w:t xml:space="preserve">Carter’s, Inc. is North America’s largest and most-enduring apparel company exclusively for babies and young children. The Company’s core brands are </w:t>
      </w:r>
      <w:r>
        <w:rPr>
          <w:rFonts w:ascii="Times New Roman" w:cs="Times New Roman" w:eastAsia="Times New Roman" w:hAnsi="Times New Roman"/>
          <w:sz w:val="22"/>
          <w:szCs w:val="22"/>
          <w:i w:val="1"/>
          <w:iCs w:val="1"/>
          <w:color w:val="auto"/>
        </w:rPr>
        <w:t>Carter’s</w:t>
      </w:r>
      <w:r>
        <w:rPr>
          <w:rFonts w:ascii="Times New Roman" w:cs="Times New Roman" w:eastAsia="Times New Roman" w:hAnsi="Times New Roman"/>
          <w:sz w:val="22"/>
          <w:szCs w:val="22"/>
          <w:color w:val="auto"/>
        </w:rPr>
        <w:t xml:space="preserve"> and </w:t>
      </w:r>
      <w:r>
        <w:rPr>
          <w:rFonts w:ascii="Times New Roman" w:cs="Times New Roman" w:eastAsia="Times New Roman" w:hAnsi="Times New Roman"/>
          <w:sz w:val="22"/>
          <w:szCs w:val="22"/>
          <w:i w:val="1"/>
          <w:iCs w:val="1"/>
          <w:color w:val="auto"/>
        </w:rPr>
        <w:t>OshKosh B’gosh</w:t>
      </w:r>
      <w:r>
        <w:rPr>
          <w:rFonts w:ascii="Times New Roman" w:cs="Times New Roman" w:eastAsia="Times New Roman" w:hAnsi="Times New Roman"/>
          <w:sz w:val="22"/>
          <w:szCs w:val="22"/>
          <w:color w:val="auto"/>
        </w:rPr>
        <w:t xml:space="preserve">, iconic and among the sector’s most trusted names. These brands are sold through more than 1,000 Company-operated stores in the United States, Canada, and Mexico, and online at </w:t>
      </w:r>
      <w:r>
        <w:rPr>
          <w:rFonts w:ascii="Times New Roman" w:cs="Times New Roman" w:eastAsia="Times New Roman" w:hAnsi="Times New Roman"/>
          <w:sz w:val="22"/>
          <w:szCs w:val="22"/>
          <w:color w:val="0000FF"/>
        </w:rPr>
        <w:t>www.carters.com</w:t>
      </w:r>
      <w:r>
        <w:rPr>
          <w:rFonts w:ascii="Times New Roman" w:cs="Times New Roman" w:eastAsia="Times New Roman" w:hAnsi="Times New Roman"/>
          <w:sz w:val="22"/>
          <w:szCs w:val="22"/>
          <w:color w:val="000000"/>
        </w:rPr>
        <w:t>,</w:t>
      </w:r>
      <w:r>
        <w:rPr>
          <w:rFonts w:ascii="Times New Roman" w:cs="Times New Roman" w:eastAsia="Times New Roman" w:hAnsi="Times New Roman"/>
          <w:sz w:val="22"/>
          <w:szCs w:val="22"/>
          <w:color w:val="0000FF"/>
        </w:rPr>
        <w:t xml:space="preserve"> www.oshkosh.com</w:t>
      </w:r>
      <w:r>
        <w:rPr>
          <w:rFonts w:ascii="Times New Roman" w:cs="Times New Roman" w:eastAsia="Times New Roman" w:hAnsi="Times New Roman"/>
          <w:sz w:val="22"/>
          <w:szCs w:val="22"/>
          <w:color w:val="000000"/>
        </w:rPr>
        <w:t>,</w:t>
      </w:r>
      <w:r>
        <w:rPr>
          <w:rFonts w:ascii="Times New Roman" w:cs="Times New Roman" w:eastAsia="Times New Roman" w:hAnsi="Times New Roman"/>
          <w:sz w:val="22"/>
          <w:szCs w:val="22"/>
          <w:color w:val="0000FF"/>
        </w:rPr>
        <w:t xml:space="preserve"> www.cartersoshkosh.ca</w:t>
      </w:r>
      <w:r>
        <w:rPr>
          <w:rFonts w:ascii="Times New Roman" w:cs="Times New Roman" w:eastAsia="Times New Roman" w:hAnsi="Times New Roman"/>
          <w:sz w:val="22"/>
          <w:szCs w:val="22"/>
          <w:color w:val="000000"/>
        </w:rPr>
        <w:t>, and</w:t>
      </w:r>
      <w:r>
        <w:rPr>
          <w:rFonts w:ascii="Times New Roman" w:cs="Times New Roman" w:eastAsia="Times New Roman" w:hAnsi="Times New Roman"/>
          <w:sz w:val="22"/>
          <w:szCs w:val="22"/>
          <w:color w:val="0000FF"/>
        </w:rPr>
        <w:t xml:space="preserve"> www.carters.com.mx. </w:t>
      </w:r>
      <w:r>
        <w:rPr>
          <w:rFonts w:ascii="Times New Roman" w:cs="Times New Roman" w:eastAsia="Times New Roman" w:hAnsi="Times New Roman"/>
          <w:sz w:val="22"/>
          <w:szCs w:val="22"/>
          <w:color w:val="000000"/>
        </w:rPr>
        <w:t>Carter’s also is the largest supplier of</w:t>
      </w:r>
      <w:r>
        <w:rPr>
          <w:rFonts w:ascii="Times New Roman" w:cs="Times New Roman" w:eastAsia="Times New Roman" w:hAnsi="Times New Roman"/>
          <w:sz w:val="22"/>
          <w:szCs w:val="22"/>
          <w:color w:val="0000FF"/>
        </w:rPr>
        <w:t xml:space="preserve"> </w:t>
      </w:r>
      <w:r>
        <w:rPr>
          <w:rFonts w:ascii="Times New Roman" w:cs="Times New Roman" w:eastAsia="Times New Roman" w:hAnsi="Times New Roman"/>
          <w:sz w:val="22"/>
          <w:szCs w:val="22"/>
          <w:color w:val="000000"/>
        </w:rPr>
        <w:t xml:space="preserve">baby and young children’s apparel to North America’s biggest retailers. The Company’s </w:t>
      </w:r>
      <w:r>
        <w:rPr>
          <w:rFonts w:ascii="Times New Roman" w:cs="Times New Roman" w:eastAsia="Times New Roman" w:hAnsi="Times New Roman"/>
          <w:sz w:val="22"/>
          <w:szCs w:val="22"/>
          <w:i w:val="1"/>
          <w:iCs w:val="1"/>
          <w:color w:val="000000"/>
        </w:rPr>
        <w:t>Child of Mine</w:t>
      </w:r>
      <w:r>
        <w:rPr>
          <w:rFonts w:ascii="Times New Roman" w:cs="Times New Roman" w:eastAsia="Times New Roman" w:hAnsi="Times New Roman"/>
          <w:sz w:val="22"/>
          <w:szCs w:val="22"/>
          <w:color w:val="000000"/>
        </w:rPr>
        <w:t xml:space="preserve"> brand is available exclusively at Walmart, its </w:t>
      </w:r>
      <w:r>
        <w:rPr>
          <w:rFonts w:ascii="Times New Roman" w:cs="Times New Roman" w:eastAsia="Times New Roman" w:hAnsi="Times New Roman"/>
          <w:sz w:val="22"/>
          <w:szCs w:val="22"/>
          <w:i w:val="1"/>
          <w:iCs w:val="1"/>
          <w:color w:val="000000"/>
        </w:rPr>
        <w:t>Just One You</w:t>
      </w:r>
      <w:r>
        <w:rPr>
          <w:rFonts w:ascii="Times New Roman" w:cs="Times New Roman" w:eastAsia="Times New Roman" w:hAnsi="Times New Roman"/>
          <w:sz w:val="22"/>
          <w:szCs w:val="22"/>
          <w:color w:val="000000"/>
        </w:rPr>
        <w:t xml:space="preserve"> brand is available at Target, and its </w:t>
      </w:r>
      <w:r>
        <w:rPr>
          <w:rFonts w:ascii="Times New Roman" w:cs="Times New Roman" w:eastAsia="Times New Roman" w:hAnsi="Times New Roman"/>
          <w:sz w:val="22"/>
          <w:szCs w:val="22"/>
          <w:i w:val="1"/>
          <w:iCs w:val="1"/>
          <w:color w:val="000000"/>
        </w:rPr>
        <w:t>Simple Joys</w:t>
      </w:r>
      <w:r>
        <w:rPr>
          <w:rFonts w:ascii="Times New Roman" w:cs="Times New Roman" w:eastAsia="Times New Roman" w:hAnsi="Times New Roman"/>
          <w:sz w:val="22"/>
          <w:szCs w:val="22"/>
          <w:color w:val="000000"/>
        </w:rPr>
        <w:t xml:space="preserve"> brand is available on Amazon.com. The Company’s emerging brands include </w:t>
      </w:r>
      <w:r>
        <w:rPr>
          <w:rFonts w:ascii="Times New Roman" w:cs="Times New Roman" w:eastAsia="Times New Roman" w:hAnsi="Times New Roman"/>
          <w:sz w:val="22"/>
          <w:szCs w:val="22"/>
          <w:i w:val="1"/>
          <w:iCs w:val="1"/>
          <w:color w:val="000000"/>
        </w:rPr>
        <w:t>Little Planet</w:t>
      </w:r>
      <w:r>
        <w:rPr>
          <w:rFonts w:ascii="Times New Roman" w:cs="Times New Roman" w:eastAsia="Times New Roman" w:hAnsi="Times New Roman"/>
          <w:sz w:val="22"/>
          <w:szCs w:val="22"/>
          <w:color w:val="000000"/>
        </w:rPr>
        <w:t xml:space="preserve">, crafted with organic fabrics and sustainable materials, </w:t>
      </w:r>
      <w:r>
        <w:rPr>
          <w:rFonts w:ascii="Times New Roman" w:cs="Times New Roman" w:eastAsia="Times New Roman" w:hAnsi="Times New Roman"/>
          <w:sz w:val="22"/>
          <w:szCs w:val="22"/>
          <w:i w:val="1"/>
          <w:iCs w:val="1"/>
          <w:color w:val="000000"/>
        </w:rPr>
        <w:t>Otter Avenue</w:t>
      </w:r>
      <w:r>
        <w:rPr>
          <w:rFonts w:ascii="Times New Roman" w:cs="Times New Roman" w:eastAsia="Times New Roman" w:hAnsi="Times New Roman"/>
          <w:sz w:val="22"/>
          <w:szCs w:val="22"/>
          <w:color w:val="000000"/>
        </w:rPr>
        <w:t xml:space="preserve">, a toddler-focused apparel brand, and </w:t>
      </w:r>
      <w:r>
        <w:rPr>
          <w:rFonts w:ascii="Times New Roman" w:cs="Times New Roman" w:eastAsia="Times New Roman" w:hAnsi="Times New Roman"/>
          <w:sz w:val="22"/>
          <w:szCs w:val="22"/>
          <w:i w:val="1"/>
          <w:iCs w:val="1"/>
          <w:color w:val="000000"/>
        </w:rPr>
        <w:t>Skip Hop</w:t>
      </w:r>
      <w:r>
        <w:rPr>
          <w:rFonts w:ascii="Times New Roman" w:cs="Times New Roman" w:eastAsia="Times New Roman" w:hAnsi="Times New Roman"/>
          <w:sz w:val="22"/>
          <w:szCs w:val="22"/>
          <w:color w:val="000000"/>
        </w:rPr>
        <w:t xml:space="preserve">, baby essentials from tubs to toys. Carter’s is headquartered in Atlanta, Georgia. Additional information may be found at </w:t>
      </w:r>
      <w:r>
        <w:rPr>
          <w:rFonts w:ascii="Times New Roman" w:cs="Times New Roman" w:eastAsia="Times New Roman" w:hAnsi="Times New Roman"/>
          <w:sz w:val="22"/>
          <w:szCs w:val="22"/>
          <w:color w:val="0000FF"/>
        </w:rPr>
        <w:t>www.carters.com</w:t>
      </w:r>
      <w:r>
        <w:rPr>
          <w:rFonts w:ascii="Times New Roman" w:cs="Times New Roman" w:eastAsia="Times New Roman" w:hAnsi="Times New Roman"/>
          <w:sz w:val="22"/>
          <w:szCs w:val="22"/>
          <w:color w:val="000000"/>
        </w:rPr>
        <w:t>.</w:t>
      </w:r>
    </w:p>
    <w:p>
      <w:pPr>
        <w:spacing w:after="0" w:line="36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1200"/>
          </w:cols>
          <w:pgMar w:left="320" w:top="922" w:right="37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22"/>
          <w:szCs w:val="22"/>
          <w:b w:val="1"/>
          <w:bCs w:val="1"/>
          <w:color w:val="auto"/>
        </w:rPr>
        <w:t>Forward Looking Statements</w:t>
      </w:r>
    </w:p>
    <w:p>
      <w:pPr>
        <w:spacing w:after="0" w:line="75" w:lineRule="exact"/>
        <w:rPr>
          <w:sz w:val="20"/>
          <w:szCs w:val="20"/>
          <w:color w:val="auto"/>
        </w:rPr>
      </w:pPr>
    </w:p>
    <w:p>
      <w:pPr>
        <w:spacing w:after="0" w:line="323" w:lineRule="auto"/>
        <w:rPr>
          <w:sz w:val="20"/>
          <w:szCs w:val="20"/>
          <w:color w:val="auto"/>
        </w:rPr>
      </w:pPr>
      <w:r>
        <w:rPr>
          <w:rFonts w:ascii="Times New Roman" w:cs="Times New Roman" w:eastAsia="Times New Roman" w:hAnsi="Times New Roman"/>
          <w:sz w:val="21"/>
          <w:szCs w:val="21"/>
          <w:color w:val="auto"/>
        </w:rPr>
        <w:t>Statements in this press release that are not historical fact and use predictive words such as “estimates”, “outlook”, “guidance”, “expect”, “believe”, “intend”, “designed”, “target”, “plans”, “may”, “will”, “opportunities”, “are confident” and similar words are forward-looking statements (as such term is defined in the Private Securities Litigation Reform Act of 1995). These forward-looking statements and related assumptions involve risks and uncertainties that could cause actual results and outcomes to differ materially from any forward-looking statements or views expressed in this press release. These risks and uncertainties include, but are not limited to, those disclosed in Part II, Item 1A. “Risk Factors” of the Company’s Quarterly Report on Form 10-Q for the fiscal quarter ended October 3, 2026 and Part I, Item 1A. “Risk Factors” of the Company’s Annual Report on Form 10-K for the fiscal year ended January 3, 2026, and otherwise in our reports and filings with the Securities and Exchange Commission, as well as the following factors: changes in global economic and financial conditions, and the resulting impact on consumer confidence and consumer spending, as well as other changes in consumer discretionary spending habits; risks related to public health crises; risks related to the organizational restructuring plan, including, but not limited to, our ability to achieve the expected savings from the plan and to fully implement the plan; risks related to consumer tastes and preferences, as well as fashion trends; the failure to protect our intellectual property; the diminished value of our brands, potentially as a result of negative publicity or unsuccessful branding and marketing efforts; delays, product recalls, or loss of revenue due to a failure to meet our quality standards; risks related to uncertainty regarding the future of international trade agreements and the United States’ position on international trade, as well as significant political, trade, and regulatory developments and other circumstances beyond our control; the roll-back of incremental tariffs imposed under the International Emergency Economic Powers Act (the “incremental tariffs”) and any additional actions taken in response to their roll-back, including, but not limited to, tariffs imposed pursuant to Section 122 of the Trade Act of 1974 and tariffs imposed under Section 301 of the Trade Act of 1974; our ability to recover refunds of incremental tariff amounts or other tariff amounts paid; increased competition in the marketplace; ongoing political and economic conflicts that could impact our global and domestic operations, including, but not limited to, the conflict between the United States, Israel, and Iran; financial difficulties for one or more of our major customers; identification of locations and negotiation of appropriate lease terms for our retail stores; distinct risks facing our eCommerce business; failure to forecast demand for our products and our failure to manage our inventory; increased margin pressures, including increased cost of materials and labor and our inability to successfully increase prices to offset these increased costs; continued inflationary pressures with respect to labor and raw materials and global supply chain constraints that have, and could continue, to affect freight, transit, and other costs; fluctuations in foreign currency exchange rates; unseasonable or extreme weather conditions; risks associated with corporate responsibility issues; our foreign sourcing arrangements; a relatively small number of vendors supply a significant amount of our products; disruptions in our supply chain, including increased transportation and freight costs; our ability to effectively source and manage inventory; problems with our Braselton, Georgia distribution facility; pending and threatened lawsuits; a breach of our information technology systems and the loss of personal data or a failure to implement new information technology systems successfully; unsuccessful expansion into international markets; failure to</w:t>
      </w:r>
    </w:p>
    <w:p>
      <w:pPr>
        <w:spacing w:after="0" w:line="200" w:lineRule="exact"/>
        <w:rPr>
          <w:sz w:val="20"/>
          <w:szCs w:val="20"/>
          <w:color w:val="auto"/>
        </w:rPr>
      </w:pPr>
    </w:p>
    <w:p>
      <w:pPr>
        <w:spacing w:after="0" w:line="37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1240"/>
          </w:cols>
          <w:pgMar w:left="320" w:top="918" w:right="339" w:bottom="1440" w:gutter="0" w:footer="0" w:header="0"/>
        </w:sectPr>
      </w:pPr>
    </w:p>
    <w:bookmarkStart w:id="10" w:name="page11"/>
    <w:bookmarkEnd w:id="10"/>
    <w:p>
      <w:pPr>
        <w:spacing w:after="0" w:line="310" w:lineRule="auto"/>
        <w:rPr>
          <w:sz w:val="20"/>
          <w:szCs w:val="20"/>
          <w:color w:val="auto"/>
        </w:rPr>
      </w:pPr>
      <w:r>
        <w:rPr>
          <w:rFonts w:ascii="Times New Roman" w:cs="Times New Roman" w:eastAsia="Times New Roman" w:hAnsi="Times New Roman"/>
          <w:sz w:val="22"/>
          <w:szCs w:val="22"/>
          <w:color w:val="auto"/>
        </w:rPr>
        <w:t>comply with various laws and regulations; failure to properly manage strategic initiatives; retention of key individuals; acquisition and integration of other brands and businesses; failure to achieve sales growth plans and profitability objectives to support the carrying value of our intangible assets; our continued ability to meet obligations related to our debt; changes in our tax obligations, including additional customs, duties or tariffs; our continued ability to declare and pay a dividend; the timing of, and our ability to conduct, share repurchases; volatility in the market price of our common stock; and the cost or effort required for our shareholders to bring certain claims or actions against us, as a result of our designation of the Court of Chancery of the State of Delaware as the sole and exclusive forum for certain types of actions and proceedings. Except for any ongoing obligations to disclose material information as required by federal securities laws, the Company does not undertake any obligation to publicly update or revise any forward-looking statements, whether as a result of new information, future events, or otherwise. The inclusion of any statement in this press release does not constitute an admission by the Company or any other person that the events or circumstances described in such statement are material.</w:t>
      </w: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1">
            <w:col w:w="11100"/>
          </w:cols>
          <w:pgMar w:left="320" w:top="922" w:right="479" w:bottom="1440" w:gutter="0" w:footer="0" w:header="0"/>
        </w:sectPr>
      </w:pPr>
    </w:p>
    <w:bookmarkStart w:id="11" w:name="page12"/>
    <w:bookmarkEnd w:id="11"/>
    <w:p>
      <w:pPr>
        <w:jc w:val="center"/>
        <w:spacing w:after="0"/>
        <w:rPr>
          <w:sz w:val="20"/>
          <w:szCs w:val="20"/>
          <w:color w:val="auto"/>
        </w:rPr>
      </w:pPr>
      <w:r>
        <w:rPr>
          <w:rFonts w:ascii="Times New Roman" w:cs="Times New Roman" w:eastAsia="Times New Roman" w:hAnsi="Times New Roman"/>
          <w:sz w:val="22"/>
          <w:szCs w:val="22"/>
          <w:b w:val="1"/>
          <w:bCs w:val="1"/>
          <w:color w:val="auto"/>
        </w:rPr>
        <w:t>CARTER’S, INC.</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CONDENSED CONSOLIDATED STATEMENTS OF OPERATIONS</w:t>
      </w:r>
    </w:p>
    <w:p>
      <w:pPr>
        <w:jc w:val="center"/>
        <w:spacing w:after="0"/>
        <w:rPr>
          <w:sz w:val="20"/>
          <w:szCs w:val="20"/>
          <w:color w:val="auto"/>
        </w:rPr>
      </w:pPr>
      <w:r>
        <w:rPr>
          <w:rFonts w:ascii="Times New Roman" w:cs="Times New Roman" w:eastAsia="Times New Roman" w:hAnsi="Times New Roman"/>
          <w:sz w:val="18"/>
          <w:szCs w:val="18"/>
          <w:color w:val="auto"/>
        </w:rPr>
        <w:t>(dollars in thousands, except per share data)</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(unaudited)</w:t>
      </w:r>
    </w:p>
    <w:p>
      <w:pPr>
        <w:spacing w:after="0" w:line="200" w:lineRule="exact"/>
        <w:rPr>
          <w:sz w:val="20"/>
          <w:szCs w:val="20"/>
          <w:color w:val="auto"/>
        </w:rPr>
      </w:pPr>
    </w:p>
    <w:p>
      <w:pPr>
        <w:spacing w:after="0" w:line="320"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4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340" w:type="dxa"/>
            <w:vAlign w:val="bottom"/>
            <w:gridSpan w:val="5"/>
          </w:tcPr>
          <w:p>
            <w:pPr>
              <w:jc w:val="center"/>
              <w:ind w:right="280"/>
              <w:spacing w:after="0"/>
              <w:rPr>
                <w:sz w:val="20"/>
                <w:szCs w:val="20"/>
                <w:color w:val="auto"/>
              </w:rPr>
            </w:pPr>
            <w:r>
              <w:rPr>
                <w:rFonts w:ascii="Times New Roman" w:cs="Times New Roman" w:eastAsia="Times New Roman" w:hAnsi="Times New Roman"/>
                <w:sz w:val="16"/>
                <w:szCs w:val="16"/>
                <w:b w:val="1"/>
                <w:bCs w:val="1"/>
                <w:color w:val="auto"/>
              </w:rPr>
              <w:t>Fiscal Quarter Ended</w:t>
            </w:r>
          </w:p>
        </w:tc>
        <w:tc>
          <w:tcPr>
            <w:tcW w:w="160" w:type="dxa"/>
            <w:vAlign w:val="bottom"/>
          </w:tcPr>
          <w:p>
            <w:pPr>
              <w:spacing w:after="0"/>
              <w:rPr>
                <w:sz w:val="18"/>
                <w:szCs w:val="18"/>
                <w:color w:val="auto"/>
              </w:rPr>
            </w:pPr>
          </w:p>
        </w:tc>
        <w:tc>
          <w:tcPr>
            <w:tcW w:w="3240" w:type="dxa"/>
            <w:vAlign w:val="bottom"/>
            <w:gridSpan w:val="4"/>
          </w:tcPr>
          <w:p>
            <w:pPr>
              <w:jc w:val="center"/>
              <w:ind w:right="59"/>
              <w:spacing w:after="0"/>
              <w:rPr>
                <w:sz w:val="20"/>
                <w:szCs w:val="20"/>
                <w:color w:val="auto"/>
              </w:rPr>
            </w:pPr>
            <w:r>
              <w:rPr>
                <w:rFonts w:ascii="Times New Roman" w:cs="Times New Roman" w:eastAsia="Times New Roman" w:hAnsi="Times New Roman"/>
                <w:sz w:val="16"/>
                <w:szCs w:val="16"/>
                <w:b w:val="1"/>
                <w:bCs w:val="1"/>
                <w:color w:val="auto"/>
              </w:rPr>
              <w:t>Three Fiscal Quarters Ended</w:t>
            </w:r>
          </w:p>
        </w:tc>
      </w:tr>
      <w:tr>
        <w:trPr>
          <w:trHeight w:val="211"/>
        </w:trPr>
        <w:tc>
          <w:tcPr>
            <w:tcW w:w="414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460" w:type="dxa"/>
            <w:vAlign w:val="bottom"/>
            <w:tcBorders>
              <w:top w:val="single" w:sz="8" w:color="auto"/>
            </w:tcBorders>
            <w:gridSpan w:val="2"/>
          </w:tcPr>
          <w:p>
            <w:pPr>
              <w:ind w:left="40"/>
              <w:spacing w:after="0"/>
              <w:rPr>
                <w:sz w:val="20"/>
                <w:szCs w:val="20"/>
                <w:color w:val="auto"/>
              </w:rPr>
            </w:pPr>
            <w:r>
              <w:rPr>
                <w:rFonts w:ascii="Times New Roman" w:cs="Times New Roman" w:eastAsia="Times New Roman" w:hAnsi="Times New Roman"/>
                <w:sz w:val="16"/>
                <w:szCs w:val="16"/>
                <w:b w:val="1"/>
                <w:bCs w:val="1"/>
                <w:color w:val="auto"/>
              </w:rPr>
              <w:t>October 3, 2026</w:t>
            </w:r>
          </w:p>
        </w:tc>
        <w:tc>
          <w:tcPr>
            <w:tcW w:w="160" w:type="dxa"/>
            <w:vAlign w:val="bottom"/>
            <w:tcBorders>
              <w:top w:val="single" w:sz="8" w:color="auto"/>
            </w:tcBorders>
          </w:tcPr>
          <w:p>
            <w:pPr>
              <w:spacing w:after="0"/>
              <w:rPr>
                <w:sz w:val="18"/>
                <w:szCs w:val="18"/>
                <w:color w:val="auto"/>
              </w:rPr>
            </w:pPr>
          </w:p>
        </w:tc>
        <w:tc>
          <w:tcPr>
            <w:tcW w:w="1620" w:type="dxa"/>
            <w:vAlign w:val="bottom"/>
            <w:tcBorders>
              <w:top w:val="single" w:sz="8" w:color="auto"/>
            </w:tcBorders>
          </w:tcPr>
          <w:p>
            <w:pPr>
              <w:jc w:val="right"/>
              <w:ind w:right="139"/>
              <w:spacing w:after="0"/>
              <w:rPr>
                <w:sz w:val="20"/>
                <w:szCs w:val="20"/>
                <w:color w:val="auto"/>
              </w:rPr>
            </w:pPr>
            <w:r>
              <w:rPr>
                <w:rFonts w:ascii="Times New Roman" w:cs="Times New Roman" w:eastAsia="Times New Roman" w:hAnsi="Times New Roman"/>
                <w:sz w:val="16"/>
                <w:szCs w:val="16"/>
                <w:b w:val="1"/>
                <w:bCs w:val="1"/>
                <w:color w:val="auto"/>
              </w:rPr>
              <w:t>September 27, 2025</w:t>
            </w:r>
          </w:p>
        </w:tc>
        <w:tc>
          <w:tcPr>
            <w:tcW w:w="1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480" w:type="dxa"/>
            <w:vAlign w:val="bottom"/>
            <w:tcBorders>
              <w:top w:val="single" w:sz="8" w:color="auto"/>
            </w:tcBorders>
            <w:gridSpan w:val="2"/>
          </w:tcPr>
          <w:p>
            <w:pPr>
              <w:ind w:left="60"/>
              <w:spacing w:after="0"/>
              <w:rPr>
                <w:sz w:val="20"/>
                <w:szCs w:val="20"/>
                <w:color w:val="auto"/>
              </w:rPr>
            </w:pPr>
            <w:r>
              <w:rPr>
                <w:rFonts w:ascii="Times New Roman" w:cs="Times New Roman" w:eastAsia="Times New Roman" w:hAnsi="Times New Roman"/>
                <w:sz w:val="16"/>
                <w:szCs w:val="16"/>
                <w:b w:val="1"/>
                <w:bCs w:val="1"/>
                <w:color w:val="auto"/>
              </w:rPr>
              <w:t>October 3, 2026</w:t>
            </w:r>
          </w:p>
        </w:tc>
        <w:tc>
          <w:tcPr>
            <w:tcW w:w="160" w:type="dxa"/>
            <w:vAlign w:val="bottom"/>
            <w:tcBorders>
              <w:top w:val="single" w:sz="8" w:color="auto"/>
            </w:tcBorders>
          </w:tcPr>
          <w:p>
            <w:pPr>
              <w:spacing w:after="0"/>
              <w:rPr>
                <w:sz w:val="18"/>
                <w:szCs w:val="18"/>
                <w:color w:val="auto"/>
              </w:rPr>
            </w:pPr>
          </w:p>
        </w:tc>
        <w:tc>
          <w:tcPr>
            <w:tcW w:w="1600" w:type="dxa"/>
            <w:vAlign w:val="bottom"/>
            <w:tcBorders>
              <w:top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b w:val="1"/>
                <w:bCs w:val="1"/>
                <w:color w:val="auto"/>
              </w:rPr>
              <w:t>September 27, 2025</w:t>
            </w:r>
          </w:p>
        </w:tc>
      </w:tr>
      <w:tr>
        <w:trPr>
          <w:trHeight w:val="211"/>
        </w:trPr>
        <w:tc>
          <w:tcPr>
            <w:tcW w:w="41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sales</w:t>
            </w: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752,456</w:t>
            </w: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1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757,836</w:t>
            </w: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2,049,060</w:t>
            </w:r>
          </w:p>
        </w:tc>
        <w:tc>
          <w:tcPr>
            <w:tcW w:w="1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1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1,972,975</w:t>
            </w:r>
          </w:p>
        </w:tc>
      </w:tr>
      <w:tr>
        <w:trPr>
          <w:trHeight w:val="213"/>
        </w:trPr>
        <w:tc>
          <w:tcPr>
            <w:tcW w:w="41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Cost of goods sold</w:t>
            </w:r>
          </w:p>
        </w:tc>
        <w:tc>
          <w:tcPr>
            <w:tcW w:w="16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397,690</w:t>
            </w: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416,208</w:t>
            </w: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987,822</w:t>
            </w:r>
          </w:p>
        </w:tc>
        <w:tc>
          <w:tcPr>
            <w:tcW w:w="12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1,058,497</w:t>
            </w:r>
          </w:p>
        </w:tc>
      </w:tr>
      <w:tr>
        <w:trPr>
          <w:trHeight w:val="212"/>
        </w:trPr>
        <w:tc>
          <w:tcPr>
            <w:tcW w:w="4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Gross profit</w:t>
            </w:r>
          </w:p>
        </w:tc>
        <w:tc>
          <w:tcPr>
            <w:tcW w:w="16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354,766</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341,628</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1,061,238</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914,478</w:t>
            </w:r>
          </w:p>
        </w:tc>
      </w:tr>
      <w:tr>
        <w:trPr>
          <w:trHeight w:val="213"/>
        </w:trPr>
        <w:tc>
          <w:tcPr>
            <w:tcW w:w="41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Royalty income, net</w:t>
            </w:r>
          </w:p>
        </w:tc>
        <w:tc>
          <w:tcPr>
            <w:tcW w:w="16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5,176</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5,428</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13,158</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14,008</w:t>
            </w:r>
          </w:p>
        </w:tc>
      </w:tr>
      <w:tr>
        <w:trPr>
          <w:trHeight w:val="219"/>
        </w:trPr>
        <w:tc>
          <w:tcPr>
            <w:tcW w:w="4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Selling, general, and administrative expenses</w:t>
            </w:r>
          </w:p>
        </w:tc>
        <w:tc>
          <w:tcPr>
            <w:tcW w:w="16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304,172</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317,963</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850,357</w:t>
            </w:r>
          </w:p>
        </w:tc>
        <w:tc>
          <w:tcPr>
            <w:tcW w:w="1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869,246</w:t>
            </w:r>
          </w:p>
        </w:tc>
      </w:tr>
      <w:tr>
        <w:trPr>
          <w:trHeight w:val="207"/>
        </w:trPr>
        <w:tc>
          <w:tcPr>
            <w:tcW w:w="41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Operating income</w:t>
            </w:r>
          </w:p>
        </w:tc>
        <w:tc>
          <w:tcPr>
            <w:tcW w:w="160" w:type="dxa"/>
            <w:vAlign w:val="bottom"/>
          </w:tcPr>
          <w:p>
            <w:pPr>
              <w:spacing w:after="0"/>
              <w:rPr>
                <w:sz w:val="17"/>
                <w:szCs w:val="17"/>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55,770</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29,093</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224,039</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59,240</w:t>
            </w:r>
          </w:p>
        </w:tc>
      </w:tr>
      <w:tr>
        <w:trPr>
          <w:trHeight w:val="219"/>
        </w:trPr>
        <w:tc>
          <w:tcPr>
            <w:tcW w:w="4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Interest expense</w:t>
            </w:r>
          </w:p>
        </w:tc>
        <w:tc>
          <w:tcPr>
            <w:tcW w:w="16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11,826</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7,173</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34,895</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22,849</w:t>
            </w:r>
          </w:p>
        </w:tc>
      </w:tr>
      <w:tr>
        <w:trPr>
          <w:trHeight w:val="213"/>
        </w:trPr>
        <w:tc>
          <w:tcPr>
            <w:tcW w:w="41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Interest income</w:t>
            </w:r>
          </w:p>
        </w:tc>
        <w:tc>
          <w:tcPr>
            <w:tcW w:w="16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(4,797)</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(2,573)</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(16,536)</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(10,007)</w:t>
            </w:r>
          </w:p>
        </w:tc>
      </w:tr>
      <w:tr>
        <w:trPr>
          <w:trHeight w:val="219"/>
        </w:trPr>
        <w:tc>
          <w:tcPr>
            <w:tcW w:w="4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 expense (income), net</w:t>
            </w:r>
          </w:p>
        </w:tc>
        <w:tc>
          <w:tcPr>
            <w:tcW w:w="16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329</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882</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766</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(265)</w:t>
            </w:r>
          </w:p>
        </w:tc>
      </w:tr>
      <w:tr>
        <w:trPr>
          <w:trHeight w:val="213"/>
        </w:trPr>
        <w:tc>
          <w:tcPr>
            <w:tcW w:w="41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Pension plan settlement</w:t>
            </w:r>
          </w:p>
        </w:tc>
        <w:tc>
          <w:tcPr>
            <w:tcW w:w="160" w:type="dxa"/>
            <w:vAlign w:val="bottom"/>
          </w:tcPr>
          <w:p>
            <w:pPr>
              <w:spacing w:after="0"/>
              <w:rPr>
                <w:sz w:val="18"/>
                <w:szCs w:val="18"/>
                <w:color w:val="auto"/>
              </w:rPr>
            </w:pPr>
          </w:p>
        </w:tc>
        <w:tc>
          <w:tcPr>
            <w:tcW w:w="14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8,777</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8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8,777</w:t>
            </w:r>
          </w:p>
        </w:tc>
      </w:tr>
      <w:tr>
        <w:trPr>
          <w:trHeight w:val="212"/>
        </w:trPr>
        <w:tc>
          <w:tcPr>
            <w:tcW w:w="41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Income before income taxes</w:t>
            </w:r>
          </w:p>
        </w:tc>
        <w:tc>
          <w:tcPr>
            <w:tcW w:w="160" w:type="dxa"/>
            <w:vAlign w:val="bottom"/>
            <w:tcBorders>
              <w:top w:val="single" w:sz="8" w:color="auto"/>
            </w:tcBorders>
            <w:shd w:val="clear" w:color="auto" w:fill="CCEEFF"/>
          </w:tcPr>
          <w:p>
            <w:pPr>
              <w:spacing w:after="0"/>
              <w:rPr>
                <w:sz w:val="18"/>
                <w:szCs w:val="18"/>
                <w:color w:val="auto"/>
              </w:rPr>
            </w:pPr>
          </w:p>
        </w:tc>
        <w:tc>
          <w:tcPr>
            <w:tcW w:w="13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48,412</w:t>
            </w: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14,834</w:t>
            </w: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3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204,914</w:t>
            </w:r>
          </w:p>
        </w:tc>
        <w:tc>
          <w:tcPr>
            <w:tcW w:w="1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37,886</w:t>
            </w:r>
          </w:p>
        </w:tc>
      </w:tr>
      <w:tr>
        <w:trPr>
          <w:trHeight w:val="213"/>
        </w:trPr>
        <w:tc>
          <w:tcPr>
            <w:tcW w:w="41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Income tax provision</w:t>
            </w:r>
          </w:p>
        </w:tc>
        <w:tc>
          <w:tcPr>
            <w:tcW w:w="16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11,801</w:t>
            </w: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3,241</w:t>
            </w: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49,009</w:t>
            </w:r>
          </w:p>
        </w:tc>
        <w:tc>
          <w:tcPr>
            <w:tcW w:w="12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10,308</w:t>
            </w:r>
          </w:p>
        </w:tc>
      </w:tr>
      <w:tr>
        <w:trPr>
          <w:trHeight w:val="237"/>
        </w:trPr>
        <w:tc>
          <w:tcPr>
            <w:tcW w:w="41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income</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36,611</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1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11,593</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155,905</w:t>
            </w: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1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27,578</w:t>
            </w:r>
          </w:p>
        </w:tc>
      </w:tr>
      <w:tr>
        <w:trPr>
          <w:trHeight w:val="20"/>
        </w:trPr>
        <w:tc>
          <w:tcPr>
            <w:tcW w:w="41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6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600" w:type="dxa"/>
            <w:vAlign w:val="bottom"/>
            <w:tcBorders>
              <w:top w:val="single" w:sz="8" w:color="CCEEFF"/>
              <w:bottom w:val="single" w:sz="8" w:color="auto"/>
            </w:tcBorders>
          </w:tcPr>
          <w:p>
            <w:pPr>
              <w:spacing w:after="0" w:line="20" w:lineRule="exact"/>
              <w:rPr>
                <w:sz w:val="1"/>
                <w:szCs w:val="1"/>
                <w:color w:val="auto"/>
              </w:rPr>
            </w:pPr>
          </w:p>
        </w:tc>
      </w:tr>
      <w:tr>
        <w:trPr>
          <w:trHeight w:val="217"/>
        </w:trPr>
        <w:tc>
          <w:tcPr>
            <w:tcW w:w="4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0" w:type="dxa"/>
            <w:vAlign w:val="bottom"/>
          </w:tcPr>
          <w:p>
            <w:pPr>
              <w:spacing w:after="0"/>
              <w:rPr>
                <w:sz w:val="18"/>
                <w:szCs w:val="18"/>
                <w:color w:val="auto"/>
              </w:rPr>
            </w:pPr>
          </w:p>
        </w:tc>
      </w:tr>
      <w:tr>
        <w:trPr>
          <w:trHeight w:val="216"/>
        </w:trPr>
        <w:tc>
          <w:tcPr>
            <w:tcW w:w="4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Basic net income per common share</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0.32</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4.27</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0.75</w:t>
            </w:r>
          </w:p>
        </w:tc>
      </w:tr>
      <w:tr>
        <w:trPr>
          <w:trHeight w:val="213"/>
        </w:trPr>
        <w:tc>
          <w:tcPr>
            <w:tcW w:w="41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Diluted net income per common share</w:t>
            </w: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1.00</w:t>
            </w:r>
          </w:p>
        </w:tc>
        <w:tc>
          <w:tcPr>
            <w:tcW w:w="100" w:type="dxa"/>
            <w:vAlign w:val="bottom"/>
          </w:tcPr>
          <w:p>
            <w:pPr>
              <w:spacing w:after="0"/>
              <w:rPr>
                <w:sz w:val="18"/>
                <w:szCs w:val="18"/>
                <w:color w:val="auto"/>
              </w:rPr>
            </w:pPr>
          </w:p>
        </w:tc>
        <w:tc>
          <w:tcPr>
            <w:tcW w:w="16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1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0.32</w:t>
            </w:r>
          </w:p>
        </w:tc>
        <w:tc>
          <w:tcPr>
            <w:tcW w:w="10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4.27</w:t>
            </w:r>
          </w:p>
        </w:tc>
        <w:tc>
          <w:tcPr>
            <w:tcW w:w="120" w:type="dxa"/>
            <w:vAlign w:val="bottom"/>
          </w:tcPr>
          <w:p>
            <w:pPr>
              <w:spacing w:after="0"/>
              <w:rPr>
                <w:sz w:val="18"/>
                <w:szCs w:val="18"/>
                <w:color w:val="auto"/>
              </w:rPr>
            </w:pPr>
          </w:p>
        </w:tc>
        <w:tc>
          <w:tcPr>
            <w:tcW w:w="16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1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0.75</w:t>
            </w:r>
          </w:p>
        </w:tc>
      </w:tr>
      <w:tr>
        <w:trPr>
          <w:trHeight w:val="219"/>
        </w:trPr>
        <w:tc>
          <w:tcPr>
            <w:tcW w:w="4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Dividend declared and paid per common share</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0.25</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0.25</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0.75</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1.30</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ectPr>
          <w:pgSz w:w="11900" w:h="16838" w:orient="portrait"/>
          <w:cols w:equalWidth="0" w:num="1">
            <w:col w:w="11040"/>
          </w:cols>
          <w:pgMar w:left="420" w:top="891" w:right="439" w:bottom="1440" w:gutter="0" w:footer="0" w:header="0"/>
        </w:sectPr>
      </w:pPr>
    </w:p>
    <w:bookmarkStart w:id="12" w:name="page13"/>
    <w:bookmarkEnd w:id="12"/>
    <w:p>
      <w:pPr>
        <w:jc w:val="center"/>
        <w:ind w:right="-159"/>
        <w:spacing w:after="0"/>
        <w:rPr>
          <w:sz w:val="20"/>
          <w:szCs w:val="20"/>
          <w:color w:val="auto"/>
        </w:rPr>
      </w:pPr>
      <w:r>
        <w:rPr>
          <w:rFonts w:ascii="Times New Roman" w:cs="Times New Roman" w:eastAsia="Times New Roman" w:hAnsi="Times New Roman"/>
          <w:sz w:val="22"/>
          <w:szCs w:val="22"/>
          <w:b w:val="1"/>
          <w:bCs w:val="1"/>
          <w:color w:val="auto"/>
        </w:rPr>
        <w:t>CARTER’S, INC.</w:t>
      </w:r>
    </w:p>
    <w:p>
      <w:pPr>
        <w:spacing w:after="0" w:line="27"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22"/>
          <w:szCs w:val="22"/>
          <w:b w:val="1"/>
          <w:bCs w:val="1"/>
          <w:color w:val="auto"/>
        </w:rPr>
        <w:t>BUSINESS SEGMENT RESULTS</w:t>
      </w:r>
    </w:p>
    <w:p>
      <w:pPr>
        <w:jc w:val="center"/>
        <w:ind w:right="-159"/>
        <w:spacing w:after="0"/>
        <w:rPr>
          <w:sz w:val="20"/>
          <w:szCs w:val="20"/>
          <w:color w:val="auto"/>
        </w:rPr>
      </w:pPr>
      <w:r>
        <w:rPr>
          <w:rFonts w:ascii="Times New Roman" w:cs="Times New Roman" w:eastAsia="Times New Roman" w:hAnsi="Times New Roman"/>
          <w:sz w:val="18"/>
          <w:szCs w:val="18"/>
          <w:color w:val="auto"/>
        </w:rPr>
        <w:t>(dollars in thousands)</w:t>
      </w:r>
    </w:p>
    <w:p>
      <w:pPr>
        <w:spacing w:after="0" w:line="7"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(unaudited)</w:t>
      </w:r>
    </w:p>
    <w:p>
      <w:pPr>
        <w:spacing w:after="0" w:line="374" w:lineRule="exact"/>
        <w:rPr>
          <w:sz w:val="20"/>
          <w:szCs w:val="20"/>
          <w:color w:val="auto"/>
        </w:rPr>
      </w:pPr>
    </w:p>
    <w:tbl>
      <w:tblPr>
        <w:tblLayout w:type="fixed"/>
        <w:tblInd w:w="18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2420" w:type="dxa"/>
            <w:vAlign w:val="bottom"/>
            <w:tcBorders>
              <w:bottom w:val="single" w:sz="8" w:color="auto"/>
            </w:tcBorders>
            <w:gridSpan w:val="4"/>
          </w:tcPr>
          <w:p>
            <w:pPr>
              <w:jc w:val="center"/>
              <w:ind w:left="119"/>
              <w:spacing w:after="0"/>
              <w:rPr>
                <w:sz w:val="20"/>
                <w:szCs w:val="20"/>
                <w:color w:val="auto"/>
              </w:rPr>
            </w:pPr>
            <w:r>
              <w:rPr>
                <w:rFonts w:ascii="Times New Roman" w:cs="Times New Roman" w:eastAsia="Times New Roman" w:hAnsi="Times New Roman"/>
                <w:sz w:val="16"/>
                <w:szCs w:val="16"/>
                <w:b w:val="1"/>
                <w:bCs w:val="1"/>
                <w:color w:val="auto"/>
              </w:rPr>
              <w:t>Fiscal Quarter Ended</w:t>
            </w:r>
          </w:p>
        </w:tc>
        <w:tc>
          <w:tcPr>
            <w:tcW w:w="12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spacing w:after="0"/>
              <w:rPr>
                <w:sz w:val="18"/>
                <w:szCs w:val="18"/>
                <w:color w:val="auto"/>
              </w:rPr>
            </w:pPr>
          </w:p>
        </w:tc>
        <w:tc>
          <w:tcPr>
            <w:tcW w:w="120" w:type="dxa"/>
            <w:vAlign w:val="bottom"/>
            <w:tcBorders>
              <w:bottom w:val="single" w:sz="8" w:color="auto"/>
              <w:right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340" w:type="dxa"/>
            <w:vAlign w:val="bottom"/>
            <w:tcBorders>
              <w:bottom w:val="single" w:sz="8" w:color="auto"/>
            </w:tcBorders>
            <w:gridSpan w:val="4"/>
          </w:tcPr>
          <w:p>
            <w:pPr>
              <w:jc w:val="center"/>
              <w:ind w:left="39"/>
              <w:spacing w:after="0"/>
              <w:rPr>
                <w:sz w:val="20"/>
                <w:szCs w:val="20"/>
                <w:color w:val="auto"/>
              </w:rPr>
            </w:pPr>
            <w:r>
              <w:rPr>
                <w:rFonts w:ascii="Times New Roman" w:cs="Times New Roman" w:eastAsia="Times New Roman" w:hAnsi="Times New Roman"/>
                <w:sz w:val="16"/>
                <w:szCs w:val="16"/>
                <w:b w:val="1"/>
                <w:bCs w:val="1"/>
                <w:color w:val="auto"/>
              </w:rPr>
              <w:t>Three Fiscal Quarters Ended</w:t>
            </w:r>
          </w:p>
        </w:tc>
        <w:tc>
          <w:tcPr>
            <w:tcW w:w="10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00" w:type="dxa"/>
            <w:vAlign w:val="bottom"/>
            <w:gridSpan w:val="2"/>
            <w:vMerge w:val="restart"/>
          </w:tcPr>
          <w:p>
            <w:pPr>
              <w:jc w:val="right"/>
              <w:ind w:right="19"/>
              <w:spacing w:after="0"/>
              <w:rPr>
                <w:sz w:val="20"/>
                <w:szCs w:val="20"/>
                <w:color w:val="auto"/>
              </w:rPr>
            </w:pPr>
            <w:r>
              <w:rPr>
                <w:rFonts w:ascii="Times New Roman" w:cs="Times New Roman" w:eastAsia="Times New Roman" w:hAnsi="Times New Roman"/>
                <w:sz w:val="16"/>
                <w:szCs w:val="16"/>
                <w:b w:val="1"/>
                <w:bCs w:val="1"/>
                <w:color w:val="auto"/>
              </w:rPr>
              <w:t>October 3,</w:t>
            </w:r>
          </w:p>
        </w:tc>
        <w:tc>
          <w:tcPr>
            <w:tcW w:w="80" w:type="dxa"/>
            <w:vAlign w:val="bottom"/>
          </w:tcPr>
          <w:p>
            <w:pPr>
              <w:spacing w:after="0"/>
              <w:rPr>
                <w:sz w:val="13"/>
                <w:szCs w:val="13"/>
                <w:color w:val="auto"/>
              </w:rPr>
            </w:pPr>
          </w:p>
        </w:tc>
        <w:tc>
          <w:tcPr>
            <w:tcW w:w="126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rPr>
              <w:t>% of</w:t>
            </w:r>
          </w:p>
        </w:tc>
        <w:tc>
          <w:tcPr>
            <w:tcW w:w="1160" w:type="dxa"/>
            <w:vAlign w:val="bottom"/>
            <w:gridSpan w:val="2"/>
            <w:vMerge w:val="restart"/>
          </w:tcPr>
          <w:p>
            <w:pPr>
              <w:jc w:val="right"/>
              <w:spacing w:after="0"/>
              <w:rPr>
                <w:sz w:val="20"/>
                <w:szCs w:val="20"/>
                <w:color w:val="auto"/>
              </w:rPr>
            </w:pPr>
            <w:r>
              <w:rPr>
                <w:rFonts w:ascii="Times New Roman" w:cs="Times New Roman" w:eastAsia="Times New Roman" w:hAnsi="Times New Roman"/>
                <w:sz w:val="16"/>
                <w:szCs w:val="16"/>
                <w:b w:val="1"/>
                <w:bCs w:val="1"/>
                <w:color w:val="auto"/>
              </w:rPr>
              <w:t>September 27,</w:t>
            </w:r>
          </w:p>
        </w:tc>
        <w:tc>
          <w:tcPr>
            <w:tcW w:w="120" w:type="dxa"/>
            <w:vAlign w:val="bottom"/>
          </w:tcPr>
          <w:p>
            <w:pPr>
              <w:spacing w:after="0"/>
              <w:rPr>
                <w:sz w:val="13"/>
                <w:szCs w:val="13"/>
                <w:color w:val="auto"/>
              </w:rPr>
            </w:pPr>
          </w:p>
        </w:tc>
        <w:tc>
          <w:tcPr>
            <w:tcW w:w="1200" w:type="dxa"/>
            <w:vAlign w:val="bottom"/>
            <w:tcBorders>
              <w:right w:val="single" w:sz="8" w:color="auto"/>
            </w:tcBorders>
            <w:gridSpan w:val="2"/>
            <w:vMerge w:val="restart"/>
          </w:tcPr>
          <w:p>
            <w:pPr>
              <w:jc w:val="center"/>
              <w:ind w:right="140"/>
              <w:spacing w:after="0"/>
              <w:rPr>
                <w:sz w:val="20"/>
                <w:szCs w:val="20"/>
                <w:color w:val="auto"/>
              </w:rPr>
            </w:pPr>
            <w:r>
              <w:rPr>
                <w:rFonts w:ascii="Times New Roman" w:cs="Times New Roman" w:eastAsia="Times New Roman" w:hAnsi="Times New Roman"/>
                <w:sz w:val="16"/>
                <w:szCs w:val="16"/>
                <w:b w:val="1"/>
                <w:bCs w:val="1"/>
                <w:color w:val="auto"/>
              </w:rPr>
              <w:t>% of</w:t>
            </w: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60" w:type="dxa"/>
            <w:vAlign w:val="bottom"/>
            <w:vMerge w:val="restart"/>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w w:val="99"/>
              </w:rPr>
              <w:t>October 3,</w:t>
            </w:r>
          </w:p>
        </w:tc>
        <w:tc>
          <w:tcPr>
            <w:tcW w:w="100" w:type="dxa"/>
            <w:vAlign w:val="bottom"/>
          </w:tcPr>
          <w:p>
            <w:pPr>
              <w:spacing w:after="0"/>
              <w:rPr>
                <w:sz w:val="13"/>
                <w:szCs w:val="13"/>
                <w:color w:val="auto"/>
              </w:rPr>
            </w:pPr>
          </w:p>
        </w:tc>
        <w:tc>
          <w:tcPr>
            <w:tcW w:w="1160" w:type="dxa"/>
            <w:vAlign w:val="bottom"/>
            <w:gridSpan w:val="2"/>
          </w:tcPr>
          <w:p>
            <w:pPr>
              <w:jc w:val="center"/>
              <w:ind w:right="100"/>
              <w:spacing w:after="0" w:line="155" w:lineRule="exact"/>
              <w:rPr>
                <w:sz w:val="20"/>
                <w:szCs w:val="20"/>
                <w:color w:val="auto"/>
              </w:rPr>
            </w:pPr>
            <w:r>
              <w:rPr>
                <w:rFonts w:ascii="Times New Roman" w:cs="Times New Roman" w:eastAsia="Times New Roman" w:hAnsi="Times New Roman"/>
                <w:sz w:val="16"/>
                <w:szCs w:val="16"/>
                <w:b w:val="1"/>
                <w:bCs w:val="1"/>
                <w:color w:val="auto"/>
              </w:rPr>
              <w:t>% of</w:t>
            </w:r>
          </w:p>
        </w:tc>
        <w:tc>
          <w:tcPr>
            <w:tcW w:w="1180" w:type="dxa"/>
            <w:vAlign w:val="bottom"/>
            <w:gridSpan w:val="2"/>
            <w:vMerge w:val="restart"/>
          </w:tcPr>
          <w:p>
            <w:pPr>
              <w:jc w:val="right"/>
              <w:ind w:right="19"/>
              <w:spacing w:after="0"/>
              <w:rPr>
                <w:sz w:val="20"/>
                <w:szCs w:val="20"/>
                <w:color w:val="auto"/>
              </w:rPr>
            </w:pPr>
            <w:r>
              <w:rPr>
                <w:rFonts w:ascii="Times New Roman" w:cs="Times New Roman" w:eastAsia="Times New Roman" w:hAnsi="Times New Roman"/>
                <w:sz w:val="16"/>
                <w:szCs w:val="16"/>
                <w:b w:val="1"/>
                <w:bCs w:val="1"/>
                <w:color w:val="auto"/>
              </w:rPr>
              <w:t>September 27,</w:t>
            </w:r>
          </w:p>
        </w:tc>
        <w:tc>
          <w:tcPr>
            <w:tcW w:w="100" w:type="dxa"/>
            <w:vAlign w:val="bottom"/>
          </w:tcPr>
          <w:p>
            <w:pPr>
              <w:spacing w:after="0"/>
              <w:rPr>
                <w:sz w:val="13"/>
                <w:szCs w:val="13"/>
                <w:color w:val="auto"/>
              </w:rPr>
            </w:pPr>
          </w:p>
        </w:tc>
        <w:tc>
          <w:tcPr>
            <w:tcW w:w="110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b w:val="1"/>
                <w:bCs w:val="1"/>
                <w:color w:val="auto"/>
                <w:w w:val="95"/>
              </w:rPr>
              <w:t>% of</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0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1260" w:type="dxa"/>
            <w:vAlign w:val="bottom"/>
            <w:gridSpan w:val="2"/>
            <w:vMerge w:val="continue"/>
          </w:tcPr>
          <w:p>
            <w:pPr>
              <w:spacing w:after="0"/>
              <w:rPr>
                <w:sz w:val="14"/>
                <w:szCs w:val="14"/>
                <w:color w:val="auto"/>
              </w:rPr>
            </w:pPr>
          </w:p>
        </w:tc>
        <w:tc>
          <w:tcPr>
            <w:tcW w:w="116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1200" w:type="dxa"/>
            <w:vAlign w:val="bottom"/>
            <w:tcBorders>
              <w:right w:val="single" w:sz="8" w:color="auto"/>
            </w:tcBorders>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6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160" w:type="dxa"/>
            <w:vAlign w:val="bottom"/>
            <w:gridSpan w:val="2"/>
          </w:tcPr>
          <w:p>
            <w:pPr>
              <w:jc w:val="center"/>
              <w:ind w:right="100"/>
              <w:spacing w:after="0" w:line="162" w:lineRule="exact"/>
              <w:rPr>
                <w:sz w:val="20"/>
                <w:szCs w:val="20"/>
                <w:color w:val="auto"/>
              </w:rPr>
            </w:pPr>
            <w:r>
              <w:rPr>
                <w:rFonts w:ascii="Times New Roman" w:cs="Times New Roman" w:eastAsia="Times New Roman" w:hAnsi="Times New Roman"/>
                <w:sz w:val="16"/>
                <w:szCs w:val="16"/>
                <w:b w:val="1"/>
                <w:bCs w:val="1"/>
                <w:color w:val="auto"/>
                <w:w w:val="96"/>
              </w:rPr>
              <w:t>Total Net</w:t>
            </w:r>
          </w:p>
        </w:tc>
        <w:tc>
          <w:tcPr>
            <w:tcW w:w="118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11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jc w:val="right"/>
              <w:ind w:right="219"/>
              <w:spacing w:after="0"/>
              <w:rPr>
                <w:sz w:val="20"/>
                <w:szCs w:val="20"/>
                <w:color w:val="auto"/>
              </w:rPr>
            </w:pPr>
            <w:r>
              <w:rPr>
                <w:rFonts w:ascii="Times New Roman" w:cs="Times New Roman" w:eastAsia="Times New Roman" w:hAnsi="Times New Roman"/>
                <w:sz w:val="16"/>
                <w:szCs w:val="16"/>
                <w:b w:val="1"/>
                <w:bCs w:val="1"/>
                <w:color w:val="auto"/>
              </w:rPr>
              <w:t>2026</w:t>
            </w:r>
          </w:p>
        </w:tc>
        <w:tc>
          <w:tcPr>
            <w:tcW w:w="80" w:type="dxa"/>
            <w:vAlign w:val="bottom"/>
          </w:tcPr>
          <w:p>
            <w:pPr>
              <w:spacing w:after="0"/>
              <w:rPr>
                <w:sz w:val="18"/>
                <w:szCs w:val="18"/>
                <w:color w:val="auto"/>
              </w:rPr>
            </w:pPr>
          </w:p>
        </w:tc>
        <w:tc>
          <w:tcPr>
            <w:tcW w:w="126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Total Net Sales</w:t>
            </w:r>
          </w:p>
        </w:tc>
        <w:tc>
          <w:tcPr>
            <w:tcW w:w="260" w:type="dxa"/>
            <w:vAlign w:val="bottom"/>
          </w:tcPr>
          <w:p>
            <w:pPr>
              <w:spacing w:after="0"/>
              <w:rPr>
                <w:sz w:val="18"/>
                <w:szCs w:val="18"/>
                <w:color w:val="auto"/>
              </w:rPr>
            </w:pPr>
          </w:p>
        </w:tc>
        <w:tc>
          <w:tcPr>
            <w:tcW w:w="900" w:type="dxa"/>
            <w:vAlign w:val="bottom"/>
          </w:tcPr>
          <w:p>
            <w:pPr>
              <w:jc w:val="right"/>
              <w:ind w:right="339"/>
              <w:spacing w:after="0"/>
              <w:rPr>
                <w:sz w:val="20"/>
                <w:szCs w:val="20"/>
                <w:color w:val="auto"/>
              </w:rPr>
            </w:pPr>
            <w:r>
              <w:rPr>
                <w:rFonts w:ascii="Times New Roman" w:cs="Times New Roman" w:eastAsia="Times New Roman" w:hAnsi="Times New Roman"/>
                <w:sz w:val="16"/>
                <w:szCs w:val="16"/>
                <w:b w:val="1"/>
                <w:bCs w:val="1"/>
                <w:color w:val="auto"/>
              </w:rPr>
              <w:t>2025</w:t>
            </w:r>
          </w:p>
        </w:tc>
        <w:tc>
          <w:tcPr>
            <w:tcW w:w="120" w:type="dxa"/>
            <w:vAlign w:val="bottom"/>
          </w:tcPr>
          <w:p>
            <w:pPr>
              <w:spacing w:after="0"/>
              <w:rPr>
                <w:sz w:val="18"/>
                <w:szCs w:val="18"/>
                <w:color w:val="auto"/>
              </w:rPr>
            </w:pPr>
          </w:p>
        </w:tc>
        <w:tc>
          <w:tcPr>
            <w:tcW w:w="1200" w:type="dxa"/>
            <w:vAlign w:val="bottom"/>
            <w:tcBorders>
              <w:right w:val="single" w:sz="8" w:color="auto"/>
            </w:tcBorders>
            <w:gridSpan w:val="2"/>
          </w:tcPr>
          <w:p>
            <w:pPr>
              <w:jc w:val="center"/>
              <w:ind w:right="140"/>
              <w:spacing w:after="0"/>
              <w:rPr>
                <w:sz w:val="20"/>
                <w:szCs w:val="20"/>
                <w:color w:val="auto"/>
              </w:rPr>
            </w:pPr>
            <w:r>
              <w:rPr>
                <w:rFonts w:ascii="Times New Roman" w:cs="Times New Roman" w:eastAsia="Times New Roman" w:hAnsi="Times New Roman"/>
                <w:sz w:val="16"/>
                <w:szCs w:val="16"/>
                <w:b w:val="1"/>
                <w:bCs w:val="1"/>
                <w:color w:val="auto"/>
                <w:w w:val="98"/>
              </w:rPr>
              <w:t>Total Net Sales</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jc w:val="right"/>
              <w:ind w:right="239"/>
              <w:spacing w:after="0"/>
              <w:rPr>
                <w:sz w:val="20"/>
                <w:szCs w:val="20"/>
                <w:color w:val="auto"/>
              </w:rPr>
            </w:pPr>
            <w:r>
              <w:rPr>
                <w:rFonts w:ascii="Times New Roman" w:cs="Times New Roman" w:eastAsia="Times New Roman" w:hAnsi="Times New Roman"/>
                <w:sz w:val="16"/>
                <w:szCs w:val="16"/>
                <w:b w:val="1"/>
                <w:bCs w:val="1"/>
                <w:color w:val="auto"/>
              </w:rPr>
              <w:t>2026</w:t>
            </w:r>
          </w:p>
        </w:tc>
        <w:tc>
          <w:tcPr>
            <w:tcW w:w="100" w:type="dxa"/>
            <w:vAlign w:val="bottom"/>
          </w:tcPr>
          <w:p>
            <w:pPr>
              <w:spacing w:after="0"/>
              <w:rPr>
                <w:sz w:val="18"/>
                <w:szCs w:val="18"/>
                <w:color w:val="auto"/>
              </w:rPr>
            </w:pPr>
          </w:p>
        </w:tc>
        <w:tc>
          <w:tcPr>
            <w:tcW w:w="116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w w:val="97"/>
              </w:rPr>
              <w:t>Sales</w:t>
            </w:r>
          </w:p>
        </w:tc>
        <w:tc>
          <w:tcPr>
            <w:tcW w:w="260" w:type="dxa"/>
            <w:vAlign w:val="bottom"/>
          </w:tcPr>
          <w:p>
            <w:pPr>
              <w:spacing w:after="0"/>
              <w:rPr>
                <w:sz w:val="18"/>
                <w:szCs w:val="18"/>
                <w:color w:val="auto"/>
              </w:rPr>
            </w:pPr>
          </w:p>
        </w:tc>
        <w:tc>
          <w:tcPr>
            <w:tcW w:w="920" w:type="dxa"/>
            <w:vAlign w:val="bottom"/>
          </w:tcPr>
          <w:p>
            <w:pPr>
              <w:jc w:val="right"/>
              <w:ind w:right="359"/>
              <w:spacing w:after="0"/>
              <w:rPr>
                <w:sz w:val="20"/>
                <w:szCs w:val="20"/>
                <w:color w:val="auto"/>
              </w:rPr>
            </w:pPr>
            <w:r>
              <w:rPr>
                <w:rFonts w:ascii="Times New Roman" w:cs="Times New Roman" w:eastAsia="Times New Roman" w:hAnsi="Times New Roman"/>
                <w:sz w:val="16"/>
                <w:szCs w:val="16"/>
                <w:b w:val="1"/>
                <w:bCs w:val="1"/>
                <w:color w:val="auto"/>
              </w:rPr>
              <w:t>2025</w:t>
            </w:r>
          </w:p>
        </w:tc>
        <w:tc>
          <w:tcPr>
            <w:tcW w:w="100" w:type="dxa"/>
            <w:vAlign w:val="bottom"/>
          </w:tcPr>
          <w:p>
            <w:pPr>
              <w:spacing w:after="0"/>
              <w:rPr>
                <w:sz w:val="18"/>
                <w:szCs w:val="18"/>
                <w:color w:val="auto"/>
              </w:rPr>
            </w:pPr>
          </w:p>
        </w:tc>
        <w:tc>
          <w:tcPr>
            <w:tcW w:w="110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Total Net Sales</w:t>
            </w:r>
          </w:p>
        </w:tc>
        <w:tc>
          <w:tcPr>
            <w:tcW w:w="0" w:type="dxa"/>
            <w:vAlign w:val="bottom"/>
          </w:tcPr>
          <w:p>
            <w:pPr>
              <w:spacing w:after="0"/>
              <w:rPr>
                <w:sz w:val="1"/>
                <w:szCs w:val="1"/>
                <w:color w:val="auto"/>
              </w:rPr>
            </w:pPr>
          </w:p>
        </w:tc>
      </w:tr>
      <w:tr>
        <w:trPr>
          <w:trHeight w:val="157"/>
        </w:trPr>
        <w:tc>
          <w:tcPr>
            <w:tcW w:w="20" w:type="dxa"/>
            <w:vAlign w:val="bottom"/>
            <w:tcBorders>
              <w:top w:val="single" w:sz="8" w:color="CCEEFF"/>
            </w:tcBorders>
            <w:shd w:val="clear" w:color="auto" w:fill="CCEEFF"/>
          </w:tcPr>
          <w:p>
            <w:pPr>
              <w:spacing w:after="0"/>
              <w:rPr>
                <w:sz w:val="13"/>
                <w:szCs w:val="13"/>
                <w:color w:val="auto"/>
              </w:rPr>
            </w:pPr>
          </w:p>
        </w:tc>
        <w:tc>
          <w:tcPr>
            <w:tcW w:w="1660" w:type="dxa"/>
            <w:vAlign w:val="bottom"/>
            <w:tcBorders>
              <w:top w:val="single" w:sz="8" w:color="CCEEFF"/>
            </w:tcBorders>
            <w:gridSpan w:val="6"/>
            <w:shd w:val="clear" w:color="auto" w:fill="CCEEFF"/>
          </w:tcPr>
          <w:p>
            <w:pPr>
              <w:spacing w:after="0" w:line="158" w:lineRule="exact"/>
              <w:rPr>
                <w:sz w:val="20"/>
                <w:szCs w:val="20"/>
                <w:color w:val="auto"/>
              </w:rPr>
            </w:pPr>
            <w:r>
              <w:rPr>
                <w:rFonts w:ascii="Times New Roman" w:cs="Times New Roman" w:eastAsia="Times New Roman" w:hAnsi="Times New Roman"/>
                <w:sz w:val="16"/>
                <w:szCs w:val="16"/>
                <w:b w:val="1"/>
                <w:bCs w:val="1"/>
                <w:color w:val="auto"/>
              </w:rPr>
              <w:t>Net sales:</w:t>
            </w:r>
          </w:p>
        </w:tc>
        <w:tc>
          <w:tcPr>
            <w:tcW w:w="180" w:type="dxa"/>
            <w:vAlign w:val="bottom"/>
            <w:tcBorders>
              <w:top w:val="single" w:sz="8" w:color="auto"/>
            </w:tcBorders>
            <w:shd w:val="clear" w:color="auto" w:fill="CCEEFF"/>
          </w:tcPr>
          <w:p>
            <w:pPr>
              <w:spacing w:after="0"/>
              <w:rPr>
                <w:sz w:val="13"/>
                <w:szCs w:val="13"/>
                <w:color w:val="auto"/>
              </w:rPr>
            </w:pPr>
          </w:p>
        </w:tc>
        <w:tc>
          <w:tcPr>
            <w:tcW w:w="72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116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260" w:type="dxa"/>
            <w:vAlign w:val="bottom"/>
            <w:tcBorders>
              <w:top w:val="single" w:sz="8" w:color="auto"/>
            </w:tcBorders>
            <w:shd w:val="clear" w:color="auto" w:fill="CCEEFF"/>
          </w:tcPr>
          <w:p>
            <w:pPr>
              <w:spacing w:after="0"/>
              <w:rPr>
                <w:sz w:val="13"/>
                <w:szCs w:val="13"/>
                <w:color w:val="auto"/>
              </w:rPr>
            </w:pPr>
          </w:p>
        </w:tc>
        <w:tc>
          <w:tcPr>
            <w:tcW w:w="900" w:type="dxa"/>
            <w:vAlign w:val="bottom"/>
            <w:tcBorders>
              <w:top w:val="single" w:sz="8" w:color="auto"/>
            </w:tcBorders>
            <w:shd w:val="clear" w:color="auto" w:fill="CCEEFF"/>
          </w:tcPr>
          <w:p>
            <w:pPr>
              <w:spacing w:after="0"/>
              <w:rPr>
                <w:sz w:val="13"/>
                <w:szCs w:val="13"/>
                <w:color w:val="auto"/>
              </w:rPr>
            </w:pPr>
          </w:p>
        </w:tc>
        <w:tc>
          <w:tcPr>
            <w:tcW w:w="120" w:type="dxa"/>
            <w:vAlign w:val="bottom"/>
            <w:tcBorders>
              <w:top w:val="single" w:sz="8" w:color="CCEEFF"/>
            </w:tcBorders>
            <w:shd w:val="clear" w:color="auto" w:fill="CCEEFF"/>
          </w:tcPr>
          <w:p>
            <w:pPr>
              <w:spacing w:after="0"/>
              <w:rPr>
                <w:sz w:val="13"/>
                <w:szCs w:val="13"/>
                <w:color w:val="auto"/>
              </w:rPr>
            </w:pPr>
          </w:p>
        </w:tc>
        <w:tc>
          <w:tcPr>
            <w:tcW w:w="1080" w:type="dxa"/>
            <w:vAlign w:val="bottom"/>
            <w:tcBorders>
              <w:top w:val="single" w:sz="8" w:color="auto"/>
            </w:tcBorders>
            <w:shd w:val="clear" w:color="auto" w:fill="CCEEFF"/>
          </w:tcPr>
          <w:p>
            <w:pPr>
              <w:spacing w:after="0"/>
              <w:rPr>
                <w:sz w:val="13"/>
                <w:szCs w:val="13"/>
                <w:color w:val="auto"/>
              </w:rPr>
            </w:pPr>
          </w:p>
        </w:tc>
        <w:tc>
          <w:tcPr>
            <w:tcW w:w="120" w:type="dxa"/>
            <w:vAlign w:val="bottom"/>
            <w:tcBorders>
              <w:top w:val="single" w:sz="8" w:color="auto"/>
              <w:right w:val="single" w:sz="8" w:color="auto"/>
            </w:tcBorders>
            <w:shd w:val="clear" w:color="auto" w:fill="CCEEFF"/>
          </w:tcPr>
          <w:p>
            <w:pPr>
              <w:spacing w:after="0"/>
              <w:rPr>
                <w:sz w:val="13"/>
                <w:szCs w:val="13"/>
                <w:color w:val="auto"/>
              </w:rPr>
            </w:pPr>
          </w:p>
        </w:tc>
        <w:tc>
          <w:tcPr>
            <w:tcW w:w="80" w:type="dxa"/>
            <w:vAlign w:val="bottom"/>
            <w:tcBorders>
              <w:top w:val="single" w:sz="8" w:color="auto"/>
            </w:tcBorders>
            <w:shd w:val="clear" w:color="auto" w:fill="CCEEFF"/>
          </w:tcPr>
          <w:p>
            <w:pPr>
              <w:spacing w:after="0"/>
              <w:rPr>
                <w:sz w:val="13"/>
                <w:szCs w:val="13"/>
                <w:color w:val="auto"/>
              </w:rPr>
            </w:pPr>
          </w:p>
        </w:tc>
        <w:tc>
          <w:tcPr>
            <w:tcW w:w="120" w:type="dxa"/>
            <w:vAlign w:val="bottom"/>
            <w:tcBorders>
              <w:top w:val="single" w:sz="8" w:color="auto"/>
            </w:tcBorders>
            <w:shd w:val="clear" w:color="auto" w:fill="CCEEFF"/>
          </w:tcPr>
          <w:p>
            <w:pPr>
              <w:spacing w:after="0"/>
              <w:rPr>
                <w:sz w:val="13"/>
                <w:szCs w:val="13"/>
                <w:color w:val="auto"/>
              </w:rPr>
            </w:pPr>
          </w:p>
        </w:tc>
        <w:tc>
          <w:tcPr>
            <w:tcW w:w="86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106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260" w:type="dxa"/>
            <w:vAlign w:val="bottom"/>
            <w:tcBorders>
              <w:top w:val="single" w:sz="8" w:color="auto"/>
            </w:tcBorders>
            <w:shd w:val="clear" w:color="auto" w:fill="CCEEFF"/>
          </w:tcPr>
          <w:p>
            <w:pPr>
              <w:spacing w:after="0"/>
              <w:rPr>
                <w:sz w:val="13"/>
                <w:szCs w:val="13"/>
                <w:color w:val="auto"/>
              </w:rPr>
            </w:pPr>
          </w:p>
        </w:tc>
        <w:tc>
          <w:tcPr>
            <w:tcW w:w="92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1100" w:type="dxa"/>
            <w:vAlign w:val="bottom"/>
            <w:tcBorders>
              <w:top w:val="single" w:sz="8" w:color="auto"/>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1"/>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auto"/>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CCEEFF"/>
          </w:tcPr>
          <w:p>
            <w:pPr>
              <w:spacing w:after="0" w:line="20" w:lineRule="exact"/>
              <w:rPr>
                <w:sz w:val="1"/>
                <w:szCs w:val="1"/>
                <w:color w:val="auto"/>
              </w:rPr>
            </w:pPr>
          </w:p>
        </w:tc>
        <w:tc>
          <w:tcPr>
            <w:tcW w:w="6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7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1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9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08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right w:val="single" w:sz="8" w:color="auto"/>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8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0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9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3"/>
        </w:trPr>
        <w:tc>
          <w:tcPr>
            <w:tcW w:w="20" w:type="dxa"/>
            <w:vAlign w:val="bottom"/>
          </w:tcPr>
          <w:p>
            <w:pPr>
              <w:spacing w:after="0"/>
              <w:rPr>
                <w:sz w:val="18"/>
                <w:szCs w:val="18"/>
                <w:color w:val="auto"/>
              </w:rPr>
            </w:pPr>
          </w:p>
        </w:tc>
        <w:tc>
          <w:tcPr>
            <w:tcW w:w="1660" w:type="dxa"/>
            <w:vAlign w:val="bottom"/>
            <w:gridSpan w:val="6"/>
          </w:tcPr>
          <w:p>
            <w:pPr>
              <w:spacing w:after="0"/>
              <w:rPr>
                <w:sz w:val="20"/>
                <w:szCs w:val="20"/>
                <w:color w:val="auto"/>
              </w:rPr>
            </w:pPr>
            <w:r>
              <w:rPr>
                <w:rFonts w:ascii="Times New Roman" w:cs="Times New Roman" w:eastAsia="Times New Roman" w:hAnsi="Times New Roman"/>
                <w:sz w:val="16"/>
                <w:szCs w:val="16"/>
                <w:color w:val="auto"/>
              </w:rPr>
              <w:t>U.S. Retail</w:t>
            </w: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362,624</w:t>
            </w:r>
          </w:p>
        </w:tc>
        <w:tc>
          <w:tcPr>
            <w:tcW w:w="12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48.2 %</w:t>
            </w:r>
          </w:p>
        </w:tc>
        <w:tc>
          <w:tcPr>
            <w:tcW w:w="100" w:type="dxa"/>
            <w:vAlign w:val="bottom"/>
          </w:tcPr>
          <w:p>
            <w:pPr>
              <w:spacing w:after="0"/>
              <w:rPr>
                <w:sz w:val="18"/>
                <w:szCs w:val="18"/>
                <w:color w:val="auto"/>
              </w:rPr>
            </w:pPr>
          </w:p>
        </w:tc>
        <w:tc>
          <w:tcPr>
            <w:tcW w:w="260" w:type="dxa"/>
            <w:vAlign w:val="bottom"/>
          </w:tcPr>
          <w:p>
            <w:pPr>
              <w:jc w:val="center"/>
              <w:ind w:right="59"/>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362,307</w:t>
            </w:r>
          </w:p>
        </w:tc>
        <w:tc>
          <w:tcPr>
            <w:tcW w:w="12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47.8 %</w:t>
            </w:r>
          </w:p>
        </w:tc>
        <w:tc>
          <w:tcPr>
            <w:tcW w:w="12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999,549</w:t>
            </w: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48.8 %</w:t>
            </w:r>
          </w:p>
        </w:tc>
        <w:tc>
          <w:tcPr>
            <w:tcW w:w="100" w:type="dxa"/>
            <w:vAlign w:val="bottom"/>
          </w:tcPr>
          <w:p>
            <w:pPr>
              <w:spacing w:after="0"/>
              <w:rPr>
                <w:sz w:val="18"/>
                <w:szCs w:val="18"/>
                <w:color w:val="auto"/>
              </w:rPr>
            </w:pPr>
          </w:p>
        </w:tc>
        <w:tc>
          <w:tcPr>
            <w:tcW w:w="260" w:type="dxa"/>
            <w:vAlign w:val="bottom"/>
          </w:tcPr>
          <w:p>
            <w:pPr>
              <w:jc w:val="center"/>
              <w:ind w:right="59"/>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956,288</w:t>
            </w:r>
          </w:p>
        </w:tc>
        <w:tc>
          <w:tcPr>
            <w:tcW w:w="12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48.5 %</w:t>
            </w:r>
          </w:p>
        </w:tc>
        <w:tc>
          <w:tcPr>
            <w:tcW w:w="0" w:type="dxa"/>
            <w:vAlign w:val="bottom"/>
          </w:tcPr>
          <w:p>
            <w:pPr>
              <w:spacing w:after="0"/>
              <w:rPr>
                <w:sz w:val="1"/>
                <w:szCs w:val="1"/>
                <w:color w:val="auto"/>
              </w:rPr>
            </w:pPr>
          </w:p>
        </w:tc>
      </w:tr>
      <w:tr>
        <w:trPr>
          <w:trHeight w:val="219"/>
        </w:trPr>
        <w:tc>
          <w:tcPr>
            <w:tcW w:w="20" w:type="dxa"/>
            <w:vAlign w:val="bottom"/>
            <w:shd w:val="clear" w:color="auto" w:fill="CCEEFF"/>
          </w:tcPr>
          <w:p>
            <w:pPr>
              <w:spacing w:after="0"/>
              <w:rPr>
                <w:sz w:val="19"/>
                <w:szCs w:val="19"/>
                <w:color w:val="auto"/>
              </w:rPr>
            </w:pPr>
          </w:p>
        </w:tc>
        <w:tc>
          <w:tcPr>
            <w:tcW w:w="1660" w:type="dxa"/>
            <w:vAlign w:val="bottom"/>
            <w:gridSpan w:val="6"/>
            <w:shd w:val="clear" w:color="auto" w:fill="CCEEFF"/>
          </w:tcPr>
          <w:p>
            <w:pPr>
              <w:spacing w:after="0"/>
              <w:rPr>
                <w:sz w:val="20"/>
                <w:szCs w:val="20"/>
                <w:color w:val="auto"/>
              </w:rPr>
            </w:pPr>
            <w:r>
              <w:rPr>
                <w:rFonts w:ascii="Times New Roman" w:cs="Times New Roman" w:eastAsia="Times New Roman" w:hAnsi="Times New Roman"/>
                <w:sz w:val="16"/>
                <w:szCs w:val="16"/>
                <w:color w:val="auto"/>
              </w:rPr>
              <w:t>U.S. Wholesale</w:t>
            </w:r>
          </w:p>
        </w:tc>
        <w:tc>
          <w:tcPr>
            <w:tcW w:w="18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273,110</w:t>
            </w:r>
          </w:p>
        </w:tc>
        <w:tc>
          <w:tcPr>
            <w:tcW w:w="1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36.3 %</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283,805</w:t>
            </w:r>
          </w:p>
        </w:tc>
        <w:tc>
          <w:tcPr>
            <w:tcW w:w="1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37.4 %</w:t>
            </w:r>
          </w:p>
        </w:tc>
        <w:tc>
          <w:tcPr>
            <w:tcW w:w="12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740,069</w:t>
            </w:r>
          </w:p>
        </w:tc>
        <w:tc>
          <w:tcPr>
            <w:tcW w:w="1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36.1 %</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726,899</w:t>
            </w:r>
          </w:p>
        </w:tc>
        <w:tc>
          <w:tcPr>
            <w:tcW w:w="1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36.8 %</w:t>
            </w:r>
          </w:p>
        </w:tc>
        <w:tc>
          <w:tcPr>
            <w:tcW w:w="0" w:type="dxa"/>
            <w:vAlign w:val="bottom"/>
          </w:tcPr>
          <w:p>
            <w:pPr>
              <w:spacing w:after="0"/>
              <w:rPr>
                <w:sz w:val="1"/>
                <w:szCs w:val="1"/>
                <w:color w:val="auto"/>
              </w:rPr>
            </w:pPr>
          </w:p>
        </w:tc>
      </w:tr>
      <w:tr>
        <w:trPr>
          <w:trHeight w:val="213"/>
        </w:trPr>
        <w:tc>
          <w:tcPr>
            <w:tcW w:w="20" w:type="dxa"/>
            <w:vAlign w:val="bottom"/>
            <w:tcBorders>
              <w:bottom w:val="single" w:sz="8" w:color="CCEEFF"/>
            </w:tcBorders>
          </w:tcPr>
          <w:p>
            <w:pPr>
              <w:spacing w:after="0"/>
              <w:rPr>
                <w:sz w:val="18"/>
                <w:szCs w:val="18"/>
                <w:color w:val="auto"/>
              </w:rPr>
            </w:pPr>
          </w:p>
        </w:tc>
        <w:tc>
          <w:tcPr>
            <w:tcW w:w="1660" w:type="dxa"/>
            <w:vAlign w:val="bottom"/>
            <w:tcBorders>
              <w:bottom w:val="single" w:sz="8" w:color="CCEEFF"/>
            </w:tcBorders>
            <w:gridSpan w:val="6"/>
          </w:tcPr>
          <w:p>
            <w:pPr>
              <w:spacing w:after="0"/>
              <w:rPr>
                <w:sz w:val="20"/>
                <w:szCs w:val="20"/>
                <w:color w:val="auto"/>
              </w:rPr>
            </w:pPr>
            <w:r>
              <w:rPr>
                <w:rFonts w:ascii="Times New Roman" w:cs="Times New Roman" w:eastAsia="Times New Roman" w:hAnsi="Times New Roman"/>
                <w:sz w:val="16"/>
                <w:szCs w:val="16"/>
                <w:color w:val="auto"/>
              </w:rPr>
              <w:t>International</w:t>
            </w:r>
          </w:p>
        </w:tc>
        <w:tc>
          <w:tcPr>
            <w:tcW w:w="18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116,722</w:t>
            </w:r>
          </w:p>
        </w:tc>
        <w:tc>
          <w:tcPr>
            <w:tcW w:w="80" w:type="dxa"/>
            <w:vAlign w:val="bottom"/>
            <w:tcBorders>
              <w:bottom w:val="single" w:sz="8" w:color="CCEEFF"/>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15.5 %</w:t>
            </w:r>
          </w:p>
        </w:tc>
        <w:tc>
          <w:tcPr>
            <w:tcW w:w="10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111,724</w:t>
            </w:r>
          </w:p>
        </w:tc>
        <w:tc>
          <w:tcPr>
            <w:tcW w:w="120" w:type="dxa"/>
            <w:vAlign w:val="bottom"/>
            <w:tcBorders>
              <w:bottom w:val="single" w:sz="8" w:color="CCEEFF"/>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14.8 %</w:t>
            </w:r>
          </w:p>
        </w:tc>
        <w:tc>
          <w:tcPr>
            <w:tcW w:w="120" w:type="dxa"/>
            <w:vAlign w:val="bottom"/>
            <w:tcBorders>
              <w:bottom w:val="single" w:sz="8" w:color="CCEEFF"/>
              <w:right w:val="single" w:sz="8" w:color="auto"/>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309,442</w:t>
            </w:r>
          </w:p>
        </w:tc>
        <w:tc>
          <w:tcPr>
            <w:tcW w:w="100" w:type="dxa"/>
            <w:vAlign w:val="bottom"/>
            <w:tcBorders>
              <w:bottom w:val="single" w:sz="8" w:color="CCEEFF"/>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15.1 %</w:t>
            </w:r>
          </w:p>
        </w:tc>
        <w:tc>
          <w:tcPr>
            <w:tcW w:w="10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289,788</w:t>
            </w:r>
          </w:p>
        </w:tc>
        <w:tc>
          <w:tcPr>
            <w:tcW w:w="100" w:type="dxa"/>
            <w:vAlign w:val="bottom"/>
            <w:tcBorders>
              <w:bottom w:val="single" w:sz="8" w:color="CCEEFF"/>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14.7 %</w:t>
            </w:r>
          </w:p>
        </w:tc>
        <w:tc>
          <w:tcPr>
            <w:tcW w:w="0" w:type="dxa"/>
            <w:vAlign w:val="bottom"/>
          </w:tcPr>
          <w:p>
            <w:pPr>
              <w:spacing w:after="0"/>
              <w:rPr>
                <w:sz w:val="1"/>
                <w:szCs w:val="1"/>
                <w:color w:val="auto"/>
              </w:rPr>
            </w:pPr>
          </w:p>
        </w:tc>
      </w:tr>
      <w:tr>
        <w:trPr>
          <w:trHeight w:val="145"/>
        </w:trPr>
        <w:tc>
          <w:tcPr>
            <w:tcW w:w="20" w:type="dxa"/>
            <w:vAlign w:val="bottom"/>
            <w:shd w:val="clear" w:color="auto" w:fill="CCEEFF"/>
          </w:tcPr>
          <w:p>
            <w:pPr>
              <w:spacing w:after="0"/>
              <w:rPr>
                <w:sz w:val="12"/>
                <w:szCs w:val="12"/>
                <w:color w:val="auto"/>
              </w:rPr>
            </w:pPr>
          </w:p>
        </w:tc>
        <w:tc>
          <w:tcPr>
            <w:tcW w:w="1660" w:type="dxa"/>
            <w:vAlign w:val="bottom"/>
            <w:gridSpan w:val="6"/>
            <w:shd w:val="clear" w:color="auto" w:fill="CCEEFF"/>
          </w:tcPr>
          <w:p>
            <w:pPr>
              <w:ind w:left="440"/>
              <w:spacing w:after="0" w:line="145" w:lineRule="exact"/>
              <w:rPr>
                <w:sz w:val="20"/>
                <w:szCs w:val="20"/>
                <w:color w:val="auto"/>
              </w:rPr>
            </w:pPr>
            <w:r>
              <w:rPr>
                <w:rFonts w:ascii="Times New Roman" w:cs="Times New Roman" w:eastAsia="Times New Roman" w:hAnsi="Times New Roman"/>
                <w:sz w:val="16"/>
                <w:szCs w:val="16"/>
                <w:color w:val="auto"/>
              </w:rPr>
              <w:t>Total consolidated</w:t>
            </w:r>
          </w:p>
        </w:tc>
        <w:tc>
          <w:tcPr>
            <w:tcW w:w="1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752,456</w:t>
            </w:r>
          </w:p>
        </w:tc>
        <w:tc>
          <w:tcPr>
            <w:tcW w:w="124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100.0 %</w:t>
            </w:r>
          </w:p>
        </w:tc>
        <w:tc>
          <w:tcPr>
            <w:tcW w:w="100" w:type="dxa"/>
            <w:vAlign w:val="bottom"/>
            <w:shd w:val="clear" w:color="auto" w:fill="CCEEFF"/>
          </w:tcPr>
          <w:p>
            <w:pPr>
              <w:spacing w:after="0"/>
              <w:rPr>
                <w:sz w:val="12"/>
                <w:szCs w:val="12"/>
                <w:color w:val="auto"/>
              </w:rPr>
            </w:pPr>
          </w:p>
        </w:tc>
        <w:tc>
          <w:tcPr>
            <w:tcW w:w="260" w:type="dxa"/>
            <w:vAlign w:val="bottom"/>
            <w:vMerge w:val="restart"/>
            <w:shd w:val="clear" w:color="auto" w:fill="CCEEFF"/>
          </w:tcPr>
          <w:p>
            <w:pPr>
              <w:jc w:val="center"/>
              <w:ind w:right="59"/>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757,836</w:t>
            </w:r>
          </w:p>
        </w:tc>
        <w:tc>
          <w:tcPr>
            <w:tcW w:w="120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100.0 %</w:t>
            </w:r>
          </w:p>
        </w:tc>
        <w:tc>
          <w:tcPr>
            <w:tcW w:w="120" w:type="dxa"/>
            <w:vAlign w:val="bottom"/>
            <w:tcBorders>
              <w:right w:val="single" w:sz="8" w:color="auto"/>
            </w:tcBorders>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2,049,060</w:t>
            </w:r>
          </w:p>
        </w:tc>
        <w:tc>
          <w:tcPr>
            <w:tcW w:w="116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100.0 %</w:t>
            </w:r>
          </w:p>
        </w:tc>
        <w:tc>
          <w:tcPr>
            <w:tcW w:w="100" w:type="dxa"/>
            <w:vAlign w:val="bottom"/>
            <w:shd w:val="clear" w:color="auto" w:fill="CCEEFF"/>
          </w:tcPr>
          <w:p>
            <w:pPr>
              <w:spacing w:after="0"/>
              <w:rPr>
                <w:sz w:val="12"/>
                <w:szCs w:val="12"/>
                <w:color w:val="auto"/>
              </w:rPr>
            </w:pPr>
          </w:p>
        </w:tc>
        <w:tc>
          <w:tcPr>
            <w:tcW w:w="260" w:type="dxa"/>
            <w:vAlign w:val="bottom"/>
            <w:vMerge w:val="restart"/>
            <w:shd w:val="clear" w:color="auto" w:fill="CCEEFF"/>
          </w:tcPr>
          <w:p>
            <w:pPr>
              <w:jc w:val="center"/>
              <w:ind w:right="59"/>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1,972,975</w:t>
            </w:r>
          </w:p>
        </w:tc>
        <w:tc>
          <w:tcPr>
            <w:tcW w:w="120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100.0 %</w:t>
            </w:r>
          </w:p>
        </w:tc>
        <w:tc>
          <w:tcPr>
            <w:tcW w:w="0" w:type="dxa"/>
            <w:vAlign w:val="bottom"/>
          </w:tcPr>
          <w:p>
            <w:pPr>
              <w:spacing w:after="0"/>
              <w:rPr>
                <w:sz w:val="1"/>
                <w:szCs w:val="1"/>
                <w:color w:val="auto"/>
              </w:rPr>
            </w:pPr>
          </w:p>
        </w:tc>
      </w:tr>
      <w:tr>
        <w:trPr>
          <w:trHeight w:val="209"/>
        </w:trPr>
        <w:tc>
          <w:tcPr>
            <w:tcW w:w="20" w:type="dxa"/>
            <w:vAlign w:val="bottom"/>
            <w:shd w:val="clear" w:color="auto" w:fill="CCEEFF"/>
          </w:tcPr>
          <w:p>
            <w:pPr>
              <w:spacing w:after="0"/>
              <w:rPr>
                <w:sz w:val="18"/>
                <w:szCs w:val="18"/>
                <w:color w:val="auto"/>
              </w:rPr>
            </w:pPr>
          </w:p>
        </w:tc>
        <w:tc>
          <w:tcPr>
            <w:tcW w:w="1660" w:type="dxa"/>
            <w:vAlign w:val="bottom"/>
            <w:gridSpan w:val="6"/>
            <w:shd w:val="clear" w:color="auto" w:fill="CCEEFF"/>
          </w:tcPr>
          <w:p>
            <w:pPr>
              <w:ind w:left="440"/>
              <w:spacing w:after="0"/>
              <w:rPr>
                <w:sz w:val="20"/>
                <w:szCs w:val="20"/>
                <w:color w:val="auto"/>
              </w:rPr>
            </w:pPr>
            <w:r>
              <w:rPr>
                <w:rFonts w:ascii="Times New Roman" w:cs="Times New Roman" w:eastAsia="Times New Roman" w:hAnsi="Times New Roman"/>
                <w:sz w:val="16"/>
                <w:szCs w:val="16"/>
                <w:color w:val="auto"/>
              </w:rPr>
              <w:t>net sales</w:t>
            </w:r>
          </w:p>
        </w:tc>
        <w:tc>
          <w:tcPr>
            <w:tcW w:w="180" w:type="dxa"/>
            <w:vAlign w:val="bottom"/>
            <w:vMerge w:val="continue"/>
            <w:shd w:val="clear" w:color="auto" w:fill="CCEEFF"/>
          </w:tcPr>
          <w:p>
            <w:pPr>
              <w:spacing w:after="0"/>
              <w:rPr>
                <w:sz w:val="18"/>
                <w:szCs w:val="18"/>
                <w:color w:val="auto"/>
              </w:rPr>
            </w:pPr>
          </w:p>
        </w:tc>
        <w:tc>
          <w:tcPr>
            <w:tcW w:w="720" w:type="dxa"/>
            <w:vAlign w:val="bottom"/>
            <w:vMerge w:val="continue"/>
            <w:shd w:val="clear" w:color="auto" w:fill="CCEEFF"/>
          </w:tcPr>
          <w:p>
            <w:pPr>
              <w:spacing w:after="0"/>
              <w:rPr>
                <w:sz w:val="18"/>
                <w:szCs w:val="18"/>
                <w:color w:val="auto"/>
              </w:rPr>
            </w:pPr>
          </w:p>
        </w:tc>
        <w:tc>
          <w:tcPr>
            <w:tcW w:w="1240" w:type="dxa"/>
            <w:vAlign w:val="bottom"/>
            <w:gridSpan w:val="2"/>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vMerge w:val="continue"/>
            <w:shd w:val="clear" w:color="auto" w:fill="CCEEFF"/>
          </w:tcPr>
          <w:p>
            <w:pPr>
              <w:spacing w:after="0"/>
              <w:rPr>
                <w:sz w:val="18"/>
                <w:szCs w:val="18"/>
                <w:color w:val="auto"/>
              </w:rPr>
            </w:pPr>
          </w:p>
        </w:tc>
        <w:tc>
          <w:tcPr>
            <w:tcW w:w="900" w:type="dxa"/>
            <w:vAlign w:val="bottom"/>
            <w:vMerge w:val="continue"/>
            <w:shd w:val="clear" w:color="auto" w:fill="CCEEFF"/>
          </w:tcPr>
          <w:p>
            <w:pPr>
              <w:spacing w:after="0"/>
              <w:rPr>
                <w:sz w:val="18"/>
                <w:szCs w:val="18"/>
                <w:color w:val="auto"/>
              </w:rPr>
            </w:pPr>
          </w:p>
        </w:tc>
        <w:tc>
          <w:tcPr>
            <w:tcW w:w="1200" w:type="dxa"/>
            <w:vAlign w:val="bottom"/>
            <w:gridSpan w:val="2"/>
            <w:vMerge w:val="continue"/>
            <w:shd w:val="clear" w:color="auto" w:fill="CCEEFF"/>
          </w:tcPr>
          <w:p>
            <w:pPr>
              <w:spacing w:after="0"/>
              <w:rPr>
                <w:sz w:val="18"/>
                <w:szCs w:val="18"/>
                <w:color w:val="auto"/>
              </w:rPr>
            </w:pPr>
          </w:p>
        </w:tc>
        <w:tc>
          <w:tcPr>
            <w:tcW w:w="120" w:type="dxa"/>
            <w:vAlign w:val="bottom"/>
            <w:tcBorders>
              <w:right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vMerge w:val="continue"/>
            <w:shd w:val="clear" w:color="auto" w:fill="CCEEFF"/>
          </w:tcPr>
          <w:p>
            <w:pPr>
              <w:spacing w:after="0"/>
              <w:rPr>
                <w:sz w:val="18"/>
                <w:szCs w:val="18"/>
                <w:color w:val="auto"/>
              </w:rPr>
            </w:pPr>
          </w:p>
        </w:tc>
        <w:tc>
          <w:tcPr>
            <w:tcW w:w="860" w:type="dxa"/>
            <w:vAlign w:val="bottom"/>
            <w:vMerge w:val="continue"/>
            <w:shd w:val="clear" w:color="auto" w:fill="CCEEFF"/>
          </w:tcPr>
          <w:p>
            <w:pPr>
              <w:spacing w:after="0"/>
              <w:rPr>
                <w:sz w:val="18"/>
                <w:szCs w:val="18"/>
                <w:color w:val="auto"/>
              </w:rPr>
            </w:pPr>
          </w:p>
        </w:tc>
        <w:tc>
          <w:tcPr>
            <w:tcW w:w="1160" w:type="dxa"/>
            <w:vAlign w:val="bottom"/>
            <w:gridSpan w:val="2"/>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vMerge w:val="continue"/>
            <w:shd w:val="clear" w:color="auto" w:fill="CCEEFF"/>
          </w:tcPr>
          <w:p>
            <w:pPr>
              <w:spacing w:after="0"/>
              <w:rPr>
                <w:sz w:val="18"/>
                <w:szCs w:val="18"/>
                <w:color w:val="auto"/>
              </w:rPr>
            </w:pPr>
          </w:p>
        </w:tc>
        <w:tc>
          <w:tcPr>
            <w:tcW w:w="920" w:type="dxa"/>
            <w:vAlign w:val="bottom"/>
            <w:vMerge w:val="continue"/>
            <w:shd w:val="clear" w:color="auto" w:fill="CCEEFF"/>
          </w:tcPr>
          <w:p>
            <w:pPr>
              <w:spacing w:after="0"/>
              <w:rPr>
                <w:sz w:val="18"/>
                <w:szCs w:val="18"/>
                <w:color w:val="auto"/>
              </w:rPr>
            </w:pPr>
          </w:p>
        </w:tc>
        <w:tc>
          <w:tcPr>
            <w:tcW w:w="1200" w:type="dxa"/>
            <w:vAlign w:val="bottom"/>
            <w:gridSpan w:val="2"/>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right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20" w:type="dxa"/>
            <w:vAlign w:val="bottom"/>
            <w:shd w:val="clear" w:color="auto" w:fill="CCEEFF"/>
          </w:tcPr>
          <w:p>
            <w:pPr>
              <w:spacing w:after="0"/>
              <w:rPr>
                <w:sz w:val="14"/>
                <w:szCs w:val="14"/>
                <w:color w:val="auto"/>
              </w:rPr>
            </w:pPr>
          </w:p>
        </w:tc>
        <w:tc>
          <w:tcPr>
            <w:tcW w:w="1660" w:type="dxa"/>
            <w:vAlign w:val="bottom"/>
            <w:gridSpan w:val="6"/>
            <w:vMerge w:val="restart"/>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Segment operating</w:t>
            </w:r>
          </w:p>
        </w:tc>
        <w:tc>
          <w:tcPr>
            <w:tcW w:w="18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60" w:type="dxa"/>
            <w:vAlign w:val="bottom"/>
            <w:gridSpan w:val="2"/>
            <w:shd w:val="clear" w:color="auto" w:fill="CCEEFF"/>
          </w:tcPr>
          <w:p>
            <w:pPr>
              <w:jc w:val="center"/>
              <w:ind w:right="100"/>
              <w:spacing w:after="0" w:line="162" w:lineRule="exact"/>
              <w:rPr>
                <w:sz w:val="20"/>
                <w:szCs w:val="20"/>
                <w:color w:val="auto"/>
              </w:rPr>
            </w:pPr>
            <w:r>
              <w:rPr>
                <w:rFonts w:ascii="Times New Roman" w:cs="Times New Roman" w:eastAsia="Times New Roman" w:hAnsi="Times New Roman"/>
                <w:sz w:val="16"/>
                <w:szCs w:val="16"/>
                <w:b w:val="1"/>
                <w:bCs w:val="1"/>
                <w:color w:val="auto"/>
              </w:rPr>
              <w:t>Segment</w:t>
            </w:r>
          </w:p>
        </w:tc>
        <w:tc>
          <w:tcPr>
            <w:tcW w:w="26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0" w:type="dxa"/>
            <w:vAlign w:val="bottom"/>
            <w:tcBorders>
              <w:right w:val="single" w:sz="8" w:color="auto"/>
            </w:tcBorders>
            <w:gridSpan w:val="2"/>
            <w:shd w:val="clear" w:color="auto" w:fill="CCEEFF"/>
          </w:tcPr>
          <w:p>
            <w:pPr>
              <w:jc w:val="center"/>
              <w:ind w:right="160"/>
              <w:spacing w:after="0" w:line="162" w:lineRule="exact"/>
              <w:rPr>
                <w:sz w:val="20"/>
                <w:szCs w:val="20"/>
                <w:color w:val="auto"/>
              </w:rPr>
            </w:pPr>
            <w:r>
              <w:rPr>
                <w:rFonts w:ascii="Times New Roman" w:cs="Times New Roman" w:eastAsia="Times New Roman" w:hAnsi="Times New Roman"/>
                <w:sz w:val="16"/>
                <w:szCs w:val="16"/>
                <w:b w:val="1"/>
                <w:bCs w:val="1"/>
                <w:color w:val="auto"/>
              </w:rPr>
              <w:t>Segment</w:t>
            </w: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160" w:type="dxa"/>
            <w:vAlign w:val="bottom"/>
            <w:gridSpan w:val="2"/>
            <w:shd w:val="clear" w:color="auto" w:fill="CCEEFF"/>
          </w:tcPr>
          <w:p>
            <w:pPr>
              <w:jc w:val="center"/>
              <w:ind w:right="100"/>
              <w:spacing w:after="0" w:line="162" w:lineRule="exact"/>
              <w:rPr>
                <w:sz w:val="20"/>
                <w:szCs w:val="20"/>
                <w:color w:val="auto"/>
              </w:rPr>
            </w:pPr>
            <w:r>
              <w:rPr>
                <w:rFonts w:ascii="Times New Roman" w:cs="Times New Roman" w:eastAsia="Times New Roman" w:hAnsi="Times New Roman"/>
                <w:sz w:val="16"/>
                <w:szCs w:val="16"/>
                <w:b w:val="1"/>
                <w:bCs w:val="1"/>
                <w:color w:val="auto"/>
                <w:w w:val="98"/>
              </w:rPr>
              <w:t>Segment</w:t>
            </w:r>
          </w:p>
        </w:tc>
        <w:tc>
          <w:tcPr>
            <w:tcW w:w="26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100" w:type="dxa"/>
            <w:vAlign w:val="bottom"/>
            <w:shd w:val="clear" w:color="auto" w:fill="CCEEFF"/>
          </w:tcPr>
          <w:p>
            <w:pPr>
              <w:jc w:val="center"/>
              <w:spacing w:after="0" w:line="162" w:lineRule="exact"/>
              <w:rPr>
                <w:sz w:val="20"/>
                <w:szCs w:val="20"/>
                <w:color w:val="auto"/>
              </w:rPr>
            </w:pPr>
            <w:r>
              <w:rPr>
                <w:rFonts w:ascii="Times New Roman" w:cs="Times New Roman" w:eastAsia="Times New Roman" w:hAnsi="Times New Roman"/>
                <w:sz w:val="16"/>
                <w:szCs w:val="16"/>
                <w:b w:val="1"/>
                <w:bCs w:val="1"/>
                <w:color w:val="auto"/>
              </w:rPr>
              <w:t>Segment</w:t>
            </w:r>
          </w:p>
        </w:tc>
        <w:tc>
          <w:tcPr>
            <w:tcW w:w="0" w:type="dxa"/>
            <w:vAlign w:val="bottom"/>
          </w:tcPr>
          <w:p>
            <w:pPr>
              <w:spacing w:after="0"/>
              <w:rPr>
                <w:sz w:val="1"/>
                <w:szCs w:val="1"/>
                <w:color w:val="auto"/>
              </w:rPr>
            </w:pPr>
          </w:p>
        </w:tc>
      </w:tr>
      <w:tr>
        <w:trPr>
          <w:trHeight w:val="176"/>
        </w:trPr>
        <w:tc>
          <w:tcPr>
            <w:tcW w:w="20" w:type="dxa"/>
            <w:vAlign w:val="bottom"/>
            <w:shd w:val="clear" w:color="auto" w:fill="CCEEFF"/>
          </w:tcPr>
          <w:p>
            <w:pPr>
              <w:spacing w:after="0"/>
              <w:rPr>
                <w:sz w:val="15"/>
                <w:szCs w:val="15"/>
                <w:color w:val="auto"/>
              </w:rPr>
            </w:pPr>
          </w:p>
        </w:tc>
        <w:tc>
          <w:tcPr>
            <w:tcW w:w="1660" w:type="dxa"/>
            <w:vAlign w:val="bottom"/>
            <w:gridSpan w:val="6"/>
            <w:vMerge w:val="continue"/>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60" w:type="dxa"/>
            <w:vAlign w:val="bottom"/>
            <w:gridSpan w:val="2"/>
            <w:shd w:val="clear" w:color="auto" w:fill="CCEEFF"/>
          </w:tcPr>
          <w:p>
            <w:pPr>
              <w:jc w:val="center"/>
              <w:ind w:right="120"/>
              <w:spacing w:after="0" w:line="175" w:lineRule="exact"/>
              <w:rPr>
                <w:sz w:val="20"/>
                <w:szCs w:val="20"/>
                <w:color w:val="auto"/>
              </w:rPr>
            </w:pPr>
            <w:r>
              <w:rPr>
                <w:rFonts w:ascii="Times New Roman" w:cs="Times New Roman" w:eastAsia="Times New Roman" w:hAnsi="Times New Roman"/>
                <w:sz w:val="16"/>
                <w:szCs w:val="16"/>
                <w:b w:val="1"/>
                <w:bCs w:val="1"/>
                <w:color w:val="auto"/>
              </w:rPr>
              <w:t>operating</w:t>
            </w:r>
          </w:p>
        </w:tc>
        <w:tc>
          <w:tcPr>
            <w:tcW w:w="26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0" w:type="dxa"/>
            <w:vAlign w:val="bottom"/>
            <w:tcBorders>
              <w:right w:val="single" w:sz="8" w:color="auto"/>
            </w:tcBorders>
            <w:gridSpan w:val="2"/>
            <w:shd w:val="clear" w:color="auto" w:fill="CCEEFF"/>
          </w:tcPr>
          <w:p>
            <w:pPr>
              <w:jc w:val="center"/>
              <w:ind w:right="140"/>
              <w:spacing w:after="0" w:line="175" w:lineRule="exact"/>
              <w:rPr>
                <w:sz w:val="20"/>
                <w:szCs w:val="20"/>
                <w:color w:val="auto"/>
              </w:rPr>
            </w:pPr>
            <w:r>
              <w:rPr>
                <w:rFonts w:ascii="Times New Roman" w:cs="Times New Roman" w:eastAsia="Times New Roman" w:hAnsi="Times New Roman"/>
                <w:sz w:val="16"/>
                <w:szCs w:val="16"/>
                <w:b w:val="1"/>
                <w:bCs w:val="1"/>
                <w:color w:val="auto"/>
              </w:rPr>
              <w:t>operating</w:t>
            </w: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160" w:type="dxa"/>
            <w:vAlign w:val="bottom"/>
            <w:gridSpan w:val="2"/>
            <w:shd w:val="clear" w:color="auto" w:fill="CCEEFF"/>
          </w:tcPr>
          <w:p>
            <w:pPr>
              <w:jc w:val="center"/>
              <w:ind w:right="100"/>
              <w:spacing w:after="0" w:line="175" w:lineRule="exact"/>
              <w:rPr>
                <w:sz w:val="20"/>
                <w:szCs w:val="20"/>
                <w:color w:val="auto"/>
              </w:rPr>
            </w:pPr>
            <w:r>
              <w:rPr>
                <w:rFonts w:ascii="Times New Roman" w:cs="Times New Roman" w:eastAsia="Times New Roman" w:hAnsi="Times New Roman"/>
                <w:sz w:val="16"/>
                <w:szCs w:val="16"/>
                <w:b w:val="1"/>
                <w:bCs w:val="1"/>
                <w:color w:val="auto"/>
              </w:rPr>
              <w:t>operating</w:t>
            </w:r>
          </w:p>
        </w:tc>
        <w:tc>
          <w:tcPr>
            <w:tcW w:w="26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100" w:type="dxa"/>
            <w:vAlign w:val="bottom"/>
            <w:shd w:val="clear" w:color="auto" w:fill="CCEEFF"/>
          </w:tcPr>
          <w:p>
            <w:pPr>
              <w:jc w:val="center"/>
              <w:spacing w:after="0" w:line="175" w:lineRule="exact"/>
              <w:rPr>
                <w:sz w:val="20"/>
                <w:szCs w:val="20"/>
                <w:color w:val="auto"/>
              </w:rPr>
            </w:pPr>
            <w:r>
              <w:rPr>
                <w:rFonts w:ascii="Times New Roman" w:cs="Times New Roman" w:eastAsia="Times New Roman" w:hAnsi="Times New Roman"/>
                <w:sz w:val="16"/>
                <w:szCs w:val="16"/>
                <w:b w:val="1"/>
                <w:bCs w:val="1"/>
                <w:color w:val="auto"/>
              </w:rPr>
              <w:t>operating</w:t>
            </w:r>
          </w:p>
        </w:tc>
        <w:tc>
          <w:tcPr>
            <w:tcW w:w="0" w:type="dxa"/>
            <w:vAlign w:val="bottom"/>
          </w:tcPr>
          <w:p>
            <w:pPr>
              <w:spacing w:after="0"/>
              <w:rPr>
                <w:sz w:val="1"/>
                <w:szCs w:val="1"/>
                <w:color w:val="auto"/>
              </w:rPr>
            </w:pPr>
          </w:p>
        </w:tc>
      </w:tr>
      <w:tr>
        <w:trPr>
          <w:trHeight w:val="142"/>
        </w:trPr>
        <w:tc>
          <w:tcPr>
            <w:tcW w:w="20" w:type="dxa"/>
            <w:vAlign w:val="bottom"/>
            <w:tcBorders>
              <w:top w:val="single" w:sz="8" w:color="CCEEFF"/>
            </w:tcBorders>
            <w:shd w:val="clear" w:color="auto" w:fill="CCEEFF"/>
          </w:tcPr>
          <w:p>
            <w:pPr>
              <w:spacing w:after="0"/>
              <w:rPr>
                <w:sz w:val="12"/>
                <w:szCs w:val="12"/>
                <w:color w:val="auto"/>
              </w:rPr>
            </w:pPr>
          </w:p>
        </w:tc>
        <w:tc>
          <w:tcPr>
            <w:tcW w:w="1300" w:type="dxa"/>
            <w:vAlign w:val="bottom"/>
            <w:tcBorders>
              <w:top w:val="single" w:sz="8" w:color="auto"/>
            </w:tcBorders>
            <w:gridSpan w:val="4"/>
            <w:shd w:val="clear" w:color="auto" w:fill="CCEEFF"/>
          </w:tcPr>
          <w:p>
            <w:pPr>
              <w:spacing w:after="0" w:line="142" w:lineRule="exact"/>
              <w:rPr>
                <w:sz w:val="20"/>
                <w:szCs w:val="20"/>
                <w:color w:val="auto"/>
              </w:rPr>
            </w:pPr>
            <w:r>
              <w:rPr>
                <w:rFonts w:ascii="Times New Roman" w:cs="Times New Roman" w:eastAsia="Times New Roman" w:hAnsi="Times New Roman"/>
                <w:sz w:val="16"/>
                <w:szCs w:val="16"/>
                <w:b w:val="1"/>
                <w:bCs w:val="1"/>
                <w:color w:val="auto"/>
              </w:rPr>
              <w:t>income:</w:t>
            </w:r>
          </w:p>
        </w:tc>
        <w:tc>
          <w:tcPr>
            <w:tcW w:w="160" w:type="dxa"/>
            <w:vAlign w:val="bottom"/>
            <w:tcBorders>
              <w:top w:val="single" w:sz="8" w:color="CCEEFF"/>
            </w:tcBorders>
            <w:shd w:val="clear" w:color="auto" w:fill="CCEEFF"/>
          </w:tcPr>
          <w:p>
            <w:pPr>
              <w:spacing w:after="0"/>
              <w:rPr>
                <w:sz w:val="12"/>
                <w:szCs w:val="12"/>
                <w:color w:val="auto"/>
              </w:rPr>
            </w:pPr>
          </w:p>
        </w:tc>
        <w:tc>
          <w:tcPr>
            <w:tcW w:w="200" w:type="dxa"/>
            <w:vAlign w:val="bottom"/>
            <w:tcBorders>
              <w:top w:val="single" w:sz="8" w:color="CCEEFF"/>
            </w:tcBorders>
            <w:shd w:val="clear" w:color="auto" w:fill="CCEEFF"/>
          </w:tcPr>
          <w:p>
            <w:pPr>
              <w:spacing w:after="0"/>
              <w:rPr>
                <w:sz w:val="12"/>
                <w:szCs w:val="12"/>
                <w:color w:val="auto"/>
              </w:rPr>
            </w:pPr>
          </w:p>
        </w:tc>
        <w:tc>
          <w:tcPr>
            <w:tcW w:w="180" w:type="dxa"/>
            <w:vAlign w:val="bottom"/>
            <w:tcBorders>
              <w:top w:val="single" w:sz="8" w:color="CCEEFF"/>
            </w:tcBorders>
            <w:shd w:val="clear" w:color="auto" w:fill="CCEEFF"/>
          </w:tcPr>
          <w:p>
            <w:pPr>
              <w:spacing w:after="0"/>
              <w:rPr>
                <w:sz w:val="12"/>
                <w:szCs w:val="12"/>
                <w:color w:val="auto"/>
              </w:rPr>
            </w:pPr>
          </w:p>
        </w:tc>
        <w:tc>
          <w:tcPr>
            <w:tcW w:w="72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1260" w:type="dxa"/>
            <w:vAlign w:val="bottom"/>
            <w:tcBorders>
              <w:top w:val="single" w:sz="8" w:color="CCEEFF"/>
            </w:tcBorders>
            <w:gridSpan w:val="2"/>
            <w:shd w:val="clear" w:color="auto" w:fill="CCEEFF"/>
          </w:tcPr>
          <w:p>
            <w:pPr>
              <w:jc w:val="center"/>
              <w:ind w:right="120"/>
              <w:spacing w:after="0" w:line="142" w:lineRule="exact"/>
              <w:rPr>
                <w:sz w:val="20"/>
                <w:szCs w:val="20"/>
                <w:color w:val="auto"/>
              </w:rPr>
            </w:pPr>
            <w:r>
              <w:rPr>
                <w:rFonts w:ascii="Times New Roman" w:cs="Times New Roman" w:eastAsia="Times New Roman" w:hAnsi="Times New Roman"/>
                <w:sz w:val="16"/>
                <w:szCs w:val="16"/>
                <w:b w:val="1"/>
                <w:bCs w:val="1"/>
                <w:color w:val="auto"/>
              </w:rPr>
              <w:t>margin</w:t>
            </w:r>
          </w:p>
        </w:tc>
        <w:tc>
          <w:tcPr>
            <w:tcW w:w="260" w:type="dxa"/>
            <w:vAlign w:val="bottom"/>
            <w:tcBorders>
              <w:top w:val="single" w:sz="8" w:color="CCEEFF"/>
            </w:tcBorders>
            <w:shd w:val="clear" w:color="auto" w:fill="CCEEFF"/>
          </w:tcPr>
          <w:p>
            <w:pPr>
              <w:spacing w:after="0"/>
              <w:rPr>
                <w:sz w:val="12"/>
                <w:szCs w:val="12"/>
                <w:color w:val="auto"/>
              </w:rPr>
            </w:pPr>
          </w:p>
        </w:tc>
        <w:tc>
          <w:tcPr>
            <w:tcW w:w="90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1200" w:type="dxa"/>
            <w:vAlign w:val="bottom"/>
            <w:tcBorders>
              <w:top w:val="single" w:sz="8" w:color="CCEEFF"/>
              <w:right w:val="single" w:sz="8" w:color="auto"/>
            </w:tcBorders>
            <w:gridSpan w:val="2"/>
            <w:shd w:val="clear" w:color="auto" w:fill="CCEEFF"/>
          </w:tcPr>
          <w:p>
            <w:pPr>
              <w:jc w:val="center"/>
              <w:ind w:right="140"/>
              <w:spacing w:after="0" w:line="142" w:lineRule="exact"/>
              <w:rPr>
                <w:sz w:val="20"/>
                <w:szCs w:val="20"/>
                <w:color w:val="auto"/>
              </w:rPr>
            </w:pPr>
            <w:r>
              <w:rPr>
                <w:rFonts w:ascii="Times New Roman" w:cs="Times New Roman" w:eastAsia="Times New Roman" w:hAnsi="Times New Roman"/>
                <w:sz w:val="16"/>
                <w:szCs w:val="16"/>
                <w:b w:val="1"/>
                <w:bCs w:val="1"/>
                <w:color w:val="auto"/>
              </w:rPr>
              <w:t>margin</w:t>
            </w:r>
          </w:p>
        </w:tc>
        <w:tc>
          <w:tcPr>
            <w:tcW w:w="8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86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1160" w:type="dxa"/>
            <w:vAlign w:val="bottom"/>
            <w:tcBorders>
              <w:top w:val="single" w:sz="8" w:color="CCEEFF"/>
            </w:tcBorders>
            <w:gridSpan w:val="2"/>
            <w:shd w:val="clear" w:color="auto" w:fill="CCEEFF"/>
          </w:tcPr>
          <w:p>
            <w:pPr>
              <w:jc w:val="center"/>
              <w:ind w:right="100"/>
              <w:spacing w:after="0" w:line="142" w:lineRule="exact"/>
              <w:rPr>
                <w:sz w:val="20"/>
                <w:szCs w:val="20"/>
                <w:color w:val="auto"/>
              </w:rPr>
            </w:pPr>
            <w:r>
              <w:rPr>
                <w:rFonts w:ascii="Times New Roman" w:cs="Times New Roman" w:eastAsia="Times New Roman" w:hAnsi="Times New Roman"/>
                <w:sz w:val="16"/>
                <w:szCs w:val="16"/>
                <w:b w:val="1"/>
                <w:bCs w:val="1"/>
                <w:color w:val="auto"/>
              </w:rPr>
              <w:t>margin</w:t>
            </w:r>
          </w:p>
        </w:tc>
        <w:tc>
          <w:tcPr>
            <w:tcW w:w="260" w:type="dxa"/>
            <w:vAlign w:val="bottom"/>
            <w:tcBorders>
              <w:top w:val="single" w:sz="8" w:color="CCEEFF"/>
            </w:tcBorders>
            <w:shd w:val="clear" w:color="auto" w:fill="CCEEFF"/>
          </w:tcPr>
          <w:p>
            <w:pPr>
              <w:spacing w:after="0"/>
              <w:rPr>
                <w:sz w:val="12"/>
                <w:szCs w:val="12"/>
                <w:color w:val="auto"/>
              </w:rPr>
            </w:pPr>
          </w:p>
        </w:tc>
        <w:tc>
          <w:tcPr>
            <w:tcW w:w="92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1100" w:type="dxa"/>
            <w:vAlign w:val="bottom"/>
            <w:tcBorders>
              <w:top w:val="single" w:sz="8" w:color="CCEEFF"/>
            </w:tcBorders>
            <w:shd w:val="clear" w:color="auto" w:fill="CCEEFF"/>
          </w:tcPr>
          <w:p>
            <w:pPr>
              <w:jc w:val="center"/>
              <w:spacing w:after="0" w:line="142" w:lineRule="exact"/>
              <w:rPr>
                <w:sz w:val="20"/>
                <w:szCs w:val="20"/>
                <w:color w:val="auto"/>
              </w:rPr>
            </w:pPr>
            <w:r>
              <w:rPr>
                <w:rFonts w:ascii="Times New Roman" w:cs="Times New Roman" w:eastAsia="Times New Roman" w:hAnsi="Times New Roman"/>
                <w:sz w:val="16"/>
                <w:szCs w:val="16"/>
                <w:b w:val="1"/>
                <w:bCs w:val="1"/>
                <w:color w:val="auto"/>
              </w:rPr>
              <w:t>margin</w:t>
            </w:r>
          </w:p>
        </w:tc>
        <w:tc>
          <w:tcPr>
            <w:tcW w:w="0" w:type="dxa"/>
            <w:vAlign w:val="bottom"/>
          </w:tcPr>
          <w:p>
            <w:pPr>
              <w:spacing w:after="0"/>
              <w:rPr>
                <w:sz w:val="1"/>
                <w:szCs w:val="1"/>
                <w:color w:val="auto"/>
              </w:rPr>
            </w:pPr>
          </w:p>
        </w:tc>
      </w:tr>
      <w:tr>
        <w:trPr>
          <w:trHeight w:val="21"/>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auto"/>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6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7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160" w:type="dxa"/>
            <w:vAlign w:val="bottom"/>
            <w:tcBorders>
              <w:top w:val="single" w:sz="8" w:color="CCEEFF"/>
              <w:bottom w:val="single" w:sz="8" w:color="auto"/>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9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080" w:type="dxa"/>
            <w:vAlign w:val="bottom"/>
            <w:tcBorders>
              <w:top w:val="single" w:sz="8" w:color="CCEEFF"/>
              <w:bottom w:val="single" w:sz="8" w:color="auto"/>
            </w:tcBorders>
            <w:shd w:val="clear" w:color="auto" w:fill="CCEEFF"/>
          </w:tcPr>
          <w:p>
            <w:pPr>
              <w:spacing w:after="0" w:line="20" w:lineRule="exact"/>
              <w:rPr>
                <w:sz w:val="1"/>
                <w:szCs w:val="1"/>
                <w:color w:val="auto"/>
              </w:rPr>
            </w:pPr>
          </w:p>
        </w:tc>
        <w:tc>
          <w:tcPr>
            <w:tcW w:w="120" w:type="dxa"/>
            <w:vAlign w:val="bottom"/>
            <w:tcBorders>
              <w:top w:val="single" w:sz="8" w:color="CCEEFF"/>
              <w:right w:val="single" w:sz="8" w:color="auto"/>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8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060" w:type="dxa"/>
            <w:vAlign w:val="bottom"/>
            <w:tcBorders>
              <w:top w:val="single" w:sz="8" w:color="CCEEFF"/>
              <w:bottom w:val="single" w:sz="8" w:color="auto"/>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9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100" w:type="dxa"/>
            <w:vAlign w:val="bottom"/>
            <w:tcBorders>
              <w:top w:val="single" w:sz="8" w:color="CCEEFF"/>
              <w:bottom w:val="single" w:sz="8" w:color="auto"/>
            </w:tcBorders>
            <w:shd w:val="clear" w:color="auto" w:fill="CCEEFF"/>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7"/>
                <w:szCs w:val="17"/>
                <w:color w:val="auto"/>
              </w:rPr>
            </w:pPr>
          </w:p>
        </w:tc>
        <w:tc>
          <w:tcPr>
            <w:tcW w:w="1660" w:type="dxa"/>
            <w:vAlign w:val="bottom"/>
            <w:gridSpan w:val="6"/>
          </w:tcPr>
          <w:p>
            <w:pPr>
              <w:spacing w:after="0"/>
              <w:rPr>
                <w:sz w:val="20"/>
                <w:szCs w:val="20"/>
                <w:color w:val="auto"/>
              </w:rPr>
            </w:pPr>
            <w:r>
              <w:rPr>
                <w:rFonts w:ascii="Times New Roman" w:cs="Times New Roman" w:eastAsia="Times New Roman" w:hAnsi="Times New Roman"/>
                <w:sz w:val="16"/>
                <w:szCs w:val="16"/>
                <w:color w:val="auto"/>
              </w:rPr>
              <w:t>U.S. Retail</w:t>
            </w: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19,307</w:t>
            </w:r>
          </w:p>
        </w:tc>
        <w:tc>
          <w:tcPr>
            <w:tcW w:w="8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5.3 %</w:t>
            </w:r>
          </w:p>
        </w:tc>
        <w:tc>
          <w:tcPr>
            <w:tcW w:w="100" w:type="dxa"/>
            <w:vAlign w:val="bottom"/>
          </w:tcPr>
          <w:p>
            <w:pPr>
              <w:spacing w:after="0"/>
              <w:rPr>
                <w:sz w:val="17"/>
                <w:szCs w:val="17"/>
                <w:color w:val="auto"/>
              </w:rPr>
            </w:pPr>
          </w:p>
        </w:tc>
        <w:tc>
          <w:tcPr>
            <w:tcW w:w="260" w:type="dxa"/>
            <w:vAlign w:val="bottom"/>
          </w:tcPr>
          <w:p>
            <w:pPr>
              <w:jc w:val="center"/>
              <w:ind w:right="59"/>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9,976</w:t>
            </w:r>
          </w:p>
        </w:tc>
        <w:tc>
          <w:tcPr>
            <w:tcW w:w="12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2.8 %</w:t>
            </w:r>
          </w:p>
        </w:tc>
        <w:tc>
          <w:tcPr>
            <w:tcW w:w="120" w:type="dxa"/>
            <w:vAlign w:val="bottom"/>
            <w:tcBorders>
              <w:right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32,597</w:t>
            </w:r>
          </w:p>
        </w:tc>
        <w:tc>
          <w:tcPr>
            <w:tcW w:w="10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3.3 %</w:t>
            </w:r>
          </w:p>
        </w:tc>
        <w:tc>
          <w:tcPr>
            <w:tcW w:w="100" w:type="dxa"/>
            <w:vAlign w:val="bottom"/>
          </w:tcPr>
          <w:p>
            <w:pPr>
              <w:spacing w:after="0"/>
              <w:rPr>
                <w:sz w:val="17"/>
                <w:szCs w:val="17"/>
                <w:color w:val="auto"/>
              </w:rPr>
            </w:pPr>
          </w:p>
        </w:tc>
        <w:tc>
          <w:tcPr>
            <w:tcW w:w="260" w:type="dxa"/>
            <w:vAlign w:val="bottom"/>
          </w:tcPr>
          <w:p>
            <w:pPr>
              <w:jc w:val="center"/>
              <w:ind w:right="59"/>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16,052</w:t>
            </w:r>
          </w:p>
        </w:tc>
        <w:tc>
          <w:tcPr>
            <w:tcW w:w="10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1.7 %</w:t>
            </w:r>
          </w:p>
        </w:tc>
        <w:tc>
          <w:tcPr>
            <w:tcW w:w="0" w:type="dxa"/>
            <w:vAlign w:val="bottom"/>
          </w:tcPr>
          <w:p>
            <w:pPr>
              <w:spacing w:after="0"/>
              <w:rPr>
                <w:sz w:val="1"/>
                <w:szCs w:val="1"/>
                <w:color w:val="auto"/>
              </w:rPr>
            </w:pPr>
          </w:p>
        </w:tc>
      </w:tr>
      <w:tr>
        <w:trPr>
          <w:trHeight w:val="219"/>
        </w:trPr>
        <w:tc>
          <w:tcPr>
            <w:tcW w:w="20" w:type="dxa"/>
            <w:vAlign w:val="bottom"/>
            <w:shd w:val="clear" w:color="auto" w:fill="CCEEFF"/>
          </w:tcPr>
          <w:p>
            <w:pPr>
              <w:spacing w:after="0"/>
              <w:rPr>
                <w:sz w:val="19"/>
                <w:szCs w:val="19"/>
                <w:color w:val="auto"/>
              </w:rPr>
            </w:pPr>
          </w:p>
        </w:tc>
        <w:tc>
          <w:tcPr>
            <w:tcW w:w="1660" w:type="dxa"/>
            <w:vAlign w:val="bottom"/>
            <w:gridSpan w:val="6"/>
            <w:shd w:val="clear" w:color="auto" w:fill="CCEEFF"/>
          </w:tcPr>
          <w:p>
            <w:pPr>
              <w:spacing w:after="0"/>
              <w:rPr>
                <w:sz w:val="20"/>
                <w:szCs w:val="20"/>
                <w:color w:val="auto"/>
              </w:rPr>
            </w:pPr>
            <w:r>
              <w:rPr>
                <w:rFonts w:ascii="Times New Roman" w:cs="Times New Roman" w:eastAsia="Times New Roman" w:hAnsi="Times New Roman"/>
                <w:sz w:val="16"/>
                <w:szCs w:val="16"/>
                <w:color w:val="auto"/>
              </w:rPr>
              <w:t>U.S. Wholesale</w:t>
            </w:r>
          </w:p>
        </w:tc>
        <w:tc>
          <w:tcPr>
            <w:tcW w:w="18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48,715</w:t>
            </w:r>
          </w:p>
        </w:tc>
        <w:tc>
          <w:tcPr>
            <w:tcW w:w="1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17.8 %</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43,998</w:t>
            </w:r>
          </w:p>
        </w:tc>
        <w:tc>
          <w:tcPr>
            <w:tcW w:w="1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15.5 %</w:t>
            </w:r>
          </w:p>
        </w:tc>
        <w:tc>
          <w:tcPr>
            <w:tcW w:w="12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115,240</w:t>
            </w:r>
          </w:p>
        </w:tc>
        <w:tc>
          <w:tcPr>
            <w:tcW w:w="1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15.6 %</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126,369</w:t>
            </w:r>
          </w:p>
        </w:tc>
        <w:tc>
          <w:tcPr>
            <w:tcW w:w="1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17.4 %</w:t>
            </w:r>
          </w:p>
        </w:tc>
        <w:tc>
          <w:tcPr>
            <w:tcW w:w="0" w:type="dxa"/>
            <w:vAlign w:val="bottom"/>
          </w:tcPr>
          <w:p>
            <w:pPr>
              <w:spacing w:after="0"/>
              <w:rPr>
                <w:sz w:val="1"/>
                <w:szCs w:val="1"/>
                <w:color w:val="auto"/>
              </w:rPr>
            </w:pPr>
          </w:p>
        </w:tc>
      </w:tr>
      <w:tr>
        <w:trPr>
          <w:trHeight w:val="213"/>
        </w:trPr>
        <w:tc>
          <w:tcPr>
            <w:tcW w:w="20" w:type="dxa"/>
            <w:vAlign w:val="bottom"/>
            <w:tcBorders>
              <w:bottom w:val="single" w:sz="8" w:color="CCEEFF"/>
            </w:tcBorders>
          </w:tcPr>
          <w:p>
            <w:pPr>
              <w:spacing w:after="0"/>
              <w:rPr>
                <w:sz w:val="18"/>
                <w:szCs w:val="18"/>
                <w:color w:val="auto"/>
              </w:rPr>
            </w:pPr>
          </w:p>
        </w:tc>
        <w:tc>
          <w:tcPr>
            <w:tcW w:w="1660" w:type="dxa"/>
            <w:vAlign w:val="bottom"/>
            <w:tcBorders>
              <w:bottom w:val="single" w:sz="8" w:color="CCEEFF"/>
            </w:tcBorders>
            <w:gridSpan w:val="6"/>
          </w:tcPr>
          <w:p>
            <w:pPr>
              <w:spacing w:after="0"/>
              <w:rPr>
                <w:sz w:val="20"/>
                <w:szCs w:val="20"/>
                <w:color w:val="auto"/>
              </w:rPr>
            </w:pPr>
            <w:r>
              <w:rPr>
                <w:rFonts w:ascii="Times New Roman" w:cs="Times New Roman" w:eastAsia="Times New Roman" w:hAnsi="Times New Roman"/>
                <w:sz w:val="16"/>
                <w:szCs w:val="16"/>
                <w:color w:val="auto"/>
              </w:rPr>
              <w:t>International</w:t>
            </w:r>
          </w:p>
        </w:tc>
        <w:tc>
          <w:tcPr>
            <w:tcW w:w="18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11,705</w:t>
            </w:r>
          </w:p>
        </w:tc>
        <w:tc>
          <w:tcPr>
            <w:tcW w:w="124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6"/>
                <w:szCs w:val="16"/>
                <w:color w:val="auto"/>
              </w:rPr>
              <w:t>10.0 %</w:t>
            </w:r>
          </w:p>
        </w:tc>
        <w:tc>
          <w:tcPr>
            <w:tcW w:w="10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9,172</w:t>
            </w:r>
          </w:p>
        </w:tc>
        <w:tc>
          <w:tcPr>
            <w:tcW w:w="120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6"/>
                <w:szCs w:val="16"/>
                <w:color w:val="auto"/>
              </w:rPr>
              <w:t>8.2 %</w:t>
            </w:r>
          </w:p>
        </w:tc>
        <w:tc>
          <w:tcPr>
            <w:tcW w:w="120" w:type="dxa"/>
            <w:vAlign w:val="bottom"/>
            <w:tcBorders>
              <w:bottom w:val="single" w:sz="8" w:color="CCEEFF"/>
              <w:right w:val="single" w:sz="8" w:color="auto"/>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21,273</w:t>
            </w:r>
          </w:p>
        </w:tc>
        <w:tc>
          <w:tcPr>
            <w:tcW w:w="116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6"/>
                <w:szCs w:val="16"/>
                <w:color w:val="auto"/>
              </w:rPr>
              <w:t>6.9 %</w:t>
            </w:r>
          </w:p>
        </w:tc>
        <w:tc>
          <w:tcPr>
            <w:tcW w:w="10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12,564</w:t>
            </w:r>
          </w:p>
        </w:tc>
        <w:tc>
          <w:tcPr>
            <w:tcW w:w="120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6"/>
                <w:szCs w:val="16"/>
                <w:color w:val="auto"/>
              </w:rPr>
              <w:t>4.3 %</w:t>
            </w:r>
          </w:p>
        </w:tc>
        <w:tc>
          <w:tcPr>
            <w:tcW w:w="0" w:type="dxa"/>
            <w:vAlign w:val="bottom"/>
          </w:tcPr>
          <w:p>
            <w:pPr>
              <w:spacing w:after="0"/>
              <w:rPr>
                <w:sz w:val="1"/>
                <w:szCs w:val="1"/>
                <w:color w:val="auto"/>
              </w:rPr>
            </w:pPr>
          </w:p>
        </w:tc>
      </w:tr>
      <w:tr>
        <w:trPr>
          <w:trHeight w:val="145"/>
        </w:trPr>
        <w:tc>
          <w:tcPr>
            <w:tcW w:w="20" w:type="dxa"/>
            <w:vAlign w:val="bottom"/>
            <w:shd w:val="clear" w:color="auto" w:fill="CCEEFF"/>
          </w:tcPr>
          <w:p>
            <w:pPr>
              <w:spacing w:after="0"/>
              <w:rPr>
                <w:sz w:val="12"/>
                <w:szCs w:val="12"/>
                <w:color w:val="auto"/>
              </w:rPr>
            </w:pPr>
          </w:p>
        </w:tc>
        <w:tc>
          <w:tcPr>
            <w:tcW w:w="1660" w:type="dxa"/>
            <w:vAlign w:val="bottom"/>
            <w:gridSpan w:val="6"/>
            <w:shd w:val="clear" w:color="auto" w:fill="CCEEFF"/>
          </w:tcPr>
          <w:p>
            <w:pPr>
              <w:ind w:left="320"/>
              <w:spacing w:after="0" w:line="145" w:lineRule="exact"/>
              <w:rPr>
                <w:sz w:val="20"/>
                <w:szCs w:val="20"/>
                <w:color w:val="auto"/>
              </w:rPr>
            </w:pPr>
            <w:r>
              <w:rPr>
                <w:rFonts w:ascii="Times New Roman" w:cs="Times New Roman" w:eastAsia="Times New Roman" w:hAnsi="Times New Roman"/>
                <w:sz w:val="16"/>
                <w:szCs w:val="16"/>
                <w:color w:val="auto"/>
              </w:rPr>
              <w:t>Total segment</w:t>
            </w:r>
          </w:p>
        </w:tc>
        <w:tc>
          <w:tcPr>
            <w:tcW w:w="1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79,727</w:t>
            </w:r>
          </w:p>
        </w:tc>
        <w:tc>
          <w:tcPr>
            <w:tcW w:w="124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10.6 %</w:t>
            </w:r>
          </w:p>
        </w:tc>
        <w:tc>
          <w:tcPr>
            <w:tcW w:w="100" w:type="dxa"/>
            <w:vAlign w:val="bottom"/>
            <w:shd w:val="clear" w:color="auto" w:fill="CCEEFF"/>
          </w:tcPr>
          <w:p>
            <w:pPr>
              <w:spacing w:after="0"/>
              <w:rPr>
                <w:sz w:val="12"/>
                <w:szCs w:val="12"/>
                <w:color w:val="auto"/>
              </w:rPr>
            </w:pPr>
          </w:p>
        </w:tc>
        <w:tc>
          <w:tcPr>
            <w:tcW w:w="260" w:type="dxa"/>
            <w:vAlign w:val="bottom"/>
            <w:vMerge w:val="restart"/>
            <w:shd w:val="clear" w:color="auto" w:fill="CCEEFF"/>
          </w:tcPr>
          <w:p>
            <w:pPr>
              <w:jc w:val="center"/>
              <w:ind w:right="59"/>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63,146</w:t>
            </w:r>
          </w:p>
        </w:tc>
        <w:tc>
          <w:tcPr>
            <w:tcW w:w="120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8.3 %</w:t>
            </w:r>
          </w:p>
        </w:tc>
        <w:tc>
          <w:tcPr>
            <w:tcW w:w="120" w:type="dxa"/>
            <w:vAlign w:val="bottom"/>
            <w:tcBorders>
              <w:right w:val="single" w:sz="8" w:color="auto"/>
            </w:tcBorders>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169,110</w:t>
            </w:r>
          </w:p>
        </w:tc>
        <w:tc>
          <w:tcPr>
            <w:tcW w:w="116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8.3 %</w:t>
            </w:r>
          </w:p>
        </w:tc>
        <w:tc>
          <w:tcPr>
            <w:tcW w:w="100" w:type="dxa"/>
            <w:vAlign w:val="bottom"/>
            <w:shd w:val="clear" w:color="auto" w:fill="CCEEFF"/>
          </w:tcPr>
          <w:p>
            <w:pPr>
              <w:spacing w:after="0"/>
              <w:rPr>
                <w:sz w:val="12"/>
                <w:szCs w:val="12"/>
                <w:color w:val="auto"/>
              </w:rPr>
            </w:pPr>
          </w:p>
        </w:tc>
        <w:tc>
          <w:tcPr>
            <w:tcW w:w="260" w:type="dxa"/>
            <w:vAlign w:val="bottom"/>
            <w:vMerge w:val="restart"/>
            <w:shd w:val="clear" w:color="auto" w:fill="CCEEFF"/>
          </w:tcPr>
          <w:p>
            <w:pPr>
              <w:jc w:val="center"/>
              <w:ind w:right="59"/>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154,985</w:t>
            </w:r>
          </w:p>
        </w:tc>
        <w:tc>
          <w:tcPr>
            <w:tcW w:w="120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7.9 %</w:t>
            </w:r>
          </w:p>
        </w:tc>
        <w:tc>
          <w:tcPr>
            <w:tcW w:w="0" w:type="dxa"/>
            <w:vAlign w:val="bottom"/>
          </w:tcPr>
          <w:p>
            <w:pPr>
              <w:spacing w:after="0"/>
              <w:rPr>
                <w:sz w:val="1"/>
                <w:szCs w:val="1"/>
                <w:color w:val="auto"/>
              </w:rPr>
            </w:pPr>
          </w:p>
        </w:tc>
      </w:tr>
      <w:tr>
        <w:trPr>
          <w:trHeight w:val="209"/>
        </w:trPr>
        <w:tc>
          <w:tcPr>
            <w:tcW w:w="20" w:type="dxa"/>
            <w:vAlign w:val="bottom"/>
            <w:tcBorders>
              <w:bottom w:val="single" w:sz="8" w:color="CCEEFF"/>
            </w:tcBorders>
            <w:shd w:val="clear" w:color="auto" w:fill="CCEEFF"/>
          </w:tcPr>
          <w:p>
            <w:pPr>
              <w:spacing w:after="0"/>
              <w:rPr>
                <w:sz w:val="18"/>
                <w:szCs w:val="18"/>
                <w:color w:val="auto"/>
              </w:rPr>
            </w:pPr>
          </w:p>
        </w:tc>
        <w:tc>
          <w:tcPr>
            <w:tcW w:w="1660" w:type="dxa"/>
            <w:vAlign w:val="bottom"/>
            <w:tcBorders>
              <w:bottom w:val="single" w:sz="8" w:color="CCEEFF"/>
            </w:tcBorders>
            <w:gridSpan w:val="6"/>
            <w:shd w:val="clear" w:color="auto" w:fill="CCEEFF"/>
          </w:tcPr>
          <w:p>
            <w:pPr>
              <w:ind w:left="320"/>
              <w:spacing w:after="0"/>
              <w:rPr>
                <w:sz w:val="20"/>
                <w:szCs w:val="20"/>
                <w:color w:val="auto"/>
              </w:rPr>
            </w:pPr>
            <w:r>
              <w:rPr>
                <w:rFonts w:ascii="Times New Roman" w:cs="Times New Roman" w:eastAsia="Times New Roman" w:hAnsi="Times New Roman"/>
                <w:sz w:val="16"/>
                <w:szCs w:val="16"/>
                <w:color w:val="auto"/>
              </w:rPr>
              <w:t>operating income</w:t>
            </w:r>
          </w:p>
        </w:tc>
        <w:tc>
          <w:tcPr>
            <w:tcW w:w="180" w:type="dxa"/>
            <w:vAlign w:val="bottom"/>
            <w:tcBorders>
              <w:bottom w:val="single" w:sz="8" w:color="auto"/>
            </w:tcBorders>
            <w:vMerge w:val="continue"/>
            <w:shd w:val="clear" w:color="auto" w:fill="CCEEFF"/>
          </w:tcPr>
          <w:p>
            <w:pPr>
              <w:spacing w:after="0"/>
              <w:rPr>
                <w:sz w:val="18"/>
                <w:szCs w:val="18"/>
                <w:color w:val="auto"/>
              </w:rPr>
            </w:pPr>
          </w:p>
        </w:tc>
        <w:tc>
          <w:tcPr>
            <w:tcW w:w="720" w:type="dxa"/>
            <w:vAlign w:val="bottom"/>
            <w:tcBorders>
              <w:bottom w:val="single" w:sz="8" w:color="auto"/>
            </w:tcBorders>
            <w:vMerge w:val="continue"/>
            <w:shd w:val="clear" w:color="auto" w:fill="CCEEFF"/>
          </w:tcPr>
          <w:p>
            <w:pPr>
              <w:spacing w:after="0"/>
              <w:rPr>
                <w:sz w:val="18"/>
                <w:szCs w:val="18"/>
                <w:color w:val="auto"/>
              </w:rPr>
            </w:pPr>
          </w:p>
        </w:tc>
        <w:tc>
          <w:tcPr>
            <w:tcW w:w="1240" w:type="dxa"/>
            <w:vAlign w:val="bottom"/>
            <w:tcBorders>
              <w:bottom w:val="single" w:sz="8" w:color="CCEEFF"/>
            </w:tcBorders>
            <w:gridSpan w:val="2"/>
            <w:vMerge w:val="continue"/>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auto"/>
            </w:tcBorders>
            <w:vMerge w:val="continue"/>
            <w:shd w:val="clear" w:color="auto" w:fill="CCEEFF"/>
          </w:tcPr>
          <w:p>
            <w:pPr>
              <w:spacing w:after="0"/>
              <w:rPr>
                <w:sz w:val="18"/>
                <w:szCs w:val="18"/>
                <w:color w:val="auto"/>
              </w:rPr>
            </w:pPr>
          </w:p>
        </w:tc>
        <w:tc>
          <w:tcPr>
            <w:tcW w:w="900" w:type="dxa"/>
            <w:vAlign w:val="bottom"/>
            <w:tcBorders>
              <w:bottom w:val="single" w:sz="8" w:color="auto"/>
            </w:tcBorders>
            <w:vMerge w:val="continue"/>
            <w:shd w:val="clear" w:color="auto" w:fill="CCEEFF"/>
          </w:tcPr>
          <w:p>
            <w:pPr>
              <w:spacing w:after="0"/>
              <w:rPr>
                <w:sz w:val="18"/>
                <w:szCs w:val="18"/>
                <w:color w:val="auto"/>
              </w:rPr>
            </w:pPr>
          </w:p>
        </w:tc>
        <w:tc>
          <w:tcPr>
            <w:tcW w:w="1200" w:type="dxa"/>
            <w:vAlign w:val="bottom"/>
            <w:tcBorders>
              <w:bottom w:val="single" w:sz="8" w:color="CCEEFF"/>
            </w:tcBorders>
            <w:gridSpan w:val="2"/>
            <w:vMerge w:val="continue"/>
            <w:shd w:val="clear" w:color="auto" w:fill="CCEEFF"/>
          </w:tcPr>
          <w:p>
            <w:pPr>
              <w:spacing w:after="0"/>
              <w:rPr>
                <w:sz w:val="18"/>
                <w:szCs w:val="18"/>
                <w:color w:val="auto"/>
              </w:rPr>
            </w:pPr>
          </w:p>
        </w:tc>
        <w:tc>
          <w:tcPr>
            <w:tcW w:w="120" w:type="dxa"/>
            <w:vAlign w:val="bottom"/>
            <w:tcBorders>
              <w:bottom w:val="single" w:sz="8" w:color="CCEEFF"/>
              <w:right w:val="single" w:sz="8" w:color="auto"/>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vMerge w:val="continue"/>
            <w:shd w:val="clear" w:color="auto" w:fill="CCEEFF"/>
          </w:tcPr>
          <w:p>
            <w:pPr>
              <w:spacing w:after="0"/>
              <w:rPr>
                <w:sz w:val="18"/>
                <w:szCs w:val="18"/>
                <w:color w:val="auto"/>
              </w:rPr>
            </w:pPr>
          </w:p>
        </w:tc>
        <w:tc>
          <w:tcPr>
            <w:tcW w:w="860" w:type="dxa"/>
            <w:vAlign w:val="bottom"/>
            <w:tcBorders>
              <w:bottom w:val="single" w:sz="8" w:color="auto"/>
            </w:tcBorders>
            <w:vMerge w:val="continue"/>
            <w:shd w:val="clear" w:color="auto" w:fill="CCEEFF"/>
          </w:tcPr>
          <w:p>
            <w:pPr>
              <w:spacing w:after="0"/>
              <w:rPr>
                <w:sz w:val="18"/>
                <w:szCs w:val="18"/>
                <w:color w:val="auto"/>
              </w:rPr>
            </w:pPr>
          </w:p>
        </w:tc>
        <w:tc>
          <w:tcPr>
            <w:tcW w:w="1160" w:type="dxa"/>
            <w:vAlign w:val="bottom"/>
            <w:tcBorders>
              <w:bottom w:val="single" w:sz="8" w:color="CCEEFF"/>
            </w:tcBorders>
            <w:gridSpan w:val="2"/>
            <w:vMerge w:val="continue"/>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auto"/>
            </w:tcBorders>
            <w:vMerge w:val="continue"/>
            <w:shd w:val="clear" w:color="auto" w:fill="CCEEFF"/>
          </w:tcPr>
          <w:p>
            <w:pPr>
              <w:spacing w:after="0"/>
              <w:rPr>
                <w:sz w:val="18"/>
                <w:szCs w:val="18"/>
                <w:color w:val="auto"/>
              </w:rPr>
            </w:pPr>
          </w:p>
        </w:tc>
        <w:tc>
          <w:tcPr>
            <w:tcW w:w="920" w:type="dxa"/>
            <w:vAlign w:val="bottom"/>
            <w:tcBorders>
              <w:bottom w:val="single" w:sz="8" w:color="auto"/>
            </w:tcBorders>
            <w:vMerge w:val="continue"/>
            <w:shd w:val="clear" w:color="auto" w:fill="CCEEFF"/>
          </w:tcPr>
          <w:p>
            <w:pPr>
              <w:spacing w:after="0"/>
              <w:rPr>
                <w:sz w:val="18"/>
                <w:szCs w:val="18"/>
                <w:color w:val="auto"/>
              </w:rPr>
            </w:pPr>
          </w:p>
        </w:tc>
        <w:tc>
          <w:tcPr>
            <w:tcW w:w="1200" w:type="dxa"/>
            <w:vAlign w:val="bottom"/>
            <w:tcBorders>
              <w:bottom w:val="single" w:sz="8" w:color="CCEEFF"/>
            </w:tcBorders>
            <w:gridSpan w:val="2"/>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right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20" w:type="dxa"/>
            <w:vAlign w:val="bottom"/>
            <w:shd w:val="clear" w:color="auto" w:fill="CCEEFF"/>
          </w:tcPr>
          <w:p>
            <w:pPr>
              <w:spacing w:after="0"/>
              <w:rPr>
                <w:sz w:val="15"/>
                <w:szCs w:val="15"/>
                <w:color w:val="auto"/>
              </w:rPr>
            </w:pPr>
          </w:p>
        </w:tc>
        <w:tc>
          <w:tcPr>
            <w:tcW w:w="1660" w:type="dxa"/>
            <w:vAlign w:val="bottom"/>
            <w:gridSpan w:val="6"/>
            <w:shd w:val="clear" w:color="auto" w:fill="CCEEFF"/>
          </w:tcPr>
          <w:p>
            <w:pPr>
              <w:spacing w:after="0" w:line="175" w:lineRule="exact"/>
              <w:rPr>
                <w:sz w:val="20"/>
                <w:szCs w:val="20"/>
                <w:color w:val="auto"/>
              </w:rPr>
            </w:pPr>
            <w:r>
              <w:rPr>
                <w:rFonts w:ascii="Times New Roman" w:cs="Times New Roman" w:eastAsia="Times New Roman" w:hAnsi="Times New Roman"/>
                <w:sz w:val="16"/>
                <w:szCs w:val="16"/>
                <w:b w:val="1"/>
                <w:bCs w:val="1"/>
                <w:color w:val="auto"/>
              </w:rPr>
              <w:t>Items not included in</w:t>
            </w:r>
          </w:p>
        </w:tc>
        <w:tc>
          <w:tcPr>
            <w:tcW w:w="18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60" w:type="dxa"/>
            <w:vAlign w:val="bottom"/>
            <w:gridSpan w:val="2"/>
            <w:shd w:val="clear" w:color="auto" w:fill="CCEEFF"/>
          </w:tcPr>
          <w:p>
            <w:pPr>
              <w:jc w:val="center"/>
              <w:ind w:right="100"/>
              <w:spacing w:after="0" w:line="175" w:lineRule="exact"/>
              <w:rPr>
                <w:sz w:val="20"/>
                <w:szCs w:val="20"/>
                <w:color w:val="auto"/>
              </w:rPr>
            </w:pPr>
            <w:r>
              <w:rPr>
                <w:rFonts w:ascii="Times New Roman" w:cs="Times New Roman" w:eastAsia="Times New Roman" w:hAnsi="Times New Roman"/>
                <w:sz w:val="16"/>
                <w:szCs w:val="16"/>
                <w:b w:val="1"/>
                <w:bCs w:val="1"/>
                <w:color w:val="auto"/>
              </w:rPr>
              <w:t>Consolida-ted</w:t>
            </w:r>
          </w:p>
        </w:tc>
        <w:tc>
          <w:tcPr>
            <w:tcW w:w="26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0" w:type="dxa"/>
            <w:vAlign w:val="bottom"/>
            <w:tcBorders>
              <w:right w:val="single" w:sz="8" w:color="auto"/>
            </w:tcBorders>
            <w:gridSpan w:val="2"/>
            <w:shd w:val="clear" w:color="auto" w:fill="CCEEFF"/>
          </w:tcPr>
          <w:p>
            <w:pPr>
              <w:jc w:val="center"/>
              <w:ind w:right="160"/>
              <w:spacing w:after="0" w:line="175" w:lineRule="exact"/>
              <w:rPr>
                <w:sz w:val="20"/>
                <w:szCs w:val="20"/>
                <w:color w:val="auto"/>
              </w:rPr>
            </w:pPr>
            <w:r>
              <w:rPr>
                <w:rFonts w:ascii="Times New Roman" w:cs="Times New Roman" w:eastAsia="Times New Roman" w:hAnsi="Times New Roman"/>
                <w:sz w:val="16"/>
                <w:szCs w:val="16"/>
                <w:b w:val="1"/>
                <w:bCs w:val="1"/>
                <w:color w:val="auto"/>
              </w:rPr>
              <w:t>Consolida-ted</w:t>
            </w: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160" w:type="dxa"/>
            <w:vAlign w:val="bottom"/>
            <w:gridSpan w:val="2"/>
            <w:shd w:val="clear" w:color="auto" w:fill="CCEEFF"/>
          </w:tcPr>
          <w:p>
            <w:pPr>
              <w:jc w:val="center"/>
              <w:ind w:right="100"/>
              <w:spacing w:after="0" w:line="175" w:lineRule="exact"/>
              <w:rPr>
                <w:sz w:val="20"/>
                <w:szCs w:val="20"/>
                <w:color w:val="auto"/>
              </w:rPr>
            </w:pPr>
            <w:r>
              <w:rPr>
                <w:rFonts w:ascii="Times New Roman" w:cs="Times New Roman" w:eastAsia="Times New Roman" w:hAnsi="Times New Roman"/>
                <w:sz w:val="16"/>
                <w:szCs w:val="16"/>
                <w:b w:val="1"/>
                <w:bCs w:val="1"/>
                <w:color w:val="auto"/>
              </w:rPr>
              <w:t>Consolida-ted</w:t>
            </w:r>
          </w:p>
        </w:tc>
        <w:tc>
          <w:tcPr>
            <w:tcW w:w="26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100" w:type="dxa"/>
            <w:vAlign w:val="bottom"/>
            <w:shd w:val="clear" w:color="auto" w:fill="CCEEFF"/>
          </w:tcPr>
          <w:p>
            <w:pPr>
              <w:jc w:val="center"/>
              <w:spacing w:after="0" w:line="175" w:lineRule="exact"/>
              <w:rPr>
                <w:sz w:val="20"/>
                <w:szCs w:val="20"/>
                <w:color w:val="auto"/>
              </w:rPr>
            </w:pPr>
            <w:r>
              <w:rPr>
                <w:rFonts w:ascii="Times New Roman" w:cs="Times New Roman" w:eastAsia="Times New Roman" w:hAnsi="Times New Roman"/>
                <w:sz w:val="16"/>
                <w:szCs w:val="16"/>
                <w:b w:val="1"/>
                <w:bCs w:val="1"/>
                <w:color w:val="auto"/>
              </w:rPr>
              <w:t>Consolida-ted</w:t>
            </w:r>
          </w:p>
        </w:tc>
        <w:tc>
          <w:tcPr>
            <w:tcW w:w="0" w:type="dxa"/>
            <w:vAlign w:val="bottom"/>
          </w:tcPr>
          <w:p>
            <w:pPr>
              <w:spacing w:after="0"/>
              <w:rPr>
                <w:sz w:val="1"/>
                <w:szCs w:val="1"/>
                <w:color w:val="auto"/>
              </w:rPr>
            </w:pPr>
          </w:p>
        </w:tc>
      </w:tr>
      <w:tr>
        <w:trPr>
          <w:trHeight w:val="142"/>
        </w:trPr>
        <w:tc>
          <w:tcPr>
            <w:tcW w:w="20" w:type="dxa"/>
            <w:vAlign w:val="bottom"/>
            <w:tcBorders>
              <w:top w:val="single" w:sz="8" w:color="CCEEFF"/>
            </w:tcBorders>
            <w:shd w:val="clear" w:color="auto" w:fill="CCEEFF"/>
          </w:tcPr>
          <w:p>
            <w:pPr>
              <w:spacing w:after="0"/>
              <w:rPr>
                <w:sz w:val="12"/>
                <w:szCs w:val="12"/>
                <w:color w:val="auto"/>
              </w:rPr>
            </w:pPr>
          </w:p>
        </w:tc>
        <w:tc>
          <w:tcPr>
            <w:tcW w:w="1460" w:type="dxa"/>
            <w:vAlign w:val="bottom"/>
            <w:tcBorders>
              <w:top w:val="single" w:sz="8" w:color="auto"/>
            </w:tcBorders>
            <w:gridSpan w:val="5"/>
            <w:shd w:val="clear" w:color="auto" w:fill="CCEEFF"/>
          </w:tcPr>
          <w:p>
            <w:pPr>
              <w:spacing w:after="0" w:line="142" w:lineRule="exact"/>
              <w:rPr>
                <w:sz w:val="20"/>
                <w:szCs w:val="20"/>
                <w:color w:val="auto"/>
              </w:rPr>
            </w:pPr>
            <w:r>
              <w:rPr>
                <w:rFonts w:ascii="Times New Roman" w:cs="Times New Roman" w:eastAsia="Times New Roman" w:hAnsi="Times New Roman"/>
                <w:sz w:val="16"/>
                <w:szCs w:val="16"/>
                <w:b w:val="1"/>
                <w:bCs w:val="1"/>
                <w:color w:val="auto"/>
              </w:rPr>
              <w:t>segment operating</w:t>
            </w:r>
          </w:p>
        </w:tc>
        <w:tc>
          <w:tcPr>
            <w:tcW w:w="200" w:type="dxa"/>
            <w:vAlign w:val="bottom"/>
            <w:tcBorders>
              <w:top w:val="single" w:sz="8" w:color="CCEEFF"/>
            </w:tcBorders>
            <w:shd w:val="clear" w:color="auto" w:fill="CCEEFF"/>
          </w:tcPr>
          <w:p>
            <w:pPr>
              <w:spacing w:after="0"/>
              <w:rPr>
                <w:sz w:val="12"/>
                <w:szCs w:val="12"/>
                <w:color w:val="auto"/>
              </w:rPr>
            </w:pPr>
          </w:p>
        </w:tc>
        <w:tc>
          <w:tcPr>
            <w:tcW w:w="180" w:type="dxa"/>
            <w:vAlign w:val="bottom"/>
            <w:tcBorders>
              <w:top w:val="single" w:sz="8" w:color="CCEEFF"/>
            </w:tcBorders>
            <w:shd w:val="clear" w:color="auto" w:fill="CCEEFF"/>
          </w:tcPr>
          <w:p>
            <w:pPr>
              <w:spacing w:after="0"/>
              <w:rPr>
                <w:sz w:val="12"/>
                <w:szCs w:val="12"/>
                <w:color w:val="auto"/>
              </w:rPr>
            </w:pPr>
          </w:p>
        </w:tc>
        <w:tc>
          <w:tcPr>
            <w:tcW w:w="72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1260" w:type="dxa"/>
            <w:vAlign w:val="bottom"/>
            <w:tcBorders>
              <w:top w:val="single" w:sz="8" w:color="CCEEFF"/>
            </w:tcBorders>
            <w:gridSpan w:val="2"/>
            <w:shd w:val="clear" w:color="auto" w:fill="CCEEFF"/>
          </w:tcPr>
          <w:p>
            <w:pPr>
              <w:jc w:val="center"/>
              <w:ind w:right="120"/>
              <w:spacing w:after="0" w:line="142" w:lineRule="exact"/>
              <w:rPr>
                <w:sz w:val="20"/>
                <w:szCs w:val="20"/>
                <w:color w:val="auto"/>
              </w:rPr>
            </w:pPr>
            <w:r>
              <w:rPr>
                <w:rFonts w:ascii="Times New Roman" w:cs="Times New Roman" w:eastAsia="Times New Roman" w:hAnsi="Times New Roman"/>
                <w:sz w:val="16"/>
                <w:szCs w:val="16"/>
                <w:b w:val="1"/>
                <w:bCs w:val="1"/>
                <w:color w:val="auto"/>
              </w:rPr>
              <w:t>operating</w:t>
            </w:r>
          </w:p>
        </w:tc>
        <w:tc>
          <w:tcPr>
            <w:tcW w:w="260" w:type="dxa"/>
            <w:vAlign w:val="bottom"/>
            <w:tcBorders>
              <w:top w:val="single" w:sz="8" w:color="CCEEFF"/>
            </w:tcBorders>
            <w:shd w:val="clear" w:color="auto" w:fill="CCEEFF"/>
          </w:tcPr>
          <w:p>
            <w:pPr>
              <w:spacing w:after="0"/>
              <w:rPr>
                <w:sz w:val="12"/>
                <w:szCs w:val="12"/>
                <w:color w:val="auto"/>
              </w:rPr>
            </w:pPr>
          </w:p>
        </w:tc>
        <w:tc>
          <w:tcPr>
            <w:tcW w:w="90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1200" w:type="dxa"/>
            <w:vAlign w:val="bottom"/>
            <w:tcBorders>
              <w:top w:val="single" w:sz="8" w:color="CCEEFF"/>
              <w:right w:val="single" w:sz="8" w:color="auto"/>
            </w:tcBorders>
            <w:gridSpan w:val="2"/>
            <w:shd w:val="clear" w:color="auto" w:fill="CCEEFF"/>
          </w:tcPr>
          <w:p>
            <w:pPr>
              <w:jc w:val="center"/>
              <w:ind w:right="140"/>
              <w:spacing w:after="0" w:line="142" w:lineRule="exact"/>
              <w:rPr>
                <w:sz w:val="20"/>
                <w:szCs w:val="20"/>
                <w:color w:val="auto"/>
              </w:rPr>
            </w:pPr>
            <w:r>
              <w:rPr>
                <w:rFonts w:ascii="Times New Roman" w:cs="Times New Roman" w:eastAsia="Times New Roman" w:hAnsi="Times New Roman"/>
                <w:sz w:val="16"/>
                <w:szCs w:val="16"/>
                <w:b w:val="1"/>
                <w:bCs w:val="1"/>
                <w:color w:val="auto"/>
              </w:rPr>
              <w:t>operating</w:t>
            </w:r>
          </w:p>
        </w:tc>
        <w:tc>
          <w:tcPr>
            <w:tcW w:w="8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86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1160" w:type="dxa"/>
            <w:vAlign w:val="bottom"/>
            <w:tcBorders>
              <w:top w:val="single" w:sz="8" w:color="CCEEFF"/>
            </w:tcBorders>
            <w:gridSpan w:val="2"/>
            <w:shd w:val="clear" w:color="auto" w:fill="CCEEFF"/>
          </w:tcPr>
          <w:p>
            <w:pPr>
              <w:jc w:val="center"/>
              <w:ind w:right="100"/>
              <w:spacing w:after="0" w:line="142" w:lineRule="exact"/>
              <w:rPr>
                <w:sz w:val="20"/>
                <w:szCs w:val="20"/>
                <w:color w:val="auto"/>
              </w:rPr>
            </w:pPr>
            <w:r>
              <w:rPr>
                <w:rFonts w:ascii="Times New Roman" w:cs="Times New Roman" w:eastAsia="Times New Roman" w:hAnsi="Times New Roman"/>
                <w:sz w:val="16"/>
                <w:szCs w:val="16"/>
                <w:b w:val="1"/>
                <w:bCs w:val="1"/>
                <w:color w:val="auto"/>
              </w:rPr>
              <w:t>operating</w:t>
            </w:r>
          </w:p>
        </w:tc>
        <w:tc>
          <w:tcPr>
            <w:tcW w:w="260" w:type="dxa"/>
            <w:vAlign w:val="bottom"/>
            <w:tcBorders>
              <w:top w:val="single" w:sz="8" w:color="CCEEFF"/>
            </w:tcBorders>
            <w:shd w:val="clear" w:color="auto" w:fill="CCEEFF"/>
          </w:tcPr>
          <w:p>
            <w:pPr>
              <w:spacing w:after="0"/>
              <w:rPr>
                <w:sz w:val="12"/>
                <w:szCs w:val="12"/>
                <w:color w:val="auto"/>
              </w:rPr>
            </w:pPr>
          </w:p>
        </w:tc>
        <w:tc>
          <w:tcPr>
            <w:tcW w:w="92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1100" w:type="dxa"/>
            <w:vAlign w:val="bottom"/>
            <w:tcBorders>
              <w:top w:val="single" w:sz="8" w:color="CCEEFF"/>
            </w:tcBorders>
            <w:shd w:val="clear" w:color="auto" w:fill="CCEEFF"/>
          </w:tcPr>
          <w:p>
            <w:pPr>
              <w:jc w:val="center"/>
              <w:spacing w:after="0" w:line="142" w:lineRule="exact"/>
              <w:rPr>
                <w:sz w:val="20"/>
                <w:szCs w:val="20"/>
                <w:color w:val="auto"/>
              </w:rPr>
            </w:pPr>
            <w:r>
              <w:rPr>
                <w:rFonts w:ascii="Times New Roman" w:cs="Times New Roman" w:eastAsia="Times New Roman" w:hAnsi="Times New Roman"/>
                <w:sz w:val="16"/>
                <w:szCs w:val="16"/>
                <w:b w:val="1"/>
                <w:bCs w:val="1"/>
                <w:color w:val="auto"/>
              </w:rPr>
              <w:t>operating</w:t>
            </w:r>
          </w:p>
        </w:tc>
        <w:tc>
          <w:tcPr>
            <w:tcW w:w="0" w:type="dxa"/>
            <w:vAlign w:val="bottom"/>
          </w:tcPr>
          <w:p>
            <w:pPr>
              <w:spacing w:after="0"/>
              <w:rPr>
                <w:sz w:val="1"/>
                <w:szCs w:val="1"/>
                <w:color w:val="auto"/>
              </w:rPr>
            </w:pPr>
          </w:p>
        </w:tc>
      </w:tr>
      <w:tr>
        <w:trPr>
          <w:trHeight w:val="142"/>
        </w:trPr>
        <w:tc>
          <w:tcPr>
            <w:tcW w:w="20" w:type="dxa"/>
            <w:vAlign w:val="bottom"/>
            <w:tcBorders>
              <w:top w:val="single" w:sz="8" w:color="CCEEFF"/>
            </w:tcBorders>
            <w:shd w:val="clear" w:color="auto" w:fill="CCEEFF"/>
          </w:tcPr>
          <w:p>
            <w:pPr>
              <w:spacing w:after="0"/>
              <w:rPr>
                <w:sz w:val="12"/>
                <w:szCs w:val="12"/>
                <w:color w:val="auto"/>
              </w:rPr>
            </w:pPr>
          </w:p>
        </w:tc>
        <w:tc>
          <w:tcPr>
            <w:tcW w:w="1280" w:type="dxa"/>
            <w:vAlign w:val="bottom"/>
            <w:tcBorders>
              <w:top w:val="single" w:sz="8" w:color="auto"/>
            </w:tcBorders>
            <w:gridSpan w:val="3"/>
            <w:shd w:val="clear" w:color="auto" w:fill="CCEEFF"/>
          </w:tcPr>
          <w:p>
            <w:pPr>
              <w:spacing w:after="0" w:line="142" w:lineRule="exact"/>
              <w:rPr>
                <w:sz w:val="20"/>
                <w:szCs w:val="20"/>
                <w:color w:val="auto"/>
              </w:rPr>
            </w:pPr>
            <w:r>
              <w:rPr>
                <w:rFonts w:ascii="Times New Roman" w:cs="Times New Roman" w:eastAsia="Times New Roman" w:hAnsi="Times New Roman"/>
                <w:sz w:val="16"/>
                <w:szCs w:val="16"/>
                <w:b w:val="1"/>
                <w:bCs w:val="1"/>
                <w:color w:val="auto"/>
              </w:rPr>
              <w:t>income:</w:t>
            </w:r>
          </w:p>
        </w:tc>
        <w:tc>
          <w:tcPr>
            <w:tcW w:w="380" w:type="dxa"/>
            <w:vAlign w:val="bottom"/>
            <w:tcBorders>
              <w:top w:val="single" w:sz="8" w:color="CCEEFF"/>
            </w:tcBorders>
            <w:gridSpan w:val="3"/>
            <w:shd w:val="clear" w:color="auto" w:fill="CCEEFF"/>
          </w:tcPr>
          <w:p>
            <w:pPr>
              <w:spacing w:after="0"/>
              <w:rPr>
                <w:sz w:val="12"/>
                <w:szCs w:val="12"/>
                <w:color w:val="auto"/>
              </w:rPr>
            </w:pPr>
          </w:p>
        </w:tc>
        <w:tc>
          <w:tcPr>
            <w:tcW w:w="180" w:type="dxa"/>
            <w:vAlign w:val="bottom"/>
            <w:tcBorders>
              <w:top w:val="single" w:sz="8" w:color="CCEEFF"/>
            </w:tcBorders>
            <w:shd w:val="clear" w:color="auto" w:fill="CCEEFF"/>
          </w:tcPr>
          <w:p>
            <w:pPr>
              <w:spacing w:after="0"/>
              <w:rPr>
                <w:sz w:val="12"/>
                <w:szCs w:val="12"/>
                <w:color w:val="auto"/>
              </w:rPr>
            </w:pPr>
          </w:p>
        </w:tc>
        <w:tc>
          <w:tcPr>
            <w:tcW w:w="72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1260" w:type="dxa"/>
            <w:vAlign w:val="bottom"/>
            <w:tcBorders>
              <w:top w:val="single" w:sz="8" w:color="CCEEFF"/>
            </w:tcBorders>
            <w:gridSpan w:val="2"/>
            <w:shd w:val="clear" w:color="auto" w:fill="CCEEFF"/>
          </w:tcPr>
          <w:p>
            <w:pPr>
              <w:jc w:val="center"/>
              <w:ind w:right="120"/>
              <w:spacing w:after="0" w:line="142" w:lineRule="exact"/>
              <w:rPr>
                <w:sz w:val="20"/>
                <w:szCs w:val="20"/>
                <w:color w:val="auto"/>
              </w:rPr>
            </w:pPr>
            <w:r>
              <w:rPr>
                <w:rFonts w:ascii="Times New Roman" w:cs="Times New Roman" w:eastAsia="Times New Roman" w:hAnsi="Times New Roman"/>
                <w:sz w:val="16"/>
                <w:szCs w:val="16"/>
                <w:b w:val="1"/>
                <w:bCs w:val="1"/>
                <w:color w:val="auto"/>
              </w:rPr>
              <w:t>margin</w:t>
            </w:r>
          </w:p>
        </w:tc>
        <w:tc>
          <w:tcPr>
            <w:tcW w:w="260" w:type="dxa"/>
            <w:vAlign w:val="bottom"/>
            <w:tcBorders>
              <w:top w:val="single" w:sz="8" w:color="CCEEFF"/>
            </w:tcBorders>
            <w:shd w:val="clear" w:color="auto" w:fill="CCEEFF"/>
          </w:tcPr>
          <w:p>
            <w:pPr>
              <w:spacing w:after="0"/>
              <w:rPr>
                <w:sz w:val="12"/>
                <w:szCs w:val="12"/>
                <w:color w:val="auto"/>
              </w:rPr>
            </w:pPr>
          </w:p>
        </w:tc>
        <w:tc>
          <w:tcPr>
            <w:tcW w:w="90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1200" w:type="dxa"/>
            <w:vAlign w:val="bottom"/>
            <w:tcBorders>
              <w:top w:val="single" w:sz="8" w:color="CCEEFF"/>
              <w:right w:val="single" w:sz="8" w:color="auto"/>
            </w:tcBorders>
            <w:gridSpan w:val="2"/>
            <w:shd w:val="clear" w:color="auto" w:fill="CCEEFF"/>
          </w:tcPr>
          <w:p>
            <w:pPr>
              <w:jc w:val="center"/>
              <w:ind w:right="140"/>
              <w:spacing w:after="0" w:line="142" w:lineRule="exact"/>
              <w:rPr>
                <w:sz w:val="20"/>
                <w:szCs w:val="20"/>
                <w:color w:val="auto"/>
              </w:rPr>
            </w:pPr>
            <w:r>
              <w:rPr>
                <w:rFonts w:ascii="Times New Roman" w:cs="Times New Roman" w:eastAsia="Times New Roman" w:hAnsi="Times New Roman"/>
                <w:sz w:val="16"/>
                <w:szCs w:val="16"/>
                <w:b w:val="1"/>
                <w:bCs w:val="1"/>
                <w:color w:val="auto"/>
              </w:rPr>
              <w:t>margin</w:t>
            </w:r>
          </w:p>
        </w:tc>
        <w:tc>
          <w:tcPr>
            <w:tcW w:w="8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86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1160" w:type="dxa"/>
            <w:vAlign w:val="bottom"/>
            <w:tcBorders>
              <w:top w:val="single" w:sz="8" w:color="CCEEFF"/>
            </w:tcBorders>
            <w:gridSpan w:val="2"/>
            <w:shd w:val="clear" w:color="auto" w:fill="CCEEFF"/>
          </w:tcPr>
          <w:p>
            <w:pPr>
              <w:jc w:val="center"/>
              <w:ind w:right="100"/>
              <w:spacing w:after="0" w:line="142" w:lineRule="exact"/>
              <w:rPr>
                <w:sz w:val="20"/>
                <w:szCs w:val="20"/>
                <w:color w:val="auto"/>
              </w:rPr>
            </w:pPr>
            <w:r>
              <w:rPr>
                <w:rFonts w:ascii="Times New Roman" w:cs="Times New Roman" w:eastAsia="Times New Roman" w:hAnsi="Times New Roman"/>
                <w:sz w:val="16"/>
                <w:szCs w:val="16"/>
                <w:b w:val="1"/>
                <w:bCs w:val="1"/>
                <w:color w:val="auto"/>
              </w:rPr>
              <w:t>margin</w:t>
            </w:r>
          </w:p>
        </w:tc>
        <w:tc>
          <w:tcPr>
            <w:tcW w:w="260" w:type="dxa"/>
            <w:vAlign w:val="bottom"/>
            <w:tcBorders>
              <w:top w:val="single" w:sz="8" w:color="CCEEFF"/>
            </w:tcBorders>
            <w:shd w:val="clear" w:color="auto" w:fill="CCEEFF"/>
          </w:tcPr>
          <w:p>
            <w:pPr>
              <w:spacing w:after="0"/>
              <w:rPr>
                <w:sz w:val="12"/>
                <w:szCs w:val="12"/>
                <w:color w:val="auto"/>
              </w:rPr>
            </w:pPr>
          </w:p>
        </w:tc>
        <w:tc>
          <w:tcPr>
            <w:tcW w:w="92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1100" w:type="dxa"/>
            <w:vAlign w:val="bottom"/>
            <w:tcBorders>
              <w:top w:val="single" w:sz="8" w:color="CCEEFF"/>
            </w:tcBorders>
            <w:shd w:val="clear" w:color="auto" w:fill="CCEEFF"/>
          </w:tcPr>
          <w:p>
            <w:pPr>
              <w:jc w:val="center"/>
              <w:spacing w:after="0" w:line="142" w:lineRule="exact"/>
              <w:rPr>
                <w:sz w:val="20"/>
                <w:szCs w:val="20"/>
                <w:color w:val="auto"/>
              </w:rPr>
            </w:pPr>
            <w:r>
              <w:rPr>
                <w:rFonts w:ascii="Times New Roman" w:cs="Times New Roman" w:eastAsia="Times New Roman" w:hAnsi="Times New Roman"/>
                <w:sz w:val="16"/>
                <w:szCs w:val="16"/>
                <w:b w:val="1"/>
                <w:bCs w:val="1"/>
                <w:color w:val="auto"/>
              </w:rPr>
              <w:t>margin</w:t>
            </w:r>
          </w:p>
        </w:tc>
        <w:tc>
          <w:tcPr>
            <w:tcW w:w="0" w:type="dxa"/>
            <w:vAlign w:val="bottom"/>
          </w:tcPr>
          <w:p>
            <w:pPr>
              <w:spacing w:after="0"/>
              <w:rPr>
                <w:sz w:val="1"/>
                <w:szCs w:val="1"/>
                <w:color w:val="auto"/>
              </w:rPr>
            </w:pPr>
          </w:p>
        </w:tc>
      </w:tr>
      <w:tr>
        <w:trPr>
          <w:trHeight w:val="21"/>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auto"/>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6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7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160" w:type="dxa"/>
            <w:vAlign w:val="bottom"/>
            <w:tcBorders>
              <w:top w:val="single" w:sz="8" w:color="CCEEFF"/>
              <w:bottom w:val="single" w:sz="8" w:color="auto"/>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9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080" w:type="dxa"/>
            <w:vAlign w:val="bottom"/>
            <w:tcBorders>
              <w:top w:val="single" w:sz="8" w:color="CCEEFF"/>
              <w:bottom w:val="single" w:sz="8" w:color="auto"/>
            </w:tcBorders>
            <w:shd w:val="clear" w:color="auto" w:fill="CCEEFF"/>
          </w:tcPr>
          <w:p>
            <w:pPr>
              <w:spacing w:after="0" w:line="20" w:lineRule="exact"/>
              <w:rPr>
                <w:sz w:val="1"/>
                <w:szCs w:val="1"/>
                <w:color w:val="auto"/>
              </w:rPr>
            </w:pPr>
          </w:p>
        </w:tc>
        <w:tc>
          <w:tcPr>
            <w:tcW w:w="120" w:type="dxa"/>
            <w:vAlign w:val="bottom"/>
            <w:tcBorders>
              <w:top w:val="single" w:sz="8" w:color="CCEEFF"/>
              <w:right w:val="single" w:sz="8" w:color="auto"/>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8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060" w:type="dxa"/>
            <w:vAlign w:val="bottom"/>
            <w:tcBorders>
              <w:top w:val="single" w:sz="8" w:color="CCEEFF"/>
              <w:bottom w:val="single" w:sz="8" w:color="auto"/>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9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100" w:type="dxa"/>
            <w:vAlign w:val="bottom"/>
            <w:tcBorders>
              <w:top w:val="single" w:sz="8" w:color="CCEEFF"/>
              <w:bottom w:val="single" w:sz="8" w:color="auto"/>
            </w:tcBorders>
            <w:shd w:val="clear" w:color="auto" w:fill="CCEEFF"/>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660" w:type="dxa"/>
            <w:vAlign w:val="bottom"/>
            <w:gridSpan w:val="6"/>
          </w:tcPr>
          <w:p>
            <w:pPr>
              <w:ind w:left="220"/>
              <w:spacing w:after="0" w:line="142" w:lineRule="exact"/>
              <w:rPr>
                <w:sz w:val="20"/>
                <w:szCs w:val="20"/>
                <w:color w:val="auto"/>
              </w:rPr>
            </w:pPr>
            <w:r>
              <w:rPr>
                <w:rFonts w:ascii="Times New Roman" w:cs="Times New Roman" w:eastAsia="Times New Roman" w:hAnsi="Times New Roman"/>
                <w:sz w:val="16"/>
                <w:szCs w:val="16"/>
                <w:color w:val="auto"/>
              </w:rPr>
              <w:t>Tariff refund</w:t>
            </w:r>
          </w:p>
        </w:tc>
        <w:tc>
          <w:tcPr>
            <w:tcW w:w="1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2"/>
                <w:szCs w:val="12"/>
                <w:color w:val="auto"/>
              </w:rPr>
            </w:pPr>
          </w:p>
        </w:tc>
        <w:tc>
          <w:tcPr>
            <w:tcW w:w="1260" w:type="dxa"/>
            <w:vAlign w:val="bottom"/>
            <w:gridSpan w:val="2"/>
            <w:vMerge w:val="restart"/>
          </w:tcPr>
          <w:p>
            <w:pPr>
              <w:ind w:left="940"/>
              <w:spacing w:after="0"/>
              <w:rPr>
                <w:sz w:val="20"/>
                <w:szCs w:val="20"/>
                <w:color w:val="auto"/>
              </w:rPr>
            </w:pPr>
            <w:r>
              <w:rPr>
                <w:rFonts w:ascii="Times New Roman" w:cs="Times New Roman" w:eastAsia="Times New Roman" w:hAnsi="Times New Roman"/>
                <w:sz w:val="16"/>
                <w:szCs w:val="16"/>
                <w:color w:val="auto"/>
              </w:rPr>
              <w:t>n/a</w:t>
            </w:r>
          </w:p>
        </w:tc>
        <w:tc>
          <w:tcPr>
            <w:tcW w:w="260" w:type="dxa"/>
            <w:vAlign w:val="bottom"/>
            <w:vMerge w:val="restart"/>
          </w:tcPr>
          <w:p>
            <w:pPr>
              <w:jc w:val="center"/>
              <w:ind w:right="59"/>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2"/>
                <w:szCs w:val="12"/>
                <w:color w:val="auto"/>
              </w:rPr>
            </w:pPr>
          </w:p>
        </w:tc>
        <w:tc>
          <w:tcPr>
            <w:tcW w:w="1200" w:type="dxa"/>
            <w:vAlign w:val="bottom"/>
            <w:tcBorders>
              <w:right w:val="single" w:sz="8" w:color="auto"/>
            </w:tcBorders>
            <w:gridSpan w:val="2"/>
            <w:vMerge w:val="restart"/>
          </w:tcPr>
          <w:p>
            <w:pPr>
              <w:ind w:left="860"/>
              <w:spacing w:after="0"/>
              <w:rPr>
                <w:sz w:val="20"/>
                <w:szCs w:val="20"/>
                <w:color w:val="auto"/>
              </w:rPr>
            </w:pPr>
            <w:r>
              <w:rPr>
                <w:rFonts w:ascii="Times New Roman" w:cs="Times New Roman" w:eastAsia="Times New Roman" w:hAnsi="Times New Roman"/>
                <w:sz w:val="16"/>
                <w:szCs w:val="16"/>
                <w:color w:val="auto"/>
              </w:rPr>
              <w:t>n/a</w:t>
            </w:r>
          </w:p>
        </w:tc>
        <w:tc>
          <w:tcPr>
            <w:tcW w:w="80" w:type="dxa"/>
            <w:vAlign w:val="bottom"/>
          </w:tcPr>
          <w:p>
            <w:pPr>
              <w:spacing w:after="0"/>
              <w:rPr>
                <w:sz w:val="12"/>
                <w:szCs w:val="12"/>
                <w:color w:val="auto"/>
              </w:rPr>
            </w:pPr>
          </w:p>
        </w:tc>
        <w:tc>
          <w:tcPr>
            <w:tcW w:w="1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127,669</w:t>
            </w:r>
          </w:p>
        </w:tc>
        <w:tc>
          <w:tcPr>
            <w:tcW w:w="100" w:type="dxa"/>
            <w:vAlign w:val="bottom"/>
          </w:tcPr>
          <w:p>
            <w:pPr>
              <w:spacing w:after="0"/>
              <w:rPr>
                <w:sz w:val="12"/>
                <w:szCs w:val="12"/>
                <w:color w:val="auto"/>
              </w:rPr>
            </w:pPr>
          </w:p>
        </w:tc>
        <w:tc>
          <w:tcPr>
            <w:tcW w:w="1160" w:type="dxa"/>
            <w:vAlign w:val="bottom"/>
            <w:gridSpan w:val="2"/>
            <w:vMerge w:val="restart"/>
          </w:tcPr>
          <w:p>
            <w:pPr>
              <w:ind w:left="840"/>
              <w:spacing w:after="0"/>
              <w:rPr>
                <w:sz w:val="20"/>
                <w:szCs w:val="20"/>
                <w:color w:val="auto"/>
              </w:rPr>
            </w:pPr>
            <w:r>
              <w:rPr>
                <w:rFonts w:ascii="Times New Roman" w:cs="Times New Roman" w:eastAsia="Times New Roman" w:hAnsi="Times New Roman"/>
                <w:sz w:val="16"/>
                <w:szCs w:val="16"/>
                <w:color w:val="auto"/>
              </w:rPr>
              <w:t>n/a</w:t>
            </w:r>
          </w:p>
        </w:tc>
        <w:tc>
          <w:tcPr>
            <w:tcW w:w="260" w:type="dxa"/>
            <w:vAlign w:val="bottom"/>
            <w:vMerge w:val="restart"/>
          </w:tcPr>
          <w:p>
            <w:pPr>
              <w:jc w:val="center"/>
              <w:ind w:right="59"/>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2"/>
                <w:szCs w:val="12"/>
                <w:color w:val="auto"/>
              </w:rPr>
            </w:pPr>
          </w:p>
        </w:tc>
        <w:tc>
          <w:tcPr>
            <w:tcW w:w="11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n/a</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60" w:type="dxa"/>
            <w:vAlign w:val="bottom"/>
            <w:gridSpan w:val="6"/>
          </w:tcPr>
          <w:p>
            <w:pPr>
              <w:ind w:left="220"/>
              <w:spacing w:after="0" w:line="216" w:lineRule="exact"/>
              <w:rPr>
                <w:sz w:val="20"/>
                <w:szCs w:val="20"/>
                <w:color w:val="auto"/>
              </w:rPr>
            </w:pPr>
            <w:r>
              <w:rPr>
                <w:rFonts w:ascii="Times New Roman" w:cs="Times New Roman" w:eastAsia="Times New Roman" w:hAnsi="Times New Roman"/>
                <w:sz w:val="16"/>
                <w:szCs w:val="16"/>
                <w:color w:val="auto"/>
              </w:rPr>
              <w:t xml:space="preserve">recovery </w:t>
            </w:r>
            <w:r>
              <w:rPr>
                <w:rFonts w:ascii="Times New Roman" w:cs="Times New Roman" w:eastAsia="Times New Roman" w:hAnsi="Times New Roman"/>
                <w:sz w:val="21"/>
                <w:szCs w:val="21"/>
                <w:color w:val="auto"/>
                <w:vertAlign w:val="superscript"/>
              </w:rPr>
              <w:t>(a)</w:t>
            </w:r>
          </w:p>
        </w:tc>
        <w:tc>
          <w:tcPr>
            <w:tcW w:w="180" w:type="dxa"/>
            <w:vAlign w:val="bottom"/>
            <w:vMerge w:val="continue"/>
          </w:tcPr>
          <w:p>
            <w:pPr>
              <w:spacing w:after="0"/>
              <w:rPr>
                <w:sz w:val="18"/>
                <w:szCs w:val="18"/>
                <w:color w:val="auto"/>
              </w:rPr>
            </w:pPr>
          </w:p>
        </w:tc>
        <w:tc>
          <w:tcPr>
            <w:tcW w:w="72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1260" w:type="dxa"/>
            <w:vAlign w:val="bottom"/>
            <w:gridSpan w:val="2"/>
            <w:vMerge w:val="continue"/>
          </w:tcPr>
          <w:p>
            <w:pPr>
              <w:spacing w:after="0"/>
              <w:rPr>
                <w:sz w:val="18"/>
                <w:szCs w:val="18"/>
                <w:color w:val="auto"/>
              </w:rPr>
            </w:pPr>
          </w:p>
        </w:tc>
        <w:tc>
          <w:tcPr>
            <w:tcW w:w="260" w:type="dxa"/>
            <w:vAlign w:val="bottom"/>
            <w:vMerge w:val="continue"/>
          </w:tcPr>
          <w:p>
            <w:pPr>
              <w:spacing w:after="0"/>
              <w:rPr>
                <w:sz w:val="18"/>
                <w:szCs w:val="18"/>
                <w:color w:val="auto"/>
              </w:rPr>
            </w:pPr>
          </w:p>
        </w:tc>
        <w:tc>
          <w:tcPr>
            <w:tcW w:w="90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tcBorders>
              <w:right w:val="single" w:sz="8" w:color="auto"/>
            </w:tcBorders>
            <w:gridSpan w:val="2"/>
            <w:vMerge w:val="continue"/>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vMerge w:val="continue"/>
          </w:tcPr>
          <w:p>
            <w:pPr>
              <w:spacing w:after="0"/>
              <w:rPr>
                <w:sz w:val="18"/>
                <w:szCs w:val="18"/>
                <w:color w:val="auto"/>
              </w:rPr>
            </w:pPr>
          </w:p>
        </w:tc>
        <w:tc>
          <w:tcPr>
            <w:tcW w:w="86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gridSpan w:val="2"/>
            <w:vMerge w:val="continue"/>
          </w:tcPr>
          <w:p>
            <w:pPr>
              <w:spacing w:after="0"/>
              <w:rPr>
                <w:sz w:val="18"/>
                <w:szCs w:val="18"/>
                <w:color w:val="auto"/>
              </w:rPr>
            </w:pPr>
          </w:p>
        </w:tc>
        <w:tc>
          <w:tcPr>
            <w:tcW w:w="260" w:type="dxa"/>
            <w:vAlign w:val="bottom"/>
            <w:vMerge w:val="continue"/>
          </w:tcPr>
          <w:p>
            <w:pPr>
              <w:spacing w:after="0"/>
              <w:rPr>
                <w:sz w:val="18"/>
                <w:szCs w:val="18"/>
                <w:color w:val="auto"/>
              </w:rPr>
            </w:pPr>
          </w:p>
        </w:tc>
        <w:tc>
          <w:tcPr>
            <w:tcW w:w="92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20" w:type="dxa"/>
            <w:vAlign w:val="bottom"/>
            <w:shd w:val="clear" w:color="auto" w:fill="CCEEFF"/>
          </w:tcPr>
          <w:p>
            <w:pPr>
              <w:spacing w:after="0"/>
              <w:rPr>
                <w:sz w:val="14"/>
                <w:szCs w:val="14"/>
                <w:color w:val="auto"/>
              </w:rPr>
            </w:pPr>
          </w:p>
        </w:tc>
        <w:tc>
          <w:tcPr>
            <w:tcW w:w="1660" w:type="dxa"/>
            <w:vAlign w:val="bottom"/>
            <w:gridSpan w:val="6"/>
            <w:shd w:val="clear" w:color="auto" w:fill="CCEEFF"/>
          </w:tcPr>
          <w:p>
            <w:pPr>
              <w:ind w:left="220"/>
              <w:spacing w:after="0" w:line="162" w:lineRule="exact"/>
              <w:rPr>
                <w:sz w:val="20"/>
                <w:szCs w:val="20"/>
                <w:color w:val="auto"/>
              </w:rPr>
            </w:pPr>
            <w:r>
              <w:rPr>
                <w:rFonts w:ascii="Times New Roman" w:cs="Times New Roman" w:eastAsia="Times New Roman" w:hAnsi="Times New Roman"/>
                <w:sz w:val="16"/>
                <w:szCs w:val="16"/>
                <w:color w:val="auto"/>
              </w:rPr>
              <w:t>Unallocated</w:t>
            </w:r>
          </w:p>
        </w:tc>
        <w:tc>
          <w:tcPr>
            <w:tcW w:w="180" w:type="dxa"/>
            <w:vAlign w:val="bottom"/>
            <w:shd w:val="clear" w:color="auto" w:fill="CCEEFF"/>
          </w:tcPr>
          <w:p>
            <w:pPr>
              <w:spacing w:after="0"/>
              <w:rPr>
                <w:sz w:val="14"/>
                <w:szCs w:val="14"/>
                <w:color w:val="auto"/>
              </w:rPr>
            </w:pPr>
          </w:p>
        </w:tc>
        <w:tc>
          <w:tcPr>
            <w:tcW w:w="7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(22,794)</w:t>
            </w:r>
          </w:p>
        </w:tc>
        <w:tc>
          <w:tcPr>
            <w:tcW w:w="80" w:type="dxa"/>
            <w:vAlign w:val="bottom"/>
            <w:shd w:val="clear" w:color="auto" w:fill="CCEEFF"/>
          </w:tcPr>
          <w:p>
            <w:pPr>
              <w:spacing w:after="0"/>
              <w:rPr>
                <w:sz w:val="14"/>
                <w:szCs w:val="14"/>
                <w:color w:val="auto"/>
              </w:rPr>
            </w:pPr>
          </w:p>
        </w:tc>
        <w:tc>
          <w:tcPr>
            <w:tcW w:w="1260" w:type="dxa"/>
            <w:vAlign w:val="bottom"/>
            <w:gridSpan w:val="2"/>
            <w:vMerge w:val="restart"/>
            <w:shd w:val="clear" w:color="auto" w:fill="CCEEFF"/>
          </w:tcPr>
          <w:p>
            <w:pPr>
              <w:ind w:left="940"/>
              <w:spacing w:after="0"/>
              <w:rPr>
                <w:sz w:val="20"/>
                <w:szCs w:val="20"/>
                <w:color w:val="auto"/>
              </w:rPr>
            </w:pPr>
            <w:r>
              <w:rPr>
                <w:rFonts w:ascii="Times New Roman" w:cs="Times New Roman" w:eastAsia="Times New Roman" w:hAnsi="Times New Roman"/>
                <w:sz w:val="16"/>
                <w:szCs w:val="16"/>
                <w:color w:val="auto"/>
              </w:rPr>
              <w:t>n/a</w:t>
            </w:r>
          </w:p>
        </w:tc>
        <w:tc>
          <w:tcPr>
            <w:tcW w:w="260" w:type="dxa"/>
            <w:vAlign w:val="bottom"/>
            <w:shd w:val="clear" w:color="auto" w:fill="CCEEFF"/>
          </w:tcPr>
          <w:p>
            <w:pPr>
              <w:spacing w:after="0"/>
              <w:rPr>
                <w:sz w:val="14"/>
                <w:szCs w:val="14"/>
                <w:color w:val="auto"/>
              </w:rPr>
            </w:pPr>
          </w:p>
        </w:tc>
        <w:tc>
          <w:tcPr>
            <w:tcW w:w="9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(23,767)</w:t>
            </w:r>
          </w:p>
        </w:tc>
        <w:tc>
          <w:tcPr>
            <w:tcW w:w="120" w:type="dxa"/>
            <w:vAlign w:val="bottom"/>
            <w:shd w:val="clear" w:color="auto" w:fill="CCEEFF"/>
          </w:tcPr>
          <w:p>
            <w:pPr>
              <w:spacing w:after="0"/>
              <w:rPr>
                <w:sz w:val="14"/>
                <w:szCs w:val="14"/>
                <w:color w:val="auto"/>
              </w:rPr>
            </w:pPr>
          </w:p>
        </w:tc>
        <w:tc>
          <w:tcPr>
            <w:tcW w:w="1200" w:type="dxa"/>
            <w:vAlign w:val="bottom"/>
            <w:tcBorders>
              <w:right w:val="single" w:sz="8" w:color="auto"/>
            </w:tcBorders>
            <w:gridSpan w:val="2"/>
            <w:vMerge w:val="restart"/>
            <w:shd w:val="clear" w:color="auto" w:fill="CCEEFF"/>
          </w:tcPr>
          <w:p>
            <w:pPr>
              <w:ind w:left="860"/>
              <w:spacing w:after="0"/>
              <w:rPr>
                <w:sz w:val="20"/>
                <w:szCs w:val="20"/>
                <w:color w:val="auto"/>
              </w:rPr>
            </w:pPr>
            <w:r>
              <w:rPr>
                <w:rFonts w:ascii="Times New Roman" w:cs="Times New Roman" w:eastAsia="Times New Roman" w:hAnsi="Times New Roman"/>
                <w:sz w:val="16"/>
                <w:szCs w:val="16"/>
                <w:color w:val="auto"/>
              </w:rPr>
              <w:t>n/a</w:t>
            </w: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(65,635)</w:t>
            </w:r>
          </w:p>
        </w:tc>
        <w:tc>
          <w:tcPr>
            <w:tcW w:w="100" w:type="dxa"/>
            <w:vAlign w:val="bottom"/>
            <w:shd w:val="clear" w:color="auto" w:fill="CCEEFF"/>
          </w:tcPr>
          <w:p>
            <w:pPr>
              <w:spacing w:after="0"/>
              <w:rPr>
                <w:sz w:val="14"/>
                <w:szCs w:val="14"/>
                <w:color w:val="auto"/>
              </w:rPr>
            </w:pPr>
          </w:p>
        </w:tc>
        <w:tc>
          <w:tcPr>
            <w:tcW w:w="1160" w:type="dxa"/>
            <w:vAlign w:val="bottom"/>
            <w:gridSpan w:val="2"/>
            <w:vMerge w:val="restart"/>
            <w:shd w:val="clear" w:color="auto" w:fill="CCEEFF"/>
          </w:tcPr>
          <w:p>
            <w:pPr>
              <w:ind w:left="840"/>
              <w:spacing w:after="0"/>
              <w:rPr>
                <w:sz w:val="20"/>
                <w:szCs w:val="20"/>
                <w:color w:val="auto"/>
              </w:rPr>
            </w:pPr>
            <w:r>
              <w:rPr>
                <w:rFonts w:ascii="Times New Roman" w:cs="Times New Roman" w:eastAsia="Times New Roman" w:hAnsi="Times New Roman"/>
                <w:sz w:val="16"/>
                <w:szCs w:val="16"/>
                <w:color w:val="auto"/>
              </w:rPr>
              <w:t>n/a</w:t>
            </w:r>
          </w:p>
        </w:tc>
        <w:tc>
          <w:tcPr>
            <w:tcW w:w="260" w:type="dxa"/>
            <w:vAlign w:val="bottom"/>
            <w:shd w:val="clear" w:color="auto" w:fill="CCEEFF"/>
          </w:tcPr>
          <w:p>
            <w:pPr>
              <w:spacing w:after="0"/>
              <w:rPr>
                <w:sz w:val="14"/>
                <w:szCs w:val="14"/>
                <w:color w:val="auto"/>
              </w:rPr>
            </w:pPr>
          </w:p>
        </w:tc>
        <w:tc>
          <w:tcPr>
            <w:tcW w:w="9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(68,465)</w:t>
            </w:r>
          </w:p>
        </w:tc>
        <w:tc>
          <w:tcPr>
            <w:tcW w:w="100" w:type="dxa"/>
            <w:vAlign w:val="bottom"/>
            <w:shd w:val="clear" w:color="auto" w:fill="CCEEFF"/>
          </w:tcPr>
          <w:p>
            <w:pPr>
              <w:spacing w:after="0"/>
              <w:rPr>
                <w:sz w:val="14"/>
                <w:szCs w:val="14"/>
                <w:color w:val="auto"/>
              </w:rPr>
            </w:pPr>
          </w:p>
        </w:tc>
        <w:tc>
          <w:tcPr>
            <w:tcW w:w="11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n/a</w:t>
            </w:r>
          </w:p>
        </w:tc>
        <w:tc>
          <w:tcPr>
            <w:tcW w:w="0" w:type="dxa"/>
            <w:vAlign w:val="bottom"/>
          </w:tcPr>
          <w:p>
            <w:pPr>
              <w:spacing w:after="0"/>
              <w:rPr>
                <w:sz w:val="1"/>
                <w:szCs w:val="1"/>
                <w:color w:val="auto"/>
              </w:rPr>
            </w:pPr>
          </w:p>
        </w:tc>
      </w:tr>
      <w:tr>
        <w:trPr>
          <w:trHeight w:val="216"/>
        </w:trPr>
        <w:tc>
          <w:tcPr>
            <w:tcW w:w="20" w:type="dxa"/>
            <w:vAlign w:val="bottom"/>
            <w:shd w:val="clear" w:color="auto" w:fill="CCEEFF"/>
          </w:tcPr>
          <w:p>
            <w:pPr>
              <w:spacing w:after="0"/>
              <w:rPr>
                <w:sz w:val="18"/>
                <w:szCs w:val="18"/>
                <w:color w:val="auto"/>
              </w:rPr>
            </w:pPr>
          </w:p>
        </w:tc>
        <w:tc>
          <w:tcPr>
            <w:tcW w:w="1660" w:type="dxa"/>
            <w:vAlign w:val="bottom"/>
            <w:gridSpan w:val="6"/>
            <w:shd w:val="clear" w:color="auto" w:fill="CCEEFF"/>
          </w:tcPr>
          <w:p>
            <w:pPr>
              <w:ind w:left="220"/>
              <w:spacing w:after="0" w:line="216" w:lineRule="exact"/>
              <w:rPr>
                <w:sz w:val="20"/>
                <w:szCs w:val="20"/>
                <w:color w:val="auto"/>
              </w:rPr>
            </w:pPr>
            <w:r>
              <w:rPr>
                <w:rFonts w:ascii="Times New Roman" w:cs="Times New Roman" w:eastAsia="Times New Roman" w:hAnsi="Times New Roman"/>
                <w:sz w:val="16"/>
                <w:szCs w:val="16"/>
                <w:color w:val="auto"/>
                <w:w w:val="99"/>
              </w:rPr>
              <w:t xml:space="preserve">corporate expenses </w:t>
            </w:r>
            <w:r>
              <w:rPr>
                <w:rFonts w:ascii="Times New Roman" w:cs="Times New Roman" w:eastAsia="Times New Roman" w:hAnsi="Times New Roman"/>
                <w:sz w:val="21"/>
                <w:szCs w:val="21"/>
                <w:color w:val="auto"/>
                <w:w w:val="99"/>
                <w:vertAlign w:val="superscript"/>
              </w:rPr>
              <w:t>(b)</w:t>
            </w:r>
          </w:p>
        </w:tc>
        <w:tc>
          <w:tcPr>
            <w:tcW w:w="180" w:type="dxa"/>
            <w:vAlign w:val="bottom"/>
            <w:shd w:val="clear" w:color="auto" w:fill="CCEEFF"/>
          </w:tcPr>
          <w:p>
            <w:pPr>
              <w:spacing w:after="0"/>
              <w:rPr>
                <w:sz w:val="18"/>
                <w:szCs w:val="18"/>
                <w:color w:val="auto"/>
              </w:rPr>
            </w:pPr>
          </w:p>
        </w:tc>
        <w:tc>
          <w:tcPr>
            <w:tcW w:w="72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60" w:type="dxa"/>
            <w:vAlign w:val="bottom"/>
            <w:gridSpan w:val="2"/>
            <w:vMerge w:val="continue"/>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0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0" w:type="dxa"/>
            <w:vAlign w:val="bottom"/>
            <w:tcBorders>
              <w:right w:val="single" w:sz="8" w:color="auto"/>
            </w:tcBorders>
            <w:gridSpan w:val="2"/>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gridSpan w:val="2"/>
            <w:vMerge w:val="continue"/>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2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60" w:type="dxa"/>
            <w:vAlign w:val="bottom"/>
            <w:gridSpan w:val="6"/>
          </w:tcPr>
          <w:p>
            <w:pPr>
              <w:ind w:left="220"/>
              <w:spacing w:after="0" w:line="216" w:lineRule="exact"/>
              <w:rPr>
                <w:sz w:val="20"/>
                <w:szCs w:val="20"/>
                <w:color w:val="auto"/>
              </w:rPr>
            </w:pPr>
            <w:r>
              <w:rPr>
                <w:rFonts w:ascii="Times New Roman" w:cs="Times New Roman" w:eastAsia="Times New Roman" w:hAnsi="Times New Roman"/>
                <w:sz w:val="16"/>
                <w:szCs w:val="16"/>
                <w:color w:val="auto"/>
              </w:rPr>
              <w:t xml:space="preserve">IP litigation </w:t>
            </w:r>
            <w:r>
              <w:rPr>
                <w:rFonts w:ascii="Times New Roman" w:cs="Times New Roman" w:eastAsia="Times New Roman" w:hAnsi="Times New Roman"/>
                <w:sz w:val="21"/>
                <w:szCs w:val="21"/>
                <w:color w:val="auto"/>
                <w:vertAlign w:val="superscript"/>
              </w:rPr>
              <w:t>(c)</w:t>
            </w:r>
          </w:p>
        </w:tc>
        <w:tc>
          <w:tcPr>
            <w:tcW w:w="1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(1,163)</w:t>
            </w:r>
          </w:p>
        </w:tc>
        <w:tc>
          <w:tcPr>
            <w:tcW w:w="80" w:type="dxa"/>
            <w:vAlign w:val="bottom"/>
          </w:tcPr>
          <w:p>
            <w:pPr>
              <w:spacing w:after="0"/>
              <w:rPr>
                <w:sz w:val="18"/>
                <w:szCs w:val="18"/>
                <w:color w:val="auto"/>
              </w:rPr>
            </w:pPr>
          </w:p>
        </w:tc>
        <w:tc>
          <w:tcPr>
            <w:tcW w:w="1260" w:type="dxa"/>
            <w:vAlign w:val="bottom"/>
            <w:gridSpan w:val="2"/>
          </w:tcPr>
          <w:p>
            <w:pPr>
              <w:ind w:left="940"/>
              <w:spacing w:after="0"/>
              <w:rPr>
                <w:sz w:val="20"/>
                <w:szCs w:val="20"/>
                <w:color w:val="auto"/>
              </w:rPr>
            </w:pPr>
            <w:r>
              <w:rPr>
                <w:rFonts w:ascii="Times New Roman" w:cs="Times New Roman" w:eastAsia="Times New Roman" w:hAnsi="Times New Roman"/>
                <w:sz w:val="16"/>
                <w:szCs w:val="16"/>
                <w:color w:val="auto"/>
              </w:rPr>
              <w:t>n/a</w:t>
            </w:r>
          </w:p>
        </w:tc>
        <w:tc>
          <w:tcPr>
            <w:tcW w:w="2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1200" w:type="dxa"/>
            <w:vAlign w:val="bottom"/>
            <w:tcBorders>
              <w:right w:val="single" w:sz="8" w:color="auto"/>
            </w:tcBorders>
            <w:gridSpan w:val="2"/>
          </w:tcPr>
          <w:p>
            <w:pPr>
              <w:ind w:left="860"/>
              <w:spacing w:after="0"/>
              <w:rPr>
                <w:sz w:val="20"/>
                <w:szCs w:val="20"/>
                <w:color w:val="auto"/>
              </w:rPr>
            </w:pPr>
            <w:r>
              <w:rPr>
                <w:rFonts w:ascii="Times New Roman" w:cs="Times New Roman" w:eastAsia="Times New Roman" w:hAnsi="Times New Roman"/>
                <w:sz w:val="16"/>
                <w:szCs w:val="16"/>
                <w:color w:val="auto"/>
              </w:rPr>
              <w:t>n/a</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(2,379)</w:t>
            </w:r>
          </w:p>
        </w:tc>
        <w:tc>
          <w:tcPr>
            <w:tcW w:w="100" w:type="dxa"/>
            <w:vAlign w:val="bottom"/>
          </w:tcPr>
          <w:p>
            <w:pPr>
              <w:spacing w:after="0"/>
              <w:rPr>
                <w:sz w:val="18"/>
                <w:szCs w:val="18"/>
                <w:color w:val="auto"/>
              </w:rPr>
            </w:pPr>
          </w:p>
        </w:tc>
        <w:tc>
          <w:tcPr>
            <w:tcW w:w="1160" w:type="dxa"/>
            <w:vAlign w:val="bottom"/>
            <w:gridSpan w:val="2"/>
          </w:tcPr>
          <w:p>
            <w:pPr>
              <w:ind w:left="840"/>
              <w:spacing w:after="0"/>
              <w:rPr>
                <w:sz w:val="20"/>
                <w:szCs w:val="20"/>
                <w:color w:val="auto"/>
              </w:rPr>
            </w:pPr>
            <w:r>
              <w:rPr>
                <w:rFonts w:ascii="Times New Roman" w:cs="Times New Roman" w:eastAsia="Times New Roman" w:hAnsi="Times New Roman"/>
                <w:sz w:val="16"/>
                <w:szCs w:val="16"/>
                <w:color w:val="auto"/>
              </w:rPr>
              <w:t>n/a</w:t>
            </w:r>
          </w:p>
        </w:tc>
        <w:tc>
          <w:tcPr>
            <w:tcW w:w="2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n/a</w:t>
            </w:r>
          </w:p>
        </w:tc>
        <w:tc>
          <w:tcPr>
            <w:tcW w:w="0" w:type="dxa"/>
            <w:vAlign w:val="bottom"/>
          </w:tcPr>
          <w:p>
            <w:pPr>
              <w:spacing w:after="0"/>
              <w:rPr>
                <w:sz w:val="1"/>
                <w:szCs w:val="1"/>
                <w:color w:val="auto"/>
              </w:rPr>
            </w:pPr>
          </w:p>
        </w:tc>
      </w:tr>
      <w:tr>
        <w:trPr>
          <w:trHeight w:val="162"/>
        </w:trPr>
        <w:tc>
          <w:tcPr>
            <w:tcW w:w="20" w:type="dxa"/>
            <w:vAlign w:val="bottom"/>
            <w:shd w:val="clear" w:color="auto" w:fill="CCEEFF"/>
          </w:tcPr>
          <w:p>
            <w:pPr>
              <w:spacing w:after="0"/>
              <w:rPr>
                <w:sz w:val="14"/>
                <w:szCs w:val="14"/>
                <w:color w:val="auto"/>
              </w:rPr>
            </w:pPr>
          </w:p>
        </w:tc>
        <w:tc>
          <w:tcPr>
            <w:tcW w:w="1660" w:type="dxa"/>
            <w:vAlign w:val="bottom"/>
            <w:gridSpan w:val="6"/>
            <w:shd w:val="clear" w:color="auto" w:fill="CCEEFF"/>
          </w:tcPr>
          <w:p>
            <w:pPr>
              <w:ind w:left="220"/>
              <w:spacing w:after="0" w:line="162" w:lineRule="exact"/>
              <w:rPr>
                <w:sz w:val="20"/>
                <w:szCs w:val="20"/>
                <w:color w:val="auto"/>
              </w:rPr>
            </w:pPr>
            <w:r>
              <w:rPr>
                <w:rFonts w:ascii="Times New Roman" w:cs="Times New Roman" w:eastAsia="Times New Roman" w:hAnsi="Times New Roman"/>
                <w:sz w:val="16"/>
                <w:szCs w:val="16"/>
                <w:color w:val="auto"/>
              </w:rPr>
              <w:t>Leadership transition</w:t>
            </w:r>
          </w:p>
        </w:tc>
        <w:tc>
          <w:tcPr>
            <w:tcW w:w="180" w:type="dxa"/>
            <w:vAlign w:val="bottom"/>
            <w:shd w:val="clear" w:color="auto" w:fill="CCEEFF"/>
          </w:tcPr>
          <w:p>
            <w:pPr>
              <w:spacing w:after="0"/>
              <w:rPr>
                <w:sz w:val="14"/>
                <w:szCs w:val="14"/>
                <w:color w:val="auto"/>
              </w:rPr>
            </w:pPr>
          </w:p>
        </w:tc>
        <w:tc>
          <w:tcPr>
            <w:tcW w:w="7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14"/>
                <w:szCs w:val="14"/>
                <w:color w:val="auto"/>
              </w:rPr>
            </w:pPr>
          </w:p>
        </w:tc>
        <w:tc>
          <w:tcPr>
            <w:tcW w:w="1260" w:type="dxa"/>
            <w:vAlign w:val="bottom"/>
            <w:gridSpan w:val="2"/>
            <w:vMerge w:val="restart"/>
            <w:shd w:val="clear" w:color="auto" w:fill="CCEEFF"/>
          </w:tcPr>
          <w:p>
            <w:pPr>
              <w:ind w:left="940"/>
              <w:spacing w:after="0"/>
              <w:rPr>
                <w:sz w:val="20"/>
                <w:szCs w:val="20"/>
                <w:color w:val="auto"/>
              </w:rPr>
            </w:pPr>
            <w:r>
              <w:rPr>
                <w:rFonts w:ascii="Times New Roman" w:cs="Times New Roman" w:eastAsia="Times New Roman" w:hAnsi="Times New Roman"/>
                <w:sz w:val="16"/>
                <w:szCs w:val="16"/>
                <w:color w:val="auto"/>
              </w:rPr>
              <w:t>n/a</w:t>
            </w:r>
          </w:p>
        </w:tc>
        <w:tc>
          <w:tcPr>
            <w:tcW w:w="260" w:type="dxa"/>
            <w:vAlign w:val="bottom"/>
            <w:shd w:val="clear" w:color="auto" w:fill="CCEEFF"/>
          </w:tcPr>
          <w:p>
            <w:pPr>
              <w:spacing w:after="0"/>
              <w:rPr>
                <w:sz w:val="14"/>
                <w:szCs w:val="14"/>
                <w:color w:val="auto"/>
              </w:rPr>
            </w:pPr>
          </w:p>
        </w:tc>
        <w:tc>
          <w:tcPr>
            <w:tcW w:w="9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(500)</w:t>
            </w:r>
          </w:p>
        </w:tc>
        <w:tc>
          <w:tcPr>
            <w:tcW w:w="120" w:type="dxa"/>
            <w:vAlign w:val="bottom"/>
            <w:shd w:val="clear" w:color="auto" w:fill="CCEEFF"/>
          </w:tcPr>
          <w:p>
            <w:pPr>
              <w:spacing w:after="0"/>
              <w:rPr>
                <w:sz w:val="14"/>
                <w:szCs w:val="14"/>
                <w:color w:val="auto"/>
              </w:rPr>
            </w:pPr>
          </w:p>
        </w:tc>
        <w:tc>
          <w:tcPr>
            <w:tcW w:w="1200" w:type="dxa"/>
            <w:vAlign w:val="bottom"/>
            <w:tcBorders>
              <w:right w:val="single" w:sz="8" w:color="auto"/>
            </w:tcBorders>
            <w:gridSpan w:val="2"/>
            <w:vMerge w:val="restart"/>
            <w:shd w:val="clear" w:color="auto" w:fill="CCEEFF"/>
          </w:tcPr>
          <w:p>
            <w:pPr>
              <w:ind w:left="860"/>
              <w:spacing w:after="0"/>
              <w:rPr>
                <w:sz w:val="20"/>
                <w:szCs w:val="20"/>
                <w:color w:val="auto"/>
              </w:rPr>
            </w:pPr>
            <w:r>
              <w:rPr>
                <w:rFonts w:ascii="Times New Roman" w:cs="Times New Roman" w:eastAsia="Times New Roman" w:hAnsi="Times New Roman"/>
                <w:sz w:val="16"/>
                <w:szCs w:val="16"/>
                <w:color w:val="auto"/>
              </w:rPr>
              <w:t>n/a</w:t>
            </w: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(4,726)</w:t>
            </w:r>
          </w:p>
        </w:tc>
        <w:tc>
          <w:tcPr>
            <w:tcW w:w="100" w:type="dxa"/>
            <w:vAlign w:val="bottom"/>
            <w:shd w:val="clear" w:color="auto" w:fill="CCEEFF"/>
          </w:tcPr>
          <w:p>
            <w:pPr>
              <w:spacing w:after="0"/>
              <w:rPr>
                <w:sz w:val="14"/>
                <w:szCs w:val="14"/>
                <w:color w:val="auto"/>
              </w:rPr>
            </w:pPr>
          </w:p>
        </w:tc>
        <w:tc>
          <w:tcPr>
            <w:tcW w:w="1160" w:type="dxa"/>
            <w:vAlign w:val="bottom"/>
            <w:gridSpan w:val="2"/>
            <w:vMerge w:val="restart"/>
            <w:shd w:val="clear" w:color="auto" w:fill="CCEEFF"/>
          </w:tcPr>
          <w:p>
            <w:pPr>
              <w:ind w:left="840"/>
              <w:spacing w:after="0"/>
              <w:rPr>
                <w:sz w:val="20"/>
                <w:szCs w:val="20"/>
                <w:color w:val="auto"/>
              </w:rPr>
            </w:pPr>
            <w:r>
              <w:rPr>
                <w:rFonts w:ascii="Times New Roman" w:cs="Times New Roman" w:eastAsia="Times New Roman" w:hAnsi="Times New Roman"/>
                <w:sz w:val="16"/>
                <w:szCs w:val="16"/>
                <w:color w:val="auto"/>
              </w:rPr>
              <w:t>n/a</w:t>
            </w:r>
          </w:p>
        </w:tc>
        <w:tc>
          <w:tcPr>
            <w:tcW w:w="260" w:type="dxa"/>
            <w:vAlign w:val="bottom"/>
            <w:shd w:val="clear" w:color="auto" w:fill="CCEEFF"/>
          </w:tcPr>
          <w:p>
            <w:pPr>
              <w:spacing w:after="0"/>
              <w:rPr>
                <w:sz w:val="14"/>
                <w:szCs w:val="14"/>
                <w:color w:val="auto"/>
              </w:rPr>
            </w:pPr>
          </w:p>
        </w:tc>
        <w:tc>
          <w:tcPr>
            <w:tcW w:w="9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(7,694)</w:t>
            </w:r>
          </w:p>
        </w:tc>
        <w:tc>
          <w:tcPr>
            <w:tcW w:w="100" w:type="dxa"/>
            <w:vAlign w:val="bottom"/>
            <w:shd w:val="clear" w:color="auto" w:fill="CCEEFF"/>
          </w:tcPr>
          <w:p>
            <w:pPr>
              <w:spacing w:after="0"/>
              <w:rPr>
                <w:sz w:val="14"/>
                <w:szCs w:val="14"/>
                <w:color w:val="auto"/>
              </w:rPr>
            </w:pPr>
          </w:p>
        </w:tc>
        <w:tc>
          <w:tcPr>
            <w:tcW w:w="11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n/a</w:t>
            </w:r>
          </w:p>
        </w:tc>
        <w:tc>
          <w:tcPr>
            <w:tcW w:w="0" w:type="dxa"/>
            <w:vAlign w:val="bottom"/>
          </w:tcPr>
          <w:p>
            <w:pPr>
              <w:spacing w:after="0"/>
              <w:rPr>
                <w:sz w:val="1"/>
                <w:szCs w:val="1"/>
                <w:color w:val="auto"/>
              </w:rPr>
            </w:pPr>
          </w:p>
        </w:tc>
      </w:tr>
      <w:tr>
        <w:trPr>
          <w:trHeight w:val="216"/>
        </w:trPr>
        <w:tc>
          <w:tcPr>
            <w:tcW w:w="20" w:type="dxa"/>
            <w:vAlign w:val="bottom"/>
            <w:shd w:val="clear" w:color="auto" w:fill="CCEEFF"/>
          </w:tcPr>
          <w:p>
            <w:pPr>
              <w:spacing w:after="0"/>
              <w:rPr>
                <w:sz w:val="18"/>
                <w:szCs w:val="18"/>
                <w:color w:val="auto"/>
              </w:rPr>
            </w:pPr>
          </w:p>
        </w:tc>
        <w:tc>
          <w:tcPr>
            <w:tcW w:w="1660" w:type="dxa"/>
            <w:vAlign w:val="bottom"/>
            <w:gridSpan w:val="6"/>
            <w:shd w:val="clear" w:color="auto" w:fill="CCEEFF"/>
          </w:tcPr>
          <w:p>
            <w:pPr>
              <w:ind w:left="220"/>
              <w:spacing w:after="0" w:line="216" w:lineRule="exact"/>
              <w:rPr>
                <w:sz w:val="20"/>
                <w:szCs w:val="20"/>
                <w:color w:val="auto"/>
              </w:rPr>
            </w:pPr>
            <w:r>
              <w:rPr>
                <w:rFonts w:ascii="Times New Roman" w:cs="Times New Roman" w:eastAsia="Times New Roman" w:hAnsi="Times New Roman"/>
                <w:sz w:val="16"/>
                <w:szCs w:val="16"/>
                <w:color w:val="auto"/>
              </w:rPr>
              <w:t xml:space="preserve">costs </w:t>
            </w:r>
            <w:r>
              <w:rPr>
                <w:rFonts w:ascii="Times New Roman" w:cs="Times New Roman" w:eastAsia="Times New Roman" w:hAnsi="Times New Roman"/>
                <w:sz w:val="21"/>
                <w:szCs w:val="21"/>
                <w:color w:val="auto"/>
                <w:vertAlign w:val="superscript"/>
              </w:rPr>
              <w:t>(d)</w:t>
            </w:r>
          </w:p>
        </w:tc>
        <w:tc>
          <w:tcPr>
            <w:tcW w:w="180" w:type="dxa"/>
            <w:vAlign w:val="bottom"/>
            <w:shd w:val="clear" w:color="auto" w:fill="CCEEFF"/>
          </w:tcPr>
          <w:p>
            <w:pPr>
              <w:spacing w:after="0"/>
              <w:rPr>
                <w:sz w:val="18"/>
                <w:szCs w:val="18"/>
                <w:color w:val="auto"/>
              </w:rPr>
            </w:pPr>
          </w:p>
        </w:tc>
        <w:tc>
          <w:tcPr>
            <w:tcW w:w="72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60" w:type="dxa"/>
            <w:vAlign w:val="bottom"/>
            <w:gridSpan w:val="2"/>
            <w:vMerge w:val="continue"/>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0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0" w:type="dxa"/>
            <w:vAlign w:val="bottom"/>
            <w:tcBorders>
              <w:right w:val="single" w:sz="8" w:color="auto"/>
            </w:tcBorders>
            <w:gridSpan w:val="2"/>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gridSpan w:val="2"/>
            <w:vMerge w:val="continue"/>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2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1660" w:type="dxa"/>
            <w:vAlign w:val="bottom"/>
            <w:gridSpan w:val="6"/>
          </w:tcPr>
          <w:p>
            <w:pPr>
              <w:ind w:left="220"/>
              <w:spacing w:after="0" w:line="162" w:lineRule="exact"/>
              <w:rPr>
                <w:sz w:val="20"/>
                <w:szCs w:val="20"/>
                <w:color w:val="auto"/>
              </w:rPr>
            </w:pPr>
            <w:r>
              <w:rPr>
                <w:rFonts w:ascii="Times New Roman" w:cs="Times New Roman" w:eastAsia="Times New Roman" w:hAnsi="Times New Roman"/>
                <w:sz w:val="16"/>
                <w:szCs w:val="16"/>
                <w:color w:val="auto"/>
              </w:rPr>
              <w:t>Operating model</w:t>
            </w:r>
          </w:p>
        </w:tc>
        <w:tc>
          <w:tcPr>
            <w:tcW w:w="180" w:type="dxa"/>
            <w:vAlign w:val="bottom"/>
          </w:tcPr>
          <w:p>
            <w:pPr>
              <w:spacing w:after="0"/>
              <w:rPr>
                <w:sz w:val="14"/>
                <w:szCs w:val="14"/>
                <w:color w:val="auto"/>
              </w:rPr>
            </w:pP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4"/>
                <w:szCs w:val="14"/>
                <w:color w:val="auto"/>
              </w:rPr>
            </w:pPr>
          </w:p>
        </w:tc>
        <w:tc>
          <w:tcPr>
            <w:tcW w:w="1260" w:type="dxa"/>
            <w:vAlign w:val="bottom"/>
            <w:gridSpan w:val="2"/>
            <w:vMerge w:val="restart"/>
          </w:tcPr>
          <w:p>
            <w:pPr>
              <w:ind w:left="940"/>
              <w:spacing w:after="0"/>
              <w:rPr>
                <w:sz w:val="20"/>
                <w:szCs w:val="20"/>
                <w:color w:val="auto"/>
              </w:rPr>
            </w:pPr>
            <w:r>
              <w:rPr>
                <w:rFonts w:ascii="Times New Roman" w:cs="Times New Roman" w:eastAsia="Times New Roman" w:hAnsi="Times New Roman"/>
                <w:sz w:val="16"/>
                <w:szCs w:val="16"/>
                <w:color w:val="auto"/>
              </w:rPr>
              <w:t>n/a</w:t>
            </w:r>
          </w:p>
        </w:tc>
        <w:tc>
          <w:tcPr>
            <w:tcW w:w="260" w:type="dxa"/>
            <w:vAlign w:val="bottom"/>
          </w:tcPr>
          <w:p>
            <w:pPr>
              <w:spacing w:after="0"/>
              <w:rPr>
                <w:sz w:val="14"/>
                <w:szCs w:val="14"/>
                <w:color w:val="auto"/>
              </w:rPr>
            </w:pPr>
          </w:p>
        </w:tc>
        <w:tc>
          <w:tcPr>
            <w:tcW w:w="9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(3,669)</w:t>
            </w:r>
          </w:p>
        </w:tc>
        <w:tc>
          <w:tcPr>
            <w:tcW w:w="120" w:type="dxa"/>
            <w:vAlign w:val="bottom"/>
          </w:tcPr>
          <w:p>
            <w:pPr>
              <w:spacing w:after="0"/>
              <w:rPr>
                <w:sz w:val="14"/>
                <w:szCs w:val="14"/>
                <w:color w:val="auto"/>
              </w:rPr>
            </w:pPr>
          </w:p>
        </w:tc>
        <w:tc>
          <w:tcPr>
            <w:tcW w:w="1200" w:type="dxa"/>
            <w:vAlign w:val="bottom"/>
            <w:tcBorders>
              <w:right w:val="single" w:sz="8" w:color="auto"/>
            </w:tcBorders>
            <w:gridSpan w:val="2"/>
            <w:vMerge w:val="restart"/>
          </w:tcPr>
          <w:p>
            <w:pPr>
              <w:ind w:left="860"/>
              <w:spacing w:after="0"/>
              <w:rPr>
                <w:sz w:val="20"/>
                <w:szCs w:val="20"/>
                <w:color w:val="auto"/>
              </w:rPr>
            </w:pPr>
            <w:r>
              <w:rPr>
                <w:rFonts w:ascii="Times New Roman" w:cs="Times New Roman" w:eastAsia="Times New Roman" w:hAnsi="Times New Roman"/>
                <w:sz w:val="16"/>
                <w:szCs w:val="16"/>
                <w:color w:val="auto"/>
              </w:rPr>
              <w:t>n/a</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4"/>
                <w:szCs w:val="14"/>
                <w:color w:val="auto"/>
              </w:rPr>
            </w:pPr>
          </w:p>
        </w:tc>
        <w:tc>
          <w:tcPr>
            <w:tcW w:w="1160" w:type="dxa"/>
            <w:vAlign w:val="bottom"/>
            <w:gridSpan w:val="2"/>
            <w:vMerge w:val="restart"/>
          </w:tcPr>
          <w:p>
            <w:pPr>
              <w:ind w:left="840"/>
              <w:spacing w:after="0"/>
              <w:rPr>
                <w:sz w:val="20"/>
                <w:szCs w:val="20"/>
                <w:color w:val="auto"/>
              </w:rPr>
            </w:pPr>
            <w:r>
              <w:rPr>
                <w:rFonts w:ascii="Times New Roman" w:cs="Times New Roman" w:eastAsia="Times New Roman" w:hAnsi="Times New Roman"/>
                <w:sz w:val="16"/>
                <w:szCs w:val="16"/>
                <w:color w:val="auto"/>
              </w:rPr>
              <w:t>n/a</w:t>
            </w:r>
          </w:p>
        </w:tc>
        <w:tc>
          <w:tcPr>
            <w:tcW w:w="260" w:type="dxa"/>
            <w:vAlign w:val="bottom"/>
          </w:tcPr>
          <w:p>
            <w:pPr>
              <w:spacing w:after="0"/>
              <w:rPr>
                <w:sz w:val="14"/>
                <w:szCs w:val="14"/>
                <w:color w:val="auto"/>
              </w:rPr>
            </w:pPr>
          </w:p>
        </w:tc>
        <w:tc>
          <w:tcPr>
            <w:tcW w:w="9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(13,469)</w:t>
            </w:r>
          </w:p>
        </w:tc>
        <w:tc>
          <w:tcPr>
            <w:tcW w:w="100" w:type="dxa"/>
            <w:vAlign w:val="bottom"/>
          </w:tcPr>
          <w:p>
            <w:pPr>
              <w:spacing w:after="0"/>
              <w:rPr>
                <w:sz w:val="14"/>
                <w:szCs w:val="14"/>
                <w:color w:val="auto"/>
              </w:rPr>
            </w:pPr>
          </w:p>
        </w:tc>
        <w:tc>
          <w:tcPr>
            <w:tcW w:w="11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n/a</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60" w:type="dxa"/>
            <w:vAlign w:val="bottom"/>
            <w:gridSpan w:val="6"/>
          </w:tcPr>
          <w:p>
            <w:pPr>
              <w:ind w:left="220"/>
              <w:spacing w:after="0" w:line="216" w:lineRule="exact"/>
              <w:rPr>
                <w:sz w:val="20"/>
                <w:szCs w:val="20"/>
                <w:color w:val="auto"/>
              </w:rPr>
            </w:pPr>
            <w:r>
              <w:rPr>
                <w:rFonts w:ascii="Times New Roman" w:cs="Times New Roman" w:eastAsia="Times New Roman" w:hAnsi="Times New Roman"/>
                <w:sz w:val="16"/>
                <w:szCs w:val="16"/>
                <w:color w:val="auto"/>
              </w:rPr>
              <w:t xml:space="preserve">improvement costs </w:t>
            </w:r>
            <w:r>
              <w:rPr>
                <w:rFonts w:ascii="Times New Roman" w:cs="Times New Roman" w:eastAsia="Times New Roman" w:hAnsi="Times New Roman"/>
                <w:sz w:val="21"/>
                <w:szCs w:val="21"/>
                <w:color w:val="auto"/>
                <w:vertAlign w:val="superscript"/>
              </w:rPr>
              <w:t>(e)</w:t>
            </w:r>
          </w:p>
        </w:tc>
        <w:tc>
          <w:tcPr>
            <w:tcW w:w="180" w:type="dxa"/>
            <w:vAlign w:val="bottom"/>
          </w:tcPr>
          <w:p>
            <w:pPr>
              <w:spacing w:after="0"/>
              <w:rPr>
                <w:sz w:val="18"/>
                <w:szCs w:val="18"/>
                <w:color w:val="auto"/>
              </w:rPr>
            </w:pPr>
          </w:p>
        </w:tc>
        <w:tc>
          <w:tcPr>
            <w:tcW w:w="72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1260" w:type="dxa"/>
            <w:vAlign w:val="bottom"/>
            <w:gridSpan w:val="2"/>
            <w:vMerge w:val="continue"/>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tcBorders>
              <w:right w:val="single" w:sz="8" w:color="auto"/>
            </w:tcBorders>
            <w:gridSpan w:val="2"/>
            <w:vMerge w:val="continue"/>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gridSpan w:val="2"/>
            <w:vMerge w:val="continue"/>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20" w:type="dxa"/>
            <w:vAlign w:val="bottom"/>
            <w:shd w:val="clear" w:color="auto" w:fill="CCEEFF"/>
          </w:tcPr>
          <w:p>
            <w:pPr>
              <w:spacing w:after="0"/>
              <w:rPr>
                <w:sz w:val="14"/>
                <w:szCs w:val="14"/>
                <w:color w:val="auto"/>
              </w:rPr>
            </w:pPr>
          </w:p>
        </w:tc>
        <w:tc>
          <w:tcPr>
            <w:tcW w:w="1660" w:type="dxa"/>
            <w:vAlign w:val="bottom"/>
            <w:gridSpan w:val="6"/>
            <w:shd w:val="clear" w:color="auto" w:fill="CCEEFF"/>
          </w:tcPr>
          <w:p>
            <w:pPr>
              <w:ind w:left="220"/>
              <w:spacing w:after="0" w:line="162" w:lineRule="exact"/>
              <w:rPr>
                <w:sz w:val="20"/>
                <w:szCs w:val="20"/>
                <w:color w:val="auto"/>
              </w:rPr>
            </w:pPr>
            <w:r>
              <w:rPr>
                <w:rFonts w:ascii="Times New Roman" w:cs="Times New Roman" w:eastAsia="Times New Roman" w:hAnsi="Times New Roman"/>
                <w:sz w:val="16"/>
                <w:szCs w:val="16"/>
                <w:color w:val="auto"/>
              </w:rPr>
              <w:t>Organizational</w:t>
            </w:r>
          </w:p>
        </w:tc>
        <w:tc>
          <w:tcPr>
            <w:tcW w:w="180" w:type="dxa"/>
            <w:vAlign w:val="bottom"/>
            <w:shd w:val="clear" w:color="auto" w:fill="CCEEFF"/>
          </w:tcPr>
          <w:p>
            <w:pPr>
              <w:spacing w:after="0"/>
              <w:rPr>
                <w:sz w:val="14"/>
                <w:szCs w:val="14"/>
                <w:color w:val="auto"/>
              </w:rPr>
            </w:pPr>
          </w:p>
        </w:tc>
        <w:tc>
          <w:tcPr>
            <w:tcW w:w="7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14"/>
                <w:szCs w:val="14"/>
                <w:color w:val="auto"/>
              </w:rPr>
            </w:pPr>
          </w:p>
        </w:tc>
        <w:tc>
          <w:tcPr>
            <w:tcW w:w="1260" w:type="dxa"/>
            <w:vAlign w:val="bottom"/>
            <w:gridSpan w:val="2"/>
            <w:vMerge w:val="restart"/>
            <w:shd w:val="clear" w:color="auto" w:fill="CCEEFF"/>
          </w:tcPr>
          <w:p>
            <w:pPr>
              <w:ind w:left="940"/>
              <w:spacing w:after="0"/>
              <w:rPr>
                <w:sz w:val="20"/>
                <w:szCs w:val="20"/>
                <w:color w:val="auto"/>
              </w:rPr>
            </w:pPr>
            <w:r>
              <w:rPr>
                <w:rFonts w:ascii="Times New Roman" w:cs="Times New Roman" w:eastAsia="Times New Roman" w:hAnsi="Times New Roman"/>
                <w:sz w:val="16"/>
                <w:szCs w:val="16"/>
                <w:color w:val="auto"/>
              </w:rPr>
              <w:t>n/a</w:t>
            </w:r>
          </w:p>
        </w:tc>
        <w:tc>
          <w:tcPr>
            <w:tcW w:w="260" w:type="dxa"/>
            <w:vAlign w:val="bottom"/>
            <w:shd w:val="clear" w:color="auto" w:fill="CCEEFF"/>
          </w:tcPr>
          <w:p>
            <w:pPr>
              <w:spacing w:after="0"/>
              <w:rPr>
                <w:sz w:val="14"/>
                <w:szCs w:val="14"/>
                <w:color w:val="auto"/>
              </w:rPr>
            </w:pPr>
          </w:p>
        </w:tc>
        <w:tc>
          <w:tcPr>
            <w:tcW w:w="9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(6,117)</w:t>
            </w:r>
          </w:p>
        </w:tc>
        <w:tc>
          <w:tcPr>
            <w:tcW w:w="120" w:type="dxa"/>
            <w:vAlign w:val="bottom"/>
            <w:shd w:val="clear" w:color="auto" w:fill="CCEEFF"/>
          </w:tcPr>
          <w:p>
            <w:pPr>
              <w:spacing w:after="0"/>
              <w:rPr>
                <w:sz w:val="14"/>
                <w:szCs w:val="14"/>
                <w:color w:val="auto"/>
              </w:rPr>
            </w:pPr>
          </w:p>
        </w:tc>
        <w:tc>
          <w:tcPr>
            <w:tcW w:w="1200" w:type="dxa"/>
            <w:vAlign w:val="bottom"/>
            <w:tcBorders>
              <w:right w:val="single" w:sz="8" w:color="auto"/>
            </w:tcBorders>
            <w:gridSpan w:val="2"/>
            <w:vMerge w:val="restart"/>
            <w:shd w:val="clear" w:color="auto" w:fill="CCEEFF"/>
          </w:tcPr>
          <w:p>
            <w:pPr>
              <w:ind w:left="860"/>
              <w:spacing w:after="0"/>
              <w:rPr>
                <w:sz w:val="20"/>
                <w:szCs w:val="20"/>
                <w:color w:val="auto"/>
              </w:rPr>
            </w:pPr>
            <w:r>
              <w:rPr>
                <w:rFonts w:ascii="Times New Roman" w:cs="Times New Roman" w:eastAsia="Times New Roman" w:hAnsi="Times New Roman"/>
                <w:sz w:val="16"/>
                <w:szCs w:val="16"/>
                <w:color w:val="auto"/>
              </w:rPr>
              <w:t>n/a</w:t>
            </w: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4"/>
                <w:szCs w:val="14"/>
                <w:color w:val="auto"/>
              </w:rPr>
            </w:pPr>
          </w:p>
        </w:tc>
        <w:tc>
          <w:tcPr>
            <w:tcW w:w="1160" w:type="dxa"/>
            <w:vAlign w:val="bottom"/>
            <w:gridSpan w:val="2"/>
            <w:vMerge w:val="restart"/>
            <w:shd w:val="clear" w:color="auto" w:fill="CCEEFF"/>
          </w:tcPr>
          <w:p>
            <w:pPr>
              <w:ind w:left="840"/>
              <w:spacing w:after="0"/>
              <w:rPr>
                <w:sz w:val="20"/>
                <w:szCs w:val="20"/>
                <w:color w:val="auto"/>
              </w:rPr>
            </w:pPr>
            <w:r>
              <w:rPr>
                <w:rFonts w:ascii="Times New Roman" w:cs="Times New Roman" w:eastAsia="Times New Roman" w:hAnsi="Times New Roman"/>
                <w:sz w:val="16"/>
                <w:szCs w:val="16"/>
                <w:color w:val="auto"/>
              </w:rPr>
              <w:t>n/a</w:t>
            </w:r>
          </w:p>
        </w:tc>
        <w:tc>
          <w:tcPr>
            <w:tcW w:w="260" w:type="dxa"/>
            <w:vAlign w:val="bottom"/>
            <w:shd w:val="clear" w:color="auto" w:fill="CCEEFF"/>
          </w:tcPr>
          <w:p>
            <w:pPr>
              <w:spacing w:after="0"/>
              <w:rPr>
                <w:sz w:val="14"/>
                <w:szCs w:val="14"/>
                <w:color w:val="auto"/>
              </w:rPr>
            </w:pPr>
          </w:p>
        </w:tc>
        <w:tc>
          <w:tcPr>
            <w:tcW w:w="9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(6,117)</w:t>
            </w:r>
          </w:p>
        </w:tc>
        <w:tc>
          <w:tcPr>
            <w:tcW w:w="100" w:type="dxa"/>
            <w:vAlign w:val="bottom"/>
            <w:shd w:val="clear" w:color="auto" w:fill="CCEEFF"/>
          </w:tcPr>
          <w:p>
            <w:pPr>
              <w:spacing w:after="0"/>
              <w:rPr>
                <w:sz w:val="14"/>
                <w:szCs w:val="14"/>
                <w:color w:val="auto"/>
              </w:rPr>
            </w:pPr>
          </w:p>
        </w:tc>
        <w:tc>
          <w:tcPr>
            <w:tcW w:w="11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n/a</w:t>
            </w:r>
          </w:p>
        </w:tc>
        <w:tc>
          <w:tcPr>
            <w:tcW w:w="0" w:type="dxa"/>
            <w:vAlign w:val="bottom"/>
          </w:tcPr>
          <w:p>
            <w:pPr>
              <w:spacing w:after="0"/>
              <w:rPr>
                <w:sz w:val="1"/>
                <w:szCs w:val="1"/>
                <w:color w:val="auto"/>
              </w:rPr>
            </w:pPr>
          </w:p>
        </w:tc>
      </w:tr>
      <w:tr>
        <w:trPr>
          <w:trHeight w:val="216"/>
        </w:trPr>
        <w:tc>
          <w:tcPr>
            <w:tcW w:w="20" w:type="dxa"/>
            <w:vAlign w:val="bottom"/>
            <w:shd w:val="clear" w:color="auto" w:fill="CCEEFF"/>
          </w:tcPr>
          <w:p>
            <w:pPr>
              <w:spacing w:after="0"/>
              <w:rPr>
                <w:sz w:val="18"/>
                <w:szCs w:val="18"/>
                <w:color w:val="auto"/>
              </w:rPr>
            </w:pPr>
          </w:p>
        </w:tc>
        <w:tc>
          <w:tcPr>
            <w:tcW w:w="1660" w:type="dxa"/>
            <w:vAlign w:val="bottom"/>
            <w:gridSpan w:val="6"/>
            <w:shd w:val="clear" w:color="auto" w:fill="CCEEFF"/>
          </w:tcPr>
          <w:p>
            <w:pPr>
              <w:ind w:left="220"/>
              <w:spacing w:after="0" w:line="216" w:lineRule="exact"/>
              <w:rPr>
                <w:sz w:val="20"/>
                <w:szCs w:val="20"/>
                <w:color w:val="auto"/>
              </w:rPr>
            </w:pPr>
            <w:r>
              <w:rPr>
                <w:rFonts w:ascii="Times New Roman" w:cs="Times New Roman" w:eastAsia="Times New Roman" w:hAnsi="Times New Roman"/>
                <w:sz w:val="16"/>
                <w:szCs w:val="16"/>
                <w:color w:val="auto"/>
              </w:rPr>
              <w:t xml:space="preserve">restructuring </w:t>
            </w:r>
            <w:r>
              <w:rPr>
                <w:rFonts w:ascii="Times New Roman" w:cs="Times New Roman" w:eastAsia="Times New Roman" w:hAnsi="Times New Roman"/>
                <w:sz w:val="21"/>
                <w:szCs w:val="21"/>
                <w:color w:val="auto"/>
                <w:vertAlign w:val="superscript"/>
              </w:rPr>
              <w:t>(f)</w:t>
            </w:r>
          </w:p>
        </w:tc>
        <w:tc>
          <w:tcPr>
            <w:tcW w:w="18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60" w:type="dxa"/>
            <w:vAlign w:val="bottom"/>
            <w:gridSpan w:val="2"/>
            <w:vMerge w:val="continue"/>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0" w:type="dxa"/>
            <w:vAlign w:val="bottom"/>
            <w:tcBorders>
              <w:right w:val="single" w:sz="8" w:color="auto"/>
            </w:tcBorders>
            <w:gridSpan w:val="2"/>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gridSpan w:val="2"/>
            <w:vMerge w:val="continue"/>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660" w:type="dxa"/>
            <w:vAlign w:val="bottom"/>
            <w:gridSpan w:val="6"/>
          </w:tcPr>
          <w:p>
            <w:pPr>
              <w:ind w:left="320"/>
              <w:spacing w:after="0" w:line="142" w:lineRule="exact"/>
              <w:rPr>
                <w:sz w:val="20"/>
                <w:szCs w:val="20"/>
                <w:color w:val="auto"/>
              </w:rPr>
            </w:pPr>
            <w:r>
              <w:rPr>
                <w:rFonts w:ascii="Times New Roman" w:cs="Times New Roman" w:eastAsia="Times New Roman" w:hAnsi="Times New Roman"/>
                <w:sz w:val="16"/>
                <w:szCs w:val="16"/>
                <w:color w:val="auto"/>
              </w:rPr>
              <w:t>Consolidated</w:t>
            </w:r>
          </w:p>
        </w:tc>
        <w:tc>
          <w:tcPr>
            <w:tcW w:w="1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55,770</w:t>
            </w:r>
          </w:p>
        </w:tc>
        <w:tc>
          <w:tcPr>
            <w:tcW w:w="1240" w:type="dxa"/>
            <w:vAlign w:val="bottom"/>
            <w:gridSpan w:val="2"/>
            <w:vMerge w:val="restart"/>
          </w:tcPr>
          <w:p>
            <w:pPr>
              <w:jc w:val="right"/>
              <w:spacing w:after="0"/>
              <w:rPr>
                <w:sz w:val="20"/>
                <w:szCs w:val="20"/>
                <w:color w:val="auto"/>
              </w:rPr>
            </w:pPr>
            <w:r>
              <w:rPr>
                <w:rFonts w:ascii="Times New Roman" w:cs="Times New Roman" w:eastAsia="Times New Roman" w:hAnsi="Times New Roman"/>
                <w:sz w:val="16"/>
                <w:szCs w:val="16"/>
                <w:color w:val="auto"/>
              </w:rPr>
              <w:t>7.4 %</w:t>
            </w:r>
          </w:p>
        </w:tc>
        <w:tc>
          <w:tcPr>
            <w:tcW w:w="100" w:type="dxa"/>
            <w:vAlign w:val="bottom"/>
          </w:tcPr>
          <w:p>
            <w:pPr>
              <w:spacing w:after="0"/>
              <w:rPr>
                <w:sz w:val="12"/>
                <w:szCs w:val="12"/>
                <w:color w:val="auto"/>
              </w:rPr>
            </w:pPr>
          </w:p>
        </w:tc>
        <w:tc>
          <w:tcPr>
            <w:tcW w:w="260" w:type="dxa"/>
            <w:vAlign w:val="bottom"/>
            <w:vMerge w:val="restart"/>
          </w:tcPr>
          <w:p>
            <w:pPr>
              <w:jc w:val="center"/>
              <w:ind w:right="59"/>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29,093</w:t>
            </w:r>
          </w:p>
        </w:tc>
        <w:tc>
          <w:tcPr>
            <w:tcW w:w="1200" w:type="dxa"/>
            <w:vAlign w:val="bottom"/>
            <w:gridSpan w:val="2"/>
            <w:vMerge w:val="restart"/>
          </w:tcPr>
          <w:p>
            <w:pPr>
              <w:jc w:val="right"/>
              <w:spacing w:after="0"/>
              <w:rPr>
                <w:sz w:val="20"/>
                <w:szCs w:val="20"/>
                <w:color w:val="auto"/>
              </w:rPr>
            </w:pPr>
            <w:r>
              <w:rPr>
                <w:rFonts w:ascii="Times New Roman" w:cs="Times New Roman" w:eastAsia="Times New Roman" w:hAnsi="Times New Roman"/>
                <w:sz w:val="16"/>
                <w:szCs w:val="16"/>
                <w:color w:val="auto"/>
              </w:rPr>
              <w:t>3.8 %</w:t>
            </w:r>
          </w:p>
        </w:tc>
        <w:tc>
          <w:tcPr>
            <w:tcW w:w="120" w:type="dxa"/>
            <w:vAlign w:val="bottom"/>
            <w:tcBorders>
              <w:right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224,039</w:t>
            </w:r>
          </w:p>
        </w:tc>
        <w:tc>
          <w:tcPr>
            <w:tcW w:w="1160" w:type="dxa"/>
            <w:vAlign w:val="bottom"/>
            <w:gridSpan w:val="2"/>
            <w:vMerge w:val="restart"/>
          </w:tcPr>
          <w:p>
            <w:pPr>
              <w:jc w:val="right"/>
              <w:spacing w:after="0"/>
              <w:rPr>
                <w:sz w:val="20"/>
                <w:szCs w:val="20"/>
                <w:color w:val="auto"/>
              </w:rPr>
            </w:pPr>
            <w:r>
              <w:rPr>
                <w:rFonts w:ascii="Times New Roman" w:cs="Times New Roman" w:eastAsia="Times New Roman" w:hAnsi="Times New Roman"/>
                <w:sz w:val="16"/>
                <w:szCs w:val="16"/>
                <w:color w:val="auto"/>
              </w:rPr>
              <w:t>10.9 %</w:t>
            </w:r>
          </w:p>
        </w:tc>
        <w:tc>
          <w:tcPr>
            <w:tcW w:w="100" w:type="dxa"/>
            <w:vAlign w:val="bottom"/>
          </w:tcPr>
          <w:p>
            <w:pPr>
              <w:spacing w:after="0"/>
              <w:rPr>
                <w:sz w:val="12"/>
                <w:szCs w:val="12"/>
                <w:color w:val="auto"/>
              </w:rPr>
            </w:pPr>
          </w:p>
        </w:tc>
        <w:tc>
          <w:tcPr>
            <w:tcW w:w="260" w:type="dxa"/>
            <w:vAlign w:val="bottom"/>
            <w:vMerge w:val="restart"/>
          </w:tcPr>
          <w:p>
            <w:pPr>
              <w:jc w:val="center"/>
              <w:ind w:right="59"/>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59,240</w:t>
            </w:r>
          </w:p>
        </w:tc>
        <w:tc>
          <w:tcPr>
            <w:tcW w:w="1200" w:type="dxa"/>
            <w:vAlign w:val="bottom"/>
            <w:gridSpan w:val="2"/>
            <w:vMerge w:val="restart"/>
          </w:tcPr>
          <w:p>
            <w:pPr>
              <w:jc w:val="right"/>
              <w:spacing w:after="0"/>
              <w:rPr>
                <w:sz w:val="20"/>
                <w:szCs w:val="20"/>
                <w:color w:val="auto"/>
              </w:rPr>
            </w:pPr>
            <w:r>
              <w:rPr>
                <w:rFonts w:ascii="Times New Roman" w:cs="Times New Roman" w:eastAsia="Times New Roman" w:hAnsi="Times New Roman"/>
                <w:sz w:val="16"/>
                <w:szCs w:val="16"/>
                <w:color w:val="auto"/>
              </w:rPr>
              <w:t>3.0 %</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19"/>
                <w:szCs w:val="19"/>
                <w:color w:val="auto"/>
              </w:rPr>
            </w:pPr>
          </w:p>
        </w:tc>
        <w:tc>
          <w:tcPr>
            <w:tcW w:w="1660" w:type="dxa"/>
            <w:vAlign w:val="bottom"/>
            <w:gridSpan w:val="6"/>
          </w:tcPr>
          <w:p>
            <w:pPr>
              <w:ind w:left="320"/>
              <w:spacing w:after="0"/>
              <w:rPr>
                <w:sz w:val="20"/>
                <w:szCs w:val="20"/>
                <w:color w:val="auto"/>
              </w:rPr>
            </w:pPr>
            <w:r>
              <w:rPr>
                <w:rFonts w:ascii="Times New Roman" w:cs="Times New Roman" w:eastAsia="Times New Roman" w:hAnsi="Times New Roman"/>
                <w:sz w:val="16"/>
                <w:szCs w:val="16"/>
                <w:color w:val="auto"/>
              </w:rPr>
              <w:t>operating income</w:t>
            </w:r>
          </w:p>
        </w:tc>
        <w:tc>
          <w:tcPr>
            <w:tcW w:w="180" w:type="dxa"/>
            <w:vAlign w:val="bottom"/>
            <w:tcBorders>
              <w:bottom w:val="single" w:sz="8" w:color="auto"/>
            </w:tcBorders>
            <w:vMerge w:val="continue"/>
          </w:tcPr>
          <w:p>
            <w:pPr>
              <w:spacing w:after="0"/>
              <w:rPr>
                <w:sz w:val="19"/>
                <w:szCs w:val="19"/>
                <w:color w:val="auto"/>
              </w:rPr>
            </w:pPr>
          </w:p>
        </w:tc>
        <w:tc>
          <w:tcPr>
            <w:tcW w:w="720" w:type="dxa"/>
            <w:vAlign w:val="bottom"/>
            <w:tcBorders>
              <w:bottom w:val="single" w:sz="8" w:color="auto"/>
            </w:tcBorders>
            <w:vMerge w:val="continue"/>
          </w:tcPr>
          <w:p>
            <w:pPr>
              <w:spacing w:after="0"/>
              <w:rPr>
                <w:sz w:val="19"/>
                <w:szCs w:val="19"/>
                <w:color w:val="auto"/>
              </w:rPr>
            </w:pPr>
          </w:p>
        </w:tc>
        <w:tc>
          <w:tcPr>
            <w:tcW w:w="1240" w:type="dxa"/>
            <w:vAlign w:val="bottom"/>
            <w:gridSpan w:val="2"/>
            <w:vMerge w:val="continue"/>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Borders>
              <w:bottom w:val="single" w:sz="8" w:color="auto"/>
            </w:tcBorders>
            <w:vMerge w:val="continue"/>
          </w:tcPr>
          <w:p>
            <w:pPr>
              <w:spacing w:after="0"/>
              <w:rPr>
                <w:sz w:val="19"/>
                <w:szCs w:val="19"/>
                <w:color w:val="auto"/>
              </w:rPr>
            </w:pPr>
          </w:p>
        </w:tc>
        <w:tc>
          <w:tcPr>
            <w:tcW w:w="900" w:type="dxa"/>
            <w:vAlign w:val="bottom"/>
            <w:tcBorders>
              <w:bottom w:val="single" w:sz="8" w:color="auto"/>
            </w:tcBorders>
            <w:vMerge w:val="continue"/>
          </w:tcPr>
          <w:p>
            <w:pPr>
              <w:spacing w:after="0"/>
              <w:rPr>
                <w:sz w:val="19"/>
                <w:szCs w:val="19"/>
                <w:color w:val="auto"/>
              </w:rPr>
            </w:pPr>
          </w:p>
        </w:tc>
        <w:tc>
          <w:tcPr>
            <w:tcW w:w="1200" w:type="dxa"/>
            <w:vAlign w:val="bottom"/>
            <w:gridSpan w:val="2"/>
            <w:vMerge w:val="continue"/>
          </w:tcPr>
          <w:p>
            <w:pPr>
              <w:spacing w:after="0"/>
              <w:rPr>
                <w:sz w:val="19"/>
                <w:szCs w:val="19"/>
                <w:color w:val="auto"/>
              </w:rPr>
            </w:pPr>
          </w:p>
        </w:tc>
        <w:tc>
          <w:tcPr>
            <w:tcW w:w="12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Borders>
              <w:bottom w:val="single" w:sz="8" w:color="auto"/>
            </w:tcBorders>
            <w:vMerge w:val="continue"/>
          </w:tcPr>
          <w:p>
            <w:pPr>
              <w:spacing w:after="0"/>
              <w:rPr>
                <w:sz w:val="19"/>
                <w:szCs w:val="19"/>
                <w:color w:val="auto"/>
              </w:rPr>
            </w:pPr>
          </w:p>
        </w:tc>
        <w:tc>
          <w:tcPr>
            <w:tcW w:w="860" w:type="dxa"/>
            <w:vAlign w:val="bottom"/>
            <w:tcBorders>
              <w:bottom w:val="single" w:sz="8" w:color="auto"/>
            </w:tcBorders>
            <w:vMerge w:val="continue"/>
          </w:tcPr>
          <w:p>
            <w:pPr>
              <w:spacing w:after="0"/>
              <w:rPr>
                <w:sz w:val="19"/>
                <w:szCs w:val="19"/>
                <w:color w:val="auto"/>
              </w:rPr>
            </w:pPr>
          </w:p>
        </w:tc>
        <w:tc>
          <w:tcPr>
            <w:tcW w:w="1160" w:type="dxa"/>
            <w:vAlign w:val="bottom"/>
            <w:gridSpan w:val="2"/>
            <w:vMerge w:val="continue"/>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Borders>
              <w:bottom w:val="single" w:sz="8" w:color="auto"/>
            </w:tcBorders>
            <w:vMerge w:val="continue"/>
          </w:tcPr>
          <w:p>
            <w:pPr>
              <w:spacing w:after="0"/>
              <w:rPr>
                <w:sz w:val="19"/>
                <w:szCs w:val="19"/>
                <w:color w:val="auto"/>
              </w:rPr>
            </w:pPr>
          </w:p>
        </w:tc>
        <w:tc>
          <w:tcPr>
            <w:tcW w:w="920" w:type="dxa"/>
            <w:vAlign w:val="bottom"/>
            <w:tcBorders>
              <w:bottom w:val="single" w:sz="8" w:color="auto"/>
            </w:tcBorders>
            <w:vMerge w:val="continue"/>
          </w:tcPr>
          <w:p>
            <w:pPr>
              <w:spacing w:after="0"/>
              <w:rPr>
                <w:sz w:val="19"/>
                <w:szCs w:val="19"/>
                <w:color w:val="auto"/>
              </w:rPr>
            </w:pPr>
          </w:p>
        </w:tc>
        <w:tc>
          <w:tcPr>
            <w:tcW w:w="1200" w:type="dxa"/>
            <w:vAlign w:val="bottom"/>
            <w:gridSpan w:val="2"/>
            <w:vMerge w:val="continue"/>
          </w:tcPr>
          <w:p>
            <w:pPr>
              <w:spacing w:after="0"/>
              <w:rPr>
                <w:sz w:val="19"/>
                <w:szCs w:val="19"/>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50" w:lineRule="exact"/>
        <w:rPr>
          <w:sz w:val="20"/>
          <w:szCs w:val="20"/>
          <w:color w:val="auto"/>
        </w:rPr>
      </w:pPr>
    </w:p>
    <w:p>
      <w:pPr>
        <w:ind w:left="600" w:hanging="492"/>
        <w:spacing w:after="0"/>
        <w:tabs>
          <w:tab w:leader="none" w:pos="600" w:val="left"/>
        </w:tabs>
        <w:numPr>
          <w:ilvl w:val="0"/>
          <w:numId w:val="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Related to $128 million of IEEPA tariff recoveries, excluding interest received, which are reflected as a reduction of Cost of goods sold in the first three quarters of fiscal 2026.</w:t>
      </w:r>
    </w:p>
    <w:p>
      <w:pPr>
        <w:spacing w:after="0" w:line="109" w:lineRule="exact"/>
        <w:rPr>
          <w:rFonts w:ascii="Times New Roman" w:cs="Times New Roman" w:eastAsia="Times New Roman" w:hAnsi="Times New Roman"/>
          <w:sz w:val="14"/>
          <w:szCs w:val="14"/>
          <w:color w:val="auto"/>
        </w:rPr>
      </w:pPr>
    </w:p>
    <w:p>
      <w:pPr>
        <w:ind w:left="600" w:right="200" w:hanging="492"/>
        <w:spacing w:after="0" w:line="271" w:lineRule="auto"/>
        <w:tabs>
          <w:tab w:leader="none" w:pos="592" w:val="left"/>
        </w:tabs>
        <w:numPr>
          <w:ilvl w:val="0"/>
          <w:numId w:val="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Unallocated corporate expenses include corporate overhead expenses that are not directly attributable to one of the Company’s business segments and include unallocated accounting, finance, legal, human resources, and information technology expenses, occupancy costs for its corporate headquarters, and other benefit and compensation programs, including performance-based compensation.</w:t>
      </w:r>
    </w:p>
    <w:p>
      <w:pPr>
        <w:spacing w:after="0" w:line="62" w:lineRule="exact"/>
        <w:rPr>
          <w:rFonts w:ascii="Times New Roman" w:cs="Times New Roman" w:eastAsia="Times New Roman" w:hAnsi="Times New Roman"/>
          <w:sz w:val="14"/>
          <w:szCs w:val="14"/>
          <w:color w:val="auto"/>
        </w:rPr>
      </w:pPr>
    </w:p>
    <w:p>
      <w:pPr>
        <w:ind w:left="600" w:hanging="492"/>
        <w:spacing w:after="0"/>
        <w:tabs>
          <w:tab w:leader="none" w:pos="600" w:val="left"/>
        </w:tabs>
        <w:numPr>
          <w:ilvl w:val="0"/>
          <w:numId w:val="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Related legal defense costs arising from intellectual property litigation not in the ordinary course of business.</w:t>
      </w:r>
    </w:p>
    <w:p>
      <w:pPr>
        <w:spacing w:after="0" w:line="95" w:lineRule="exact"/>
        <w:rPr>
          <w:rFonts w:ascii="Times New Roman" w:cs="Times New Roman" w:eastAsia="Times New Roman" w:hAnsi="Times New Roman"/>
          <w:sz w:val="14"/>
          <w:szCs w:val="14"/>
          <w:color w:val="auto"/>
        </w:rPr>
      </w:pPr>
    </w:p>
    <w:p>
      <w:pPr>
        <w:ind w:left="600" w:hanging="492"/>
        <w:spacing w:after="0" w:line="302" w:lineRule="auto"/>
        <w:tabs>
          <w:tab w:leader="none" w:pos="592" w:val="left"/>
        </w:tabs>
        <w:numPr>
          <w:ilvl w:val="0"/>
          <w:numId w:val="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Related to costs associated with the retirement of Michael D. Casey, the Company’s former Chief Executive Officer, in the first quarter of fiscal 2025 and costs related to the departure of Douglas C. Palladini, the Company’s former Chief Executive Officer, in the second quarter of fiscal 2026.</w:t>
      </w:r>
    </w:p>
    <w:p>
      <w:pPr>
        <w:spacing w:after="0" w:line="40" w:lineRule="exact"/>
        <w:rPr>
          <w:rFonts w:ascii="Times New Roman" w:cs="Times New Roman" w:eastAsia="Times New Roman" w:hAnsi="Times New Roman"/>
          <w:sz w:val="14"/>
          <w:szCs w:val="14"/>
          <w:color w:val="auto"/>
        </w:rPr>
      </w:pPr>
    </w:p>
    <w:p>
      <w:pPr>
        <w:ind w:left="600" w:hanging="492"/>
        <w:spacing w:after="0"/>
        <w:tabs>
          <w:tab w:leader="none" w:pos="600" w:val="left"/>
        </w:tabs>
        <w:numPr>
          <w:ilvl w:val="0"/>
          <w:numId w:val="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Primarily related to third-party consulting costs.</w:t>
      </w:r>
    </w:p>
    <w:p>
      <w:pPr>
        <w:spacing w:after="0" w:line="95" w:lineRule="exact"/>
        <w:rPr>
          <w:rFonts w:ascii="Times New Roman" w:cs="Times New Roman" w:eastAsia="Times New Roman" w:hAnsi="Times New Roman"/>
          <w:sz w:val="14"/>
          <w:szCs w:val="14"/>
          <w:color w:val="auto"/>
        </w:rPr>
      </w:pPr>
    </w:p>
    <w:p>
      <w:pPr>
        <w:ind w:left="580" w:hanging="472"/>
        <w:spacing w:after="0"/>
        <w:tabs>
          <w:tab w:leader="none" w:pos="580" w:val="left"/>
        </w:tabs>
        <w:numPr>
          <w:ilvl w:val="0"/>
          <w:numId w:val="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Related to charges for severance and other termination benefits as a result of organizational restructuring.</w:t>
      </w:r>
    </w:p>
    <w:p>
      <w:pPr>
        <w:spacing w:after="0" w:line="39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Note: Results may not be additive due to rounding.</w:t>
      </w:r>
    </w:p>
    <w:p>
      <w:pPr>
        <w:spacing w:after="0" w:line="200" w:lineRule="exact"/>
        <w:rPr>
          <w:sz w:val="20"/>
          <w:szCs w:val="20"/>
          <w:color w:val="auto"/>
        </w:rPr>
      </w:pPr>
    </w:p>
    <w:p>
      <w:pPr>
        <w:spacing w:after="0" w:line="208"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10</w:t>
      </w:r>
    </w:p>
    <w:p>
      <w:pPr>
        <w:sectPr>
          <w:pgSz w:w="11900" w:h="16838" w:orient="portrait"/>
          <w:cols w:equalWidth="0" w:num="1">
            <w:col w:w="11280"/>
          </w:cols>
          <w:pgMar w:left="220" w:top="567" w:right="399" w:bottom="1440" w:gutter="0" w:footer="0" w:header="0"/>
        </w:sectPr>
      </w:pPr>
    </w:p>
    <w:bookmarkStart w:id="13" w:name="page14"/>
    <w:bookmarkEnd w:id="13"/>
    <w:p>
      <w:pPr>
        <w:jc w:val="center"/>
        <w:spacing w:after="0"/>
        <w:rPr>
          <w:sz w:val="20"/>
          <w:szCs w:val="20"/>
          <w:color w:val="auto"/>
        </w:rPr>
      </w:pPr>
      <w:r>
        <w:rPr>
          <w:rFonts w:ascii="Times New Roman" w:cs="Times New Roman" w:eastAsia="Times New Roman" w:hAnsi="Times New Roman"/>
          <w:sz w:val="22"/>
          <w:szCs w:val="22"/>
          <w:b w:val="1"/>
          <w:bCs w:val="1"/>
          <w:color w:val="auto"/>
        </w:rPr>
        <w:t>CARTER’S, INC.</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CONDENSED CONSOLIDATED BALANCE SHEETS</w:t>
      </w:r>
    </w:p>
    <w:p>
      <w:pPr>
        <w:jc w:val="center"/>
        <w:spacing w:after="0"/>
        <w:rPr>
          <w:sz w:val="20"/>
          <w:szCs w:val="20"/>
          <w:color w:val="auto"/>
        </w:rPr>
      </w:pPr>
      <w:r>
        <w:rPr>
          <w:rFonts w:ascii="Times New Roman" w:cs="Times New Roman" w:eastAsia="Times New Roman" w:hAnsi="Times New Roman"/>
          <w:sz w:val="18"/>
          <w:szCs w:val="18"/>
          <w:color w:val="auto"/>
        </w:rPr>
        <w:t>(dollars in thousands, except per share data)</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(unaudited)</w:t>
      </w:r>
    </w:p>
    <w:p>
      <w:pPr>
        <w:spacing w:after="0" w:line="128"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56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60" w:type="dxa"/>
            <w:vAlign w:val="bottom"/>
            <w:gridSpan w:val="2"/>
          </w:tcPr>
          <w:p>
            <w:pPr>
              <w:ind w:left="120"/>
              <w:spacing w:after="0"/>
              <w:rPr>
                <w:sz w:val="20"/>
                <w:szCs w:val="20"/>
                <w:color w:val="auto"/>
              </w:rPr>
            </w:pPr>
            <w:r>
              <w:rPr>
                <w:rFonts w:ascii="Times New Roman" w:cs="Times New Roman" w:eastAsia="Times New Roman" w:hAnsi="Times New Roman"/>
                <w:sz w:val="16"/>
                <w:szCs w:val="16"/>
                <w:b w:val="1"/>
                <w:bCs w:val="1"/>
                <w:color w:val="auto"/>
              </w:rPr>
              <w:t>October 3, 2026</w:t>
            </w:r>
          </w:p>
        </w:tc>
        <w:tc>
          <w:tcPr>
            <w:tcW w:w="240" w:type="dxa"/>
            <w:vAlign w:val="bottom"/>
          </w:tcPr>
          <w:p>
            <w:pPr>
              <w:spacing w:after="0"/>
              <w:rPr>
                <w:sz w:val="18"/>
                <w:szCs w:val="18"/>
                <w:color w:val="auto"/>
              </w:rPr>
            </w:pPr>
          </w:p>
        </w:tc>
        <w:tc>
          <w:tcPr>
            <w:tcW w:w="1720" w:type="dxa"/>
            <w:vAlign w:val="bottom"/>
            <w:gridSpan w:val="2"/>
          </w:tcPr>
          <w:p>
            <w:pPr>
              <w:ind w:left="140"/>
              <w:spacing w:after="0"/>
              <w:rPr>
                <w:sz w:val="20"/>
                <w:szCs w:val="20"/>
                <w:color w:val="auto"/>
              </w:rPr>
            </w:pPr>
            <w:r>
              <w:rPr>
                <w:rFonts w:ascii="Times New Roman" w:cs="Times New Roman" w:eastAsia="Times New Roman" w:hAnsi="Times New Roman"/>
                <w:sz w:val="16"/>
                <w:szCs w:val="16"/>
                <w:b w:val="1"/>
                <w:bCs w:val="1"/>
                <w:color w:val="auto"/>
              </w:rPr>
              <w:t>January 3, 2026</w:t>
            </w:r>
          </w:p>
        </w:tc>
        <w:tc>
          <w:tcPr>
            <w:tcW w:w="160" w:type="dxa"/>
            <w:vAlign w:val="bottom"/>
          </w:tcPr>
          <w:p>
            <w:pPr>
              <w:spacing w:after="0"/>
              <w:rPr>
                <w:sz w:val="18"/>
                <w:szCs w:val="18"/>
                <w:color w:val="auto"/>
              </w:rPr>
            </w:pPr>
          </w:p>
        </w:tc>
        <w:tc>
          <w:tcPr>
            <w:tcW w:w="1640" w:type="dxa"/>
            <w:vAlign w:val="bottom"/>
          </w:tcPr>
          <w:p>
            <w:pPr>
              <w:jc w:val="right"/>
              <w:ind w:right="139"/>
              <w:spacing w:after="0"/>
              <w:rPr>
                <w:sz w:val="20"/>
                <w:szCs w:val="20"/>
                <w:color w:val="auto"/>
              </w:rPr>
            </w:pPr>
            <w:r>
              <w:rPr>
                <w:rFonts w:ascii="Times New Roman" w:cs="Times New Roman" w:eastAsia="Times New Roman" w:hAnsi="Times New Roman"/>
                <w:sz w:val="16"/>
                <w:szCs w:val="16"/>
                <w:b w:val="1"/>
                <w:bCs w:val="1"/>
                <w:color w:val="auto"/>
              </w:rPr>
              <w:t>September 27, 2025</w:t>
            </w:r>
          </w:p>
        </w:tc>
        <w:tc>
          <w:tcPr>
            <w:tcW w:w="0" w:type="dxa"/>
            <w:vAlign w:val="bottom"/>
          </w:tcPr>
          <w:p>
            <w:pPr>
              <w:spacing w:after="0"/>
              <w:rPr>
                <w:sz w:val="1"/>
                <w:szCs w:val="1"/>
                <w:color w:val="auto"/>
              </w:rPr>
            </w:pPr>
          </w:p>
        </w:tc>
      </w:tr>
      <w:tr>
        <w:trPr>
          <w:trHeight w:val="199"/>
        </w:trPr>
        <w:tc>
          <w:tcPr>
            <w:tcW w:w="56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ASSETS</w:t>
            </w:r>
          </w:p>
        </w:tc>
        <w:tc>
          <w:tcPr>
            <w:tcW w:w="220" w:type="dxa"/>
            <w:vAlign w:val="bottom"/>
            <w:tcBorders>
              <w:top w:val="single" w:sz="8" w:color="auto"/>
            </w:tcBorders>
            <w:shd w:val="clear" w:color="auto" w:fill="CCEEFF"/>
          </w:tcPr>
          <w:p>
            <w:pPr>
              <w:spacing w:after="0"/>
              <w:rPr>
                <w:sz w:val="17"/>
                <w:szCs w:val="17"/>
                <w:color w:val="auto"/>
              </w:rPr>
            </w:pPr>
          </w:p>
        </w:tc>
        <w:tc>
          <w:tcPr>
            <w:tcW w:w="15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16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164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56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Current assets:</w:t>
            </w:r>
          </w:p>
        </w:tc>
        <w:tc>
          <w:tcPr>
            <w:tcW w:w="22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56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Cash and cash equivalents</w:t>
            </w:r>
          </w:p>
        </w:tc>
        <w:tc>
          <w:tcPr>
            <w:tcW w:w="22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450,957</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487,075</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184,190</w:t>
            </w:r>
          </w:p>
        </w:tc>
        <w:tc>
          <w:tcPr>
            <w:tcW w:w="0" w:type="dxa"/>
            <w:vAlign w:val="bottom"/>
          </w:tcPr>
          <w:p>
            <w:pPr>
              <w:spacing w:after="0"/>
              <w:rPr>
                <w:sz w:val="1"/>
                <w:szCs w:val="1"/>
                <w:color w:val="auto"/>
              </w:rPr>
            </w:pPr>
          </w:p>
        </w:tc>
      </w:tr>
      <w:tr>
        <w:trPr>
          <w:trHeight w:val="230"/>
        </w:trPr>
        <w:tc>
          <w:tcPr>
            <w:tcW w:w="56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Short-term investments</w:t>
            </w:r>
          </w:p>
        </w:tc>
        <w:tc>
          <w:tcPr>
            <w:tcW w:w="22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75,000</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7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62"/>
        </w:trPr>
        <w:tc>
          <w:tcPr>
            <w:tcW w:w="5600" w:type="dxa"/>
            <w:vAlign w:val="bottom"/>
            <w:shd w:val="clear" w:color="auto" w:fill="CCEEFF"/>
          </w:tcPr>
          <w:p>
            <w:pPr>
              <w:ind w:left="140"/>
              <w:spacing w:after="0" w:line="162" w:lineRule="exact"/>
              <w:rPr>
                <w:sz w:val="20"/>
                <w:szCs w:val="20"/>
                <w:color w:val="auto"/>
              </w:rPr>
            </w:pPr>
            <w:r>
              <w:rPr>
                <w:rFonts w:ascii="Times New Roman" w:cs="Times New Roman" w:eastAsia="Times New Roman" w:hAnsi="Times New Roman"/>
                <w:sz w:val="16"/>
                <w:szCs w:val="16"/>
                <w:color w:val="auto"/>
              </w:rPr>
              <w:t>Accounts receivable, net of allowance for credit losses of $11,231, $7,587, and</w:t>
            </w:r>
          </w:p>
        </w:tc>
        <w:tc>
          <w:tcPr>
            <w:tcW w:w="220" w:type="dxa"/>
            <w:vAlign w:val="bottom"/>
            <w:shd w:val="clear" w:color="auto" w:fill="CCEEFF"/>
          </w:tcPr>
          <w:p>
            <w:pPr>
              <w:spacing w:after="0"/>
              <w:rPr>
                <w:sz w:val="14"/>
                <w:szCs w:val="14"/>
                <w:color w:val="auto"/>
              </w:rPr>
            </w:pPr>
          </w:p>
        </w:tc>
        <w:tc>
          <w:tcPr>
            <w:tcW w:w="15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228,858</w:t>
            </w: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6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178,566</w:t>
            </w: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6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237,866</w:t>
            </w:r>
          </w:p>
        </w:tc>
        <w:tc>
          <w:tcPr>
            <w:tcW w:w="0" w:type="dxa"/>
            <w:vAlign w:val="bottom"/>
          </w:tcPr>
          <w:p>
            <w:pPr>
              <w:spacing w:after="0"/>
              <w:rPr>
                <w:sz w:val="1"/>
                <w:szCs w:val="1"/>
                <w:color w:val="auto"/>
              </w:rPr>
            </w:pPr>
          </w:p>
        </w:tc>
      </w:tr>
      <w:tr>
        <w:trPr>
          <w:trHeight w:val="216"/>
        </w:trPr>
        <w:tc>
          <w:tcPr>
            <w:tcW w:w="56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$12,026, respectively</w:t>
            </w:r>
          </w:p>
        </w:tc>
        <w:tc>
          <w:tcPr>
            <w:tcW w:w="220" w:type="dxa"/>
            <w:vAlign w:val="bottom"/>
            <w:shd w:val="clear" w:color="auto" w:fill="CCEEFF"/>
          </w:tcPr>
          <w:p>
            <w:pPr>
              <w:spacing w:after="0"/>
              <w:rPr>
                <w:sz w:val="18"/>
                <w:szCs w:val="18"/>
                <w:color w:val="auto"/>
              </w:rPr>
            </w:pPr>
          </w:p>
        </w:tc>
        <w:tc>
          <w:tcPr>
            <w:tcW w:w="156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2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4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5600" w:type="dxa"/>
            <w:vAlign w:val="bottom"/>
          </w:tcPr>
          <w:p>
            <w:pPr>
              <w:ind w:left="140"/>
              <w:spacing w:after="0" w:line="162" w:lineRule="exact"/>
              <w:rPr>
                <w:sz w:val="20"/>
                <w:szCs w:val="20"/>
                <w:color w:val="auto"/>
              </w:rPr>
            </w:pPr>
            <w:r>
              <w:rPr>
                <w:rFonts w:ascii="Times New Roman" w:cs="Times New Roman" w:eastAsia="Times New Roman" w:hAnsi="Times New Roman"/>
                <w:sz w:val="16"/>
                <w:szCs w:val="16"/>
                <w:color w:val="auto"/>
              </w:rPr>
              <w:t>Finished goods inventories, net of inventory reserves of $15,394, $8,897, and</w:t>
            </w:r>
          </w:p>
        </w:tc>
        <w:tc>
          <w:tcPr>
            <w:tcW w:w="220" w:type="dxa"/>
            <w:vAlign w:val="bottom"/>
          </w:tcPr>
          <w:p>
            <w:pPr>
              <w:spacing w:after="0"/>
              <w:rPr>
                <w:sz w:val="14"/>
                <w:szCs w:val="14"/>
                <w:color w:val="auto"/>
              </w:rPr>
            </w:pPr>
          </w:p>
        </w:tc>
        <w:tc>
          <w:tcPr>
            <w:tcW w:w="15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587,035</w:t>
            </w: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6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544,624</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656,149</w:t>
            </w:r>
          </w:p>
        </w:tc>
        <w:tc>
          <w:tcPr>
            <w:tcW w:w="0" w:type="dxa"/>
            <w:vAlign w:val="bottom"/>
          </w:tcPr>
          <w:p>
            <w:pPr>
              <w:spacing w:after="0"/>
              <w:rPr>
                <w:sz w:val="1"/>
                <w:szCs w:val="1"/>
                <w:color w:val="auto"/>
              </w:rPr>
            </w:pPr>
          </w:p>
        </w:tc>
      </w:tr>
      <w:tr>
        <w:trPr>
          <w:trHeight w:val="213"/>
        </w:trPr>
        <w:tc>
          <w:tcPr>
            <w:tcW w:w="56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$12,347, respectively</w:t>
            </w:r>
          </w:p>
        </w:tc>
        <w:tc>
          <w:tcPr>
            <w:tcW w:w="220" w:type="dxa"/>
            <w:vAlign w:val="bottom"/>
          </w:tcPr>
          <w:p>
            <w:pPr>
              <w:spacing w:after="0"/>
              <w:rPr>
                <w:sz w:val="18"/>
                <w:szCs w:val="18"/>
                <w:color w:val="auto"/>
              </w:rPr>
            </w:pPr>
          </w:p>
        </w:tc>
        <w:tc>
          <w:tcPr>
            <w:tcW w:w="156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2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56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Prepaid expenses and other current assets</w:t>
            </w:r>
          </w:p>
        </w:tc>
        <w:tc>
          <w:tcPr>
            <w:tcW w:w="220" w:type="dxa"/>
            <w:vAlign w:val="bottom"/>
            <w:tcBorders>
              <w:bottom w:val="single" w:sz="8" w:color="auto"/>
            </w:tcBorders>
            <w:shd w:val="clear" w:color="auto" w:fill="CCEEFF"/>
          </w:tcPr>
          <w:p>
            <w:pPr>
              <w:spacing w:after="0"/>
              <w:rPr>
                <w:sz w:val="19"/>
                <w:szCs w:val="19"/>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74,497</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60,508</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55,576</w:t>
            </w:r>
          </w:p>
        </w:tc>
        <w:tc>
          <w:tcPr>
            <w:tcW w:w="0" w:type="dxa"/>
            <w:vAlign w:val="bottom"/>
          </w:tcPr>
          <w:p>
            <w:pPr>
              <w:spacing w:after="0"/>
              <w:rPr>
                <w:sz w:val="1"/>
                <w:szCs w:val="1"/>
                <w:color w:val="auto"/>
              </w:rPr>
            </w:pPr>
          </w:p>
        </w:tc>
      </w:tr>
      <w:tr>
        <w:trPr>
          <w:trHeight w:val="207"/>
        </w:trPr>
        <w:tc>
          <w:tcPr>
            <w:tcW w:w="560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Total current assets</w:t>
            </w:r>
          </w:p>
        </w:tc>
        <w:tc>
          <w:tcPr>
            <w:tcW w:w="220" w:type="dxa"/>
            <w:vAlign w:val="bottom"/>
          </w:tcPr>
          <w:p>
            <w:pPr>
              <w:spacing w:after="0"/>
              <w:rPr>
                <w:sz w:val="17"/>
                <w:szCs w:val="17"/>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1,416,347</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1,270,773</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1,133,781</w:t>
            </w:r>
          </w:p>
        </w:tc>
        <w:tc>
          <w:tcPr>
            <w:tcW w:w="0" w:type="dxa"/>
            <w:vAlign w:val="bottom"/>
          </w:tcPr>
          <w:p>
            <w:pPr>
              <w:spacing w:after="0"/>
              <w:rPr>
                <w:sz w:val="1"/>
                <w:szCs w:val="1"/>
                <w:color w:val="auto"/>
              </w:rPr>
            </w:pPr>
          </w:p>
        </w:tc>
      </w:tr>
      <w:tr>
        <w:trPr>
          <w:trHeight w:val="165"/>
        </w:trPr>
        <w:tc>
          <w:tcPr>
            <w:tcW w:w="5600" w:type="dxa"/>
            <w:vAlign w:val="bottom"/>
            <w:shd w:val="clear" w:color="auto" w:fill="CCEEFF"/>
          </w:tcPr>
          <w:p>
            <w:pPr>
              <w:ind w:left="140"/>
              <w:spacing w:after="0" w:line="165" w:lineRule="exact"/>
              <w:rPr>
                <w:sz w:val="20"/>
                <w:szCs w:val="20"/>
                <w:color w:val="auto"/>
              </w:rPr>
            </w:pPr>
            <w:r>
              <w:rPr>
                <w:rFonts w:ascii="Times New Roman" w:cs="Times New Roman" w:eastAsia="Times New Roman" w:hAnsi="Times New Roman"/>
                <w:sz w:val="16"/>
                <w:szCs w:val="16"/>
                <w:color w:val="auto"/>
              </w:rPr>
              <w:t>Property, plant, and equipment, net of accumulated depreciation of $581,338,</w:t>
            </w:r>
          </w:p>
        </w:tc>
        <w:tc>
          <w:tcPr>
            <w:tcW w:w="220" w:type="dxa"/>
            <w:vAlign w:val="bottom"/>
            <w:shd w:val="clear" w:color="auto" w:fill="CCEEFF"/>
          </w:tcPr>
          <w:p>
            <w:pPr>
              <w:spacing w:after="0"/>
              <w:rPr>
                <w:sz w:val="14"/>
                <w:szCs w:val="14"/>
                <w:color w:val="auto"/>
              </w:rPr>
            </w:pPr>
          </w:p>
        </w:tc>
        <w:tc>
          <w:tcPr>
            <w:tcW w:w="15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177,632</w:t>
            </w: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6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186,307</w:t>
            </w: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6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189,012</w:t>
            </w:r>
          </w:p>
        </w:tc>
        <w:tc>
          <w:tcPr>
            <w:tcW w:w="0" w:type="dxa"/>
            <w:vAlign w:val="bottom"/>
          </w:tcPr>
          <w:p>
            <w:pPr>
              <w:spacing w:after="0"/>
              <w:rPr>
                <w:sz w:val="1"/>
                <w:szCs w:val="1"/>
                <w:color w:val="auto"/>
              </w:rPr>
            </w:pPr>
          </w:p>
        </w:tc>
      </w:tr>
      <w:tr>
        <w:trPr>
          <w:trHeight w:val="216"/>
        </w:trPr>
        <w:tc>
          <w:tcPr>
            <w:tcW w:w="56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$609,059, and $599,467, respectively</w:t>
            </w:r>
          </w:p>
        </w:tc>
        <w:tc>
          <w:tcPr>
            <w:tcW w:w="220" w:type="dxa"/>
            <w:vAlign w:val="bottom"/>
            <w:shd w:val="clear" w:color="auto" w:fill="CCEEFF"/>
          </w:tcPr>
          <w:p>
            <w:pPr>
              <w:spacing w:after="0"/>
              <w:rPr>
                <w:sz w:val="18"/>
                <w:szCs w:val="18"/>
                <w:color w:val="auto"/>
              </w:rPr>
            </w:pPr>
          </w:p>
        </w:tc>
        <w:tc>
          <w:tcPr>
            <w:tcW w:w="156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2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4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56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Operating lease assets</w:t>
            </w:r>
          </w:p>
        </w:tc>
        <w:tc>
          <w:tcPr>
            <w:tcW w:w="22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562,384</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591,806</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611,569</w:t>
            </w:r>
          </w:p>
        </w:tc>
        <w:tc>
          <w:tcPr>
            <w:tcW w:w="0" w:type="dxa"/>
            <w:vAlign w:val="bottom"/>
          </w:tcPr>
          <w:p>
            <w:pPr>
              <w:spacing w:after="0"/>
              <w:rPr>
                <w:sz w:val="1"/>
                <w:szCs w:val="1"/>
                <w:color w:val="auto"/>
              </w:rPr>
            </w:pPr>
          </w:p>
        </w:tc>
      </w:tr>
      <w:tr>
        <w:trPr>
          <w:trHeight w:val="219"/>
        </w:trPr>
        <w:tc>
          <w:tcPr>
            <w:tcW w:w="5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Tradenames, net</w:t>
            </w:r>
          </w:p>
        </w:tc>
        <w:tc>
          <w:tcPr>
            <w:tcW w:w="22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268,483</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268,659</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268,718</w:t>
            </w:r>
          </w:p>
        </w:tc>
        <w:tc>
          <w:tcPr>
            <w:tcW w:w="0" w:type="dxa"/>
            <w:vAlign w:val="bottom"/>
          </w:tcPr>
          <w:p>
            <w:pPr>
              <w:spacing w:after="0"/>
              <w:rPr>
                <w:sz w:val="1"/>
                <w:szCs w:val="1"/>
                <w:color w:val="auto"/>
              </w:rPr>
            </w:pPr>
          </w:p>
        </w:tc>
      </w:tr>
      <w:tr>
        <w:trPr>
          <w:trHeight w:val="213"/>
        </w:trPr>
        <w:tc>
          <w:tcPr>
            <w:tcW w:w="56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Goodwill</w:t>
            </w:r>
          </w:p>
        </w:tc>
        <w:tc>
          <w:tcPr>
            <w:tcW w:w="22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207,559</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208,994</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208,351</w:t>
            </w:r>
          </w:p>
        </w:tc>
        <w:tc>
          <w:tcPr>
            <w:tcW w:w="0" w:type="dxa"/>
            <w:vAlign w:val="bottom"/>
          </w:tcPr>
          <w:p>
            <w:pPr>
              <w:spacing w:after="0"/>
              <w:rPr>
                <w:sz w:val="1"/>
                <w:szCs w:val="1"/>
                <w:color w:val="auto"/>
              </w:rPr>
            </w:pPr>
          </w:p>
        </w:tc>
      </w:tr>
      <w:tr>
        <w:trPr>
          <w:trHeight w:val="219"/>
        </w:trPr>
        <w:tc>
          <w:tcPr>
            <w:tcW w:w="5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Customer relationships, net</w:t>
            </w:r>
          </w:p>
        </w:tc>
        <w:tc>
          <w:tcPr>
            <w:tcW w:w="22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17,483</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20,128</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20,993</w:t>
            </w:r>
          </w:p>
        </w:tc>
        <w:tc>
          <w:tcPr>
            <w:tcW w:w="0" w:type="dxa"/>
            <w:vAlign w:val="bottom"/>
          </w:tcPr>
          <w:p>
            <w:pPr>
              <w:spacing w:after="0"/>
              <w:rPr>
                <w:sz w:val="1"/>
                <w:szCs w:val="1"/>
                <w:color w:val="auto"/>
              </w:rPr>
            </w:pPr>
          </w:p>
        </w:tc>
      </w:tr>
      <w:tr>
        <w:trPr>
          <w:trHeight w:val="213"/>
        </w:trPr>
        <w:tc>
          <w:tcPr>
            <w:tcW w:w="56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Other assets</w:t>
            </w:r>
          </w:p>
        </w:tc>
        <w:tc>
          <w:tcPr>
            <w:tcW w:w="220" w:type="dxa"/>
            <w:vAlign w:val="bottom"/>
            <w:tcBorders>
              <w:bottom w:val="single" w:sz="8" w:color="auto"/>
            </w:tcBorders>
          </w:tcPr>
          <w:p>
            <w:pPr>
              <w:spacing w:after="0"/>
              <w:rPr>
                <w:sz w:val="18"/>
                <w:szCs w:val="18"/>
                <w:color w:val="auto"/>
              </w:rPr>
            </w:pP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19,389</w:t>
            </w:r>
          </w:p>
        </w:tc>
        <w:tc>
          <w:tcPr>
            <w:tcW w:w="10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18,803</w:t>
            </w: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37,015</w:t>
            </w:r>
          </w:p>
        </w:tc>
        <w:tc>
          <w:tcPr>
            <w:tcW w:w="0" w:type="dxa"/>
            <w:vAlign w:val="bottom"/>
          </w:tcPr>
          <w:p>
            <w:pPr>
              <w:spacing w:after="0"/>
              <w:rPr>
                <w:sz w:val="1"/>
                <w:szCs w:val="1"/>
                <w:color w:val="auto"/>
              </w:rPr>
            </w:pPr>
          </w:p>
        </w:tc>
      </w:tr>
      <w:tr>
        <w:trPr>
          <w:trHeight w:val="237"/>
        </w:trPr>
        <w:tc>
          <w:tcPr>
            <w:tcW w:w="5600" w:type="dxa"/>
            <w:vAlign w:val="bottom"/>
            <w:tcBorders>
              <w:bottom w:val="single" w:sz="8" w:color="CCEEFF"/>
            </w:tcBorders>
            <w:shd w:val="clear" w:color="auto" w:fill="CCEEFF"/>
          </w:tcPr>
          <w:p>
            <w:pPr>
              <w:ind w:left="480"/>
              <w:spacing w:after="0"/>
              <w:rPr>
                <w:sz w:val="20"/>
                <w:szCs w:val="20"/>
                <w:color w:val="auto"/>
              </w:rPr>
            </w:pPr>
            <w:r>
              <w:rPr>
                <w:rFonts w:ascii="Times New Roman" w:cs="Times New Roman" w:eastAsia="Times New Roman" w:hAnsi="Times New Roman"/>
                <w:sz w:val="16"/>
                <w:szCs w:val="16"/>
                <w:color w:val="auto"/>
              </w:rPr>
              <w:t>Total assets</w:t>
            </w:r>
          </w:p>
        </w:tc>
        <w:tc>
          <w:tcPr>
            <w:tcW w:w="220" w:type="dxa"/>
            <w:vAlign w:val="bottom"/>
            <w:tcBorders>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2,669,277</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2,565,470</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2,469,439</w:t>
            </w:r>
          </w:p>
        </w:tc>
        <w:tc>
          <w:tcPr>
            <w:tcW w:w="0" w:type="dxa"/>
            <w:vAlign w:val="bottom"/>
          </w:tcPr>
          <w:p>
            <w:pPr>
              <w:spacing w:after="0"/>
              <w:rPr>
                <w:sz w:val="1"/>
                <w:szCs w:val="1"/>
                <w:color w:val="auto"/>
              </w:rPr>
            </w:pPr>
          </w:p>
        </w:tc>
      </w:tr>
      <w:tr>
        <w:trPr>
          <w:trHeight w:val="20"/>
        </w:trPr>
        <w:tc>
          <w:tcPr>
            <w:tcW w:w="56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6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6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56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LIABILITIES AND SHAREHOLDERS’ EQUITY</w:t>
            </w:r>
          </w:p>
        </w:tc>
        <w:tc>
          <w:tcPr>
            <w:tcW w:w="220" w:type="dxa"/>
            <w:vAlign w:val="bottom"/>
            <w:shd w:val="clear" w:color="auto" w:fill="CCEEFF"/>
          </w:tcPr>
          <w:p>
            <w:pPr>
              <w:spacing w:after="0"/>
              <w:rPr>
                <w:sz w:val="18"/>
                <w:szCs w:val="18"/>
                <w:color w:val="auto"/>
              </w:rPr>
            </w:pPr>
          </w:p>
        </w:tc>
        <w:tc>
          <w:tcPr>
            <w:tcW w:w="1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56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Current liabilities:</w:t>
            </w:r>
          </w:p>
        </w:tc>
        <w:tc>
          <w:tcPr>
            <w:tcW w:w="22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56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Accounts payable</w:t>
            </w:r>
          </w:p>
        </w:tc>
        <w:tc>
          <w:tcPr>
            <w:tcW w:w="22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254,353</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235,700</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240,235</w:t>
            </w:r>
          </w:p>
        </w:tc>
        <w:tc>
          <w:tcPr>
            <w:tcW w:w="0" w:type="dxa"/>
            <w:vAlign w:val="bottom"/>
          </w:tcPr>
          <w:p>
            <w:pPr>
              <w:spacing w:after="0"/>
              <w:rPr>
                <w:sz w:val="1"/>
                <w:szCs w:val="1"/>
                <w:color w:val="auto"/>
              </w:rPr>
            </w:pPr>
          </w:p>
        </w:tc>
      </w:tr>
      <w:tr>
        <w:trPr>
          <w:trHeight w:val="213"/>
        </w:trPr>
        <w:tc>
          <w:tcPr>
            <w:tcW w:w="56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Current operating lease liabilities</w:t>
            </w:r>
          </w:p>
        </w:tc>
        <w:tc>
          <w:tcPr>
            <w:tcW w:w="22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131,492</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136,488</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150,548</w:t>
            </w:r>
          </w:p>
        </w:tc>
        <w:tc>
          <w:tcPr>
            <w:tcW w:w="0" w:type="dxa"/>
            <w:vAlign w:val="bottom"/>
          </w:tcPr>
          <w:p>
            <w:pPr>
              <w:spacing w:after="0"/>
              <w:rPr>
                <w:sz w:val="1"/>
                <w:szCs w:val="1"/>
                <w:color w:val="auto"/>
              </w:rPr>
            </w:pPr>
          </w:p>
        </w:tc>
      </w:tr>
      <w:tr>
        <w:trPr>
          <w:trHeight w:val="219"/>
        </w:trPr>
        <w:tc>
          <w:tcPr>
            <w:tcW w:w="56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Other current liabilities</w:t>
            </w:r>
          </w:p>
        </w:tc>
        <w:tc>
          <w:tcPr>
            <w:tcW w:w="220" w:type="dxa"/>
            <w:vAlign w:val="bottom"/>
            <w:tcBorders>
              <w:bottom w:val="single" w:sz="8" w:color="auto"/>
            </w:tcBorders>
            <w:shd w:val="clear" w:color="auto" w:fill="CCEEFF"/>
          </w:tcPr>
          <w:p>
            <w:pPr>
              <w:spacing w:after="0"/>
              <w:rPr>
                <w:sz w:val="19"/>
                <w:szCs w:val="19"/>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123,781</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133,809</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110,907</w:t>
            </w:r>
          </w:p>
        </w:tc>
        <w:tc>
          <w:tcPr>
            <w:tcW w:w="0" w:type="dxa"/>
            <w:vAlign w:val="bottom"/>
          </w:tcPr>
          <w:p>
            <w:pPr>
              <w:spacing w:after="0"/>
              <w:rPr>
                <w:sz w:val="1"/>
                <w:szCs w:val="1"/>
                <w:color w:val="auto"/>
              </w:rPr>
            </w:pPr>
          </w:p>
        </w:tc>
      </w:tr>
      <w:tr>
        <w:trPr>
          <w:trHeight w:val="207"/>
        </w:trPr>
        <w:tc>
          <w:tcPr>
            <w:tcW w:w="560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Total current liabilities</w:t>
            </w:r>
          </w:p>
        </w:tc>
        <w:tc>
          <w:tcPr>
            <w:tcW w:w="220" w:type="dxa"/>
            <w:vAlign w:val="bottom"/>
          </w:tcPr>
          <w:p>
            <w:pPr>
              <w:spacing w:after="0"/>
              <w:rPr>
                <w:sz w:val="17"/>
                <w:szCs w:val="17"/>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509,626</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505,997</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501,690</w:t>
            </w:r>
          </w:p>
        </w:tc>
        <w:tc>
          <w:tcPr>
            <w:tcW w:w="0" w:type="dxa"/>
            <w:vAlign w:val="bottom"/>
          </w:tcPr>
          <w:p>
            <w:pPr>
              <w:spacing w:after="0"/>
              <w:rPr>
                <w:sz w:val="1"/>
                <w:szCs w:val="1"/>
                <w:color w:val="auto"/>
              </w:rPr>
            </w:pPr>
          </w:p>
        </w:tc>
      </w:tr>
      <w:tr>
        <w:trPr>
          <w:trHeight w:val="219"/>
        </w:trPr>
        <w:tc>
          <w:tcPr>
            <w:tcW w:w="5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Long-term debt, net</w:t>
            </w:r>
          </w:p>
        </w:tc>
        <w:tc>
          <w:tcPr>
            <w:tcW w:w="22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568,135</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567,173</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498,738</w:t>
            </w:r>
          </w:p>
        </w:tc>
        <w:tc>
          <w:tcPr>
            <w:tcW w:w="0" w:type="dxa"/>
            <w:vAlign w:val="bottom"/>
          </w:tcPr>
          <w:p>
            <w:pPr>
              <w:spacing w:after="0"/>
              <w:rPr>
                <w:sz w:val="1"/>
                <w:szCs w:val="1"/>
                <w:color w:val="auto"/>
              </w:rPr>
            </w:pPr>
          </w:p>
        </w:tc>
      </w:tr>
      <w:tr>
        <w:trPr>
          <w:trHeight w:val="213"/>
        </w:trPr>
        <w:tc>
          <w:tcPr>
            <w:tcW w:w="56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Deferred income taxes</w:t>
            </w:r>
          </w:p>
        </w:tc>
        <w:tc>
          <w:tcPr>
            <w:tcW w:w="22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43,340</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39,380</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41,200</w:t>
            </w:r>
          </w:p>
        </w:tc>
        <w:tc>
          <w:tcPr>
            <w:tcW w:w="0" w:type="dxa"/>
            <w:vAlign w:val="bottom"/>
          </w:tcPr>
          <w:p>
            <w:pPr>
              <w:spacing w:after="0"/>
              <w:rPr>
                <w:sz w:val="1"/>
                <w:szCs w:val="1"/>
                <w:color w:val="auto"/>
              </w:rPr>
            </w:pPr>
          </w:p>
        </w:tc>
      </w:tr>
      <w:tr>
        <w:trPr>
          <w:trHeight w:val="219"/>
        </w:trPr>
        <w:tc>
          <w:tcPr>
            <w:tcW w:w="5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Long-term operating lease liabilities</w:t>
            </w:r>
          </w:p>
        </w:tc>
        <w:tc>
          <w:tcPr>
            <w:tcW w:w="22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479,181</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508,461</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529,139</w:t>
            </w:r>
          </w:p>
        </w:tc>
        <w:tc>
          <w:tcPr>
            <w:tcW w:w="0" w:type="dxa"/>
            <w:vAlign w:val="bottom"/>
          </w:tcPr>
          <w:p>
            <w:pPr>
              <w:spacing w:after="0"/>
              <w:rPr>
                <w:sz w:val="1"/>
                <w:szCs w:val="1"/>
                <w:color w:val="auto"/>
              </w:rPr>
            </w:pPr>
          </w:p>
        </w:tc>
      </w:tr>
      <w:tr>
        <w:trPr>
          <w:trHeight w:val="213"/>
        </w:trPr>
        <w:tc>
          <w:tcPr>
            <w:tcW w:w="56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Other long-term liabilities</w:t>
            </w:r>
          </w:p>
        </w:tc>
        <w:tc>
          <w:tcPr>
            <w:tcW w:w="220" w:type="dxa"/>
            <w:vAlign w:val="bottom"/>
            <w:tcBorders>
              <w:bottom w:val="single" w:sz="8" w:color="auto"/>
            </w:tcBorders>
          </w:tcPr>
          <w:p>
            <w:pPr>
              <w:spacing w:after="0"/>
              <w:rPr>
                <w:sz w:val="18"/>
                <w:szCs w:val="18"/>
                <w:color w:val="auto"/>
              </w:rPr>
            </w:pP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14,767</w:t>
            </w:r>
          </w:p>
        </w:tc>
        <w:tc>
          <w:tcPr>
            <w:tcW w:w="10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19,411</w:t>
            </w: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34,030</w:t>
            </w:r>
          </w:p>
        </w:tc>
        <w:tc>
          <w:tcPr>
            <w:tcW w:w="0" w:type="dxa"/>
            <w:vAlign w:val="bottom"/>
          </w:tcPr>
          <w:p>
            <w:pPr>
              <w:spacing w:after="0"/>
              <w:rPr>
                <w:sz w:val="1"/>
                <w:szCs w:val="1"/>
                <w:color w:val="auto"/>
              </w:rPr>
            </w:pPr>
          </w:p>
        </w:tc>
      </w:tr>
      <w:tr>
        <w:trPr>
          <w:trHeight w:val="212"/>
        </w:trPr>
        <w:tc>
          <w:tcPr>
            <w:tcW w:w="560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6"/>
                <w:szCs w:val="16"/>
                <w:color w:val="auto"/>
              </w:rPr>
              <w:t>Total liabilities</w:t>
            </w:r>
          </w:p>
        </w:tc>
        <w:tc>
          <w:tcPr>
            <w:tcW w:w="22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1,615,049</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1,640,422</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1,604,797</w:t>
            </w:r>
          </w:p>
        </w:tc>
        <w:tc>
          <w:tcPr>
            <w:tcW w:w="0" w:type="dxa"/>
            <w:vAlign w:val="bottom"/>
          </w:tcPr>
          <w:p>
            <w:pPr>
              <w:spacing w:after="0"/>
              <w:rPr>
                <w:sz w:val="1"/>
                <w:szCs w:val="1"/>
                <w:color w:val="auto"/>
              </w:rPr>
            </w:pPr>
          </w:p>
        </w:tc>
      </w:tr>
      <w:tr>
        <w:trPr>
          <w:trHeight w:val="270"/>
        </w:trPr>
        <w:tc>
          <w:tcPr>
            <w:tcW w:w="56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5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6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6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16"/>
        </w:trPr>
        <w:tc>
          <w:tcPr>
            <w:tcW w:w="5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Commitments and contingencies</w:t>
            </w:r>
          </w:p>
        </w:tc>
        <w:tc>
          <w:tcPr>
            <w:tcW w:w="220" w:type="dxa"/>
            <w:vAlign w:val="bottom"/>
            <w:shd w:val="clear" w:color="auto" w:fill="CCEEFF"/>
          </w:tcPr>
          <w:p>
            <w:pPr>
              <w:spacing w:after="0"/>
              <w:rPr>
                <w:sz w:val="18"/>
                <w:szCs w:val="18"/>
                <w:color w:val="auto"/>
              </w:rPr>
            </w:pPr>
          </w:p>
        </w:tc>
        <w:tc>
          <w:tcPr>
            <w:tcW w:w="1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70"/>
        </w:trPr>
        <w:tc>
          <w:tcPr>
            <w:tcW w:w="56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5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6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6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16"/>
        </w:trPr>
        <w:tc>
          <w:tcPr>
            <w:tcW w:w="5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Shareholders’ equity:</w:t>
            </w:r>
          </w:p>
        </w:tc>
        <w:tc>
          <w:tcPr>
            <w:tcW w:w="220" w:type="dxa"/>
            <w:vAlign w:val="bottom"/>
            <w:shd w:val="clear" w:color="auto" w:fill="CCEEFF"/>
          </w:tcPr>
          <w:p>
            <w:pPr>
              <w:spacing w:after="0"/>
              <w:rPr>
                <w:sz w:val="18"/>
                <w:szCs w:val="18"/>
                <w:color w:val="auto"/>
              </w:rPr>
            </w:pPr>
          </w:p>
        </w:tc>
        <w:tc>
          <w:tcPr>
            <w:tcW w:w="1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5600" w:type="dxa"/>
            <w:vAlign w:val="bottom"/>
          </w:tcPr>
          <w:p>
            <w:pPr>
              <w:ind w:left="20"/>
              <w:spacing w:after="0" w:line="162" w:lineRule="exact"/>
              <w:rPr>
                <w:sz w:val="20"/>
                <w:szCs w:val="20"/>
                <w:color w:val="auto"/>
              </w:rPr>
            </w:pPr>
            <w:r>
              <w:rPr>
                <w:rFonts w:ascii="Times New Roman" w:cs="Times New Roman" w:eastAsia="Times New Roman" w:hAnsi="Times New Roman"/>
                <w:sz w:val="16"/>
                <w:szCs w:val="16"/>
                <w:color w:val="auto"/>
              </w:rPr>
              <w:t>Preferred stock; par value $0.01 per share; 100,000 shares authorized; none issued or</w:t>
            </w:r>
          </w:p>
        </w:tc>
        <w:tc>
          <w:tcPr>
            <w:tcW w:w="220" w:type="dxa"/>
            <w:vAlign w:val="bottom"/>
            <w:vMerge w:val="restart"/>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66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vMerge w:val="restart"/>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72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6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3"/>
        </w:trPr>
        <w:tc>
          <w:tcPr>
            <w:tcW w:w="56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outstanding</w:t>
            </w:r>
          </w:p>
        </w:tc>
        <w:tc>
          <w:tcPr>
            <w:tcW w:w="220" w:type="dxa"/>
            <w:vAlign w:val="bottom"/>
            <w:vMerge w:val="continue"/>
          </w:tcPr>
          <w:p>
            <w:pPr>
              <w:spacing w:after="0"/>
              <w:rPr>
                <w:sz w:val="18"/>
                <w:szCs w:val="18"/>
                <w:color w:val="auto"/>
              </w:rPr>
            </w:pPr>
          </w:p>
        </w:tc>
        <w:tc>
          <w:tcPr>
            <w:tcW w:w="1660" w:type="dxa"/>
            <w:vAlign w:val="bottom"/>
            <w:gridSpan w:val="2"/>
            <w:vMerge w:val="continue"/>
          </w:tcPr>
          <w:p>
            <w:pPr>
              <w:spacing w:after="0"/>
              <w:rPr>
                <w:sz w:val="18"/>
                <w:szCs w:val="18"/>
                <w:color w:val="auto"/>
              </w:rPr>
            </w:pPr>
          </w:p>
        </w:tc>
        <w:tc>
          <w:tcPr>
            <w:tcW w:w="240" w:type="dxa"/>
            <w:vAlign w:val="bottom"/>
            <w:vMerge w:val="continue"/>
          </w:tcPr>
          <w:p>
            <w:pPr>
              <w:spacing w:after="0"/>
              <w:rPr>
                <w:sz w:val="18"/>
                <w:szCs w:val="18"/>
                <w:color w:val="auto"/>
              </w:rPr>
            </w:pPr>
          </w:p>
        </w:tc>
        <w:tc>
          <w:tcPr>
            <w:tcW w:w="1720" w:type="dxa"/>
            <w:vAlign w:val="bottom"/>
            <w:gridSpan w:val="2"/>
            <w:vMerge w:val="continue"/>
          </w:tcPr>
          <w:p>
            <w:pPr>
              <w:spacing w:after="0"/>
              <w:rPr>
                <w:sz w:val="18"/>
                <w:szCs w:val="18"/>
                <w:color w:val="auto"/>
              </w:rPr>
            </w:pPr>
          </w:p>
        </w:tc>
        <w:tc>
          <w:tcPr>
            <w:tcW w:w="160" w:type="dxa"/>
            <w:vAlign w:val="bottom"/>
            <w:vMerge w:val="continue"/>
          </w:tcPr>
          <w:p>
            <w:pPr>
              <w:spacing w:after="0"/>
              <w:rPr>
                <w:sz w:val="18"/>
                <w:szCs w:val="18"/>
                <w:color w:val="auto"/>
              </w:rPr>
            </w:pPr>
          </w:p>
        </w:tc>
        <w:tc>
          <w:tcPr>
            <w:tcW w:w="16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65"/>
        </w:trPr>
        <w:tc>
          <w:tcPr>
            <w:tcW w:w="5600" w:type="dxa"/>
            <w:vAlign w:val="bottom"/>
            <w:shd w:val="clear" w:color="auto" w:fill="CCEEFF"/>
          </w:tcPr>
          <w:p>
            <w:pPr>
              <w:ind w:left="20"/>
              <w:spacing w:after="0" w:line="165" w:lineRule="exact"/>
              <w:rPr>
                <w:sz w:val="20"/>
                <w:szCs w:val="20"/>
                <w:color w:val="auto"/>
              </w:rPr>
            </w:pPr>
            <w:r>
              <w:rPr>
                <w:rFonts w:ascii="Times New Roman" w:cs="Times New Roman" w:eastAsia="Times New Roman" w:hAnsi="Times New Roman"/>
                <w:sz w:val="16"/>
                <w:szCs w:val="16"/>
                <w:color w:val="auto"/>
              </w:rPr>
              <w:t>Common stock, voting; par value $0.01 per share; 150,000,000 shares authorized;</w:t>
            </w:r>
          </w:p>
        </w:tc>
        <w:tc>
          <w:tcPr>
            <w:tcW w:w="220" w:type="dxa"/>
            <w:vAlign w:val="bottom"/>
            <w:shd w:val="clear" w:color="auto" w:fill="CCEEFF"/>
          </w:tcPr>
          <w:p>
            <w:pPr>
              <w:spacing w:after="0"/>
              <w:rPr>
                <w:sz w:val="14"/>
                <w:szCs w:val="14"/>
                <w:color w:val="auto"/>
              </w:rPr>
            </w:pPr>
          </w:p>
        </w:tc>
        <w:tc>
          <w:tcPr>
            <w:tcW w:w="15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367</w:t>
            </w: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6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364</w:t>
            </w: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6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365</w:t>
            </w:r>
          </w:p>
        </w:tc>
        <w:tc>
          <w:tcPr>
            <w:tcW w:w="0" w:type="dxa"/>
            <w:vAlign w:val="bottom"/>
          </w:tcPr>
          <w:p>
            <w:pPr>
              <w:spacing w:after="0"/>
              <w:rPr>
                <w:sz w:val="1"/>
                <w:szCs w:val="1"/>
                <w:color w:val="auto"/>
              </w:rPr>
            </w:pPr>
          </w:p>
        </w:tc>
      </w:tr>
      <w:tr>
        <w:trPr>
          <w:trHeight w:val="216"/>
        </w:trPr>
        <w:tc>
          <w:tcPr>
            <w:tcW w:w="5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36,692,152, 36,425,877, and 36,518,637 shares issued and outstanding, respectively</w:t>
            </w:r>
          </w:p>
        </w:tc>
        <w:tc>
          <w:tcPr>
            <w:tcW w:w="220" w:type="dxa"/>
            <w:vAlign w:val="bottom"/>
            <w:shd w:val="clear" w:color="auto" w:fill="CCEEFF"/>
          </w:tcPr>
          <w:p>
            <w:pPr>
              <w:spacing w:after="0"/>
              <w:rPr>
                <w:sz w:val="18"/>
                <w:szCs w:val="18"/>
                <w:color w:val="auto"/>
              </w:rPr>
            </w:pPr>
          </w:p>
        </w:tc>
        <w:tc>
          <w:tcPr>
            <w:tcW w:w="156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2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4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56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Additional paid-in capital</w:t>
            </w:r>
          </w:p>
        </w:tc>
        <w:tc>
          <w:tcPr>
            <w:tcW w:w="22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26,751</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19,584</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18,029</w:t>
            </w:r>
          </w:p>
        </w:tc>
        <w:tc>
          <w:tcPr>
            <w:tcW w:w="0" w:type="dxa"/>
            <w:vAlign w:val="bottom"/>
          </w:tcPr>
          <w:p>
            <w:pPr>
              <w:spacing w:after="0"/>
              <w:rPr>
                <w:sz w:val="1"/>
                <w:szCs w:val="1"/>
                <w:color w:val="auto"/>
              </w:rPr>
            </w:pPr>
          </w:p>
        </w:tc>
      </w:tr>
      <w:tr>
        <w:trPr>
          <w:trHeight w:val="219"/>
        </w:trPr>
        <w:tc>
          <w:tcPr>
            <w:tcW w:w="5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Accumulated other comprehensive loss</w:t>
            </w:r>
          </w:p>
        </w:tc>
        <w:tc>
          <w:tcPr>
            <w:tcW w:w="22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(30,719)</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(24,361)</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(28,107)</w:t>
            </w:r>
          </w:p>
        </w:tc>
        <w:tc>
          <w:tcPr>
            <w:tcW w:w="0" w:type="dxa"/>
            <w:vAlign w:val="bottom"/>
          </w:tcPr>
          <w:p>
            <w:pPr>
              <w:spacing w:after="0"/>
              <w:rPr>
                <w:sz w:val="1"/>
                <w:szCs w:val="1"/>
                <w:color w:val="auto"/>
              </w:rPr>
            </w:pPr>
          </w:p>
        </w:tc>
      </w:tr>
      <w:tr>
        <w:trPr>
          <w:trHeight w:val="213"/>
        </w:trPr>
        <w:tc>
          <w:tcPr>
            <w:tcW w:w="56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Retained earnings</w:t>
            </w:r>
          </w:p>
        </w:tc>
        <w:tc>
          <w:tcPr>
            <w:tcW w:w="220" w:type="dxa"/>
            <w:vAlign w:val="bottom"/>
            <w:tcBorders>
              <w:bottom w:val="single" w:sz="8" w:color="auto"/>
            </w:tcBorders>
          </w:tcPr>
          <w:p>
            <w:pPr>
              <w:spacing w:after="0"/>
              <w:rPr>
                <w:sz w:val="18"/>
                <w:szCs w:val="18"/>
                <w:color w:val="auto"/>
              </w:rPr>
            </w:pP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1,057,829</w:t>
            </w:r>
          </w:p>
        </w:tc>
        <w:tc>
          <w:tcPr>
            <w:tcW w:w="10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929,461</w:t>
            </w: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874,355</w:t>
            </w:r>
          </w:p>
        </w:tc>
        <w:tc>
          <w:tcPr>
            <w:tcW w:w="0" w:type="dxa"/>
            <w:vAlign w:val="bottom"/>
          </w:tcPr>
          <w:p>
            <w:pPr>
              <w:spacing w:after="0"/>
              <w:rPr>
                <w:sz w:val="1"/>
                <w:szCs w:val="1"/>
                <w:color w:val="auto"/>
              </w:rPr>
            </w:pPr>
          </w:p>
        </w:tc>
      </w:tr>
      <w:tr>
        <w:trPr>
          <w:trHeight w:val="210"/>
        </w:trPr>
        <w:tc>
          <w:tcPr>
            <w:tcW w:w="560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6"/>
                <w:szCs w:val="16"/>
                <w:color w:val="auto"/>
              </w:rPr>
              <w:t>Total shareholders’ equity</w:t>
            </w:r>
          </w:p>
        </w:tc>
        <w:tc>
          <w:tcPr>
            <w:tcW w:w="220" w:type="dxa"/>
            <w:vAlign w:val="bottom"/>
            <w:tcBorders>
              <w:bottom w:val="single" w:sz="8" w:color="auto"/>
            </w:tcBorders>
            <w:shd w:val="clear" w:color="auto" w:fill="CCEEFF"/>
          </w:tcPr>
          <w:p>
            <w:pPr>
              <w:spacing w:after="0"/>
              <w:rPr>
                <w:sz w:val="18"/>
                <w:szCs w:val="18"/>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1,054,228</w:t>
            </w:r>
          </w:p>
        </w:tc>
        <w:tc>
          <w:tcPr>
            <w:tcW w:w="10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1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925,048</w:t>
            </w:r>
          </w:p>
        </w:tc>
        <w:tc>
          <w:tcPr>
            <w:tcW w:w="1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864,642</w:t>
            </w:r>
          </w:p>
        </w:tc>
        <w:tc>
          <w:tcPr>
            <w:tcW w:w="0" w:type="dxa"/>
            <w:vAlign w:val="bottom"/>
          </w:tcPr>
          <w:p>
            <w:pPr>
              <w:spacing w:after="0"/>
              <w:rPr>
                <w:sz w:val="1"/>
                <w:szCs w:val="1"/>
                <w:color w:val="auto"/>
              </w:rPr>
            </w:pPr>
          </w:p>
        </w:tc>
      </w:tr>
      <w:tr>
        <w:trPr>
          <w:trHeight w:val="212"/>
        </w:trPr>
        <w:tc>
          <w:tcPr>
            <w:tcW w:w="5600" w:type="dxa"/>
            <w:vAlign w:val="bottom"/>
          </w:tcPr>
          <w:p>
            <w:pPr>
              <w:ind w:left="560"/>
              <w:spacing w:after="0"/>
              <w:rPr>
                <w:sz w:val="20"/>
                <w:szCs w:val="20"/>
                <w:color w:val="auto"/>
              </w:rPr>
            </w:pPr>
            <w:r>
              <w:rPr>
                <w:rFonts w:ascii="Times New Roman" w:cs="Times New Roman" w:eastAsia="Times New Roman" w:hAnsi="Times New Roman"/>
                <w:sz w:val="16"/>
                <w:szCs w:val="16"/>
                <w:color w:val="auto"/>
              </w:rPr>
              <w:t>Total liabilities and shareholders’ equity</w:t>
            </w:r>
          </w:p>
        </w:tc>
        <w:tc>
          <w:tcPr>
            <w:tcW w:w="22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2,669,277</w:t>
            </w:r>
          </w:p>
        </w:tc>
        <w:tc>
          <w:tcPr>
            <w:tcW w:w="100" w:type="dxa"/>
            <w:vAlign w:val="bottom"/>
          </w:tcPr>
          <w:p>
            <w:pPr>
              <w:spacing w:after="0"/>
              <w:rPr>
                <w:sz w:val="18"/>
                <w:szCs w:val="18"/>
                <w:color w:val="auto"/>
              </w:rPr>
            </w:pPr>
          </w:p>
        </w:tc>
        <w:tc>
          <w:tcPr>
            <w:tcW w:w="24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2,565,470</w:t>
            </w:r>
          </w:p>
        </w:tc>
        <w:tc>
          <w:tcPr>
            <w:tcW w:w="10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2,469,439</w:t>
            </w:r>
          </w:p>
        </w:tc>
        <w:tc>
          <w:tcPr>
            <w:tcW w:w="0" w:type="dxa"/>
            <w:vAlign w:val="bottom"/>
          </w:tcPr>
          <w:p>
            <w:pPr>
              <w:spacing w:after="0"/>
              <w:rPr>
                <w:sz w:val="1"/>
                <w:szCs w:val="1"/>
                <w:color w:val="auto"/>
              </w:rPr>
            </w:pPr>
          </w:p>
        </w:tc>
      </w:tr>
      <w:tr>
        <w:trPr>
          <w:trHeight w:val="20"/>
        </w:trPr>
        <w:tc>
          <w:tcPr>
            <w:tcW w:w="56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ectPr>
          <w:pgSz w:w="11900" w:h="16838" w:orient="portrait"/>
          <w:cols w:equalWidth="0" w:num="1">
            <w:col w:w="11240"/>
          </w:cols>
          <w:pgMar w:left="320" w:top="891" w:right="339" w:bottom="1440" w:gutter="0" w:footer="0" w:header="0"/>
        </w:sectPr>
      </w:pPr>
    </w:p>
    <w:bookmarkStart w:id="14" w:name="page15"/>
    <w:bookmarkEnd w:id="14"/>
    <w:p>
      <w:pPr>
        <w:jc w:val="center"/>
        <w:spacing w:after="0"/>
        <w:rPr>
          <w:sz w:val="20"/>
          <w:szCs w:val="20"/>
          <w:color w:val="auto"/>
        </w:rPr>
      </w:pPr>
      <w:r>
        <w:rPr>
          <w:rFonts w:ascii="Times New Roman" w:cs="Times New Roman" w:eastAsia="Times New Roman" w:hAnsi="Times New Roman"/>
          <w:sz w:val="22"/>
          <w:szCs w:val="22"/>
          <w:b w:val="1"/>
          <w:bCs w:val="1"/>
          <w:color w:val="auto"/>
        </w:rPr>
        <w:t>CARTER’S, INC.</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CONDENSED CONSOLIDATED STATEMENTS OF CASH FLOWS</w:t>
      </w:r>
    </w:p>
    <w:p>
      <w:pPr>
        <w:jc w:val="center"/>
        <w:spacing w:after="0"/>
        <w:rPr>
          <w:sz w:val="20"/>
          <w:szCs w:val="20"/>
          <w:color w:val="auto"/>
        </w:rPr>
      </w:pPr>
      <w:r>
        <w:rPr>
          <w:rFonts w:ascii="Times New Roman" w:cs="Times New Roman" w:eastAsia="Times New Roman" w:hAnsi="Times New Roman"/>
          <w:sz w:val="18"/>
          <w:szCs w:val="18"/>
          <w:color w:val="auto"/>
        </w:rPr>
        <w:t>(dollars in thousands)</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(unaudited)</w:t>
      </w:r>
    </w:p>
    <w:p>
      <w:pPr>
        <w:spacing w:after="0" w:line="34"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770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3340" w:type="dxa"/>
            <w:vAlign w:val="bottom"/>
            <w:tcBorders>
              <w:bottom w:val="single" w:sz="8" w:color="auto"/>
            </w:tcBorders>
            <w:gridSpan w:val="4"/>
          </w:tcPr>
          <w:p>
            <w:pPr>
              <w:jc w:val="right"/>
              <w:ind w:right="659"/>
              <w:spacing w:after="0"/>
              <w:rPr>
                <w:sz w:val="20"/>
                <w:szCs w:val="20"/>
                <w:color w:val="auto"/>
              </w:rPr>
            </w:pPr>
            <w:r>
              <w:rPr>
                <w:rFonts w:ascii="Times New Roman" w:cs="Times New Roman" w:eastAsia="Times New Roman" w:hAnsi="Times New Roman"/>
                <w:sz w:val="16"/>
                <w:szCs w:val="16"/>
                <w:b w:val="1"/>
                <w:bCs w:val="1"/>
                <w:color w:val="auto"/>
              </w:rPr>
              <w:t>Three Fiscal Quarters Ended</w:t>
            </w:r>
          </w:p>
        </w:tc>
      </w:tr>
      <w:tr>
        <w:trPr>
          <w:trHeight w:val="211"/>
        </w:trPr>
        <w:tc>
          <w:tcPr>
            <w:tcW w:w="7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60" w:type="dxa"/>
            <w:vAlign w:val="bottom"/>
            <w:gridSpan w:val="2"/>
          </w:tcPr>
          <w:p>
            <w:pPr>
              <w:ind w:left="60"/>
              <w:spacing w:after="0"/>
              <w:rPr>
                <w:sz w:val="20"/>
                <w:szCs w:val="20"/>
                <w:color w:val="auto"/>
              </w:rPr>
            </w:pPr>
            <w:r>
              <w:rPr>
                <w:rFonts w:ascii="Times New Roman" w:cs="Times New Roman" w:eastAsia="Times New Roman" w:hAnsi="Times New Roman"/>
                <w:sz w:val="16"/>
                <w:szCs w:val="16"/>
                <w:b w:val="1"/>
                <w:bCs w:val="1"/>
                <w:color w:val="auto"/>
              </w:rPr>
              <w:t>October 3, 2026</w:t>
            </w:r>
          </w:p>
        </w:tc>
        <w:tc>
          <w:tcPr>
            <w:tcW w:w="160" w:type="dxa"/>
            <w:vAlign w:val="bottom"/>
          </w:tcPr>
          <w:p>
            <w:pPr>
              <w:spacing w:after="0"/>
              <w:rPr>
                <w:sz w:val="18"/>
                <w:szCs w:val="18"/>
                <w:color w:val="auto"/>
              </w:rPr>
            </w:pPr>
          </w:p>
        </w:tc>
        <w:tc>
          <w:tcPr>
            <w:tcW w:w="1620" w:type="dxa"/>
            <w:vAlign w:val="bottom"/>
          </w:tcPr>
          <w:p>
            <w:pPr>
              <w:jc w:val="right"/>
              <w:ind w:right="119"/>
              <w:spacing w:after="0"/>
              <w:rPr>
                <w:sz w:val="20"/>
                <w:szCs w:val="20"/>
                <w:color w:val="auto"/>
              </w:rPr>
            </w:pPr>
            <w:r>
              <w:rPr>
                <w:rFonts w:ascii="Times New Roman" w:cs="Times New Roman" w:eastAsia="Times New Roman" w:hAnsi="Times New Roman"/>
                <w:sz w:val="16"/>
                <w:szCs w:val="16"/>
                <w:b w:val="1"/>
                <w:bCs w:val="1"/>
                <w:color w:val="auto"/>
              </w:rPr>
              <w:t>September 27, 2025</w:t>
            </w:r>
          </w:p>
        </w:tc>
      </w:tr>
      <w:tr>
        <w:trPr>
          <w:trHeight w:val="198"/>
        </w:trPr>
        <w:tc>
          <w:tcPr>
            <w:tcW w:w="77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Cash flows from operating activities:</w:t>
            </w:r>
          </w:p>
        </w:tc>
        <w:tc>
          <w:tcPr>
            <w:tcW w:w="160" w:type="dxa"/>
            <w:vAlign w:val="bottom"/>
            <w:tcBorders>
              <w:top w:val="single" w:sz="8" w:color="auto"/>
            </w:tcBorders>
            <w:shd w:val="clear" w:color="auto" w:fill="CCEEFF"/>
          </w:tcPr>
          <w:p>
            <w:pPr>
              <w:spacing w:after="0"/>
              <w:rPr>
                <w:sz w:val="17"/>
                <w:szCs w:val="17"/>
                <w:color w:val="auto"/>
              </w:rPr>
            </w:pPr>
          </w:p>
        </w:tc>
        <w:tc>
          <w:tcPr>
            <w:tcW w:w="136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1620" w:type="dxa"/>
            <w:vAlign w:val="bottom"/>
            <w:tcBorders>
              <w:top w:val="single" w:sz="8" w:color="auto"/>
            </w:tcBorders>
            <w:shd w:val="clear" w:color="auto" w:fill="CCEEFF"/>
          </w:tcPr>
          <w:p>
            <w:pPr>
              <w:spacing w:after="0"/>
              <w:rPr>
                <w:sz w:val="17"/>
                <w:szCs w:val="17"/>
                <w:color w:val="auto"/>
              </w:rPr>
            </w:pPr>
          </w:p>
        </w:tc>
      </w:tr>
      <w:tr>
        <w:trPr>
          <w:trHeight w:val="213"/>
        </w:trPr>
        <w:tc>
          <w:tcPr>
            <w:tcW w:w="770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Net income</w:t>
            </w: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155,905</w:t>
            </w:r>
          </w:p>
        </w:tc>
        <w:tc>
          <w:tcPr>
            <w:tcW w:w="20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27,578</w:t>
            </w:r>
          </w:p>
        </w:tc>
      </w:tr>
      <w:tr>
        <w:trPr>
          <w:trHeight w:val="219"/>
        </w:trPr>
        <w:tc>
          <w:tcPr>
            <w:tcW w:w="77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Adjustments to reconcile net income to net cash provided by (used in) operating activities:</w:t>
            </w:r>
          </w:p>
        </w:tc>
        <w:tc>
          <w:tcPr>
            <w:tcW w:w="16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620" w:type="dxa"/>
            <w:vAlign w:val="bottom"/>
            <w:shd w:val="clear" w:color="auto" w:fill="CCEEFF"/>
          </w:tcPr>
          <w:p>
            <w:pPr>
              <w:spacing w:after="0"/>
              <w:rPr>
                <w:sz w:val="19"/>
                <w:szCs w:val="19"/>
                <w:color w:val="auto"/>
              </w:rPr>
            </w:pPr>
          </w:p>
        </w:tc>
      </w:tr>
      <w:tr>
        <w:trPr>
          <w:trHeight w:val="213"/>
        </w:trPr>
        <w:tc>
          <w:tcPr>
            <w:tcW w:w="770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Depreciation of property, plant, and equipment</w:t>
            </w:r>
          </w:p>
        </w:tc>
        <w:tc>
          <w:tcPr>
            <w:tcW w:w="16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36,698</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37,797</w:t>
            </w:r>
          </w:p>
        </w:tc>
      </w:tr>
      <w:tr>
        <w:trPr>
          <w:trHeight w:val="219"/>
        </w:trPr>
        <w:tc>
          <w:tcPr>
            <w:tcW w:w="77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Amortization of intangible assets</w:t>
            </w:r>
          </w:p>
        </w:tc>
        <w:tc>
          <w:tcPr>
            <w:tcW w:w="16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2,825</w:t>
            </w:r>
          </w:p>
        </w:tc>
        <w:tc>
          <w:tcPr>
            <w:tcW w:w="2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2,781</w:t>
            </w:r>
          </w:p>
        </w:tc>
      </w:tr>
      <w:tr>
        <w:trPr>
          <w:trHeight w:val="213"/>
        </w:trPr>
        <w:tc>
          <w:tcPr>
            <w:tcW w:w="770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Provision for excess and obsolete inventory, net</w:t>
            </w:r>
          </w:p>
        </w:tc>
        <w:tc>
          <w:tcPr>
            <w:tcW w:w="16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6,581</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3,912</w:t>
            </w:r>
          </w:p>
        </w:tc>
      </w:tr>
      <w:tr>
        <w:trPr>
          <w:trHeight w:val="219"/>
        </w:trPr>
        <w:tc>
          <w:tcPr>
            <w:tcW w:w="77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Amortization of debt issuance costs</w:t>
            </w:r>
          </w:p>
        </w:tc>
        <w:tc>
          <w:tcPr>
            <w:tcW w:w="16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1,723</w:t>
            </w:r>
          </w:p>
        </w:tc>
        <w:tc>
          <w:tcPr>
            <w:tcW w:w="2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1,253</w:t>
            </w:r>
          </w:p>
        </w:tc>
      </w:tr>
      <w:tr>
        <w:trPr>
          <w:trHeight w:val="213"/>
        </w:trPr>
        <w:tc>
          <w:tcPr>
            <w:tcW w:w="770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Stock-based compensation expense</w:t>
            </w:r>
          </w:p>
        </w:tc>
        <w:tc>
          <w:tcPr>
            <w:tcW w:w="16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10,951</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18,667</w:t>
            </w:r>
          </w:p>
        </w:tc>
      </w:tr>
      <w:tr>
        <w:trPr>
          <w:trHeight w:val="219"/>
        </w:trPr>
        <w:tc>
          <w:tcPr>
            <w:tcW w:w="77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Unrealized foreign currency exchange loss (gain), net</w:t>
            </w:r>
          </w:p>
        </w:tc>
        <w:tc>
          <w:tcPr>
            <w:tcW w:w="16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394</w:t>
            </w:r>
          </w:p>
        </w:tc>
        <w:tc>
          <w:tcPr>
            <w:tcW w:w="2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(393)</w:t>
            </w:r>
          </w:p>
        </w:tc>
      </w:tr>
      <w:tr>
        <w:trPr>
          <w:trHeight w:val="213"/>
        </w:trPr>
        <w:tc>
          <w:tcPr>
            <w:tcW w:w="770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Provision for credit losses</w:t>
            </w:r>
          </w:p>
        </w:tc>
        <w:tc>
          <w:tcPr>
            <w:tcW w:w="16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3,657</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6,864</w:t>
            </w:r>
          </w:p>
        </w:tc>
      </w:tr>
      <w:tr>
        <w:trPr>
          <w:trHeight w:val="219"/>
        </w:trPr>
        <w:tc>
          <w:tcPr>
            <w:tcW w:w="77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Unrealized gain on investments</w:t>
            </w:r>
          </w:p>
        </w:tc>
        <w:tc>
          <w:tcPr>
            <w:tcW w:w="16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(1,589)</w:t>
            </w:r>
          </w:p>
        </w:tc>
        <w:tc>
          <w:tcPr>
            <w:tcW w:w="2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(1,477)</w:t>
            </w:r>
          </w:p>
        </w:tc>
      </w:tr>
      <w:tr>
        <w:trPr>
          <w:trHeight w:val="213"/>
        </w:trPr>
        <w:tc>
          <w:tcPr>
            <w:tcW w:w="770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Pension plan settlement</w:t>
            </w:r>
          </w:p>
        </w:tc>
        <w:tc>
          <w:tcPr>
            <w:tcW w:w="160" w:type="dxa"/>
            <w:vAlign w:val="bottom"/>
          </w:tcPr>
          <w:p>
            <w:pPr>
              <w:spacing w:after="0"/>
              <w:rPr>
                <w:sz w:val="18"/>
                <w:szCs w:val="18"/>
                <w:color w:val="auto"/>
              </w:rPr>
            </w:pPr>
          </w:p>
        </w:tc>
        <w:tc>
          <w:tcPr>
            <w:tcW w:w="1560" w:type="dxa"/>
            <w:vAlign w:val="bottom"/>
            <w:gridSpan w:val="2"/>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8,777</w:t>
            </w:r>
          </w:p>
        </w:tc>
      </w:tr>
      <w:tr>
        <w:trPr>
          <w:trHeight w:val="219"/>
        </w:trPr>
        <w:tc>
          <w:tcPr>
            <w:tcW w:w="77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Deferred income taxes expense</w:t>
            </w:r>
          </w:p>
        </w:tc>
        <w:tc>
          <w:tcPr>
            <w:tcW w:w="16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4,317</w:t>
            </w:r>
          </w:p>
        </w:tc>
        <w:tc>
          <w:tcPr>
            <w:tcW w:w="2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879</w:t>
            </w:r>
          </w:p>
        </w:tc>
      </w:tr>
      <w:tr>
        <w:trPr>
          <w:trHeight w:val="213"/>
        </w:trPr>
        <w:tc>
          <w:tcPr>
            <w:tcW w:w="770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Other operating items, net</w:t>
            </w:r>
          </w:p>
        </w:tc>
        <w:tc>
          <w:tcPr>
            <w:tcW w:w="16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(620)</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w:t>
            </w:r>
          </w:p>
        </w:tc>
      </w:tr>
      <w:tr>
        <w:trPr>
          <w:trHeight w:val="219"/>
        </w:trPr>
        <w:tc>
          <w:tcPr>
            <w:tcW w:w="77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Effect of changes in operating assets and liabilities:</w:t>
            </w:r>
          </w:p>
        </w:tc>
        <w:tc>
          <w:tcPr>
            <w:tcW w:w="16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620" w:type="dxa"/>
            <w:vAlign w:val="bottom"/>
            <w:shd w:val="clear" w:color="auto" w:fill="CCEEFF"/>
          </w:tcPr>
          <w:p>
            <w:pPr>
              <w:spacing w:after="0"/>
              <w:rPr>
                <w:sz w:val="19"/>
                <w:szCs w:val="19"/>
                <w:color w:val="auto"/>
              </w:rPr>
            </w:pPr>
          </w:p>
        </w:tc>
      </w:tr>
      <w:tr>
        <w:trPr>
          <w:trHeight w:val="213"/>
        </w:trPr>
        <w:tc>
          <w:tcPr>
            <w:tcW w:w="7700" w:type="dxa"/>
            <w:vAlign w:val="bottom"/>
          </w:tcPr>
          <w:p>
            <w:pPr>
              <w:ind w:left="460"/>
              <w:spacing w:after="0"/>
              <w:rPr>
                <w:sz w:val="20"/>
                <w:szCs w:val="20"/>
                <w:color w:val="auto"/>
              </w:rPr>
            </w:pPr>
            <w:r>
              <w:rPr>
                <w:rFonts w:ascii="Times New Roman" w:cs="Times New Roman" w:eastAsia="Times New Roman" w:hAnsi="Times New Roman"/>
                <w:sz w:val="16"/>
                <w:szCs w:val="16"/>
                <w:color w:val="auto"/>
              </w:rPr>
              <w:t>Accounts receivable</w:t>
            </w:r>
          </w:p>
        </w:tc>
        <w:tc>
          <w:tcPr>
            <w:tcW w:w="16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(54,436)</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(48,893)</w:t>
            </w:r>
          </w:p>
        </w:tc>
      </w:tr>
      <w:tr>
        <w:trPr>
          <w:trHeight w:val="219"/>
        </w:trPr>
        <w:tc>
          <w:tcPr>
            <w:tcW w:w="770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6"/>
                <w:szCs w:val="16"/>
                <w:color w:val="auto"/>
              </w:rPr>
              <w:t>Finished goods inventories</w:t>
            </w:r>
          </w:p>
        </w:tc>
        <w:tc>
          <w:tcPr>
            <w:tcW w:w="16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(51,836)</w:t>
            </w:r>
          </w:p>
        </w:tc>
        <w:tc>
          <w:tcPr>
            <w:tcW w:w="2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(153,621)</w:t>
            </w:r>
          </w:p>
        </w:tc>
      </w:tr>
      <w:tr>
        <w:trPr>
          <w:trHeight w:val="213"/>
        </w:trPr>
        <w:tc>
          <w:tcPr>
            <w:tcW w:w="7700" w:type="dxa"/>
            <w:vAlign w:val="bottom"/>
          </w:tcPr>
          <w:p>
            <w:pPr>
              <w:ind w:left="460"/>
              <w:spacing w:after="0"/>
              <w:rPr>
                <w:sz w:val="20"/>
                <w:szCs w:val="20"/>
                <w:color w:val="auto"/>
              </w:rPr>
            </w:pPr>
            <w:r>
              <w:rPr>
                <w:rFonts w:ascii="Times New Roman" w:cs="Times New Roman" w:eastAsia="Times New Roman" w:hAnsi="Times New Roman"/>
                <w:sz w:val="16"/>
                <w:szCs w:val="16"/>
                <w:color w:val="auto"/>
              </w:rPr>
              <w:t>Prepaid expenses and other assets</w:t>
            </w:r>
          </w:p>
        </w:tc>
        <w:tc>
          <w:tcPr>
            <w:tcW w:w="16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(14,448)</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(25,509)</w:t>
            </w:r>
          </w:p>
        </w:tc>
      </w:tr>
      <w:tr>
        <w:trPr>
          <w:trHeight w:val="219"/>
        </w:trPr>
        <w:tc>
          <w:tcPr>
            <w:tcW w:w="770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6"/>
                <w:szCs w:val="16"/>
                <w:color w:val="auto"/>
              </w:rPr>
              <w:t>Accounts payable and other liabilities</w:t>
            </w:r>
          </w:p>
        </w:tc>
        <w:tc>
          <w:tcPr>
            <w:tcW w:w="16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1,689</w:t>
            </w:r>
          </w:p>
        </w:tc>
        <w:tc>
          <w:tcPr>
            <w:tcW w:w="2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(14,946)</w:t>
            </w:r>
          </w:p>
        </w:tc>
      </w:tr>
      <w:tr>
        <w:trPr>
          <w:trHeight w:val="207"/>
        </w:trPr>
        <w:tc>
          <w:tcPr>
            <w:tcW w:w="7700" w:type="dxa"/>
            <w:vAlign w:val="bottom"/>
            <w:tcBorders>
              <w:bottom w:val="single" w:sz="8" w:color="CCEEFF"/>
            </w:tcBorders>
          </w:tcPr>
          <w:p>
            <w:pPr>
              <w:ind w:left="660"/>
              <w:spacing w:after="0"/>
              <w:rPr>
                <w:sz w:val="20"/>
                <w:szCs w:val="20"/>
                <w:color w:val="auto"/>
              </w:rPr>
            </w:pPr>
            <w:r>
              <w:rPr>
                <w:rFonts w:ascii="Times New Roman" w:cs="Times New Roman" w:eastAsia="Times New Roman" w:hAnsi="Times New Roman"/>
                <w:sz w:val="16"/>
                <w:szCs w:val="16"/>
                <w:color w:val="auto"/>
              </w:rPr>
              <w:t>Net cash provided by (used in) operating activities</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101,811</w:t>
            </w:r>
          </w:p>
        </w:tc>
        <w:tc>
          <w:tcPr>
            <w:tcW w:w="20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(136,310)</w:t>
            </w:r>
          </w:p>
        </w:tc>
      </w:tr>
      <w:tr>
        <w:trPr>
          <w:trHeight w:val="253"/>
        </w:trPr>
        <w:tc>
          <w:tcPr>
            <w:tcW w:w="77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36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620" w:type="dxa"/>
            <w:vAlign w:val="bottom"/>
            <w:shd w:val="clear" w:color="auto" w:fill="CCEEFF"/>
          </w:tcPr>
          <w:p>
            <w:pPr>
              <w:spacing w:after="0"/>
              <w:rPr>
                <w:sz w:val="21"/>
                <w:szCs w:val="21"/>
                <w:color w:val="auto"/>
              </w:rPr>
            </w:pPr>
          </w:p>
        </w:tc>
      </w:tr>
      <w:tr>
        <w:trPr>
          <w:trHeight w:val="213"/>
        </w:trPr>
        <w:tc>
          <w:tcPr>
            <w:tcW w:w="77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Cash flows from investing activities:</w:t>
            </w:r>
          </w:p>
        </w:tc>
        <w:tc>
          <w:tcPr>
            <w:tcW w:w="16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20" w:type="dxa"/>
            <w:vAlign w:val="bottom"/>
          </w:tcPr>
          <w:p>
            <w:pPr>
              <w:spacing w:after="0"/>
              <w:rPr>
                <w:sz w:val="18"/>
                <w:szCs w:val="18"/>
                <w:color w:val="auto"/>
              </w:rPr>
            </w:pPr>
          </w:p>
        </w:tc>
      </w:tr>
      <w:tr>
        <w:trPr>
          <w:trHeight w:val="219"/>
        </w:trPr>
        <w:tc>
          <w:tcPr>
            <w:tcW w:w="77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Capital expenditures</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(29,663)</w:t>
            </w:r>
          </w:p>
        </w:tc>
        <w:tc>
          <w:tcPr>
            <w:tcW w:w="2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(42,662)</w:t>
            </w:r>
          </w:p>
        </w:tc>
      </w:tr>
      <w:tr>
        <w:trPr>
          <w:trHeight w:val="213"/>
        </w:trPr>
        <w:tc>
          <w:tcPr>
            <w:tcW w:w="770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6"/>
                <w:szCs w:val="16"/>
                <w:color w:val="auto"/>
              </w:rPr>
              <w:t>Purchases of short-term investments</w:t>
            </w:r>
          </w:p>
        </w:tc>
        <w:tc>
          <w:tcPr>
            <w:tcW w:w="16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(75,000)</w:t>
            </w:r>
          </w:p>
        </w:tc>
        <w:tc>
          <w:tcPr>
            <w:tcW w:w="2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09"/>
        </w:trPr>
        <w:tc>
          <w:tcPr>
            <w:tcW w:w="770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6"/>
                <w:szCs w:val="16"/>
                <w:color w:val="auto"/>
              </w:rPr>
              <w:t>Net cash used in investing activities</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(104,663)</w:t>
            </w:r>
          </w:p>
        </w:tc>
        <w:tc>
          <w:tcPr>
            <w:tcW w:w="2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(42,662)</w:t>
            </w:r>
          </w:p>
        </w:tc>
      </w:tr>
      <w:tr>
        <w:trPr>
          <w:trHeight w:val="253"/>
        </w:trPr>
        <w:tc>
          <w:tcPr>
            <w:tcW w:w="77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620" w:type="dxa"/>
            <w:vAlign w:val="bottom"/>
          </w:tcPr>
          <w:p>
            <w:pPr>
              <w:spacing w:after="0"/>
              <w:rPr>
                <w:sz w:val="21"/>
                <w:szCs w:val="21"/>
                <w:color w:val="auto"/>
              </w:rPr>
            </w:pPr>
          </w:p>
        </w:tc>
      </w:tr>
      <w:tr>
        <w:trPr>
          <w:trHeight w:val="216"/>
        </w:trPr>
        <w:tc>
          <w:tcPr>
            <w:tcW w:w="7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Cash flows from financing activities:</w:t>
            </w:r>
          </w:p>
        </w:tc>
        <w:tc>
          <w:tcPr>
            <w:tcW w:w="16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20" w:type="dxa"/>
            <w:vAlign w:val="bottom"/>
            <w:shd w:val="clear" w:color="auto" w:fill="CCEEFF"/>
          </w:tcPr>
          <w:p>
            <w:pPr>
              <w:spacing w:after="0"/>
              <w:rPr>
                <w:sz w:val="18"/>
                <w:szCs w:val="18"/>
                <w:color w:val="auto"/>
              </w:rPr>
            </w:pPr>
          </w:p>
        </w:tc>
      </w:tr>
      <w:tr>
        <w:trPr>
          <w:trHeight w:val="213"/>
        </w:trPr>
        <w:tc>
          <w:tcPr>
            <w:tcW w:w="770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Dividends paid</w:t>
            </w: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(27,465)</w:t>
            </w:r>
          </w:p>
        </w:tc>
        <w:tc>
          <w:tcPr>
            <w:tcW w:w="20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(47,247)</w:t>
            </w:r>
          </w:p>
        </w:tc>
      </w:tr>
      <w:tr>
        <w:trPr>
          <w:trHeight w:val="219"/>
        </w:trPr>
        <w:tc>
          <w:tcPr>
            <w:tcW w:w="77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Withholdings from vesting of restricted stock</w:t>
            </w:r>
          </w:p>
        </w:tc>
        <w:tc>
          <w:tcPr>
            <w:tcW w:w="16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(3,817)</w:t>
            </w:r>
          </w:p>
        </w:tc>
        <w:tc>
          <w:tcPr>
            <w:tcW w:w="2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(4,489)</w:t>
            </w:r>
          </w:p>
        </w:tc>
      </w:tr>
      <w:tr>
        <w:trPr>
          <w:trHeight w:val="213"/>
        </w:trPr>
        <w:tc>
          <w:tcPr>
            <w:tcW w:w="770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Other</w:t>
            </w:r>
          </w:p>
        </w:tc>
        <w:tc>
          <w:tcPr>
            <w:tcW w:w="160" w:type="dxa"/>
            <w:vAlign w:val="bottom"/>
          </w:tcPr>
          <w:p>
            <w:pPr>
              <w:spacing w:after="0"/>
              <w:rPr>
                <w:sz w:val="18"/>
                <w:szCs w:val="18"/>
                <w:color w:val="auto"/>
              </w:rPr>
            </w:pPr>
          </w:p>
        </w:tc>
        <w:tc>
          <w:tcPr>
            <w:tcW w:w="1560" w:type="dxa"/>
            <w:vAlign w:val="bottom"/>
            <w:gridSpan w:val="2"/>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(370)</w:t>
            </w:r>
          </w:p>
        </w:tc>
      </w:tr>
      <w:tr>
        <w:trPr>
          <w:trHeight w:val="209"/>
        </w:trPr>
        <w:tc>
          <w:tcPr>
            <w:tcW w:w="7700" w:type="dxa"/>
            <w:vAlign w:val="bottom"/>
            <w:tcBorders>
              <w:top w:val="single" w:sz="8" w:color="CCEEFF"/>
            </w:tcBorders>
            <w:shd w:val="clear" w:color="auto" w:fill="CCEEFF"/>
          </w:tcPr>
          <w:p>
            <w:pPr>
              <w:ind w:left="540"/>
              <w:spacing w:after="0"/>
              <w:rPr>
                <w:sz w:val="20"/>
                <w:szCs w:val="20"/>
                <w:color w:val="auto"/>
              </w:rPr>
            </w:pPr>
            <w:r>
              <w:rPr>
                <w:rFonts w:ascii="Times New Roman" w:cs="Times New Roman" w:eastAsia="Times New Roman" w:hAnsi="Times New Roman"/>
                <w:sz w:val="16"/>
                <w:szCs w:val="16"/>
                <w:color w:val="auto"/>
              </w:rPr>
              <w:t>Net cash used in financing activities</w:t>
            </w: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(31,282)</w:t>
            </w:r>
          </w:p>
        </w:tc>
        <w:tc>
          <w:tcPr>
            <w:tcW w:w="2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(52,106)</w:t>
            </w:r>
          </w:p>
        </w:tc>
      </w:tr>
      <w:tr>
        <w:trPr>
          <w:trHeight w:val="253"/>
        </w:trPr>
        <w:tc>
          <w:tcPr>
            <w:tcW w:w="77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620" w:type="dxa"/>
            <w:vAlign w:val="bottom"/>
          </w:tcPr>
          <w:p>
            <w:pPr>
              <w:spacing w:after="0"/>
              <w:rPr>
                <w:sz w:val="21"/>
                <w:szCs w:val="21"/>
                <w:color w:val="auto"/>
              </w:rPr>
            </w:pPr>
          </w:p>
        </w:tc>
      </w:tr>
      <w:tr>
        <w:trPr>
          <w:trHeight w:val="216"/>
        </w:trPr>
        <w:tc>
          <w:tcPr>
            <w:tcW w:w="7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effect of exchange rate changes on cash and cash equivalents</w:t>
            </w:r>
          </w:p>
        </w:tc>
        <w:tc>
          <w:tcPr>
            <w:tcW w:w="160" w:type="dxa"/>
            <w:vAlign w:val="bottom"/>
            <w:tcBorders>
              <w:bottom w:val="single" w:sz="8" w:color="auto"/>
            </w:tcBorders>
            <w:shd w:val="clear" w:color="auto" w:fill="CCEEFF"/>
          </w:tcPr>
          <w:p>
            <w:pPr>
              <w:spacing w:after="0"/>
              <w:rPr>
                <w:sz w:val="18"/>
                <w:szCs w:val="18"/>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(1,984)</w:t>
            </w:r>
          </w:p>
        </w:tc>
        <w:tc>
          <w:tcPr>
            <w:tcW w:w="2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2,342</w:t>
            </w:r>
          </w:p>
        </w:tc>
      </w:tr>
      <w:tr>
        <w:trPr>
          <w:trHeight w:val="207"/>
        </w:trPr>
        <w:tc>
          <w:tcPr>
            <w:tcW w:w="77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decrease in cash and cash equivalents</w:t>
            </w: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(36,118)</w:t>
            </w:r>
          </w:p>
        </w:tc>
        <w:tc>
          <w:tcPr>
            <w:tcW w:w="200" w:type="dxa"/>
            <w:vAlign w:val="bottom"/>
          </w:tcPr>
          <w:p>
            <w:pPr>
              <w:spacing w:after="0"/>
              <w:rPr>
                <w:sz w:val="17"/>
                <w:szCs w:val="17"/>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(228,736)</w:t>
            </w:r>
          </w:p>
        </w:tc>
      </w:tr>
      <w:tr>
        <w:trPr>
          <w:trHeight w:val="216"/>
        </w:trPr>
        <w:tc>
          <w:tcPr>
            <w:tcW w:w="7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Cash and cash equivalents, beginning of period</w:t>
            </w:r>
          </w:p>
        </w:tc>
        <w:tc>
          <w:tcPr>
            <w:tcW w:w="160" w:type="dxa"/>
            <w:vAlign w:val="bottom"/>
            <w:tcBorders>
              <w:bottom w:val="single" w:sz="8" w:color="auto"/>
            </w:tcBorders>
            <w:shd w:val="clear" w:color="auto" w:fill="CCEEFF"/>
          </w:tcPr>
          <w:p>
            <w:pPr>
              <w:spacing w:after="0"/>
              <w:rPr>
                <w:sz w:val="18"/>
                <w:szCs w:val="18"/>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487,075</w:t>
            </w:r>
          </w:p>
        </w:tc>
        <w:tc>
          <w:tcPr>
            <w:tcW w:w="2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412,926</w:t>
            </w:r>
          </w:p>
        </w:tc>
      </w:tr>
      <w:tr>
        <w:trPr>
          <w:trHeight w:val="212"/>
        </w:trPr>
        <w:tc>
          <w:tcPr>
            <w:tcW w:w="77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Cash and cash equivalents, end of period</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450,957</w:t>
            </w:r>
          </w:p>
        </w:tc>
        <w:tc>
          <w:tcPr>
            <w:tcW w:w="20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184,190</w:t>
            </w:r>
          </w:p>
        </w:tc>
      </w:tr>
      <w:tr>
        <w:trPr>
          <w:trHeight w:val="20"/>
        </w:trPr>
        <w:tc>
          <w:tcPr>
            <w:tcW w:w="77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ectPr>
          <w:pgSz w:w="11900" w:h="16838" w:orient="portrait"/>
          <w:cols w:equalWidth="0" w:num="1">
            <w:col w:w="11200"/>
          </w:cols>
          <w:pgMar w:left="340" w:top="851" w:right="359" w:bottom="1440" w:gutter="0" w:footer="0" w:header="0"/>
        </w:sectPr>
      </w:pPr>
    </w:p>
    <w:bookmarkStart w:id="15" w:name="page16"/>
    <w:bookmarkEnd w:id="15"/>
    <w:p>
      <w:pPr>
        <w:jc w:val="center"/>
        <w:spacing w:after="0"/>
        <w:rPr>
          <w:sz w:val="20"/>
          <w:szCs w:val="20"/>
          <w:color w:val="auto"/>
        </w:rPr>
      </w:pPr>
      <w:r>
        <w:rPr>
          <w:rFonts w:ascii="Times New Roman" w:cs="Times New Roman" w:eastAsia="Times New Roman" w:hAnsi="Times New Roman"/>
          <w:sz w:val="22"/>
          <w:szCs w:val="22"/>
          <w:b w:val="1"/>
          <w:bCs w:val="1"/>
          <w:color w:val="auto"/>
        </w:rPr>
        <w:t>CARTER’S, INC.</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RECONCILIATION OF GAAP TO ADJUSTED RESULTS</w:t>
      </w:r>
    </w:p>
    <w:p>
      <w:pPr>
        <w:jc w:val="center"/>
        <w:spacing w:after="0"/>
        <w:rPr>
          <w:sz w:val="20"/>
          <w:szCs w:val="20"/>
          <w:color w:val="auto"/>
        </w:rPr>
      </w:pPr>
      <w:r>
        <w:rPr>
          <w:rFonts w:ascii="Times New Roman" w:cs="Times New Roman" w:eastAsia="Times New Roman" w:hAnsi="Times New Roman"/>
          <w:sz w:val="18"/>
          <w:szCs w:val="18"/>
          <w:color w:val="auto"/>
        </w:rPr>
        <w:t>(dollars in millions, except earnings per share)</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(unaudited)</w:t>
      </w:r>
    </w:p>
    <w:p>
      <w:pPr>
        <w:spacing w:after="0" w:line="277"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1220" w:type="dxa"/>
            <w:vAlign w:val="bottom"/>
          </w:tcPr>
          <w:p>
            <w:pPr>
              <w:spacing w:after="0"/>
              <w:rPr>
                <w:sz w:val="18"/>
                <w:szCs w:val="18"/>
                <w:color w:val="auto"/>
              </w:rPr>
            </w:pPr>
          </w:p>
        </w:tc>
        <w:tc>
          <w:tcPr>
            <w:tcW w:w="10020" w:type="dxa"/>
            <w:vAlign w:val="bottom"/>
            <w:tcBorders>
              <w:bottom w:val="single" w:sz="8" w:color="auto"/>
            </w:tcBorders>
            <w:gridSpan w:val="76"/>
          </w:tcPr>
          <w:p>
            <w:pPr>
              <w:spacing w:after="0"/>
              <w:rPr>
                <w:sz w:val="20"/>
                <w:szCs w:val="20"/>
                <w:color w:val="auto"/>
              </w:rPr>
            </w:pPr>
            <w:r>
              <w:rPr>
                <w:rFonts w:ascii="Times New Roman" w:cs="Times New Roman" w:eastAsia="Times New Roman" w:hAnsi="Times New Roman"/>
                <w:sz w:val="16"/>
                <w:szCs w:val="16"/>
                <w:b w:val="1"/>
                <w:bCs w:val="1"/>
                <w:color w:val="auto"/>
              </w:rPr>
              <w:t>Fiscal Quarter Ended October 3, 2026</w:t>
            </w:r>
          </w:p>
        </w:tc>
        <w:tc>
          <w:tcPr>
            <w:tcW w:w="0" w:type="dxa"/>
            <w:vAlign w:val="bottom"/>
          </w:tcPr>
          <w:p>
            <w:pPr>
              <w:spacing w:after="0"/>
              <w:rPr>
                <w:sz w:val="1"/>
                <w:szCs w:val="1"/>
                <w:color w:val="auto"/>
              </w:rPr>
            </w:pPr>
          </w:p>
        </w:tc>
      </w:tr>
      <w:tr>
        <w:trPr>
          <w:trHeight w:val="158"/>
        </w:trPr>
        <w:tc>
          <w:tcPr>
            <w:tcW w:w="12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20" w:type="dxa"/>
            <w:vAlign w:val="bottom"/>
            <w:gridSpan w:val="5"/>
          </w:tcPr>
          <w:p>
            <w:pPr>
              <w:jc w:val="center"/>
              <w:ind w:right="100"/>
              <w:spacing w:after="0" w:line="158" w:lineRule="exact"/>
              <w:rPr>
                <w:sz w:val="20"/>
                <w:szCs w:val="20"/>
                <w:color w:val="auto"/>
              </w:rPr>
            </w:pPr>
            <w:r>
              <w:rPr>
                <w:rFonts w:ascii="Times New Roman" w:cs="Times New Roman" w:eastAsia="Times New Roman" w:hAnsi="Times New Roman"/>
                <w:sz w:val="16"/>
                <w:szCs w:val="16"/>
                <w:b w:val="1"/>
                <w:bCs w:val="1"/>
                <w:color w:val="auto"/>
              </w:rPr>
              <w:t>Cost of</w:t>
            </w: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80" w:type="dxa"/>
            <w:vAlign w:val="bottom"/>
            <w:gridSpan w:val="7"/>
            <w:vMerge w:val="restart"/>
          </w:tcPr>
          <w:p>
            <w:pPr>
              <w:jc w:val="right"/>
              <w:ind w:right="400"/>
              <w:spacing w:after="0"/>
              <w:rPr>
                <w:sz w:val="20"/>
                <w:szCs w:val="20"/>
                <w:color w:val="auto"/>
              </w:rPr>
            </w:pPr>
            <w:r>
              <w:rPr>
                <w:rFonts w:ascii="Times New Roman" w:cs="Times New Roman" w:eastAsia="Times New Roman" w:hAnsi="Times New Roman"/>
                <w:sz w:val="16"/>
                <w:szCs w:val="16"/>
                <w:b w:val="1"/>
                <w:bCs w:val="1"/>
                <w:color w:val="auto"/>
              </w:rPr>
              <w:t>Gross</w:t>
            </w:r>
          </w:p>
        </w:tc>
        <w:tc>
          <w:tcPr>
            <w:tcW w:w="720" w:type="dxa"/>
            <w:vAlign w:val="bottom"/>
            <w:gridSpan w:val="4"/>
            <w:vMerge w:val="restart"/>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rPr>
              <w:t>% Net</w:t>
            </w: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20" w:type="dxa"/>
            <w:vAlign w:val="bottom"/>
            <w:gridSpan w:val="6"/>
            <w:vMerge w:val="restart"/>
          </w:tcPr>
          <w:p>
            <w:pPr>
              <w:jc w:val="right"/>
              <w:ind w:right="400"/>
              <w:spacing w:after="0"/>
              <w:rPr>
                <w:sz w:val="20"/>
                <w:szCs w:val="20"/>
                <w:color w:val="auto"/>
              </w:rPr>
            </w:pPr>
            <w:r>
              <w:rPr>
                <w:rFonts w:ascii="Times New Roman" w:cs="Times New Roman" w:eastAsia="Times New Roman" w:hAnsi="Times New Roman"/>
                <w:sz w:val="16"/>
                <w:szCs w:val="16"/>
                <w:b w:val="1"/>
                <w:bCs w:val="1"/>
                <w:color w:val="auto"/>
              </w:rPr>
              <w:t>SG&amp;A</w:t>
            </w:r>
          </w:p>
        </w:tc>
        <w:tc>
          <w:tcPr>
            <w:tcW w:w="20" w:type="dxa"/>
            <w:vAlign w:val="bottom"/>
          </w:tcPr>
          <w:p>
            <w:pPr>
              <w:spacing w:after="0"/>
              <w:rPr>
                <w:sz w:val="13"/>
                <w:szCs w:val="13"/>
                <w:color w:val="auto"/>
              </w:rPr>
            </w:pPr>
          </w:p>
        </w:tc>
        <w:tc>
          <w:tcPr>
            <w:tcW w:w="720" w:type="dxa"/>
            <w:vAlign w:val="bottom"/>
            <w:gridSpan w:val="4"/>
            <w:vMerge w:val="restart"/>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rPr>
              <w:t>% Net</w:t>
            </w:r>
          </w:p>
        </w:tc>
        <w:tc>
          <w:tcPr>
            <w:tcW w:w="100" w:type="dxa"/>
            <w:vAlign w:val="bottom"/>
          </w:tcPr>
          <w:p>
            <w:pPr>
              <w:spacing w:after="0"/>
              <w:rPr>
                <w:sz w:val="13"/>
                <w:szCs w:val="13"/>
                <w:color w:val="auto"/>
              </w:rPr>
            </w:pPr>
          </w:p>
        </w:tc>
        <w:tc>
          <w:tcPr>
            <w:tcW w:w="1020" w:type="dxa"/>
            <w:vAlign w:val="bottom"/>
            <w:gridSpan w:val="8"/>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Operating</w:t>
            </w:r>
          </w:p>
        </w:tc>
        <w:tc>
          <w:tcPr>
            <w:tcW w:w="60" w:type="dxa"/>
            <w:vAlign w:val="bottom"/>
          </w:tcPr>
          <w:p>
            <w:pPr>
              <w:spacing w:after="0"/>
              <w:rPr>
                <w:sz w:val="13"/>
                <w:szCs w:val="13"/>
                <w:color w:val="auto"/>
              </w:rPr>
            </w:pPr>
          </w:p>
        </w:tc>
        <w:tc>
          <w:tcPr>
            <w:tcW w:w="760" w:type="dxa"/>
            <w:vAlign w:val="bottom"/>
            <w:gridSpan w:val="4"/>
            <w:vMerge w:val="restart"/>
          </w:tcPr>
          <w:p>
            <w:pPr>
              <w:ind w:left="40"/>
              <w:spacing w:after="0"/>
              <w:rPr>
                <w:sz w:val="20"/>
                <w:szCs w:val="20"/>
                <w:color w:val="auto"/>
              </w:rPr>
            </w:pPr>
            <w:r>
              <w:rPr>
                <w:rFonts w:ascii="Times New Roman" w:cs="Times New Roman" w:eastAsia="Times New Roman" w:hAnsi="Times New Roman"/>
                <w:sz w:val="16"/>
                <w:szCs w:val="16"/>
                <w:b w:val="1"/>
                <w:bCs w:val="1"/>
                <w:color w:val="auto"/>
              </w:rPr>
              <w:t>% Net</w:t>
            </w: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80" w:type="dxa"/>
            <w:vAlign w:val="bottom"/>
            <w:gridSpan w:val="6"/>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Interest</w:t>
            </w: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20" w:type="dxa"/>
            <w:vAlign w:val="bottom"/>
            <w:gridSpan w:val="6"/>
            <w:vMerge w:val="restart"/>
          </w:tcPr>
          <w:p>
            <w:pPr>
              <w:jc w:val="right"/>
              <w:ind w:right="179"/>
              <w:spacing w:after="0"/>
              <w:rPr>
                <w:sz w:val="20"/>
                <w:szCs w:val="20"/>
                <w:color w:val="auto"/>
              </w:rPr>
            </w:pPr>
            <w:r>
              <w:rPr>
                <w:rFonts w:ascii="Times New Roman" w:cs="Times New Roman" w:eastAsia="Times New Roman" w:hAnsi="Times New Roman"/>
                <w:sz w:val="16"/>
                <w:szCs w:val="16"/>
                <w:b w:val="1"/>
                <w:bCs w:val="1"/>
                <w:color w:val="auto"/>
              </w:rPr>
              <w:t>Income</w:t>
            </w: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60" w:type="dxa"/>
            <w:vAlign w:val="bottom"/>
            <w:gridSpan w:val="4"/>
            <w:vMerge w:val="restart"/>
          </w:tcPr>
          <w:p>
            <w:pPr>
              <w:jc w:val="right"/>
              <w:ind w:right="360"/>
              <w:spacing w:after="0"/>
              <w:rPr>
                <w:sz w:val="20"/>
                <w:szCs w:val="20"/>
                <w:color w:val="auto"/>
              </w:rPr>
            </w:pPr>
            <w:r>
              <w:rPr>
                <w:rFonts w:ascii="Times New Roman" w:cs="Times New Roman" w:eastAsia="Times New Roman" w:hAnsi="Times New Roman"/>
                <w:sz w:val="16"/>
                <w:szCs w:val="16"/>
                <w:b w:val="1"/>
                <w:bCs w:val="1"/>
                <w:color w:val="auto"/>
              </w:rPr>
              <w:t>Net</w:t>
            </w: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12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20" w:type="dxa"/>
            <w:vAlign w:val="bottom"/>
            <w:gridSpan w:val="5"/>
          </w:tcPr>
          <w:p>
            <w:pPr>
              <w:jc w:val="center"/>
              <w:ind w:right="120"/>
              <w:spacing w:after="0" w:line="162" w:lineRule="exact"/>
              <w:rPr>
                <w:sz w:val="20"/>
                <w:szCs w:val="20"/>
                <w:color w:val="auto"/>
              </w:rPr>
            </w:pPr>
            <w:r>
              <w:rPr>
                <w:rFonts w:ascii="Times New Roman" w:cs="Times New Roman" w:eastAsia="Times New Roman" w:hAnsi="Times New Roman"/>
                <w:sz w:val="16"/>
                <w:szCs w:val="16"/>
                <w:b w:val="1"/>
                <w:bCs w:val="1"/>
                <w:color w:val="auto"/>
              </w:rPr>
              <w:t>Goods</w:t>
            </w: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80" w:type="dxa"/>
            <w:vAlign w:val="bottom"/>
            <w:gridSpan w:val="7"/>
            <w:vMerge w:val="continue"/>
          </w:tcPr>
          <w:p>
            <w:pPr>
              <w:spacing w:after="0"/>
              <w:rPr>
                <w:sz w:val="14"/>
                <w:szCs w:val="14"/>
                <w:color w:val="auto"/>
              </w:rPr>
            </w:pPr>
          </w:p>
        </w:tc>
        <w:tc>
          <w:tcPr>
            <w:tcW w:w="720" w:type="dxa"/>
            <w:vAlign w:val="bottom"/>
            <w:gridSpan w:val="4"/>
            <w:vMerge w:val="continue"/>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920" w:type="dxa"/>
            <w:vAlign w:val="bottom"/>
            <w:gridSpan w:val="6"/>
            <w:vMerge w:val="continue"/>
          </w:tcPr>
          <w:p>
            <w:pPr>
              <w:spacing w:after="0"/>
              <w:rPr>
                <w:sz w:val="14"/>
                <w:szCs w:val="14"/>
                <w:color w:val="auto"/>
              </w:rPr>
            </w:pPr>
          </w:p>
        </w:tc>
        <w:tc>
          <w:tcPr>
            <w:tcW w:w="20" w:type="dxa"/>
            <w:vAlign w:val="bottom"/>
          </w:tcPr>
          <w:p>
            <w:pPr>
              <w:spacing w:after="0"/>
              <w:rPr>
                <w:sz w:val="14"/>
                <w:szCs w:val="14"/>
                <w:color w:val="auto"/>
              </w:rPr>
            </w:pPr>
          </w:p>
        </w:tc>
        <w:tc>
          <w:tcPr>
            <w:tcW w:w="720" w:type="dxa"/>
            <w:vAlign w:val="bottom"/>
            <w:gridSpan w:val="4"/>
            <w:vMerge w:val="continue"/>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gridSpan w:val="8"/>
            <w:vMerge w:val="continue"/>
          </w:tcPr>
          <w:p>
            <w:pPr>
              <w:spacing w:after="0"/>
              <w:rPr>
                <w:sz w:val="14"/>
                <w:szCs w:val="14"/>
                <w:color w:val="auto"/>
              </w:rPr>
            </w:pPr>
          </w:p>
        </w:tc>
        <w:tc>
          <w:tcPr>
            <w:tcW w:w="60" w:type="dxa"/>
            <w:vAlign w:val="bottom"/>
          </w:tcPr>
          <w:p>
            <w:pPr>
              <w:spacing w:after="0"/>
              <w:rPr>
                <w:sz w:val="14"/>
                <w:szCs w:val="14"/>
                <w:color w:val="auto"/>
              </w:rPr>
            </w:pPr>
          </w:p>
        </w:tc>
        <w:tc>
          <w:tcPr>
            <w:tcW w:w="760" w:type="dxa"/>
            <w:vAlign w:val="bottom"/>
            <w:gridSpan w:val="4"/>
            <w:vMerge w:val="continue"/>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80" w:type="dxa"/>
            <w:vAlign w:val="bottom"/>
            <w:gridSpan w:val="6"/>
            <w:vMerge w:val="continue"/>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20" w:type="dxa"/>
            <w:vAlign w:val="bottom"/>
            <w:gridSpan w:val="6"/>
            <w:vMerge w:val="continue"/>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60" w:type="dxa"/>
            <w:vAlign w:val="bottom"/>
            <w:gridSpan w:val="4"/>
            <w:vMerge w:val="continue"/>
          </w:tcPr>
          <w:p>
            <w:pPr>
              <w:spacing w:after="0"/>
              <w:rPr>
                <w:sz w:val="14"/>
                <w:szCs w:val="14"/>
                <w:color w:val="auto"/>
              </w:rPr>
            </w:pPr>
          </w:p>
        </w:tc>
        <w:tc>
          <w:tcPr>
            <w:tcW w:w="60" w:type="dxa"/>
            <w:vAlign w:val="bottom"/>
          </w:tcPr>
          <w:p>
            <w:pPr>
              <w:spacing w:after="0"/>
              <w:rPr>
                <w:sz w:val="14"/>
                <w:szCs w:val="14"/>
                <w:color w:val="auto"/>
              </w:rPr>
            </w:pPr>
          </w:p>
        </w:tc>
        <w:tc>
          <w:tcPr>
            <w:tcW w:w="1080" w:type="dxa"/>
            <w:vAlign w:val="bottom"/>
            <w:gridSpan w:val="3"/>
            <w:vMerge w:val="restart"/>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rPr>
              <w:t>Diluted EPS</w:t>
            </w:r>
          </w:p>
        </w:tc>
        <w:tc>
          <w:tcPr>
            <w:tcW w:w="0" w:type="dxa"/>
            <w:vAlign w:val="bottom"/>
          </w:tcPr>
          <w:p>
            <w:pPr>
              <w:spacing w:after="0"/>
              <w:rPr>
                <w:sz w:val="1"/>
                <w:szCs w:val="1"/>
                <w:color w:val="auto"/>
              </w:rPr>
            </w:pPr>
          </w:p>
        </w:tc>
      </w:tr>
      <w:tr>
        <w:trPr>
          <w:trHeight w:val="214"/>
        </w:trPr>
        <w:tc>
          <w:tcPr>
            <w:tcW w:w="1220" w:type="dxa"/>
            <w:vAlign w:val="bottom"/>
            <w:tcBorders>
              <w:bottom w:val="single" w:sz="8" w:color="CCEEFF"/>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gridSpan w:val="3"/>
          </w:tcPr>
          <w:p>
            <w:pPr>
              <w:jc w:val="center"/>
              <w:ind w:right="99"/>
              <w:spacing w:after="0"/>
              <w:rPr>
                <w:sz w:val="20"/>
                <w:szCs w:val="20"/>
                <w:color w:val="auto"/>
              </w:rPr>
            </w:pPr>
            <w:r>
              <w:rPr>
                <w:rFonts w:ascii="Times New Roman" w:cs="Times New Roman" w:eastAsia="Times New Roman" w:hAnsi="Times New Roman"/>
                <w:sz w:val="16"/>
                <w:szCs w:val="16"/>
                <w:b w:val="1"/>
                <w:bCs w:val="1"/>
                <w:color w:val="auto"/>
                <w:w w:val="99"/>
              </w:rPr>
              <w:t>Sold</w:t>
            </w:r>
          </w:p>
        </w:tc>
        <w:tc>
          <w:tcPr>
            <w:tcW w:w="40" w:type="dxa"/>
            <w:vAlign w:val="bottom"/>
            <w:tcBorders>
              <w:bottom w:val="single" w:sz="8" w:color="CCEEFF"/>
            </w:tcBorders>
          </w:tcPr>
          <w:p>
            <w:pPr>
              <w:spacing w:after="0"/>
              <w:rPr>
                <w:sz w:val="18"/>
                <w:szCs w:val="18"/>
                <w:color w:val="auto"/>
              </w:rPr>
            </w:pPr>
          </w:p>
        </w:tc>
        <w:tc>
          <w:tcPr>
            <w:tcW w:w="40" w:type="dxa"/>
            <w:vAlign w:val="bottom"/>
            <w:tcBorders>
              <w:bottom w:val="single" w:sz="8" w:color="CCEEFF"/>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gridSpan w:val="4"/>
          </w:tcPr>
          <w:p>
            <w:pPr>
              <w:jc w:val="right"/>
              <w:ind w:right="99"/>
              <w:spacing w:after="0"/>
              <w:rPr>
                <w:sz w:val="20"/>
                <w:szCs w:val="20"/>
                <w:color w:val="auto"/>
              </w:rPr>
            </w:pPr>
            <w:r>
              <w:rPr>
                <w:rFonts w:ascii="Times New Roman" w:cs="Times New Roman" w:eastAsia="Times New Roman" w:hAnsi="Times New Roman"/>
                <w:sz w:val="16"/>
                <w:szCs w:val="16"/>
                <w:b w:val="1"/>
                <w:bCs w:val="1"/>
                <w:color w:val="auto"/>
              </w:rPr>
              <w:t>Profit</w:t>
            </w: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gridSpan w:val="2"/>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gridSpan w:val="2"/>
          </w:tcPr>
          <w:p>
            <w:pPr>
              <w:jc w:val="center"/>
              <w:ind w:right="79"/>
              <w:spacing w:after="0"/>
              <w:rPr>
                <w:sz w:val="20"/>
                <w:szCs w:val="20"/>
                <w:color w:val="auto"/>
              </w:rPr>
            </w:pPr>
            <w:r>
              <w:rPr>
                <w:rFonts w:ascii="Times New Roman" w:cs="Times New Roman" w:eastAsia="Times New Roman" w:hAnsi="Times New Roman"/>
                <w:sz w:val="16"/>
                <w:szCs w:val="16"/>
                <w:b w:val="1"/>
                <w:bCs w:val="1"/>
                <w:color w:val="auto"/>
                <w:w w:val="97"/>
              </w:rPr>
              <w:t>Sales</w:t>
            </w:r>
          </w:p>
        </w:tc>
        <w:tc>
          <w:tcPr>
            <w:tcW w:w="100" w:type="dxa"/>
            <w:vAlign w:val="bottom"/>
            <w:tcBorders>
              <w:bottom w:val="single" w:sz="8" w:color="CCEEFF"/>
            </w:tcBorders>
          </w:tcPr>
          <w:p>
            <w:pPr>
              <w:spacing w:after="0"/>
              <w:rPr>
                <w:sz w:val="18"/>
                <w:szCs w:val="18"/>
                <w:color w:val="auto"/>
              </w:rPr>
            </w:pPr>
          </w:p>
        </w:tc>
        <w:tc>
          <w:tcPr>
            <w:tcW w:w="860" w:type="dxa"/>
            <w:vAlign w:val="bottom"/>
            <w:tcBorders>
              <w:bottom w:val="single" w:sz="8" w:color="auto"/>
            </w:tcBorders>
            <w:gridSpan w:val="6"/>
          </w:tcPr>
          <w:p>
            <w:pPr>
              <w:ind w:left="100"/>
              <w:spacing w:after="0"/>
              <w:rPr>
                <w:sz w:val="20"/>
                <w:szCs w:val="20"/>
                <w:color w:val="auto"/>
              </w:rPr>
            </w:pPr>
            <w:r>
              <w:rPr>
                <w:rFonts w:ascii="Times New Roman" w:cs="Times New Roman" w:eastAsia="Times New Roman" w:hAnsi="Times New Roman"/>
                <w:sz w:val="16"/>
                <w:szCs w:val="16"/>
                <w:b w:val="1"/>
                <w:bCs w:val="1"/>
                <w:color w:val="auto"/>
              </w:rPr>
              <w:t>Expenses</w:t>
            </w:r>
          </w:p>
        </w:tc>
        <w:tc>
          <w:tcPr>
            <w:tcW w:w="100" w:type="dxa"/>
            <w:vAlign w:val="bottom"/>
            <w:tcBorders>
              <w:bottom w:val="single" w:sz="8" w:color="CCEEFF"/>
            </w:tcBorders>
            <w:gridSpan w:val="2"/>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gridSpan w:val="2"/>
          </w:tcPr>
          <w:p>
            <w:pPr>
              <w:jc w:val="center"/>
              <w:ind w:right="39"/>
              <w:spacing w:after="0"/>
              <w:rPr>
                <w:sz w:val="20"/>
                <w:szCs w:val="20"/>
                <w:color w:val="auto"/>
              </w:rPr>
            </w:pPr>
            <w:r>
              <w:rPr>
                <w:rFonts w:ascii="Times New Roman" w:cs="Times New Roman" w:eastAsia="Times New Roman" w:hAnsi="Times New Roman"/>
                <w:sz w:val="16"/>
                <w:szCs w:val="16"/>
                <w:b w:val="1"/>
                <w:bCs w:val="1"/>
                <w:color w:val="auto"/>
                <w:w w:val="97"/>
              </w:rPr>
              <w:t>Sales</w:t>
            </w:r>
          </w:p>
        </w:tc>
        <w:tc>
          <w:tcPr>
            <w:tcW w:w="100" w:type="dxa"/>
            <w:vAlign w:val="bottom"/>
            <w:tcBorders>
              <w:bottom w:val="single" w:sz="8" w:color="CCEEFF"/>
            </w:tcBorders>
            <w:gridSpan w:val="2"/>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gridSpan w:val="3"/>
          </w:tcPr>
          <w:p>
            <w:pPr>
              <w:jc w:val="right"/>
              <w:ind w:right="119"/>
              <w:spacing w:after="0"/>
              <w:rPr>
                <w:sz w:val="20"/>
                <w:szCs w:val="20"/>
                <w:color w:val="auto"/>
              </w:rPr>
            </w:pPr>
            <w:r>
              <w:rPr>
                <w:rFonts w:ascii="Times New Roman" w:cs="Times New Roman" w:eastAsia="Times New Roman" w:hAnsi="Times New Roman"/>
                <w:sz w:val="16"/>
                <w:szCs w:val="16"/>
                <w:b w:val="1"/>
                <w:bCs w:val="1"/>
                <w:color w:val="auto"/>
              </w:rPr>
              <w:t>Income</w:t>
            </w:r>
          </w:p>
        </w:tc>
        <w:tc>
          <w:tcPr>
            <w:tcW w:w="100" w:type="dxa"/>
            <w:vAlign w:val="bottom"/>
            <w:tcBorders>
              <w:bottom w:val="single" w:sz="8" w:color="CCEEFF"/>
            </w:tcBorders>
            <w:gridSpan w:val="2"/>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gridSpan w:val="2"/>
          </w:tcPr>
          <w:p>
            <w:pPr>
              <w:ind w:left="80"/>
              <w:spacing w:after="0"/>
              <w:rPr>
                <w:sz w:val="20"/>
                <w:szCs w:val="20"/>
                <w:color w:val="auto"/>
              </w:rPr>
            </w:pPr>
            <w:r>
              <w:rPr>
                <w:rFonts w:ascii="Times New Roman" w:cs="Times New Roman" w:eastAsia="Times New Roman" w:hAnsi="Times New Roman"/>
                <w:sz w:val="16"/>
                <w:szCs w:val="16"/>
                <w:b w:val="1"/>
                <w:bCs w:val="1"/>
                <w:color w:val="auto"/>
              </w:rPr>
              <w:t>Sales</w:t>
            </w:r>
          </w:p>
        </w:tc>
        <w:tc>
          <w:tcPr>
            <w:tcW w:w="100" w:type="dxa"/>
            <w:vAlign w:val="bottom"/>
            <w:tcBorders>
              <w:bottom w:val="single" w:sz="8" w:color="CCEEFF"/>
            </w:tcBorders>
            <w:gridSpan w:val="2"/>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gridSpan w:val="4"/>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rPr>
              <w:t>Income</w:t>
            </w:r>
          </w:p>
        </w:tc>
        <w:tc>
          <w:tcPr>
            <w:tcW w:w="80" w:type="dxa"/>
            <w:vAlign w:val="bottom"/>
            <w:tcBorders>
              <w:bottom w:val="single" w:sz="8" w:color="CCEEFF"/>
            </w:tcBorders>
            <w:gridSpan w:val="2"/>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Taxes</w:t>
            </w:r>
          </w:p>
        </w:tc>
        <w:tc>
          <w:tcPr>
            <w:tcW w:w="100" w:type="dxa"/>
            <w:vAlign w:val="bottom"/>
            <w:tcBorders>
              <w:bottom w:val="single" w:sz="8" w:color="CCEEFF"/>
            </w:tcBorders>
            <w:gridSpan w:val="2"/>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gridSpan w:val="4"/>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Income</w:t>
            </w:r>
          </w:p>
        </w:tc>
        <w:tc>
          <w:tcPr>
            <w:tcW w:w="120" w:type="dxa"/>
            <w:vAlign w:val="bottom"/>
            <w:tcBorders>
              <w:bottom w:val="single" w:sz="8" w:color="CCEEFF"/>
            </w:tcBorders>
            <w:gridSpan w:val="2"/>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gridSpan w:val="3"/>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44"/>
        </w:trPr>
        <w:tc>
          <w:tcPr>
            <w:tcW w:w="1220" w:type="dxa"/>
            <w:vAlign w:val="bottom"/>
            <w:shd w:val="clear" w:color="auto" w:fill="CCEEFF"/>
          </w:tcPr>
          <w:p>
            <w:pPr>
              <w:ind w:left="20"/>
              <w:spacing w:after="0" w:line="144" w:lineRule="exact"/>
              <w:rPr>
                <w:sz w:val="20"/>
                <w:szCs w:val="20"/>
                <w:color w:val="auto"/>
              </w:rPr>
            </w:pPr>
            <w:r>
              <w:rPr>
                <w:rFonts w:ascii="Times New Roman" w:cs="Times New Roman" w:eastAsia="Times New Roman" w:hAnsi="Times New Roman"/>
                <w:sz w:val="16"/>
                <w:szCs w:val="16"/>
                <w:b w:val="1"/>
                <w:bCs w:val="1"/>
                <w:color w:val="auto"/>
              </w:rPr>
              <w:t>As reported</w:t>
            </w:r>
          </w:p>
        </w:tc>
        <w:tc>
          <w:tcPr>
            <w:tcW w:w="18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560" w:type="dxa"/>
            <w:vAlign w:val="bottom"/>
            <w:gridSpan w:val="3"/>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397.7</w:t>
            </w:r>
          </w:p>
        </w:tc>
        <w:tc>
          <w:tcPr>
            <w:tcW w:w="40" w:type="dxa"/>
            <w:vAlign w:val="bottom"/>
            <w:shd w:val="clear" w:color="auto" w:fill="CCEEFF"/>
          </w:tcPr>
          <w:p>
            <w:pPr>
              <w:spacing w:after="0"/>
              <w:rPr>
                <w:sz w:val="12"/>
                <w:szCs w:val="12"/>
                <w:color w:val="auto"/>
              </w:rPr>
            </w:pPr>
          </w:p>
        </w:tc>
        <w:tc>
          <w:tcPr>
            <w:tcW w:w="240" w:type="dxa"/>
            <w:vAlign w:val="bottom"/>
            <w:gridSpan w:val="4"/>
            <w:vMerge w:val="restart"/>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540" w:type="dxa"/>
            <w:vAlign w:val="bottom"/>
            <w:gridSpan w:val="3"/>
            <w:vMerge w:val="restart"/>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354.8</w:t>
            </w:r>
          </w:p>
        </w:tc>
        <w:tc>
          <w:tcPr>
            <w:tcW w:w="220" w:type="dxa"/>
            <w:vAlign w:val="bottom"/>
            <w:gridSpan w:val="3"/>
            <w:shd w:val="clear" w:color="auto" w:fill="CCEEFF"/>
          </w:tcPr>
          <w:p>
            <w:pPr>
              <w:spacing w:after="0"/>
              <w:rPr>
                <w:sz w:val="12"/>
                <w:szCs w:val="12"/>
                <w:color w:val="auto"/>
              </w:rPr>
            </w:pPr>
          </w:p>
        </w:tc>
        <w:tc>
          <w:tcPr>
            <w:tcW w:w="620" w:type="dxa"/>
            <w:vAlign w:val="bottom"/>
            <w:gridSpan w:val="3"/>
            <w:vMerge w:val="restart"/>
            <w:shd w:val="clear" w:color="auto" w:fill="CCEEFF"/>
          </w:tcPr>
          <w:p>
            <w:pPr>
              <w:jc w:val="center"/>
              <w:ind w:left="19"/>
              <w:spacing w:after="0"/>
              <w:rPr>
                <w:sz w:val="20"/>
                <w:szCs w:val="20"/>
                <w:color w:val="auto"/>
              </w:rPr>
            </w:pPr>
            <w:r>
              <w:rPr>
                <w:rFonts w:ascii="Times New Roman" w:cs="Times New Roman" w:eastAsia="Times New Roman" w:hAnsi="Times New Roman"/>
                <w:sz w:val="16"/>
                <w:szCs w:val="16"/>
                <w:color w:val="auto"/>
              </w:rPr>
              <w:t>47.1 %</w:t>
            </w:r>
          </w:p>
        </w:tc>
        <w:tc>
          <w:tcPr>
            <w:tcW w:w="100" w:type="dxa"/>
            <w:vAlign w:val="bottom"/>
            <w:shd w:val="clear" w:color="auto" w:fill="CCEEFF"/>
          </w:tcPr>
          <w:p>
            <w:pPr>
              <w:spacing w:after="0"/>
              <w:rPr>
                <w:sz w:val="12"/>
                <w:szCs w:val="12"/>
                <w:color w:val="auto"/>
              </w:rPr>
            </w:pPr>
          </w:p>
        </w:tc>
        <w:tc>
          <w:tcPr>
            <w:tcW w:w="1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280" w:type="dxa"/>
            <w:vAlign w:val="bottom"/>
            <w:gridSpan w:val="4"/>
            <w:shd w:val="clear" w:color="auto" w:fill="CCEEFF"/>
          </w:tcPr>
          <w:p>
            <w:pPr>
              <w:spacing w:after="0"/>
              <w:rPr>
                <w:sz w:val="12"/>
                <w:szCs w:val="12"/>
                <w:color w:val="auto"/>
              </w:rPr>
            </w:pPr>
          </w:p>
        </w:tc>
        <w:tc>
          <w:tcPr>
            <w:tcW w:w="480" w:type="dxa"/>
            <w:vAlign w:val="bottom"/>
            <w:vMerge w:val="restart"/>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304.2</w:t>
            </w:r>
          </w:p>
        </w:tc>
        <w:tc>
          <w:tcPr>
            <w:tcW w:w="200" w:type="dxa"/>
            <w:vAlign w:val="bottom"/>
            <w:gridSpan w:val="3"/>
            <w:shd w:val="clear" w:color="auto" w:fill="CCEEFF"/>
          </w:tcPr>
          <w:p>
            <w:pPr>
              <w:spacing w:after="0"/>
              <w:rPr>
                <w:sz w:val="12"/>
                <w:szCs w:val="12"/>
                <w:color w:val="auto"/>
              </w:rPr>
            </w:pPr>
          </w:p>
        </w:tc>
        <w:tc>
          <w:tcPr>
            <w:tcW w:w="640" w:type="dxa"/>
            <w:vAlign w:val="bottom"/>
            <w:gridSpan w:val="3"/>
            <w:vMerge w:val="restart"/>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40.4 %</w:t>
            </w:r>
          </w:p>
        </w:tc>
        <w:tc>
          <w:tcPr>
            <w:tcW w:w="100" w:type="dxa"/>
            <w:vAlign w:val="bottom"/>
            <w:gridSpan w:val="2"/>
            <w:shd w:val="clear" w:color="auto" w:fill="CCEEFF"/>
          </w:tcPr>
          <w:p>
            <w:pPr>
              <w:spacing w:after="0"/>
              <w:rPr>
                <w:sz w:val="12"/>
                <w:szCs w:val="12"/>
                <w:color w:val="auto"/>
              </w:rPr>
            </w:pPr>
          </w:p>
        </w:tc>
        <w:tc>
          <w:tcPr>
            <w:tcW w:w="14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200" w:type="dxa"/>
            <w:vAlign w:val="bottom"/>
            <w:gridSpan w:val="3"/>
            <w:shd w:val="clear" w:color="auto" w:fill="CCEEFF"/>
          </w:tcPr>
          <w:p>
            <w:pPr>
              <w:spacing w:after="0"/>
              <w:rPr>
                <w:sz w:val="12"/>
                <w:szCs w:val="12"/>
                <w:color w:val="auto"/>
              </w:rPr>
            </w:pPr>
          </w:p>
        </w:tc>
        <w:tc>
          <w:tcPr>
            <w:tcW w:w="6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55.8</w:t>
            </w:r>
          </w:p>
        </w:tc>
        <w:tc>
          <w:tcPr>
            <w:tcW w:w="180" w:type="dxa"/>
            <w:vAlign w:val="bottom"/>
            <w:gridSpan w:val="3"/>
            <w:shd w:val="clear" w:color="auto" w:fill="CCEEFF"/>
          </w:tcPr>
          <w:p>
            <w:pPr>
              <w:spacing w:after="0"/>
              <w:rPr>
                <w:sz w:val="12"/>
                <w:szCs w:val="12"/>
                <w:color w:val="auto"/>
              </w:rPr>
            </w:pPr>
          </w:p>
        </w:tc>
        <w:tc>
          <w:tcPr>
            <w:tcW w:w="720" w:type="dxa"/>
            <w:vAlign w:val="bottom"/>
            <w:gridSpan w:val="3"/>
            <w:vMerge w:val="restart"/>
            <w:shd w:val="clear" w:color="auto" w:fill="CCEEFF"/>
          </w:tcPr>
          <w:p>
            <w:pPr>
              <w:ind w:left="300"/>
              <w:spacing w:after="0"/>
              <w:rPr>
                <w:sz w:val="20"/>
                <w:szCs w:val="20"/>
                <w:color w:val="auto"/>
              </w:rPr>
            </w:pPr>
            <w:r>
              <w:rPr>
                <w:rFonts w:ascii="Times New Roman" w:cs="Times New Roman" w:eastAsia="Times New Roman" w:hAnsi="Times New Roman"/>
                <w:sz w:val="16"/>
                <w:szCs w:val="16"/>
                <w:color w:val="auto"/>
              </w:rPr>
              <w:t>7.4 %</w:t>
            </w:r>
          </w:p>
        </w:tc>
        <w:tc>
          <w:tcPr>
            <w:tcW w:w="100" w:type="dxa"/>
            <w:vAlign w:val="bottom"/>
            <w:gridSpan w:val="2"/>
            <w:shd w:val="clear" w:color="auto" w:fill="CCEEFF"/>
          </w:tcPr>
          <w:p>
            <w:pPr>
              <w:spacing w:after="0"/>
              <w:rPr>
                <w:sz w:val="12"/>
                <w:szCs w:val="12"/>
                <w:color w:val="auto"/>
              </w:rPr>
            </w:pPr>
          </w:p>
        </w:tc>
        <w:tc>
          <w:tcPr>
            <w:tcW w:w="180" w:type="dxa"/>
            <w:vAlign w:val="bottom"/>
            <w:gridSpan w:val="3"/>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0" w:type="dxa"/>
            <w:vAlign w:val="bottom"/>
            <w:gridSpan w:val="2"/>
            <w:shd w:val="clear" w:color="auto" w:fill="CCEEFF"/>
          </w:tcPr>
          <w:p>
            <w:pPr>
              <w:spacing w:after="0"/>
              <w:rPr>
                <w:sz w:val="12"/>
                <w:szCs w:val="12"/>
                <w:color w:val="auto"/>
              </w:rPr>
            </w:pPr>
          </w:p>
        </w:tc>
        <w:tc>
          <w:tcPr>
            <w:tcW w:w="4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w:t>
            </w:r>
          </w:p>
        </w:tc>
        <w:tc>
          <w:tcPr>
            <w:tcW w:w="80" w:type="dxa"/>
            <w:vAlign w:val="bottom"/>
            <w:gridSpan w:val="2"/>
            <w:shd w:val="clear" w:color="auto" w:fill="CCEEFF"/>
          </w:tcPr>
          <w:p>
            <w:pPr>
              <w:spacing w:after="0"/>
              <w:rPr>
                <w:sz w:val="12"/>
                <w:szCs w:val="12"/>
                <w:color w:val="auto"/>
              </w:rPr>
            </w:pPr>
          </w:p>
        </w:tc>
        <w:tc>
          <w:tcPr>
            <w:tcW w:w="10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200" w:type="dxa"/>
            <w:vAlign w:val="bottom"/>
            <w:gridSpan w:val="2"/>
            <w:shd w:val="clear" w:color="auto" w:fill="CCEEFF"/>
          </w:tcPr>
          <w:p>
            <w:pPr>
              <w:spacing w:after="0"/>
              <w:rPr>
                <w:sz w:val="12"/>
                <w:szCs w:val="12"/>
                <w:color w:val="auto"/>
              </w:rPr>
            </w:pPr>
          </w:p>
        </w:tc>
        <w:tc>
          <w:tcPr>
            <w:tcW w:w="5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11.8</w:t>
            </w:r>
          </w:p>
        </w:tc>
        <w:tc>
          <w:tcPr>
            <w:tcW w:w="120" w:type="dxa"/>
            <w:vAlign w:val="bottom"/>
            <w:gridSpan w:val="3"/>
            <w:shd w:val="clear" w:color="auto" w:fill="CCEEFF"/>
          </w:tcPr>
          <w:p>
            <w:pPr>
              <w:spacing w:after="0"/>
              <w:rPr>
                <w:sz w:val="12"/>
                <w:szCs w:val="12"/>
                <w:color w:val="auto"/>
              </w:rPr>
            </w:pPr>
          </w:p>
        </w:tc>
        <w:tc>
          <w:tcPr>
            <w:tcW w:w="160" w:type="dxa"/>
            <w:vAlign w:val="bottom"/>
            <w:gridSpan w:val="3"/>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20" w:type="dxa"/>
            <w:vAlign w:val="bottom"/>
            <w:gridSpan w:val="2"/>
            <w:shd w:val="clear" w:color="auto" w:fill="CCEEFF"/>
          </w:tcPr>
          <w:p>
            <w:pPr>
              <w:spacing w:after="0"/>
              <w:rPr>
                <w:sz w:val="12"/>
                <w:szCs w:val="12"/>
                <w:color w:val="auto"/>
              </w:rPr>
            </w:pPr>
          </w:p>
        </w:tc>
        <w:tc>
          <w:tcPr>
            <w:tcW w:w="4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36.6</w:t>
            </w:r>
          </w:p>
        </w:tc>
        <w:tc>
          <w:tcPr>
            <w:tcW w:w="120" w:type="dxa"/>
            <w:vAlign w:val="bottom"/>
            <w:gridSpan w:val="2"/>
            <w:shd w:val="clear" w:color="auto" w:fill="CCEEFF"/>
          </w:tcPr>
          <w:p>
            <w:pPr>
              <w:spacing w:after="0"/>
              <w:rPr>
                <w:sz w:val="12"/>
                <w:szCs w:val="12"/>
                <w:color w:val="auto"/>
              </w:rPr>
            </w:pPr>
          </w:p>
        </w:tc>
        <w:tc>
          <w:tcPr>
            <w:tcW w:w="16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340" w:type="dxa"/>
            <w:vAlign w:val="bottom"/>
            <w:shd w:val="clear" w:color="auto" w:fill="CCEEFF"/>
          </w:tcPr>
          <w:p>
            <w:pPr>
              <w:spacing w:after="0"/>
              <w:rPr>
                <w:sz w:val="12"/>
                <w:szCs w:val="12"/>
                <w:color w:val="auto"/>
              </w:rPr>
            </w:pPr>
          </w:p>
        </w:tc>
        <w:tc>
          <w:tcPr>
            <w:tcW w:w="6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w:t>
            </w:r>
          </w:p>
        </w:tc>
        <w:tc>
          <w:tcPr>
            <w:tcW w:w="0" w:type="dxa"/>
            <w:vAlign w:val="bottom"/>
          </w:tcPr>
          <w:p>
            <w:pPr>
              <w:spacing w:after="0"/>
              <w:rPr>
                <w:sz w:val="1"/>
                <w:szCs w:val="1"/>
                <w:color w:val="auto"/>
              </w:rPr>
            </w:pPr>
          </w:p>
        </w:tc>
      </w:tr>
      <w:tr>
        <w:trPr>
          <w:trHeight w:val="216"/>
        </w:trPr>
        <w:tc>
          <w:tcPr>
            <w:tcW w:w="1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(GAAP)</w:t>
            </w:r>
          </w:p>
        </w:tc>
        <w:tc>
          <w:tcPr>
            <w:tcW w:w="180" w:type="dxa"/>
            <w:vAlign w:val="bottom"/>
            <w:gridSpan w:val="2"/>
            <w:vMerge w:val="continue"/>
            <w:shd w:val="clear" w:color="auto" w:fill="CCEEFF"/>
          </w:tcPr>
          <w:p>
            <w:pPr>
              <w:spacing w:after="0"/>
              <w:rPr>
                <w:sz w:val="18"/>
                <w:szCs w:val="18"/>
                <w:color w:val="auto"/>
              </w:rPr>
            </w:pPr>
          </w:p>
        </w:tc>
        <w:tc>
          <w:tcPr>
            <w:tcW w:w="560" w:type="dxa"/>
            <w:vAlign w:val="bottom"/>
            <w:gridSpan w:val="3"/>
            <w:vMerge w:val="continue"/>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40" w:type="dxa"/>
            <w:vAlign w:val="bottom"/>
            <w:gridSpan w:val="4"/>
            <w:vMerge w:val="continue"/>
            <w:shd w:val="clear" w:color="auto" w:fill="CCEEFF"/>
          </w:tcPr>
          <w:p>
            <w:pPr>
              <w:spacing w:after="0"/>
              <w:rPr>
                <w:sz w:val="18"/>
                <w:szCs w:val="18"/>
                <w:color w:val="auto"/>
              </w:rPr>
            </w:pPr>
          </w:p>
        </w:tc>
        <w:tc>
          <w:tcPr>
            <w:tcW w:w="540" w:type="dxa"/>
            <w:vAlign w:val="bottom"/>
            <w:gridSpan w:val="3"/>
            <w:vMerge w:val="continue"/>
            <w:shd w:val="clear" w:color="auto" w:fill="CCEEFF"/>
          </w:tcPr>
          <w:p>
            <w:pPr>
              <w:spacing w:after="0"/>
              <w:rPr>
                <w:sz w:val="18"/>
                <w:szCs w:val="18"/>
                <w:color w:val="auto"/>
              </w:rPr>
            </w:pPr>
          </w:p>
        </w:tc>
        <w:tc>
          <w:tcPr>
            <w:tcW w:w="220" w:type="dxa"/>
            <w:vAlign w:val="bottom"/>
            <w:gridSpan w:val="3"/>
            <w:shd w:val="clear" w:color="auto" w:fill="CCEEFF"/>
          </w:tcPr>
          <w:p>
            <w:pPr>
              <w:spacing w:after="0"/>
              <w:rPr>
                <w:sz w:val="18"/>
                <w:szCs w:val="18"/>
                <w:color w:val="auto"/>
              </w:rPr>
            </w:pPr>
          </w:p>
        </w:tc>
        <w:tc>
          <w:tcPr>
            <w:tcW w:w="620" w:type="dxa"/>
            <w:vAlign w:val="bottom"/>
            <w:gridSpan w:val="3"/>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vMerge w:val="continue"/>
            <w:shd w:val="clear" w:color="auto" w:fill="CCEEFF"/>
          </w:tcPr>
          <w:p>
            <w:pPr>
              <w:spacing w:after="0"/>
              <w:rPr>
                <w:sz w:val="18"/>
                <w:szCs w:val="18"/>
                <w:color w:val="auto"/>
              </w:rPr>
            </w:pPr>
          </w:p>
        </w:tc>
        <w:tc>
          <w:tcPr>
            <w:tcW w:w="280" w:type="dxa"/>
            <w:vAlign w:val="bottom"/>
            <w:gridSpan w:val="4"/>
            <w:shd w:val="clear" w:color="auto" w:fill="CCEEFF"/>
          </w:tcPr>
          <w:p>
            <w:pPr>
              <w:spacing w:after="0"/>
              <w:rPr>
                <w:sz w:val="18"/>
                <w:szCs w:val="18"/>
                <w:color w:val="auto"/>
              </w:rPr>
            </w:pPr>
          </w:p>
        </w:tc>
        <w:tc>
          <w:tcPr>
            <w:tcW w:w="480" w:type="dxa"/>
            <w:vAlign w:val="bottom"/>
            <w:vMerge w:val="continue"/>
            <w:shd w:val="clear" w:color="auto" w:fill="CCEEFF"/>
          </w:tcPr>
          <w:p>
            <w:pPr>
              <w:spacing w:after="0"/>
              <w:rPr>
                <w:sz w:val="18"/>
                <w:szCs w:val="18"/>
                <w:color w:val="auto"/>
              </w:rPr>
            </w:pPr>
          </w:p>
        </w:tc>
        <w:tc>
          <w:tcPr>
            <w:tcW w:w="200" w:type="dxa"/>
            <w:vAlign w:val="bottom"/>
            <w:gridSpan w:val="3"/>
            <w:shd w:val="clear" w:color="auto" w:fill="CCEEFF"/>
          </w:tcPr>
          <w:p>
            <w:pPr>
              <w:spacing w:after="0"/>
              <w:rPr>
                <w:sz w:val="18"/>
                <w:szCs w:val="18"/>
                <w:color w:val="auto"/>
              </w:rPr>
            </w:pPr>
          </w:p>
        </w:tc>
        <w:tc>
          <w:tcPr>
            <w:tcW w:w="640" w:type="dxa"/>
            <w:vAlign w:val="bottom"/>
            <w:gridSpan w:val="3"/>
            <w:vMerge w:val="continue"/>
            <w:shd w:val="clear" w:color="auto" w:fill="CCEEFF"/>
          </w:tcPr>
          <w:p>
            <w:pPr>
              <w:spacing w:after="0"/>
              <w:rPr>
                <w:sz w:val="18"/>
                <w:szCs w:val="18"/>
                <w:color w:val="auto"/>
              </w:rPr>
            </w:pPr>
          </w:p>
        </w:tc>
        <w:tc>
          <w:tcPr>
            <w:tcW w:w="100" w:type="dxa"/>
            <w:vAlign w:val="bottom"/>
            <w:gridSpan w:val="2"/>
            <w:shd w:val="clear" w:color="auto" w:fill="CCEEFF"/>
          </w:tcPr>
          <w:p>
            <w:pPr>
              <w:spacing w:after="0"/>
              <w:rPr>
                <w:sz w:val="18"/>
                <w:szCs w:val="18"/>
                <w:color w:val="auto"/>
              </w:rPr>
            </w:pPr>
          </w:p>
        </w:tc>
        <w:tc>
          <w:tcPr>
            <w:tcW w:w="140" w:type="dxa"/>
            <w:vAlign w:val="bottom"/>
            <w:gridSpan w:val="2"/>
            <w:vMerge w:val="continue"/>
            <w:shd w:val="clear" w:color="auto" w:fill="CCEEFF"/>
          </w:tcPr>
          <w:p>
            <w:pPr>
              <w:spacing w:after="0"/>
              <w:rPr>
                <w:sz w:val="18"/>
                <w:szCs w:val="18"/>
                <w:color w:val="auto"/>
              </w:rPr>
            </w:pPr>
          </w:p>
        </w:tc>
        <w:tc>
          <w:tcPr>
            <w:tcW w:w="200" w:type="dxa"/>
            <w:vAlign w:val="bottom"/>
            <w:gridSpan w:val="3"/>
            <w:shd w:val="clear" w:color="auto" w:fill="CCEEFF"/>
          </w:tcPr>
          <w:p>
            <w:pPr>
              <w:spacing w:after="0"/>
              <w:rPr>
                <w:sz w:val="18"/>
                <w:szCs w:val="18"/>
                <w:color w:val="auto"/>
              </w:rPr>
            </w:pPr>
          </w:p>
        </w:tc>
        <w:tc>
          <w:tcPr>
            <w:tcW w:w="600" w:type="dxa"/>
            <w:vAlign w:val="bottom"/>
            <w:vMerge w:val="continue"/>
            <w:shd w:val="clear" w:color="auto" w:fill="CCEEFF"/>
          </w:tcPr>
          <w:p>
            <w:pPr>
              <w:spacing w:after="0"/>
              <w:rPr>
                <w:sz w:val="18"/>
                <w:szCs w:val="18"/>
                <w:color w:val="auto"/>
              </w:rPr>
            </w:pPr>
          </w:p>
        </w:tc>
        <w:tc>
          <w:tcPr>
            <w:tcW w:w="180" w:type="dxa"/>
            <w:vAlign w:val="bottom"/>
            <w:gridSpan w:val="3"/>
            <w:shd w:val="clear" w:color="auto" w:fill="CCEEFF"/>
          </w:tcPr>
          <w:p>
            <w:pPr>
              <w:spacing w:after="0"/>
              <w:rPr>
                <w:sz w:val="18"/>
                <w:szCs w:val="18"/>
                <w:color w:val="auto"/>
              </w:rPr>
            </w:pPr>
          </w:p>
        </w:tc>
        <w:tc>
          <w:tcPr>
            <w:tcW w:w="720" w:type="dxa"/>
            <w:vAlign w:val="bottom"/>
            <w:gridSpan w:val="3"/>
            <w:vMerge w:val="continue"/>
            <w:shd w:val="clear" w:color="auto" w:fill="CCEEFF"/>
          </w:tcPr>
          <w:p>
            <w:pPr>
              <w:spacing w:after="0"/>
              <w:rPr>
                <w:sz w:val="18"/>
                <w:szCs w:val="18"/>
                <w:color w:val="auto"/>
              </w:rPr>
            </w:pPr>
          </w:p>
        </w:tc>
        <w:tc>
          <w:tcPr>
            <w:tcW w:w="100" w:type="dxa"/>
            <w:vAlign w:val="bottom"/>
            <w:gridSpan w:val="2"/>
            <w:shd w:val="clear" w:color="auto" w:fill="CCEEFF"/>
          </w:tcPr>
          <w:p>
            <w:pPr>
              <w:spacing w:after="0"/>
              <w:rPr>
                <w:sz w:val="18"/>
                <w:szCs w:val="18"/>
                <w:color w:val="auto"/>
              </w:rPr>
            </w:pPr>
          </w:p>
        </w:tc>
        <w:tc>
          <w:tcPr>
            <w:tcW w:w="180" w:type="dxa"/>
            <w:vAlign w:val="bottom"/>
            <w:gridSpan w:val="3"/>
            <w:vMerge w:val="continue"/>
            <w:shd w:val="clear" w:color="auto" w:fill="CCEEFF"/>
          </w:tcPr>
          <w:p>
            <w:pPr>
              <w:spacing w:after="0"/>
              <w:rPr>
                <w:sz w:val="18"/>
                <w:szCs w:val="18"/>
                <w:color w:val="auto"/>
              </w:rPr>
            </w:pPr>
          </w:p>
        </w:tc>
        <w:tc>
          <w:tcPr>
            <w:tcW w:w="140" w:type="dxa"/>
            <w:vAlign w:val="bottom"/>
            <w:gridSpan w:val="2"/>
            <w:shd w:val="clear" w:color="auto" w:fill="CCEEFF"/>
          </w:tcPr>
          <w:p>
            <w:pPr>
              <w:spacing w:after="0"/>
              <w:rPr>
                <w:sz w:val="18"/>
                <w:szCs w:val="18"/>
                <w:color w:val="auto"/>
              </w:rPr>
            </w:pPr>
          </w:p>
        </w:tc>
        <w:tc>
          <w:tcPr>
            <w:tcW w:w="480" w:type="dxa"/>
            <w:vAlign w:val="bottom"/>
            <w:vMerge w:val="continue"/>
            <w:shd w:val="clear" w:color="auto" w:fill="CCEEFF"/>
          </w:tcPr>
          <w:p>
            <w:pPr>
              <w:spacing w:after="0"/>
              <w:rPr>
                <w:sz w:val="18"/>
                <w:szCs w:val="18"/>
                <w:color w:val="auto"/>
              </w:rPr>
            </w:pPr>
          </w:p>
        </w:tc>
        <w:tc>
          <w:tcPr>
            <w:tcW w:w="80" w:type="dxa"/>
            <w:vAlign w:val="bottom"/>
            <w:gridSpan w:val="2"/>
            <w:shd w:val="clear" w:color="auto" w:fill="CCEEFF"/>
          </w:tcPr>
          <w:p>
            <w:pPr>
              <w:spacing w:after="0"/>
              <w:rPr>
                <w:sz w:val="18"/>
                <w:szCs w:val="18"/>
                <w:color w:val="auto"/>
              </w:rPr>
            </w:pPr>
          </w:p>
        </w:tc>
        <w:tc>
          <w:tcPr>
            <w:tcW w:w="100" w:type="dxa"/>
            <w:vAlign w:val="bottom"/>
            <w:gridSpan w:val="2"/>
            <w:vMerge w:val="continue"/>
            <w:shd w:val="clear" w:color="auto" w:fill="CCEEFF"/>
          </w:tcPr>
          <w:p>
            <w:pPr>
              <w:spacing w:after="0"/>
              <w:rPr>
                <w:sz w:val="18"/>
                <w:szCs w:val="18"/>
                <w:color w:val="auto"/>
              </w:rPr>
            </w:pPr>
          </w:p>
        </w:tc>
        <w:tc>
          <w:tcPr>
            <w:tcW w:w="200" w:type="dxa"/>
            <w:vAlign w:val="bottom"/>
            <w:gridSpan w:val="2"/>
            <w:shd w:val="clear" w:color="auto" w:fill="CCEEFF"/>
          </w:tcPr>
          <w:p>
            <w:pPr>
              <w:spacing w:after="0"/>
              <w:rPr>
                <w:sz w:val="18"/>
                <w:szCs w:val="18"/>
                <w:color w:val="auto"/>
              </w:rPr>
            </w:pPr>
          </w:p>
        </w:tc>
        <w:tc>
          <w:tcPr>
            <w:tcW w:w="500" w:type="dxa"/>
            <w:vAlign w:val="bottom"/>
            <w:vMerge w:val="continue"/>
            <w:shd w:val="clear" w:color="auto" w:fill="CCEEFF"/>
          </w:tcPr>
          <w:p>
            <w:pPr>
              <w:spacing w:after="0"/>
              <w:rPr>
                <w:sz w:val="18"/>
                <w:szCs w:val="18"/>
                <w:color w:val="auto"/>
              </w:rPr>
            </w:pPr>
          </w:p>
        </w:tc>
        <w:tc>
          <w:tcPr>
            <w:tcW w:w="120" w:type="dxa"/>
            <w:vAlign w:val="bottom"/>
            <w:gridSpan w:val="3"/>
            <w:shd w:val="clear" w:color="auto" w:fill="CCEEFF"/>
          </w:tcPr>
          <w:p>
            <w:pPr>
              <w:spacing w:after="0"/>
              <w:rPr>
                <w:sz w:val="18"/>
                <w:szCs w:val="18"/>
                <w:color w:val="auto"/>
              </w:rPr>
            </w:pPr>
          </w:p>
        </w:tc>
        <w:tc>
          <w:tcPr>
            <w:tcW w:w="160" w:type="dxa"/>
            <w:vAlign w:val="bottom"/>
            <w:gridSpan w:val="3"/>
            <w:vMerge w:val="continue"/>
            <w:shd w:val="clear" w:color="auto" w:fill="CCEEFF"/>
          </w:tcPr>
          <w:p>
            <w:pPr>
              <w:spacing w:after="0"/>
              <w:rPr>
                <w:sz w:val="18"/>
                <w:szCs w:val="18"/>
                <w:color w:val="auto"/>
              </w:rPr>
            </w:pPr>
          </w:p>
        </w:tc>
        <w:tc>
          <w:tcPr>
            <w:tcW w:w="120" w:type="dxa"/>
            <w:vAlign w:val="bottom"/>
            <w:gridSpan w:val="2"/>
            <w:shd w:val="clear" w:color="auto" w:fill="CCEEFF"/>
          </w:tcPr>
          <w:p>
            <w:pPr>
              <w:spacing w:after="0"/>
              <w:rPr>
                <w:sz w:val="18"/>
                <w:szCs w:val="18"/>
                <w:color w:val="auto"/>
              </w:rPr>
            </w:pPr>
          </w:p>
        </w:tc>
        <w:tc>
          <w:tcPr>
            <w:tcW w:w="440" w:type="dxa"/>
            <w:vAlign w:val="bottom"/>
            <w:vMerge w:val="continue"/>
            <w:shd w:val="clear" w:color="auto" w:fill="CCEEFF"/>
          </w:tcPr>
          <w:p>
            <w:pPr>
              <w:spacing w:after="0"/>
              <w:rPr>
                <w:sz w:val="18"/>
                <w:szCs w:val="18"/>
                <w:color w:val="auto"/>
              </w:rPr>
            </w:pPr>
          </w:p>
        </w:tc>
        <w:tc>
          <w:tcPr>
            <w:tcW w:w="120" w:type="dxa"/>
            <w:vAlign w:val="bottom"/>
            <w:gridSpan w:val="2"/>
            <w:shd w:val="clear" w:color="auto" w:fill="CCEEFF"/>
          </w:tcPr>
          <w:p>
            <w:pPr>
              <w:spacing w:after="0"/>
              <w:rPr>
                <w:sz w:val="18"/>
                <w:szCs w:val="18"/>
                <w:color w:val="auto"/>
              </w:rPr>
            </w:pPr>
          </w:p>
        </w:tc>
        <w:tc>
          <w:tcPr>
            <w:tcW w:w="160" w:type="dxa"/>
            <w:vAlign w:val="bottom"/>
            <w:gridSpan w:val="2"/>
            <w:vMerge w:val="continue"/>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64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620" w:type="dxa"/>
            <w:vAlign w:val="bottom"/>
            <w:gridSpan w:val="5"/>
          </w:tcPr>
          <w:p>
            <w:pPr>
              <w:ind w:left="20"/>
              <w:spacing w:after="0" w:line="216" w:lineRule="exact"/>
              <w:rPr>
                <w:sz w:val="20"/>
                <w:szCs w:val="20"/>
                <w:color w:val="auto"/>
              </w:rPr>
            </w:pPr>
            <w:r>
              <w:rPr>
                <w:rFonts w:ascii="Times New Roman" w:cs="Times New Roman" w:eastAsia="Times New Roman" w:hAnsi="Times New Roman"/>
                <w:sz w:val="16"/>
                <w:szCs w:val="16"/>
                <w:color w:val="auto"/>
              </w:rPr>
              <w:t xml:space="preserve">IP litigation </w:t>
            </w:r>
            <w:r>
              <w:rPr>
                <w:rFonts w:ascii="Times New Roman" w:cs="Times New Roman" w:eastAsia="Times New Roman" w:hAnsi="Times New Roman"/>
                <w:sz w:val="21"/>
                <w:szCs w:val="21"/>
                <w:color w:val="auto"/>
                <w:vertAlign w:val="superscript"/>
              </w:rPr>
              <w:t>(b)</w:t>
            </w:r>
          </w:p>
        </w:tc>
        <w:tc>
          <w:tcPr>
            <w:tcW w:w="820" w:type="dxa"/>
            <w:vAlign w:val="bottom"/>
            <w:gridSpan w:val="8"/>
          </w:tcPr>
          <w:p>
            <w:pPr>
              <w:jc w:val="right"/>
              <w:ind w:right="479"/>
              <w:spacing w:after="0"/>
              <w:rPr>
                <w:sz w:val="20"/>
                <w:szCs w:val="20"/>
                <w:color w:val="auto"/>
              </w:rPr>
            </w:pPr>
            <w:r>
              <w:rPr>
                <w:rFonts w:ascii="Times New Roman" w:cs="Times New Roman" w:eastAsia="Times New Roman" w:hAnsi="Times New Roman"/>
                <w:sz w:val="16"/>
                <w:szCs w:val="16"/>
                <w:color w:val="auto"/>
              </w:rPr>
              <w:t>—</w:t>
            </w:r>
          </w:p>
        </w:tc>
        <w:tc>
          <w:tcPr>
            <w:tcW w:w="1660" w:type="dxa"/>
            <w:vAlign w:val="bottom"/>
            <w:gridSpan w:val="13"/>
          </w:tcPr>
          <w:p>
            <w:pPr>
              <w:jc w:val="right"/>
              <w:ind w:right="1319"/>
              <w:spacing w:after="0"/>
              <w:rPr>
                <w:sz w:val="20"/>
                <w:szCs w:val="20"/>
                <w:color w:val="auto"/>
              </w:rPr>
            </w:pPr>
            <w:r>
              <w:rPr>
                <w:rFonts w:ascii="Times New Roman" w:cs="Times New Roman" w:eastAsia="Times New Roman" w:hAnsi="Times New Roman"/>
                <w:sz w:val="16"/>
                <w:szCs w:val="16"/>
                <w:color w:val="auto"/>
              </w:rPr>
              <w:t>—</w:t>
            </w:r>
          </w:p>
        </w:tc>
        <w:tc>
          <w:tcPr>
            <w:tcW w:w="1760" w:type="dxa"/>
            <w:vAlign w:val="bottom"/>
            <w:gridSpan w:val="14"/>
          </w:tcPr>
          <w:p>
            <w:pPr>
              <w:jc w:val="right"/>
              <w:ind w:right="1239"/>
              <w:spacing w:after="0"/>
              <w:rPr>
                <w:sz w:val="20"/>
                <w:szCs w:val="20"/>
                <w:color w:val="auto"/>
              </w:rPr>
            </w:pPr>
            <w:r>
              <w:rPr>
                <w:rFonts w:ascii="Times New Roman" w:cs="Times New Roman" w:eastAsia="Times New Roman" w:hAnsi="Times New Roman"/>
                <w:sz w:val="16"/>
                <w:szCs w:val="16"/>
                <w:color w:val="auto"/>
              </w:rPr>
              <w:t>(1.2)</w:t>
            </w:r>
          </w:p>
        </w:tc>
        <w:tc>
          <w:tcPr>
            <w:tcW w:w="1920" w:type="dxa"/>
            <w:vAlign w:val="bottom"/>
            <w:gridSpan w:val="14"/>
          </w:tcPr>
          <w:p>
            <w:pPr>
              <w:jc w:val="right"/>
              <w:ind w:right="1299"/>
              <w:spacing w:after="0"/>
              <w:rPr>
                <w:sz w:val="20"/>
                <w:szCs w:val="20"/>
                <w:color w:val="auto"/>
              </w:rPr>
            </w:pPr>
            <w:r>
              <w:rPr>
                <w:rFonts w:ascii="Times New Roman" w:cs="Times New Roman" w:eastAsia="Times New Roman" w:hAnsi="Times New Roman"/>
                <w:sz w:val="16"/>
                <w:szCs w:val="16"/>
                <w:color w:val="auto"/>
              </w:rPr>
              <w:t>1.2</w:t>
            </w:r>
          </w:p>
        </w:tc>
        <w:tc>
          <w:tcPr>
            <w:tcW w:w="860" w:type="dxa"/>
            <w:vAlign w:val="bottom"/>
            <w:gridSpan w:val="7"/>
          </w:tcPr>
          <w:p>
            <w:pPr>
              <w:jc w:val="right"/>
              <w:ind w:right="379"/>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gridSpan w:val="9"/>
          </w:tcPr>
          <w:p>
            <w:pPr>
              <w:jc w:val="right"/>
              <w:ind w:right="399"/>
              <w:spacing w:after="0"/>
              <w:rPr>
                <w:sz w:val="20"/>
                <w:szCs w:val="20"/>
                <w:color w:val="auto"/>
              </w:rPr>
            </w:pPr>
            <w:r>
              <w:rPr>
                <w:rFonts w:ascii="Times New Roman" w:cs="Times New Roman" w:eastAsia="Times New Roman" w:hAnsi="Times New Roman"/>
                <w:sz w:val="16"/>
                <w:szCs w:val="16"/>
                <w:color w:val="auto"/>
              </w:rPr>
              <w:t>0.3</w:t>
            </w:r>
          </w:p>
        </w:tc>
        <w:tc>
          <w:tcPr>
            <w:tcW w:w="1060" w:type="dxa"/>
            <w:vAlign w:val="bottom"/>
            <w:gridSpan w:val="6"/>
          </w:tcPr>
          <w:p>
            <w:pPr>
              <w:jc w:val="right"/>
              <w:ind w:right="599"/>
              <w:spacing w:after="0"/>
              <w:rPr>
                <w:sz w:val="20"/>
                <w:szCs w:val="20"/>
                <w:color w:val="auto"/>
              </w:rPr>
            </w:pPr>
            <w:r>
              <w:rPr>
                <w:rFonts w:ascii="Times New Roman" w:cs="Times New Roman" w:eastAsia="Times New Roman" w:hAnsi="Times New Roman"/>
                <w:sz w:val="16"/>
                <w:szCs w:val="16"/>
                <w:color w:val="auto"/>
              </w:rPr>
              <w:t>0.9</w:t>
            </w: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0.02</w:t>
            </w:r>
          </w:p>
        </w:tc>
        <w:tc>
          <w:tcPr>
            <w:tcW w:w="0" w:type="dxa"/>
            <w:vAlign w:val="bottom"/>
          </w:tcPr>
          <w:p>
            <w:pPr>
              <w:spacing w:after="0"/>
              <w:rPr>
                <w:sz w:val="1"/>
                <w:szCs w:val="1"/>
                <w:color w:val="auto"/>
              </w:rPr>
            </w:pPr>
          </w:p>
        </w:tc>
      </w:tr>
      <w:tr>
        <w:trPr>
          <w:trHeight w:val="234"/>
        </w:trPr>
        <w:tc>
          <w:tcPr>
            <w:tcW w:w="1220" w:type="dxa"/>
            <w:vAlign w:val="bottom"/>
            <w:tcBorders>
              <w:top w:val="single" w:sz="8" w:color="CCEEFF"/>
              <w:bottom w:val="single" w:sz="8" w:color="CCEEFF"/>
            </w:tcBorders>
            <w:shd w:val="clear" w:color="auto" w:fill="CCEEFF"/>
          </w:tcPr>
          <w:p>
            <w:pPr>
              <w:ind w:left="20"/>
              <w:spacing w:after="0" w:line="210" w:lineRule="exact"/>
              <w:rPr>
                <w:sz w:val="20"/>
                <w:szCs w:val="20"/>
                <w:color w:val="auto"/>
              </w:rPr>
            </w:pPr>
            <w:r>
              <w:rPr>
                <w:rFonts w:ascii="Times New Roman" w:cs="Times New Roman" w:eastAsia="Times New Roman" w:hAnsi="Times New Roman"/>
                <w:sz w:val="16"/>
                <w:szCs w:val="16"/>
                <w:b w:val="1"/>
                <w:bCs w:val="1"/>
                <w:color w:val="auto"/>
              </w:rPr>
              <w:t xml:space="preserve">As adjusted </w:t>
            </w:r>
            <w:r>
              <w:rPr>
                <w:rFonts w:ascii="Times New Roman" w:cs="Times New Roman" w:eastAsia="Times New Roman" w:hAnsi="Times New Roman"/>
                <w:sz w:val="21"/>
                <w:szCs w:val="21"/>
                <w:b w:val="1"/>
                <w:bCs w:val="1"/>
                <w:color w:val="auto"/>
                <w:vertAlign w:val="superscript"/>
              </w:rPr>
              <w:t>(a)</w:t>
            </w:r>
          </w:p>
        </w:tc>
        <w:tc>
          <w:tcPr>
            <w:tcW w:w="18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560" w:type="dxa"/>
            <w:vAlign w:val="bottom"/>
            <w:tcBorders>
              <w:top w:val="single" w:sz="8" w:color="auto"/>
              <w:bottom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397.7</w:t>
            </w:r>
          </w:p>
        </w:tc>
        <w:tc>
          <w:tcPr>
            <w:tcW w:w="80" w:type="dxa"/>
            <w:vAlign w:val="bottom"/>
            <w:tcBorders>
              <w:top w:val="single" w:sz="8" w:color="CCEEFF"/>
              <w:bottom w:val="single" w:sz="8" w:color="CCEEFF"/>
            </w:tcBorders>
            <w:gridSpan w:val="2"/>
            <w:shd w:val="clear" w:color="auto" w:fill="CCEEFF"/>
          </w:tcPr>
          <w:p>
            <w:pPr>
              <w:spacing w:after="0"/>
              <w:rPr>
                <w:sz w:val="19"/>
                <w:szCs w:val="19"/>
                <w:color w:val="auto"/>
              </w:rPr>
            </w:pPr>
          </w:p>
        </w:tc>
        <w:tc>
          <w:tcPr>
            <w:tcW w:w="200" w:type="dxa"/>
            <w:vAlign w:val="bottom"/>
            <w:tcBorders>
              <w:top w:val="single" w:sz="8" w:color="auto"/>
              <w:bottom w:val="single" w:sz="8" w:color="auto"/>
            </w:tcBorders>
            <w:gridSpan w:val="3"/>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540" w:type="dxa"/>
            <w:vAlign w:val="bottom"/>
            <w:tcBorders>
              <w:top w:val="single" w:sz="8" w:color="auto"/>
              <w:bottom w:val="single" w:sz="8" w:color="auto"/>
            </w:tcBorders>
            <w:gridSpan w:val="3"/>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354.8</w:t>
            </w:r>
          </w:p>
        </w:tc>
        <w:tc>
          <w:tcPr>
            <w:tcW w:w="940" w:type="dxa"/>
            <w:vAlign w:val="bottom"/>
            <w:tcBorders>
              <w:top w:val="single" w:sz="8" w:color="CCEEFF"/>
              <w:bottom w:val="single" w:sz="8" w:color="CCEEFF"/>
            </w:tcBorders>
            <w:gridSpan w:val="7"/>
            <w:shd w:val="clear" w:color="auto" w:fill="CCEEFF"/>
          </w:tcPr>
          <w:p>
            <w:pPr>
              <w:jc w:val="right"/>
              <w:ind w:right="940"/>
              <w:spacing w:after="0"/>
              <w:rPr>
                <w:sz w:val="20"/>
                <w:szCs w:val="20"/>
                <w:color w:val="auto"/>
              </w:rPr>
            </w:pPr>
            <w:r>
              <w:rPr>
                <w:rFonts w:ascii="Times New Roman" w:cs="Times New Roman" w:eastAsia="Times New Roman" w:hAnsi="Times New Roman"/>
                <w:sz w:val="16"/>
                <w:szCs w:val="16"/>
                <w:color w:val="auto"/>
              </w:rPr>
              <w:t>47.1 %</w:t>
            </w:r>
          </w:p>
        </w:tc>
        <w:tc>
          <w:tcPr>
            <w:tcW w:w="380" w:type="dxa"/>
            <w:vAlign w:val="bottom"/>
            <w:tcBorders>
              <w:top w:val="single" w:sz="8" w:color="auto"/>
              <w:bottom w:val="single" w:sz="8" w:color="auto"/>
            </w:tcBorders>
            <w:gridSpan w:val="5"/>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480" w:type="dxa"/>
            <w:vAlign w:val="bottom"/>
            <w:tcBorders>
              <w:top w:val="single" w:sz="8" w:color="auto"/>
              <w:bottom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303.0</w:t>
            </w:r>
          </w:p>
        </w:tc>
        <w:tc>
          <w:tcPr>
            <w:tcW w:w="940" w:type="dxa"/>
            <w:vAlign w:val="bottom"/>
            <w:tcBorders>
              <w:top w:val="single" w:sz="8" w:color="CCEEFF"/>
              <w:bottom w:val="single" w:sz="8" w:color="CCEEFF"/>
            </w:tcBorders>
            <w:gridSpan w:val="8"/>
            <w:shd w:val="clear" w:color="auto" w:fill="CCEEFF"/>
          </w:tcPr>
          <w:p>
            <w:pPr>
              <w:jc w:val="right"/>
              <w:ind w:right="940"/>
              <w:spacing w:after="0"/>
              <w:rPr>
                <w:sz w:val="20"/>
                <w:szCs w:val="20"/>
                <w:color w:val="auto"/>
              </w:rPr>
            </w:pPr>
            <w:r>
              <w:rPr>
                <w:rFonts w:ascii="Times New Roman" w:cs="Times New Roman" w:eastAsia="Times New Roman" w:hAnsi="Times New Roman"/>
                <w:sz w:val="16"/>
                <w:szCs w:val="16"/>
                <w:color w:val="auto"/>
              </w:rPr>
              <w:t>40.3 %</w:t>
            </w:r>
          </w:p>
        </w:tc>
        <w:tc>
          <w:tcPr>
            <w:tcW w:w="340" w:type="dxa"/>
            <w:vAlign w:val="bottom"/>
            <w:tcBorders>
              <w:top w:val="single" w:sz="8" w:color="auto"/>
              <w:bottom w:val="single" w:sz="8" w:color="auto"/>
            </w:tcBorders>
            <w:gridSpan w:val="5"/>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56.9</w:t>
            </w:r>
          </w:p>
        </w:tc>
        <w:tc>
          <w:tcPr>
            <w:tcW w:w="1000" w:type="dxa"/>
            <w:vAlign w:val="bottom"/>
            <w:tcBorders>
              <w:top w:val="single" w:sz="8" w:color="CCEEFF"/>
              <w:bottom w:val="single" w:sz="8" w:color="CCEEFF"/>
            </w:tcBorders>
            <w:gridSpan w:val="8"/>
            <w:shd w:val="clear" w:color="auto" w:fill="CCEEFF"/>
          </w:tcPr>
          <w:p>
            <w:pPr>
              <w:jc w:val="right"/>
              <w:ind w:right="1000"/>
              <w:spacing w:after="0"/>
              <w:rPr>
                <w:sz w:val="20"/>
                <w:szCs w:val="20"/>
                <w:color w:val="auto"/>
              </w:rPr>
            </w:pPr>
            <w:r>
              <w:rPr>
                <w:rFonts w:ascii="Times New Roman" w:cs="Times New Roman" w:eastAsia="Times New Roman" w:hAnsi="Times New Roman"/>
                <w:sz w:val="16"/>
                <w:szCs w:val="16"/>
                <w:color w:val="auto"/>
              </w:rPr>
              <w:t>7.6 %</w:t>
            </w:r>
          </w:p>
        </w:tc>
        <w:tc>
          <w:tcPr>
            <w:tcW w:w="320" w:type="dxa"/>
            <w:vAlign w:val="bottom"/>
            <w:tcBorders>
              <w:top w:val="single" w:sz="8" w:color="auto"/>
              <w:bottom w:val="single" w:sz="8" w:color="auto"/>
            </w:tcBorders>
            <w:gridSpan w:val="5"/>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w:t>
            </w:r>
          </w:p>
        </w:tc>
        <w:tc>
          <w:tcPr>
            <w:tcW w:w="80" w:type="dxa"/>
            <w:vAlign w:val="bottom"/>
            <w:tcBorders>
              <w:top w:val="single" w:sz="8" w:color="CCEEFF"/>
              <w:bottom w:val="single" w:sz="8" w:color="CCEEFF"/>
            </w:tcBorders>
            <w:gridSpan w:val="2"/>
            <w:shd w:val="clear" w:color="auto" w:fill="CCEEFF"/>
          </w:tcPr>
          <w:p>
            <w:pPr>
              <w:spacing w:after="0"/>
              <w:rPr>
                <w:sz w:val="19"/>
                <w:szCs w:val="19"/>
                <w:color w:val="auto"/>
              </w:rPr>
            </w:pPr>
          </w:p>
        </w:tc>
        <w:tc>
          <w:tcPr>
            <w:tcW w:w="300" w:type="dxa"/>
            <w:vAlign w:val="bottom"/>
            <w:tcBorders>
              <w:top w:val="single" w:sz="8" w:color="auto"/>
              <w:bottom w:val="single" w:sz="8" w:color="auto"/>
            </w:tcBorders>
            <w:gridSpan w:val="4"/>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12.1</w:t>
            </w:r>
          </w:p>
        </w:tc>
        <w:tc>
          <w:tcPr>
            <w:tcW w:w="100" w:type="dxa"/>
            <w:vAlign w:val="bottom"/>
            <w:tcBorders>
              <w:top w:val="single" w:sz="8" w:color="CCEEFF"/>
              <w:bottom w:val="single" w:sz="8" w:color="CCEEFF"/>
            </w:tcBorders>
            <w:gridSpan w:val="2"/>
            <w:shd w:val="clear" w:color="auto" w:fill="CCEEFF"/>
          </w:tcPr>
          <w:p>
            <w:pPr>
              <w:spacing w:after="0"/>
              <w:rPr>
                <w:sz w:val="19"/>
                <w:szCs w:val="19"/>
                <w:color w:val="auto"/>
              </w:rPr>
            </w:pPr>
          </w:p>
        </w:tc>
        <w:tc>
          <w:tcPr>
            <w:tcW w:w="300" w:type="dxa"/>
            <w:vAlign w:val="bottom"/>
            <w:tcBorders>
              <w:top w:val="single" w:sz="8" w:color="auto"/>
              <w:bottom w:val="single" w:sz="8" w:color="auto"/>
            </w:tcBorders>
            <w:gridSpan w:val="6"/>
            <w:shd w:val="clear" w:color="auto" w:fill="CCEEFF"/>
          </w:tcPr>
          <w:p>
            <w:pPr>
              <w:jc w:val="right"/>
              <w:ind w:right="219"/>
              <w:spacing w:after="0"/>
              <w:rPr>
                <w:sz w:val="20"/>
                <w:szCs w:val="20"/>
                <w:color w:val="auto"/>
              </w:rPr>
            </w:pPr>
            <w:r>
              <w:rPr>
                <w:rFonts w:ascii="Times New Roman" w:cs="Times New Roman" w:eastAsia="Times New Roman" w:hAnsi="Times New Roman"/>
                <w:sz w:val="16"/>
                <w:szCs w:val="16"/>
                <w:color w:val="auto"/>
              </w:rPr>
              <w:t>$</w:t>
            </w:r>
          </w:p>
        </w:tc>
        <w:tc>
          <w:tcPr>
            <w:tcW w:w="4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37.5</w:t>
            </w:r>
          </w:p>
        </w:tc>
        <w:tc>
          <w:tcPr>
            <w:tcW w:w="120" w:type="dxa"/>
            <w:vAlign w:val="bottom"/>
            <w:tcBorders>
              <w:top w:val="single" w:sz="8" w:color="CCEEFF"/>
              <w:bottom w:val="single" w:sz="8" w:color="CCEEFF"/>
            </w:tcBorders>
            <w:gridSpan w:val="2"/>
            <w:shd w:val="clear" w:color="auto" w:fill="CCEEFF"/>
          </w:tcPr>
          <w:p>
            <w:pPr>
              <w:spacing w:after="0"/>
              <w:rPr>
                <w:sz w:val="19"/>
                <w:szCs w:val="19"/>
                <w:color w:val="auto"/>
              </w:rPr>
            </w:pPr>
          </w:p>
        </w:tc>
        <w:tc>
          <w:tcPr>
            <w:tcW w:w="500" w:type="dxa"/>
            <w:vAlign w:val="bottom"/>
            <w:tcBorders>
              <w:top w:val="single" w:sz="8" w:color="auto"/>
              <w:bottom w:val="single" w:sz="8" w:color="auto"/>
            </w:tcBorders>
            <w:gridSpan w:val="3"/>
            <w:shd w:val="clear" w:color="auto" w:fill="CCEEFF"/>
          </w:tcPr>
          <w:p>
            <w:pPr>
              <w:jc w:val="right"/>
              <w:ind w:right="319"/>
              <w:spacing w:after="0"/>
              <w:rPr>
                <w:sz w:val="20"/>
                <w:szCs w:val="20"/>
                <w:color w:val="auto"/>
              </w:rPr>
            </w:pPr>
            <w:r>
              <w:rPr>
                <w:rFonts w:ascii="Times New Roman" w:cs="Times New Roman" w:eastAsia="Times New Roman" w:hAnsi="Times New Roman"/>
                <w:sz w:val="16"/>
                <w:szCs w:val="16"/>
                <w:color w:val="auto"/>
                <w:w w:val="99"/>
              </w:rPr>
              <w:t>$</w:t>
            </w: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1.03</w:t>
            </w:r>
          </w:p>
        </w:tc>
        <w:tc>
          <w:tcPr>
            <w:tcW w:w="0" w:type="dxa"/>
            <w:vAlign w:val="bottom"/>
          </w:tcPr>
          <w:p>
            <w:pPr>
              <w:spacing w:after="0"/>
              <w:rPr>
                <w:sz w:val="1"/>
                <w:szCs w:val="1"/>
                <w:color w:val="auto"/>
              </w:rPr>
            </w:pPr>
          </w:p>
        </w:tc>
      </w:tr>
      <w:tr>
        <w:trPr>
          <w:trHeight w:val="20"/>
        </w:trPr>
        <w:tc>
          <w:tcPr>
            <w:tcW w:w="122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CCEEFF"/>
              <w:bottom w:val="single" w:sz="8" w:color="auto"/>
            </w:tcBorders>
            <w:gridSpan w:val="5"/>
          </w:tcPr>
          <w:p>
            <w:pPr>
              <w:spacing w:after="0" w:line="20" w:lineRule="exact"/>
              <w:rPr>
                <w:sz w:val="1"/>
                <w:szCs w:val="1"/>
                <w:color w:val="auto"/>
              </w:rPr>
            </w:pPr>
          </w:p>
        </w:tc>
        <w:tc>
          <w:tcPr>
            <w:tcW w:w="80" w:type="dxa"/>
            <w:vAlign w:val="bottom"/>
            <w:tcBorders>
              <w:top w:val="single" w:sz="8" w:color="CCEEFF"/>
            </w:tcBorders>
            <w:gridSpan w:val="2"/>
          </w:tcPr>
          <w:p>
            <w:pPr>
              <w:spacing w:after="0" w:line="20" w:lineRule="exact"/>
              <w:rPr>
                <w:sz w:val="1"/>
                <w:szCs w:val="1"/>
                <w:color w:val="auto"/>
              </w:rPr>
            </w:pPr>
          </w:p>
        </w:tc>
        <w:tc>
          <w:tcPr>
            <w:tcW w:w="740" w:type="dxa"/>
            <w:vAlign w:val="bottom"/>
            <w:tcBorders>
              <w:top w:val="single" w:sz="8" w:color="CCEEFF"/>
              <w:bottom w:val="single" w:sz="8" w:color="auto"/>
            </w:tcBorders>
            <w:gridSpan w:val="6"/>
          </w:tcPr>
          <w:p>
            <w:pPr>
              <w:spacing w:after="0" w:line="20" w:lineRule="exact"/>
              <w:rPr>
                <w:sz w:val="1"/>
                <w:szCs w:val="1"/>
                <w:color w:val="auto"/>
              </w:rPr>
            </w:pPr>
          </w:p>
        </w:tc>
        <w:tc>
          <w:tcPr>
            <w:tcW w:w="940" w:type="dxa"/>
            <w:vAlign w:val="bottom"/>
            <w:tcBorders>
              <w:top w:val="single" w:sz="8" w:color="CCEEFF"/>
            </w:tcBorders>
            <w:gridSpan w:val="7"/>
          </w:tcPr>
          <w:p>
            <w:pPr>
              <w:spacing w:after="0" w:line="20" w:lineRule="exact"/>
              <w:rPr>
                <w:sz w:val="1"/>
                <w:szCs w:val="1"/>
                <w:color w:val="auto"/>
              </w:rPr>
            </w:pPr>
          </w:p>
        </w:tc>
        <w:tc>
          <w:tcPr>
            <w:tcW w:w="860" w:type="dxa"/>
            <w:vAlign w:val="bottom"/>
            <w:tcBorders>
              <w:top w:val="single" w:sz="8" w:color="CCEEFF"/>
              <w:bottom w:val="single" w:sz="8" w:color="auto"/>
            </w:tcBorders>
            <w:gridSpan w:val="6"/>
          </w:tcPr>
          <w:p>
            <w:pPr>
              <w:spacing w:after="0" w:line="20" w:lineRule="exact"/>
              <w:rPr>
                <w:sz w:val="1"/>
                <w:szCs w:val="1"/>
                <w:color w:val="auto"/>
              </w:rPr>
            </w:pPr>
          </w:p>
        </w:tc>
        <w:tc>
          <w:tcPr>
            <w:tcW w:w="940" w:type="dxa"/>
            <w:vAlign w:val="bottom"/>
            <w:tcBorders>
              <w:top w:val="single" w:sz="8" w:color="CCEEFF"/>
            </w:tcBorders>
            <w:gridSpan w:val="8"/>
          </w:tcPr>
          <w:p>
            <w:pPr>
              <w:spacing w:after="0" w:line="20" w:lineRule="exact"/>
              <w:rPr>
                <w:sz w:val="1"/>
                <w:szCs w:val="1"/>
                <w:color w:val="auto"/>
              </w:rPr>
            </w:pPr>
          </w:p>
        </w:tc>
        <w:tc>
          <w:tcPr>
            <w:tcW w:w="940" w:type="dxa"/>
            <w:vAlign w:val="bottom"/>
            <w:tcBorders>
              <w:top w:val="single" w:sz="8" w:color="CCEEFF"/>
              <w:bottom w:val="single" w:sz="8" w:color="auto"/>
            </w:tcBorders>
            <w:gridSpan w:val="6"/>
          </w:tcPr>
          <w:p>
            <w:pPr>
              <w:spacing w:after="0" w:line="20" w:lineRule="exact"/>
              <w:rPr>
                <w:sz w:val="1"/>
                <w:szCs w:val="1"/>
                <w:color w:val="auto"/>
              </w:rPr>
            </w:pPr>
          </w:p>
        </w:tc>
        <w:tc>
          <w:tcPr>
            <w:tcW w:w="1000" w:type="dxa"/>
            <w:vAlign w:val="bottom"/>
            <w:tcBorders>
              <w:top w:val="single" w:sz="8" w:color="CCEEFF"/>
            </w:tcBorders>
            <w:gridSpan w:val="8"/>
          </w:tcPr>
          <w:p>
            <w:pPr>
              <w:spacing w:after="0" w:line="20" w:lineRule="exact"/>
              <w:rPr>
                <w:sz w:val="1"/>
                <w:szCs w:val="1"/>
                <w:color w:val="auto"/>
              </w:rPr>
            </w:pPr>
          </w:p>
        </w:tc>
        <w:tc>
          <w:tcPr>
            <w:tcW w:w="800" w:type="dxa"/>
            <w:vAlign w:val="bottom"/>
            <w:tcBorders>
              <w:top w:val="single" w:sz="8" w:color="CCEEFF"/>
              <w:bottom w:val="single" w:sz="8" w:color="auto"/>
            </w:tcBorders>
            <w:gridSpan w:val="6"/>
          </w:tcPr>
          <w:p>
            <w:pPr>
              <w:spacing w:after="0" w:line="20" w:lineRule="exact"/>
              <w:rPr>
                <w:sz w:val="1"/>
                <w:szCs w:val="1"/>
                <w:color w:val="auto"/>
              </w:rPr>
            </w:pPr>
          </w:p>
        </w:tc>
        <w:tc>
          <w:tcPr>
            <w:tcW w:w="80" w:type="dxa"/>
            <w:vAlign w:val="bottom"/>
            <w:tcBorders>
              <w:top w:val="single" w:sz="8" w:color="CCEEFF"/>
            </w:tcBorders>
            <w:gridSpan w:val="2"/>
          </w:tcPr>
          <w:p>
            <w:pPr>
              <w:spacing w:after="0" w:line="20" w:lineRule="exact"/>
              <w:rPr>
                <w:sz w:val="1"/>
                <w:szCs w:val="1"/>
                <w:color w:val="auto"/>
              </w:rPr>
            </w:pPr>
          </w:p>
        </w:tc>
        <w:tc>
          <w:tcPr>
            <w:tcW w:w="800" w:type="dxa"/>
            <w:vAlign w:val="bottom"/>
            <w:tcBorders>
              <w:top w:val="single" w:sz="8" w:color="CCEEFF"/>
              <w:bottom w:val="single" w:sz="8" w:color="auto"/>
            </w:tcBorders>
            <w:gridSpan w:val="5"/>
          </w:tcPr>
          <w:p>
            <w:pPr>
              <w:spacing w:after="0" w:line="20" w:lineRule="exact"/>
              <w:rPr>
                <w:sz w:val="1"/>
                <w:szCs w:val="1"/>
                <w:color w:val="auto"/>
              </w:rPr>
            </w:pPr>
          </w:p>
        </w:tc>
        <w:tc>
          <w:tcPr>
            <w:tcW w:w="100" w:type="dxa"/>
            <w:vAlign w:val="bottom"/>
            <w:tcBorders>
              <w:top w:val="single" w:sz="8" w:color="CCEEFF"/>
            </w:tcBorders>
            <w:gridSpan w:val="2"/>
          </w:tcPr>
          <w:p>
            <w:pPr>
              <w:spacing w:after="0" w:line="20" w:lineRule="exact"/>
              <w:rPr>
                <w:sz w:val="1"/>
                <w:szCs w:val="1"/>
                <w:color w:val="auto"/>
              </w:rPr>
            </w:pPr>
          </w:p>
        </w:tc>
        <w:tc>
          <w:tcPr>
            <w:tcW w:w="740" w:type="dxa"/>
            <w:vAlign w:val="bottom"/>
            <w:tcBorders>
              <w:top w:val="single" w:sz="8" w:color="CCEEFF"/>
              <w:bottom w:val="single" w:sz="8" w:color="auto"/>
            </w:tcBorders>
            <w:gridSpan w:val="7"/>
          </w:tcPr>
          <w:p>
            <w:pPr>
              <w:spacing w:after="0" w:line="20" w:lineRule="exact"/>
              <w:rPr>
                <w:sz w:val="1"/>
                <w:szCs w:val="1"/>
                <w:color w:val="auto"/>
              </w:rPr>
            </w:pPr>
          </w:p>
        </w:tc>
        <w:tc>
          <w:tcPr>
            <w:tcW w:w="120" w:type="dxa"/>
            <w:vAlign w:val="bottom"/>
            <w:tcBorders>
              <w:top w:val="single" w:sz="8" w:color="CCEEFF"/>
            </w:tcBorders>
            <w:gridSpan w:val="2"/>
          </w:tcPr>
          <w:p>
            <w:pPr>
              <w:spacing w:after="0" w:line="20" w:lineRule="exact"/>
              <w:rPr>
                <w:sz w:val="1"/>
                <w:szCs w:val="1"/>
                <w:color w:val="auto"/>
              </w:rPr>
            </w:pPr>
          </w:p>
        </w:tc>
        <w:tc>
          <w:tcPr>
            <w:tcW w:w="1140" w:type="dxa"/>
            <w:vAlign w:val="bottom"/>
            <w:tcBorders>
              <w:top w:val="single" w:sz="8" w:color="CCEEFF"/>
              <w:bottom w:val="single" w:sz="8" w:color="auto"/>
            </w:tcBorders>
            <w:gridSpan w:val="4"/>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95"/>
        </w:trPr>
        <w:tc>
          <w:tcPr>
            <w:tcW w:w="1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3440" w:type="dxa"/>
            <w:vAlign w:val="bottom"/>
            <w:tcBorders>
              <w:bottom w:val="single" w:sz="8" w:color="auto"/>
            </w:tcBorders>
            <w:gridSpan w:val="25"/>
          </w:tcPr>
          <w:p>
            <w:pPr>
              <w:ind w:left="200"/>
              <w:spacing w:after="0"/>
              <w:rPr>
                <w:sz w:val="20"/>
                <w:szCs w:val="20"/>
                <w:color w:val="auto"/>
              </w:rPr>
            </w:pPr>
            <w:r>
              <w:rPr>
                <w:rFonts w:ascii="Times New Roman" w:cs="Times New Roman" w:eastAsia="Times New Roman" w:hAnsi="Times New Roman"/>
                <w:sz w:val="16"/>
                <w:szCs w:val="16"/>
                <w:b w:val="1"/>
                <w:bCs w:val="1"/>
                <w:color w:val="auto"/>
              </w:rPr>
              <w:t>Three Fiscal Quarters Ended October 3, 2026</w:t>
            </w:r>
          </w:p>
        </w:tc>
        <w:tc>
          <w:tcPr>
            <w:tcW w:w="6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58"/>
        </w:trPr>
        <w:tc>
          <w:tcPr>
            <w:tcW w:w="12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0" w:type="dxa"/>
            <w:vAlign w:val="bottom"/>
            <w:gridSpan w:val="4"/>
          </w:tcPr>
          <w:p>
            <w:pPr>
              <w:jc w:val="center"/>
              <w:ind w:right="80"/>
              <w:spacing w:after="0" w:line="158" w:lineRule="exact"/>
              <w:rPr>
                <w:sz w:val="20"/>
                <w:szCs w:val="20"/>
                <w:color w:val="auto"/>
              </w:rPr>
            </w:pPr>
            <w:r>
              <w:rPr>
                <w:rFonts w:ascii="Times New Roman" w:cs="Times New Roman" w:eastAsia="Times New Roman" w:hAnsi="Times New Roman"/>
                <w:sz w:val="16"/>
                <w:szCs w:val="16"/>
                <w:b w:val="1"/>
                <w:bCs w:val="1"/>
                <w:color w:val="auto"/>
                <w:w w:val="99"/>
              </w:rPr>
              <w:t>Cost of</w:t>
            </w: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60" w:type="dxa"/>
            <w:vAlign w:val="bottom"/>
            <w:gridSpan w:val="6"/>
            <w:vMerge w:val="restart"/>
          </w:tcPr>
          <w:p>
            <w:pPr>
              <w:jc w:val="right"/>
              <w:ind w:right="280"/>
              <w:spacing w:after="0"/>
              <w:rPr>
                <w:sz w:val="20"/>
                <w:szCs w:val="20"/>
                <w:color w:val="auto"/>
              </w:rPr>
            </w:pPr>
            <w:r>
              <w:rPr>
                <w:rFonts w:ascii="Times New Roman" w:cs="Times New Roman" w:eastAsia="Times New Roman" w:hAnsi="Times New Roman"/>
                <w:sz w:val="16"/>
                <w:szCs w:val="16"/>
                <w:b w:val="1"/>
                <w:bCs w:val="1"/>
                <w:color w:val="auto"/>
              </w:rPr>
              <w:t>Gross</w:t>
            </w: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80" w:type="dxa"/>
            <w:vAlign w:val="bottom"/>
            <w:gridSpan w:val="2"/>
            <w:vMerge w:val="restart"/>
          </w:tcPr>
          <w:p>
            <w:pPr>
              <w:jc w:val="center"/>
              <w:ind w:right="140"/>
              <w:spacing w:after="0"/>
              <w:rPr>
                <w:sz w:val="20"/>
                <w:szCs w:val="20"/>
                <w:color w:val="auto"/>
              </w:rPr>
            </w:pPr>
            <w:r>
              <w:rPr>
                <w:rFonts w:ascii="Times New Roman" w:cs="Times New Roman" w:eastAsia="Times New Roman" w:hAnsi="Times New Roman"/>
                <w:sz w:val="16"/>
                <w:szCs w:val="16"/>
                <w:b w:val="1"/>
                <w:bCs w:val="1"/>
                <w:color w:val="auto"/>
                <w:w w:val="99"/>
              </w:rPr>
              <w:t>% Net</w:t>
            </w: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20" w:type="dxa"/>
            <w:vAlign w:val="bottom"/>
            <w:gridSpan w:val="5"/>
            <w:vMerge w:val="restart"/>
          </w:tcPr>
          <w:p>
            <w:pPr>
              <w:jc w:val="right"/>
              <w:ind w:right="300"/>
              <w:spacing w:after="0"/>
              <w:rPr>
                <w:sz w:val="20"/>
                <w:szCs w:val="20"/>
                <w:color w:val="auto"/>
              </w:rPr>
            </w:pPr>
            <w:r>
              <w:rPr>
                <w:rFonts w:ascii="Times New Roman" w:cs="Times New Roman" w:eastAsia="Times New Roman" w:hAnsi="Times New Roman"/>
                <w:sz w:val="16"/>
                <w:szCs w:val="16"/>
                <w:b w:val="1"/>
                <w:bCs w:val="1"/>
                <w:color w:val="auto"/>
              </w:rPr>
              <w:t>SG&amp;A</w:t>
            </w: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gridSpan w:val="3"/>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 Net</w:t>
            </w:r>
          </w:p>
        </w:tc>
        <w:tc>
          <w:tcPr>
            <w:tcW w:w="1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920" w:type="dxa"/>
            <w:vAlign w:val="bottom"/>
            <w:gridSpan w:val="6"/>
            <w:vMerge w:val="restart"/>
          </w:tcPr>
          <w:p>
            <w:pPr>
              <w:jc w:val="right"/>
              <w:ind w:right="220"/>
              <w:spacing w:after="0"/>
              <w:rPr>
                <w:sz w:val="20"/>
                <w:szCs w:val="20"/>
                <w:color w:val="auto"/>
              </w:rPr>
            </w:pPr>
            <w:r>
              <w:rPr>
                <w:rFonts w:ascii="Times New Roman" w:cs="Times New Roman" w:eastAsia="Times New Roman" w:hAnsi="Times New Roman"/>
                <w:sz w:val="16"/>
                <w:szCs w:val="16"/>
                <w:b w:val="1"/>
                <w:bCs w:val="1"/>
                <w:color w:val="auto"/>
                <w:w w:val="96"/>
              </w:rPr>
              <w:t>Operating</w:t>
            </w: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60" w:type="dxa"/>
            <w:vAlign w:val="bottom"/>
            <w:gridSpan w:val="3"/>
            <w:vMerge w:val="restart"/>
          </w:tcPr>
          <w:p>
            <w:pPr>
              <w:spacing w:after="0"/>
              <w:rPr>
                <w:sz w:val="20"/>
                <w:szCs w:val="20"/>
                <w:color w:val="auto"/>
              </w:rPr>
            </w:pPr>
            <w:r>
              <w:rPr>
                <w:rFonts w:ascii="Times New Roman" w:cs="Times New Roman" w:eastAsia="Times New Roman" w:hAnsi="Times New Roman"/>
                <w:sz w:val="16"/>
                <w:szCs w:val="16"/>
                <w:b w:val="1"/>
                <w:bCs w:val="1"/>
                <w:color w:val="auto"/>
              </w:rPr>
              <w:t>% Net</w:t>
            </w: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00" w:type="dxa"/>
            <w:vAlign w:val="bottom"/>
            <w:gridSpan w:val="5"/>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Interest</w:t>
            </w: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40" w:type="dxa"/>
            <w:vAlign w:val="bottom"/>
            <w:gridSpan w:val="5"/>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Income</w:t>
            </w: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60" w:type="dxa"/>
            <w:vAlign w:val="bottom"/>
            <w:gridSpan w:val="3"/>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Net</w:t>
            </w: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12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gridSpan w:val="4"/>
          </w:tcPr>
          <w:p>
            <w:pPr>
              <w:jc w:val="center"/>
              <w:ind w:right="80"/>
              <w:spacing w:after="0" w:line="162" w:lineRule="exact"/>
              <w:rPr>
                <w:sz w:val="20"/>
                <w:szCs w:val="20"/>
                <w:color w:val="auto"/>
              </w:rPr>
            </w:pPr>
            <w:r>
              <w:rPr>
                <w:rFonts w:ascii="Times New Roman" w:cs="Times New Roman" w:eastAsia="Times New Roman" w:hAnsi="Times New Roman"/>
                <w:sz w:val="16"/>
                <w:szCs w:val="16"/>
                <w:b w:val="1"/>
                <w:bCs w:val="1"/>
                <w:color w:val="auto"/>
              </w:rPr>
              <w:t>Goods</w:t>
            </w: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gridSpan w:val="6"/>
            <w:vMerge w:val="continue"/>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gridSpan w:val="5"/>
            <w:vMerge w:val="continue"/>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gridSpan w:val="3"/>
            <w:vMerge w:val="continue"/>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920" w:type="dxa"/>
            <w:vAlign w:val="bottom"/>
            <w:gridSpan w:val="6"/>
            <w:vMerge w:val="continue"/>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gridSpan w:val="3"/>
            <w:vMerge w:val="continue"/>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gridSpan w:val="5"/>
            <w:vMerge w:val="continue"/>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gridSpan w:val="5"/>
            <w:vMerge w:val="continue"/>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gridSpan w:val="3"/>
            <w:vMerge w:val="continue"/>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gridSpan w:val="2"/>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Diluted EPS</w:t>
            </w:r>
          </w:p>
        </w:tc>
        <w:tc>
          <w:tcPr>
            <w:tcW w:w="0" w:type="dxa"/>
            <w:vAlign w:val="bottom"/>
          </w:tcPr>
          <w:p>
            <w:pPr>
              <w:spacing w:after="0"/>
              <w:rPr>
                <w:sz w:val="1"/>
                <w:szCs w:val="1"/>
                <w:color w:val="auto"/>
              </w:rPr>
            </w:pPr>
          </w:p>
        </w:tc>
      </w:tr>
      <w:tr>
        <w:trPr>
          <w:trHeight w:val="214"/>
        </w:trPr>
        <w:tc>
          <w:tcPr>
            <w:tcW w:w="1220" w:type="dxa"/>
            <w:vAlign w:val="bottom"/>
            <w:tcBorders>
              <w:bottom w:val="single" w:sz="8" w:color="CCEEFF"/>
            </w:tcBorders>
          </w:tcPr>
          <w:p>
            <w:pPr>
              <w:spacing w:after="0"/>
              <w:rPr>
                <w:sz w:val="18"/>
                <w:szCs w:val="18"/>
                <w:color w:val="auto"/>
              </w:rPr>
            </w:pPr>
          </w:p>
        </w:tc>
        <w:tc>
          <w:tcPr>
            <w:tcW w:w="6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gridSpan w:val="4"/>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rPr>
              <w:t>Sold</w:t>
            </w:r>
          </w:p>
        </w:tc>
        <w:tc>
          <w:tcPr>
            <w:tcW w:w="4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6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gridSpan w:val="5"/>
          </w:tcPr>
          <w:p>
            <w:pPr>
              <w:jc w:val="right"/>
              <w:ind w:right="180"/>
              <w:spacing w:after="0"/>
              <w:rPr>
                <w:sz w:val="20"/>
                <w:szCs w:val="20"/>
                <w:color w:val="auto"/>
              </w:rPr>
            </w:pPr>
            <w:r>
              <w:rPr>
                <w:rFonts w:ascii="Times New Roman" w:cs="Times New Roman" w:eastAsia="Times New Roman" w:hAnsi="Times New Roman"/>
                <w:sz w:val="16"/>
                <w:szCs w:val="16"/>
                <w:b w:val="1"/>
                <w:bCs w:val="1"/>
                <w:color w:val="auto"/>
              </w:rPr>
              <w:t>Profit</w:t>
            </w:r>
          </w:p>
        </w:tc>
        <w:tc>
          <w:tcPr>
            <w:tcW w:w="100" w:type="dxa"/>
            <w:vAlign w:val="bottom"/>
            <w:tcBorders>
              <w:bottom w:val="single" w:sz="8" w:color="CCEEFF"/>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gridSpan w:val="2"/>
          </w:tcPr>
          <w:p>
            <w:pPr>
              <w:jc w:val="center"/>
              <w:ind w:right="140"/>
              <w:spacing w:after="0"/>
              <w:rPr>
                <w:sz w:val="20"/>
                <w:szCs w:val="20"/>
                <w:color w:val="auto"/>
              </w:rPr>
            </w:pPr>
            <w:r>
              <w:rPr>
                <w:rFonts w:ascii="Times New Roman" w:cs="Times New Roman" w:eastAsia="Times New Roman" w:hAnsi="Times New Roman"/>
                <w:sz w:val="16"/>
                <w:szCs w:val="16"/>
                <w:b w:val="1"/>
                <w:bCs w:val="1"/>
                <w:color w:val="auto"/>
              </w:rPr>
              <w:t>Sales</w:t>
            </w:r>
          </w:p>
        </w:tc>
        <w:tc>
          <w:tcPr>
            <w:tcW w:w="100" w:type="dxa"/>
            <w:vAlign w:val="bottom"/>
            <w:tcBorders>
              <w:bottom w:val="single" w:sz="8" w:color="CCEEFF"/>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gridSpan w:val="4"/>
          </w:tcPr>
          <w:p>
            <w:pPr>
              <w:jc w:val="right"/>
              <w:ind w:right="19"/>
              <w:spacing w:after="0"/>
              <w:rPr>
                <w:sz w:val="20"/>
                <w:szCs w:val="20"/>
                <w:color w:val="auto"/>
              </w:rPr>
            </w:pPr>
            <w:r>
              <w:rPr>
                <w:rFonts w:ascii="Times New Roman" w:cs="Times New Roman" w:eastAsia="Times New Roman" w:hAnsi="Times New Roman"/>
                <w:sz w:val="16"/>
                <w:szCs w:val="16"/>
                <w:b w:val="1"/>
                <w:bCs w:val="1"/>
                <w:color w:val="auto"/>
              </w:rPr>
              <w:t>Expenses</w:t>
            </w:r>
          </w:p>
        </w:tc>
        <w:tc>
          <w:tcPr>
            <w:tcW w:w="120" w:type="dxa"/>
            <w:vAlign w:val="bottom"/>
            <w:tcBorders>
              <w:bottom w:val="single" w:sz="8" w:color="CCEEFF"/>
            </w:tcBorders>
            <w:gridSpan w:val="2"/>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gridSpan w:val="2"/>
          </w:tcPr>
          <w:p>
            <w:pPr>
              <w:ind w:left="60"/>
              <w:spacing w:after="0"/>
              <w:rPr>
                <w:sz w:val="20"/>
                <w:szCs w:val="20"/>
                <w:color w:val="auto"/>
              </w:rPr>
            </w:pPr>
            <w:r>
              <w:rPr>
                <w:rFonts w:ascii="Times New Roman" w:cs="Times New Roman" w:eastAsia="Times New Roman" w:hAnsi="Times New Roman"/>
                <w:sz w:val="16"/>
                <w:szCs w:val="16"/>
                <w:b w:val="1"/>
                <w:bCs w:val="1"/>
                <w:color w:val="auto"/>
              </w:rPr>
              <w:t>Sales</w:t>
            </w:r>
          </w:p>
        </w:tc>
        <w:tc>
          <w:tcPr>
            <w:tcW w:w="2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gridSpan w:val="3"/>
          </w:tcPr>
          <w:p>
            <w:pPr>
              <w:jc w:val="right"/>
              <w:ind w:right="119"/>
              <w:spacing w:after="0"/>
              <w:rPr>
                <w:sz w:val="20"/>
                <w:szCs w:val="20"/>
                <w:color w:val="auto"/>
              </w:rPr>
            </w:pPr>
            <w:r>
              <w:rPr>
                <w:rFonts w:ascii="Times New Roman" w:cs="Times New Roman" w:eastAsia="Times New Roman" w:hAnsi="Times New Roman"/>
                <w:sz w:val="16"/>
                <w:szCs w:val="16"/>
                <w:b w:val="1"/>
                <w:bCs w:val="1"/>
                <w:color w:val="auto"/>
              </w:rPr>
              <w:t>Income</w:t>
            </w:r>
          </w:p>
        </w:tc>
        <w:tc>
          <w:tcPr>
            <w:tcW w:w="120" w:type="dxa"/>
            <w:vAlign w:val="bottom"/>
            <w:tcBorders>
              <w:bottom w:val="single" w:sz="8" w:color="CCEEFF"/>
            </w:tcBorders>
            <w:gridSpan w:val="2"/>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gridSpan w:val="2"/>
          </w:tcPr>
          <w:p>
            <w:pPr>
              <w:jc w:val="right"/>
              <w:ind w:right="220"/>
              <w:spacing w:after="0"/>
              <w:rPr>
                <w:sz w:val="20"/>
                <w:szCs w:val="20"/>
                <w:color w:val="auto"/>
              </w:rPr>
            </w:pPr>
            <w:r>
              <w:rPr>
                <w:rFonts w:ascii="Times New Roman" w:cs="Times New Roman" w:eastAsia="Times New Roman" w:hAnsi="Times New Roman"/>
                <w:sz w:val="16"/>
                <w:szCs w:val="16"/>
                <w:b w:val="1"/>
                <w:bCs w:val="1"/>
                <w:color w:val="auto"/>
              </w:rPr>
              <w:t>Sales</w:t>
            </w:r>
          </w:p>
        </w:tc>
        <w:tc>
          <w:tcPr>
            <w:tcW w:w="40" w:type="dxa"/>
            <w:vAlign w:val="bottom"/>
            <w:tcBorders>
              <w:bottom w:val="single" w:sz="8" w:color="CCEEFF"/>
            </w:tcBorders>
          </w:tcPr>
          <w:p>
            <w:pPr>
              <w:spacing w:after="0"/>
              <w:rPr>
                <w:sz w:val="18"/>
                <w:szCs w:val="18"/>
                <w:color w:val="auto"/>
              </w:rPr>
            </w:pPr>
          </w:p>
        </w:tc>
        <w:tc>
          <w:tcPr>
            <w:tcW w:w="60" w:type="dxa"/>
            <w:vAlign w:val="bottom"/>
            <w:tcBorders>
              <w:bottom w:val="single" w:sz="8" w:color="CCEEFF"/>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gridSpan w:val="3"/>
          </w:tcPr>
          <w:p>
            <w:pPr>
              <w:spacing w:after="0"/>
              <w:rPr>
                <w:sz w:val="20"/>
                <w:szCs w:val="20"/>
                <w:color w:val="auto"/>
              </w:rPr>
            </w:pPr>
            <w:r>
              <w:rPr>
                <w:rFonts w:ascii="Times New Roman" w:cs="Times New Roman" w:eastAsia="Times New Roman" w:hAnsi="Times New Roman"/>
                <w:sz w:val="16"/>
                <w:szCs w:val="16"/>
                <w:b w:val="1"/>
                <w:bCs w:val="1"/>
                <w:color w:val="auto"/>
              </w:rPr>
              <w:t>Income</w:t>
            </w:r>
          </w:p>
        </w:tc>
        <w:tc>
          <w:tcPr>
            <w:tcW w:w="20" w:type="dxa"/>
            <w:vAlign w:val="bottom"/>
            <w:tcBorders>
              <w:bottom w:val="single" w:sz="8" w:color="CCEEFF"/>
            </w:tcBorders>
          </w:tcPr>
          <w:p>
            <w:pPr>
              <w:spacing w:after="0"/>
              <w:rPr>
                <w:sz w:val="18"/>
                <w:szCs w:val="18"/>
                <w:color w:val="auto"/>
              </w:rPr>
            </w:pPr>
          </w:p>
        </w:tc>
        <w:tc>
          <w:tcPr>
            <w:tcW w:w="60" w:type="dxa"/>
            <w:vAlign w:val="bottom"/>
            <w:tcBorders>
              <w:bottom w:val="single" w:sz="8" w:color="CCEEFF"/>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gridSpan w:val="3"/>
          </w:tcPr>
          <w:p>
            <w:pPr>
              <w:jc w:val="right"/>
              <w:ind w:right="200"/>
              <w:spacing w:after="0"/>
              <w:rPr>
                <w:sz w:val="20"/>
                <w:szCs w:val="20"/>
                <w:color w:val="auto"/>
              </w:rPr>
            </w:pPr>
            <w:r>
              <w:rPr>
                <w:rFonts w:ascii="Times New Roman" w:cs="Times New Roman" w:eastAsia="Times New Roman" w:hAnsi="Times New Roman"/>
                <w:sz w:val="16"/>
                <w:szCs w:val="16"/>
                <w:b w:val="1"/>
                <w:bCs w:val="1"/>
                <w:color w:val="auto"/>
              </w:rPr>
              <w:t>Taxes</w:t>
            </w:r>
          </w:p>
        </w:tc>
        <w:tc>
          <w:tcPr>
            <w:tcW w:w="60" w:type="dxa"/>
            <w:vAlign w:val="bottom"/>
            <w:tcBorders>
              <w:bottom w:val="single" w:sz="8" w:color="CCEEFF"/>
            </w:tcBorders>
            <w:gridSpan w:val="2"/>
          </w:tcPr>
          <w:p>
            <w:pPr>
              <w:spacing w:after="0"/>
              <w:rPr>
                <w:sz w:val="18"/>
                <w:szCs w:val="18"/>
                <w:color w:val="auto"/>
              </w:rPr>
            </w:pPr>
          </w:p>
        </w:tc>
        <w:tc>
          <w:tcPr>
            <w:tcW w:w="40" w:type="dxa"/>
            <w:vAlign w:val="bottom"/>
            <w:tcBorders>
              <w:bottom w:val="single" w:sz="8" w:color="CCEEFF"/>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gridSpan w:val="4"/>
          </w:tcPr>
          <w:p>
            <w:pPr>
              <w:spacing w:after="0"/>
              <w:rPr>
                <w:sz w:val="20"/>
                <w:szCs w:val="20"/>
                <w:color w:val="auto"/>
              </w:rPr>
            </w:pPr>
            <w:r>
              <w:rPr>
                <w:rFonts w:ascii="Times New Roman" w:cs="Times New Roman" w:eastAsia="Times New Roman" w:hAnsi="Times New Roman"/>
                <w:sz w:val="16"/>
                <w:szCs w:val="16"/>
                <w:b w:val="1"/>
                <w:bCs w:val="1"/>
                <w:color w:val="auto"/>
              </w:rPr>
              <w:t>Income</w:t>
            </w:r>
          </w:p>
        </w:tc>
        <w:tc>
          <w:tcPr>
            <w:tcW w:w="40" w:type="dxa"/>
            <w:vAlign w:val="bottom"/>
            <w:tcBorders>
              <w:bottom w:val="single" w:sz="8" w:color="CCEEFF"/>
            </w:tcBorders>
          </w:tcPr>
          <w:p>
            <w:pPr>
              <w:spacing w:after="0"/>
              <w:rPr>
                <w:sz w:val="18"/>
                <w:szCs w:val="18"/>
                <w:color w:val="auto"/>
              </w:rPr>
            </w:pPr>
          </w:p>
        </w:tc>
        <w:tc>
          <w:tcPr>
            <w:tcW w:w="6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44"/>
        </w:trPr>
        <w:tc>
          <w:tcPr>
            <w:tcW w:w="1220" w:type="dxa"/>
            <w:vAlign w:val="bottom"/>
            <w:shd w:val="clear" w:color="auto" w:fill="CCEEFF"/>
          </w:tcPr>
          <w:p>
            <w:pPr>
              <w:ind w:left="20"/>
              <w:spacing w:after="0" w:line="144" w:lineRule="exact"/>
              <w:rPr>
                <w:sz w:val="20"/>
                <w:szCs w:val="20"/>
                <w:color w:val="auto"/>
              </w:rPr>
            </w:pPr>
            <w:r>
              <w:rPr>
                <w:rFonts w:ascii="Times New Roman" w:cs="Times New Roman" w:eastAsia="Times New Roman" w:hAnsi="Times New Roman"/>
                <w:sz w:val="16"/>
                <w:szCs w:val="16"/>
                <w:b w:val="1"/>
                <w:bCs w:val="1"/>
                <w:color w:val="auto"/>
              </w:rPr>
              <w:t>As reported</w:t>
            </w:r>
          </w:p>
        </w:tc>
        <w:tc>
          <w:tcPr>
            <w:tcW w:w="18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0" w:type="dxa"/>
            <w:vAlign w:val="bottom"/>
            <w:gridSpan w:val="4"/>
            <w:vMerge w:val="restart"/>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987.8</w:t>
            </w:r>
          </w:p>
        </w:tc>
        <w:tc>
          <w:tcPr>
            <w:tcW w:w="240" w:type="dxa"/>
            <w:vAlign w:val="bottom"/>
            <w:gridSpan w:val="4"/>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40" w:type="dxa"/>
            <w:vAlign w:val="bottom"/>
            <w:gridSpan w:val="4"/>
            <w:vMerge w:val="restart"/>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1,061.2</w:t>
            </w: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20" w:type="dxa"/>
            <w:vAlign w:val="bottom"/>
            <w:gridSpan w:val="4"/>
            <w:vMerge w:val="restart"/>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51.8 %</w:t>
            </w:r>
          </w:p>
        </w:tc>
        <w:tc>
          <w:tcPr>
            <w:tcW w:w="1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20" w:type="dxa"/>
            <w:vAlign w:val="bottom"/>
            <w:gridSpan w:val="2"/>
            <w:vMerge w:val="restart"/>
            <w:shd w:val="clear" w:color="auto" w:fill="CCEEFF"/>
          </w:tcPr>
          <w:p>
            <w:pPr>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2"/>
                <w:szCs w:val="12"/>
                <w:color w:val="auto"/>
              </w:rPr>
            </w:pPr>
          </w:p>
        </w:tc>
        <w:tc>
          <w:tcPr>
            <w:tcW w:w="56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850.4</w:t>
            </w: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20" w:type="dxa"/>
            <w:vAlign w:val="bottom"/>
            <w:gridSpan w:val="4"/>
            <w:vMerge w:val="restart"/>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41.5 %</w:t>
            </w:r>
          </w:p>
        </w:tc>
        <w:tc>
          <w:tcPr>
            <w:tcW w:w="20" w:type="dxa"/>
            <w:vAlign w:val="bottom"/>
            <w:shd w:val="clear" w:color="auto" w:fill="CCEEFF"/>
          </w:tcPr>
          <w:p>
            <w:pPr>
              <w:spacing w:after="0"/>
              <w:rPr>
                <w:sz w:val="12"/>
                <w:szCs w:val="12"/>
                <w:color w:val="auto"/>
              </w:rPr>
            </w:pPr>
          </w:p>
        </w:tc>
        <w:tc>
          <w:tcPr>
            <w:tcW w:w="200" w:type="dxa"/>
            <w:vAlign w:val="bottom"/>
            <w:gridSpan w:val="3"/>
            <w:vMerge w:val="restart"/>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w w:val="99"/>
              </w:rPr>
              <w:t>$</w:t>
            </w:r>
          </w:p>
        </w:tc>
        <w:tc>
          <w:tcPr>
            <w:tcW w:w="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6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224.0</w:t>
            </w: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80" w:type="dxa"/>
            <w:vAlign w:val="bottom"/>
            <w:gridSpan w:val="4"/>
            <w:vMerge w:val="restart"/>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10.9 %</w:t>
            </w:r>
          </w:p>
        </w:tc>
        <w:tc>
          <w:tcPr>
            <w:tcW w:w="40" w:type="dxa"/>
            <w:vAlign w:val="bottom"/>
            <w:shd w:val="clear" w:color="auto" w:fill="CCEEFF"/>
          </w:tcPr>
          <w:p>
            <w:pPr>
              <w:spacing w:after="0"/>
              <w:rPr>
                <w:sz w:val="12"/>
                <w:szCs w:val="12"/>
                <w:color w:val="auto"/>
              </w:rPr>
            </w:pPr>
          </w:p>
        </w:tc>
        <w:tc>
          <w:tcPr>
            <w:tcW w:w="180" w:type="dxa"/>
            <w:vAlign w:val="bottom"/>
            <w:gridSpan w:val="3"/>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16.5</w:t>
            </w:r>
          </w:p>
        </w:tc>
        <w:tc>
          <w:tcPr>
            <w:tcW w:w="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80" w:type="dxa"/>
            <w:vAlign w:val="bottom"/>
            <w:gridSpan w:val="3"/>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2"/>
                <w:szCs w:val="12"/>
                <w:color w:val="auto"/>
              </w:rPr>
            </w:pPr>
          </w:p>
        </w:tc>
        <w:tc>
          <w:tcPr>
            <w:tcW w:w="560" w:type="dxa"/>
            <w:vAlign w:val="bottom"/>
            <w:gridSpan w:val="2"/>
            <w:vMerge w:val="restart"/>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49.0</w:t>
            </w:r>
          </w:p>
        </w:tc>
        <w:tc>
          <w:tcPr>
            <w:tcW w:w="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60" w:type="dxa"/>
            <w:vAlign w:val="bottom"/>
            <w:gridSpan w:val="3"/>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155.9</w:t>
            </w:r>
          </w:p>
        </w:tc>
        <w:tc>
          <w:tcPr>
            <w:tcW w:w="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6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shd w:val="clear" w:color="auto" w:fill="CCEEFF"/>
          </w:tcPr>
          <w:p>
            <w:pPr>
              <w:spacing w:after="0"/>
              <w:rPr>
                <w:sz w:val="12"/>
                <w:szCs w:val="12"/>
                <w:color w:val="auto"/>
              </w:rPr>
            </w:pPr>
          </w:p>
        </w:tc>
        <w:tc>
          <w:tcPr>
            <w:tcW w:w="6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4.27</w:t>
            </w:r>
          </w:p>
        </w:tc>
        <w:tc>
          <w:tcPr>
            <w:tcW w:w="0" w:type="dxa"/>
            <w:vAlign w:val="bottom"/>
          </w:tcPr>
          <w:p>
            <w:pPr>
              <w:spacing w:after="0"/>
              <w:rPr>
                <w:sz w:val="1"/>
                <w:szCs w:val="1"/>
                <w:color w:val="auto"/>
              </w:rPr>
            </w:pPr>
          </w:p>
        </w:tc>
      </w:tr>
      <w:tr>
        <w:trPr>
          <w:trHeight w:val="216"/>
        </w:trPr>
        <w:tc>
          <w:tcPr>
            <w:tcW w:w="1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(GAAP)</w:t>
            </w:r>
          </w:p>
        </w:tc>
        <w:tc>
          <w:tcPr>
            <w:tcW w:w="180" w:type="dxa"/>
            <w:vAlign w:val="bottom"/>
            <w:gridSpan w:val="2"/>
            <w:vMerge w:val="continue"/>
            <w:shd w:val="clear" w:color="auto" w:fill="CCEEFF"/>
          </w:tcPr>
          <w:p>
            <w:pPr>
              <w:spacing w:after="0"/>
              <w:rPr>
                <w:sz w:val="18"/>
                <w:szCs w:val="18"/>
                <w:color w:val="auto"/>
              </w:rPr>
            </w:pPr>
          </w:p>
        </w:tc>
        <w:tc>
          <w:tcPr>
            <w:tcW w:w="600" w:type="dxa"/>
            <w:vAlign w:val="bottom"/>
            <w:gridSpan w:val="4"/>
            <w:vMerge w:val="continue"/>
            <w:shd w:val="clear" w:color="auto" w:fill="CCEEFF"/>
          </w:tcPr>
          <w:p>
            <w:pPr>
              <w:spacing w:after="0"/>
              <w:rPr>
                <w:sz w:val="18"/>
                <w:szCs w:val="18"/>
                <w:color w:val="auto"/>
              </w:rPr>
            </w:pPr>
          </w:p>
        </w:tc>
        <w:tc>
          <w:tcPr>
            <w:tcW w:w="240" w:type="dxa"/>
            <w:vAlign w:val="bottom"/>
            <w:gridSpan w:val="4"/>
            <w:vMerge w:val="continue"/>
            <w:shd w:val="clear" w:color="auto" w:fill="CCEEFF"/>
          </w:tcPr>
          <w:p>
            <w:pPr>
              <w:spacing w:after="0"/>
              <w:rPr>
                <w:sz w:val="18"/>
                <w:szCs w:val="18"/>
                <w:color w:val="auto"/>
              </w:rPr>
            </w:pPr>
          </w:p>
        </w:tc>
        <w:tc>
          <w:tcPr>
            <w:tcW w:w="640" w:type="dxa"/>
            <w:vAlign w:val="bottom"/>
            <w:gridSpan w:val="4"/>
            <w:vMerge w:val="continue"/>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gridSpan w:val="4"/>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gridSpan w:val="2"/>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gridSpan w:val="2"/>
            <w:vMerge w:val="continue"/>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gridSpan w:val="4"/>
            <w:vMerge w:val="continue"/>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gridSpan w:val="3"/>
            <w:vMerge w:val="continue"/>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vMerge w:val="continue"/>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gridSpan w:val="4"/>
            <w:vMerge w:val="continue"/>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80" w:type="dxa"/>
            <w:vAlign w:val="bottom"/>
            <w:gridSpan w:val="3"/>
            <w:vMerge w:val="continue"/>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80" w:type="dxa"/>
            <w:vAlign w:val="bottom"/>
            <w:vMerge w:val="continue"/>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gridSpan w:val="3"/>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gridSpan w:val="2"/>
            <w:vMerge w:val="continue"/>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gridSpan w:val="3"/>
            <w:vMerge w:val="continue"/>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0" w:type="dxa"/>
            <w:vAlign w:val="bottom"/>
            <w:gridSpan w:val="2"/>
            <w:vMerge w:val="continue"/>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64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1400" w:type="dxa"/>
            <w:vAlign w:val="bottom"/>
            <w:gridSpan w:val="3"/>
          </w:tcPr>
          <w:p>
            <w:pPr>
              <w:ind w:left="20"/>
              <w:spacing w:after="0" w:line="162" w:lineRule="exact"/>
              <w:rPr>
                <w:sz w:val="20"/>
                <w:szCs w:val="20"/>
                <w:color w:val="auto"/>
              </w:rPr>
            </w:pPr>
            <w:r>
              <w:rPr>
                <w:rFonts w:ascii="Times New Roman" w:cs="Times New Roman" w:eastAsia="Times New Roman" w:hAnsi="Times New Roman"/>
                <w:sz w:val="16"/>
                <w:szCs w:val="16"/>
                <w:color w:val="auto"/>
              </w:rPr>
              <w:t>Tariff refund</w:t>
            </w:r>
          </w:p>
        </w:tc>
        <w:tc>
          <w:tcPr>
            <w:tcW w:w="600" w:type="dxa"/>
            <w:vAlign w:val="bottom"/>
            <w:gridSpan w:val="4"/>
            <w:vMerge w:val="restart"/>
          </w:tcPr>
          <w:p>
            <w:pPr>
              <w:jc w:val="right"/>
              <w:ind w:right="20"/>
              <w:spacing w:after="0"/>
              <w:rPr>
                <w:sz w:val="20"/>
                <w:szCs w:val="20"/>
                <w:color w:val="auto"/>
              </w:rPr>
            </w:pPr>
            <w:r>
              <w:rPr>
                <w:rFonts w:ascii="Times New Roman" w:cs="Times New Roman" w:eastAsia="Times New Roman" w:hAnsi="Times New Roman"/>
                <w:sz w:val="16"/>
                <w:szCs w:val="16"/>
                <w:color w:val="auto"/>
              </w:rPr>
              <w:t>127.7</w:t>
            </w:r>
          </w:p>
        </w:tc>
        <w:tc>
          <w:tcPr>
            <w:tcW w:w="240" w:type="dxa"/>
            <w:vAlign w:val="bottom"/>
            <w:gridSpan w:val="4"/>
          </w:tcPr>
          <w:p>
            <w:pPr>
              <w:spacing w:after="0"/>
              <w:rPr>
                <w:sz w:val="14"/>
                <w:szCs w:val="14"/>
                <w:color w:val="auto"/>
              </w:rPr>
            </w:pPr>
          </w:p>
        </w:tc>
        <w:tc>
          <w:tcPr>
            <w:tcW w:w="640" w:type="dxa"/>
            <w:vAlign w:val="bottom"/>
            <w:gridSpan w:val="4"/>
            <w:vMerge w:val="restart"/>
          </w:tcPr>
          <w:p>
            <w:pPr>
              <w:jc w:val="right"/>
              <w:spacing w:after="0"/>
              <w:rPr>
                <w:sz w:val="20"/>
                <w:szCs w:val="20"/>
                <w:color w:val="auto"/>
              </w:rPr>
            </w:pPr>
            <w:r>
              <w:rPr>
                <w:rFonts w:ascii="Times New Roman" w:cs="Times New Roman" w:eastAsia="Times New Roman" w:hAnsi="Times New Roman"/>
                <w:sz w:val="16"/>
                <w:szCs w:val="16"/>
                <w:color w:val="auto"/>
              </w:rPr>
              <w:t>(127.7)</w:t>
            </w:r>
          </w:p>
        </w:tc>
        <w:tc>
          <w:tcPr>
            <w:tcW w:w="1220" w:type="dxa"/>
            <w:vAlign w:val="bottom"/>
            <w:gridSpan w:val="11"/>
          </w:tcPr>
          <w:p>
            <w:pPr>
              <w:spacing w:after="0"/>
              <w:rPr>
                <w:sz w:val="14"/>
                <w:szCs w:val="14"/>
                <w:color w:val="auto"/>
              </w:rPr>
            </w:pPr>
          </w:p>
        </w:tc>
        <w:tc>
          <w:tcPr>
            <w:tcW w:w="680" w:type="dxa"/>
            <w:vAlign w:val="bottom"/>
            <w:gridSpan w:val="4"/>
            <w:vMerge w:val="restart"/>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080" w:type="dxa"/>
            <w:vAlign w:val="bottom"/>
            <w:gridSpan w:val="10"/>
          </w:tcPr>
          <w:p>
            <w:pPr>
              <w:spacing w:after="0"/>
              <w:rPr>
                <w:sz w:val="14"/>
                <w:szCs w:val="14"/>
                <w:color w:val="auto"/>
              </w:rPr>
            </w:pPr>
          </w:p>
        </w:tc>
        <w:tc>
          <w:tcPr>
            <w:tcW w:w="660" w:type="dxa"/>
            <w:vAlign w:val="bottom"/>
            <w:gridSpan w:val="2"/>
            <w:vMerge w:val="restart"/>
          </w:tcPr>
          <w:p>
            <w:pPr>
              <w:jc w:val="right"/>
              <w:spacing w:after="0"/>
              <w:rPr>
                <w:sz w:val="20"/>
                <w:szCs w:val="20"/>
                <w:color w:val="auto"/>
              </w:rPr>
            </w:pPr>
            <w:r>
              <w:rPr>
                <w:rFonts w:ascii="Times New Roman" w:cs="Times New Roman" w:eastAsia="Times New Roman" w:hAnsi="Times New Roman"/>
                <w:sz w:val="16"/>
                <w:szCs w:val="16"/>
                <w:color w:val="auto"/>
              </w:rPr>
              <w:t>(127.7)</w:t>
            </w:r>
          </w:p>
        </w:tc>
        <w:tc>
          <w:tcPr>
            <w:tcW w:w="1260" w:type="dxa"/>
            <w:vAlign w:val="bottom"/>
            <w:gridSpan w:val="12"/>
          </w:tcPr>
          <w:p>
            <w:pPr>
              <w:spacing w:after="0"/>
              <w:rPr>
                <w:sz w:val="14"/>
                <w:szCs w:val="14"/>
                <w:color w:val="auto"/>
              </w:rPr>
            </w:pPr>
          </w:p>
        </w:tc>
        <w:tc>
          <w:tcPr>
            <w:tcW w:w="540" w:type="dxa"/>
            <w:vAlign w:val="bottom"/>
            <w:gridSpan w:val="2"/>
            <w:vMerge w:val="restart"/>
          </w:tcPr>
          <w:p>
            <w:pPr>
              <w:jc w:val="right"/>
              <w:ind w:right="20"/>
              <w:spacing w:after="0"/>
              <w:rPr>
                <w:sz w:val="20"/>
                <w:szCs w:val="20"/>
                <w:color w:val="auto"/>
              </w:rPr>
            </w:pPr>
            <w:r>
              <w:rPr>
                <w:rFonts w:ascii="Times New Roman" w:cs="Times New Roman" w:eastAsia="Times New Roman" w:hAnsi="Times New Roman"/>
                <w:sz w:val="16"/>
                <w:szCs w:val="16"/>
                <w:color w:val="auto"/>
              </w:rPr>
              <w:t>(4.0)</w:t>
            </w:r>
          </w:p>
        </w:tc>
        <w:tc>
          <w:tcPr>
            <w:tcW w:w="320" w:type="dxa"/>
            <w:vAlign w:val="bottom"/>
            <w:gridSpan w:val="5"/>
          </w:tcPr>
          <w:p>
            <w:pPr>
              <w:spacing w:after="0"/>
              <w:rPr>
                <w:sz w:val="14"/>
                <w:szCs w:val="14"/>
                <w:color w:val="auto"/>
              </w:rPr>
            </w:pPr>
          </w:p>
        </w:tc>
        <w:tc>
          <w:tcPr>
            <w:tcW w:w="560" w:type="dxa"/>
            <w:vAlign w:val="bottom"/>
            <w:gridSpan w:val="2"/>
            <w:vMerge w:val="restart"/>
          </w:tcPr>
          <w:p>
            <w:pPr>
              <w:jc w:val="right"/>
              <w:ind w:right="20"/>
              <w:spacing w:after="0"/>
              <w:rPr>
                <w:sz w:val="20"/>
                <w:szCs w:val="20"/>
                <w:color w:val="auto"/>
              </w:rPr>
            </w:pPr>
            <w:r>
              <w:rPr>
                <w:rFonts w:ascii="Times New Roman" w:cs="Times New Roman" w:eastAsia="Times New Roman" w:hAnsi="Times New Roman"/>
                <w:sz w:val="16"/>
                <w:szCs w:val="16"/>
                <w:color w:val="auto"/>
              </w:rPr>
              <w:t>(31.6)</w:t>
            </w:r>
          </w:p>
        </w:tc>
        <w:tc>
          <w:tcPr>
            <w:tcW w:w="340" w:type="dxa"/>
            <w:vAlign w:val="bottom"/>
            <w:gridSpan w:val="7"/>
          </w:tcPr>
          <w:p>
            <w:pPr>
              <w:spacing w:after="0"/>
              <w:rPr>
                <w:sz w:val="14"/>
                <w:szCs w:val="14"/>
                <w:color w:val="auto"/>
              </w:rPr>
            </w:pPr>
          </w:p>
        </w:tc>
        <w:tc>
          <w:tcPr>
            <w:tcW w:w="520" w:type="dxa"/>
            <w:vAlign w:val="bottom"/>
            <w:gridSpan w:val="2"/>
            <w:vMerge w:val="restart"/>
          </w:tcPr>
          <w:p>
            <w:pPr>
              <w:ind w:left="20"/>
              <w:spacing w:after="0"/>
              <w:rPr>
                <w:sz w:val="20"/>
                <w:szCs w:val="20"/>
                <w:color w:val="auto"/>
              </w:rPr>
            </w:pPr>
            <w:r>
              <w:rPr>
                <w:rFonts w:ascii="Times New Roman" w:cs="Times New Roman" w:eastAsia="Times New Roman" w:hAnsi="Times New Roman"/>
                <w:sz w:val="16"/>
                <w:szCs w:val="16"/>
                <w:color w:val="auto"/>
              </w:rPr>
              <w:t>(100.1)</w:t>
            </w:r>
          </w:p>
        </w:tc>
        <w:tc>
          <w:tcPr>
            <w:tcW w:w="540" w:type="dxa"/>
            <w:vAlign w:val="bottom"/>
            <w:gridSpan w:val="4"/>
          </w:tcPr>
          <w:p>
            <w:pPr>
              <w:spacing w:after="0"/>
              <w:rPr>
                <w:sz w:val="14"/>
                <w:szCs w:val="14"/>
                <w:color w:val="auto"/>
              </w:rPr>
            </w:pPr>
          </w:p>
        </w:tc>
        <w:tc>
          <w:tcPr>
            <w:tcW w:w="6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(2.74)</w:t>
            </w:r>
          </w:p>
        </w:tc>
        <w:tc>
          <w:tcPr>
            <w:tcW w:w="0" w:type="dxa"/>
            <w:vAlign w:val="bottom"/>
          </w:tcPr>
          <w:p>
            <w:pPr>
              <w:spacing w:after="0"/>
              <w:rPr>
                <w:sz w:val="1"/>
                <w:szCs w:val="1"/>
                <w:color w:val="auto"/>
              </w:rPr>
            </w:pPr>
          </w:p>
        </w:tc>
      </w:tr>
      <w:tr>
        <w:trPr>
          <w:trHeight w:val="216"/>
        </w:trPr>
        <w:tc>
          <w:tcPr>
            <w:tcW w:w="1400" w:type="dxa"/>
            <w:vAlign w:val="bottom"/>
            <w:gridSpan w:val="3"/>
          </w:tcPr>
          <w:p>
            <w:pPr>
              <w:ind w:left="20"/>
              <w:spacing w:after="0" w:line="216" w:lineRule="exact"/>
              <w:rPr>
                <w:sz w:val="20"/>
                <w:szCs w:val="20"/>
                <w:color w:val="auto"/>
              </w:rPr>
            </w:pPr>
            <w:r>
              <w:rPr>
                <w:rFonts w:ascii="Times New Roman" w:cs="Times New Roman" w:eastAsia="Times New Roman" w:hAnsi="Times New Roman"/>
                <w:sz w:val="16"/>
                <w:szCs w:val="16"/>
                <w:color w:val="auto"/>
              </w:rPr>
              <w:t xml:space="preserve">recovery </w:t>
            </w:r>
            <w:r>
              <w:rPr>
                <w:rFonts w:ascii="Times New Roman" w:cs="Times New Roman" w:eastAsia="Times New Roman" w:hAnsi="Times New Roman"/>
                <w:sz w:val="21"/>
                <w:szCs w:val="21"/>
                <w:color w:val="auto"/>
                <w:vertAlign w:val="superscript"/>
              </w:rPr>
              <w:t>(d)</w:t>
            </w:r>
          </w:p>
        </w:tc>
        <w:tc>
          <w:tcPr>
            <w:tcW w:w="600" w:type="dxa"/>
            <w:vAlign w:val="bottom"/>
            <w:gridSpan w:val="4"/>
            <w:vMerge w:val="continue"/>
          </w:tcPr>
          <w:p>
            <w:pPr>
              <w:spacing w:after="0"/>
              <w:rPr>
                <w:sz w:val="18"/>
                <w:szCs w:val="18"/>
                <w:color w:val="auto"/>
              </w:rPr>
            </w:pPr>
          </w:p>
        </w:tc>
        <w:tc>
          <w:tcPr>
            <w:tcW w:w="240" w:type="dxa"/>
            <w:vAlign w:val="bottom"/>
            <w:gridSpan w:val="4"/>
          </w:tcPr>
          <w:p>
            <w:pPr>
              <w:spacing w:after="0"/>
              <w:rPr>
                <w:sz w:val="18"/>
                <w:szCs w:val="18"/>
                <w:color w:val="auto"/>
              </w:rPr>
            </w:pPr>
          </w:p>
        </w:tc>
        <w:tc>
          <w:tcPr>
            <w:tcW w:w="640" w:type="dxa"/>
            <w:vAlign w:val="bottom"/>
            <w:gridSpan w:val="4"/>
            <w:vMerge w:val="continue"/>
          </w:tcPr>
          <w:p>
            <w:pPr>
              <w:spacing w:after="0"/>
              <w:rPr>
                <w:sz w:val="18"/>
                <w:szCs w:val="18"/>
                <w:color w:val="auto"/>
              </w:rPr>
            </w:pPr>
          </w:p>
        </w:tc>
        <w:tc>
          <w:tcPr>
            <w:tcW w:w="1220" w:type="dxa"/>
            <w:vAlign w:val="bottom"/>
            <w:gridSpan w:val="11"/>
          </w:tcPr>
          <w:p>
            <w:pPr>
              <w:spacing w:after="0"/>
              <w:rPr>
                <w:sz w:val="18"/>
                <w:szCs w:val="18"/>
                <w:color w:val="auto"/>
              </w:rPr>
            </w:pPr>
          </w:p>
        </w:tc>
        <w:tc>
          <w:tcPr>
            <w:tcW w:w="680" w:type="dxa"/>
            <w:vAlign w:val="bottom"/>
            <w:gridSpan w:val="4"/>
            <w:vMerge w:val="continue"/>
          </w:tcPr>
          <w:p>
            <w:pPr>
              <w:spacing w:after="0"/>
              <w:rPr>
                <w:sz w:val="18"/>
                <w:szCs w:val="18"/>
                <w:color w:val="auto"/>
              </w:rPr>
            </w:pPr>
          </w:p>
        </w:tc>
        <w:tc>
          <w:tcPr>
            <w:tcW w:w="1080" w:type="dxa"/>
            <w:vAlign w:val="bottom"/>
            <w:gridSpan w:val="10"/>
          </w:tcPr>
          <w:p>
            <w:pPr>
              <w:spacing w:after="0"/>
              <w:rPr>
                <w:sz w:val="18"/>
                <w:szCs w:val="18"/>
                <w:color w:val="auto"/>
              </w:rPr>
            </w:pPr>
          </w:p>
        </w:tc>
        <w:tc>
          <w:tcPr>
            <w:tcW w:w="660" w:type="dxa"/>
            <w:vAlign w:val="bottom"/>
            <w:gridSpan w:val="2"/>
            <w:vMerge w:val="continue"/>
          </w:tcPr>
          <w:p>
            <w:pPr>
              <w:spacing w:after="0"/>
              <w:rPr>
                <w:sz w:val="18"/>
                <w:szCs w:val="18"/>
                <w:color w:val="auto"/>
              </w:rPr>
            </w:pPr>
          </w:p>
        </w:tc>
        <w:tc>
          <w:tcPr>
            <w:tcW w:w="1260" w:type="dxa"/>
            <w:vAlign w:val="bottom"/>
            <w:gridSpan w:val="12"/>
          </w:tcPr>
          <w:p>
            <w:pPr>
              <w:spacing w:after="0"/>
              <w:rPr>
                <w:sz w:val="18"/>
                <w:szCs w:val="18"/>
                <w:color w:val="auto"/>
              </w:rPr>
            </w:pPr>
          </w:p>
        </w:tc>
        <w:tc>
          <w:tcPr>
            <w:tcW w:w="540" w:type="dxa"/>
            <w:vAlign w:val="bottom"/>
            <w:gridSpan w:val="2"/>
            <w:vMerge w:val="continue"/>
          </w:tcPr>
          <w:p>
            <w:pPr>
              <w:spacing w:after="0"/>
              <w:rPr>
                <w:sz w:val="18"/>
                <w:szCs w:val="18"/>
                <w:color w:val="auto"/>
              </w:rPr>
            </w:pPr>
          </w:p>
        </w:tc>
        <w:tc>
          <w:tcPr>
            <w:tcW w:w="320" w:type="dxa"/>
            <w:vAlign w:val="bottom"/>
            <w:gridSpan w:val="5"/>
          </w:tcPr>
          <w:p>
            <w:pPr>
              <w:spacing w:after="0"/>
              <w:rPr>
                <w:sz w:val="18"/>
                <w:szCs w:val="18"/>
                <w:color w:val="auto"/>
              </w:rPr>
            </w:pPr>
          </w:p>
        </w:tc>
        <w:tc>
          <w:tcPr>
            <w:tcW w:w="560" w:type="dxa"/>
            <w:vAlign w:val="bottom"/>
            <w:gridSpan w:val="2"/>
            <w:vMerge w:val="continue"/>
          </w:tcPr>
          <w:p>
            <w:pPr>
              <w:spacing w:after="0"/>
              <w:rPr>
                <w:sz w:val="18"/>
                <w:szCs w:val="18"/>
                <w:color w:val="auto"/>
              </w:rPr>
            </w:pPr>
          </w:p>
        </w:tc>
        <w:tc>
          <w:tcPr>
            <w:tcW w:w="340" w:type="dxa"/>
            <w:vAlign w:val="bottom"/>
            <w:gridSpan w:val="7"/>
          </w:tcPr>
          <w:p>
            <w:pPr>
              <w:spacing w:after="0"/>
              <w:rPr>
                <w:sz w:val="18"/>
                <w:szCs w:val="18"/>
                <w:color w:val="auto"/>
              </w:rPr>
            </w:pPr>
          </w:p>
        </w:tc>
        <w:tc>
          <w:tcPr>
            <w:tcW w:w="520" w:type="dxa"/>
            <w:vAlign w:val="bottom"/>
            <w:gridSpan w:val="2"/>
            <w:vMerge w:val="continue"/>
          </w:tcPr>
          <w:p>
            <w:pPr>
              <w:spacing w:after="0"/>
              <w:rPr>
                <w:sz w:val="18"/>
                <w:szCs w:val="18"/>
                <w:color w:val="auto"/>
              </w:rPr>
            </w:pPr>
          </w:p>
        </w:tc>
        <w:tc>
          <w:tcPr>
            <w:tcW w:w="540" w:type="dxa"/>
            <w:vAlign w:val="bottom"/>
            <w:gridSpan w:val="4"/>
          </w:tcPr>
          <w:p>
            <w:pPr>
              <w:spacing w:after="0"/>
              <w:rPr>
                <w:sz w:val="18"/>
                <w:szCs w:val="18"/>
                <w:color w:val="auto"/>
              </w:rPr>
            </w:pPr>
          </w:p>
        </w:tc>
        <w:tc>
          <w:tcPr>
            <w:tcW w:w="6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1620" w:type="dxa"/>
            <w:vAlign w:val="bottom"/>
            <w:gridSpan w:val="5"/>
            <w:shd w:val="clear" w:color="auto" w:fill="CCEEFF"/>
          </w:tcPr>
          <w:p>
            <w:pPr>
              <w:ind w:left="20"/>
              <w:spacing w:after="0" w:line="162" w:lineRule="exact"/>
              <w:rPr>
                <w:sz w:val="20"/>
                <w:szCs w:val="20"/>
                <w:color w:val="auto"/>
              </w:rPr>
            </w:pPr>
            <w:r>
              <w:rPr>
                <w:rFonts w:ascii="Times New Roman" w:cs="Times New Roman" w:eastAsia="Times New Roman" w:hAnsi="Times New Roman"/>
                <w:sz w:val="16"/>
                <w:szCs w:val="16"/>
                <w:color w:val="auto"/>
              </w:rPr>
              <w:t>Leadership</w:t>
            </w:r>
          </w:p>
        </w:tc>
        <w:tc>
          <w:tcPr>
            <w:tcW w:w="380" w:type="dxa"/>
            <w:vAlign w:val="bottom"/>
            <w:gridSpan w:val="2"/>
            <w:vMerge w:val="restart"/>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440" w:type="dxa"/>
            <w:vAlign w:val="bottom"/>
            <w:gridSpan w:val="6"/>
            <w:shd w:val="clear" w:color="auto" w:fill="CCEEFF"/>
          </w:tcPr>
          <w:p>
            <w:pPr>
              <w:spacing w:after="0"/>
              <w:rPr>
                <w:sz w:val="14"/>
                <w:szCs w:val="14"/>
                <w:color w:val="auto"/>
              </w:rPr>
            </w:pPr>
          </w:p>
        </w:tc>
        <w:tc>
          <w:tcPr>
            <w:tcW w:w="560" w:type="dxa"/>
            <w:vAlign w:val="bottom"/>
            <w:gridSpan w:val="4"/>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gridSpan w:val="9"/>
            <w:shd w:val="clear" w:color="auto" w:fill="CCEEFF"/>
          </w:tcPr>
          <w:p>
            <w:pPr>
              <w:spacing w:after="0"/>
              <w:rPr>
                <w:sz w:val="14"/>
                <w:szCs w:val="14"/>
                <w:color w:val="auto"/>
              </w:rPr>
            </w:pPr>
          </w:p>
        </w:tc>
        <w:tc>
          <w:tcPr>
            <w:tcW w:w="56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(4.7)</w:t>
            </w:r>
          </w:p>
        </w:tc>
        <w:tc>
          <w:tcPr>
            <w:tcW w:w="1200" w:type="dxa"/>
            <w:vAlign w:val="bottom"/>
            <w:gridSpan w:val="12"/>
            <w:shd w:val="clear" w:color="auto" w:fill="CCEEFF"/>
          </w:tcPr>
          <w:p>
            <w:pPr>
              <w:spacing w:after="0"/>
              <w:rPr>
                <w:sz w:val="14"/>
                <w:szCs w:val="14"/>
                <w:color w:val="auto"/>
              </w:rPr>
            </w:pPr>
          </w:p>
        </w:tc>
        <w:tc>
          <w:tcPr>
            <w:tcW w:w="66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4.7</w:t>
            </w:r>
          </w:p>
        </w:tc>
        <w:tc>
          <w:tcPr>
            <w:tcW w:w="1260" w:type="dxa"/>
            <w:vAlign w:val="bottom"/>
            <w:gridSpan w:val="12"/>
            <w:shd w:val="clear" w:color="auto" w:fill="CCEEFF"/>
          </w:tcPr>
          <w:p>
            <w:pPr>
              <w:spacing w:after="0"/>
              <w:rPr>
                <w:sz w:val="14"/>
                <w:szCs w:val="14"/>
                <w:color w:val="auto"/>
              </w:rPr>
            </w:pPr>
          </w:p>
        </w:tc>
        <w:tc>
          <w:tcPr>
            <w:tcW w:w="560" w:type="dxa"/>
            <w:vAlign w:val="bottom"/>
            <w:gridSpan w:val="3"/>
            <w:vMerge w:val="restart"/>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gridSpan w:val="4"/>
            <w:shd w:val="clear" w:color="auto" w:fill="CCEEFF"/>
          </w:tcPr>
          <w:p>
            <w:pPr>
              <w:spacing w:after="0"/>
              <w:rPr>
                <w:sz w:val="14"/>
                <w:szCs w:val="14"/>
                <w:color w:val="auto"/>
              </w:rPr>
            </w:pPr>
          </w:p>
        </w:tc>
        <w:tc>
          <w:tcPr>
            <w:tcW w:w="560" w:type="dxa"/>
            <w:vAlign w:val="bottom"/>
            <w:gridSpan w:val="2"/>
            <w:vMerge w:val="restart"/>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1.1</w:t>
            </w:r>
          </w:p>
        </w:tc>
        <w:tc>
          <w:tcPr>
            <w:tcW w:w="340" w:type="dxa"/>
            <w:vAlign w:val="bottom"/>
            <w:gridSpan w:val="7"/>
            <w:shd w:val="clear" w:color="auto" w:fill="CCEEFF"/>
          </w:tcPr>
          <w:p>
            <w:pPr>
              <w:spacing w:after="0"/>
              <w:rPr>
                <w:sz w:val="14"/>
                <w:szCs w:val="14"/>
                <w:color w:val="auto"/>
              </w:rPr>
            </w:pPr>
          </w:p>
        </w:tc>
        <w:tc>
          <w:tcPr>
            <w:tcW w:w="4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w:t>
            </w:r>
          </w:p>
        </w:tc>
        <w:tc>
          <w:tcPr>
            <w:tcW w:w="620" w:type="dxa"/>
            <w:vAlign w:val="bottom"/>
            <w:gridSpan w:val="5"/>
            <w:shd w:val="clear" w:color="auto" w:fill="CCEEFF"/>
          </w:tcPr>
          <w:p>
            <w:pPr>
              <w:spacing w:after="0"/>
              <w:rPr>
                <w:sz w:val="14"/>
                <w:szCs w:val="14"/>
                <w:color w:val="auto"/>
              </w:rPr>
            </w:pPr>
          </w:p>
        </w:tc>
        <w:tc>
          <w:tcPr>
            <w:tcW w:w="6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0.10</w:t>
            </w:r>
          </w:p>
        </w:tc>
        <w:tc>
          <w:tcPr>
            <w:tcW w:w="0" w:type="dxa"/>
            <w:vAlign w:val="bottom"/>
          </w:tcPr>
          <w:p>
            <w:pPr>
              <w:spacing w:after="0"/>
              <w:rPr>
                <w:sz w:val="1"/>
                <w:szCs w:val="1"/>
                <w:color w:val="auto"/>
              </w:rPr>
            </w:pPr>
          </w:p>
        </w:tc>
      </w:tr>
      <w:tr>
        <w:trPr>
          <w:trHeight w:val="216"/>
        </w:trPr>
        <w:tc>
          <w:tcPr>
            <w:tcW w:w="1620" w:type="dxa"/>
            <w:vAlign w:val="bottom"/>
            <w:gridSpan w:val="5"/>
            <w:shd w:val="clear" w:color="auto" w:fill="CCEEFF"/>
          </w:tcPr>
          <w:p>
            <w:pPr>
              <w:ind w:left="20"/>
              <w:spacing w:after="0" w:line="216" w:lineRule="exact"/>
              <w:rPr>
                <w:sz w:val="20"/>
                <w:szCs w:val="20"/>
                <w:color w:val="auto"/>
              </w:rPr>
            </w:pPr>
            <w:r>
              <w:rPr>
                <w:rFonts w:ascii="Times New Roman" w:cs="Times New Roman" w:eastAsia="Times New Roman" w:hAnsi="Times New Roman"/>
                <w:sz w:val="16"/>
                <w:szCs w:val="16"/>
                <w:color w:val="auto"/>
              </w:rPr>
              <w:t xml:space="preserve">transition costs </w:t>
            </w:r>
            <w:r>
              <w:rPr>
                <w:rFonts w:ascii="Times New Roman" w:cs="Times New Roman" w:eastAsia="Times New Roman" w:hAnsi="Times New Roman"/>
                <w:sz w:val="21"/>
                <w:szCs w:val="21"/>
                <w:color w:val="auto"/>
                <w:vertAlign w:val="superscript"/>
              </w:rPr>
              <w:t>(c)</w:t>
            </w:r>
          </w:p>
        </w:tc>
        <w:tc>
          <w:tcPr>
            <w:tcW w:w="380" w:type="dxa"/>
            <w:vAlign w:val="bottom"/>
            <w:gridSpan w:val="2"/>
            <w:vMerge w:val="continue"/>
            <w:shd w:val="clear" w:color="auto" w:fill="CCEEFF"/>
          </w:tcPr>
          <w:p>
            <w:pPr>
              <w:spacing w:after="0"/>
              <w:rPr>
                <w:sz w:val="18"/>
                <w:szCs w:val="18"/>
                <w:color w:val="auto"/>
              </w:rPr>
            </w:pPr>
          </w:p>
        </w:tc>
        <w:tc>
          <w:tcPr>
            <w:tcW w:w="440" w:type="dxa"/>
            <w:vAlign w:val="bottom"/>
            <w:gridSpan w:val="6"/>
            <w:shd w:val="clear" w:color="auto" w:fill="CCEEFF"/>
          </w:tcPr>
          <w:p>
            <w:pPr>
              <w:spacing w:after="0"/>
              <w:rPr>
                <w:sz w:val="18"/>
                <w:szCs w:val="18"/>
                <w:color w:val="auto"/>
              </w:rPr>
            </w:pPr>
          </w:p>
        </w:tc>
        <w:tc>
          <w:tcPr>
            <w:tcW w:w="560" w:type="dxa"/>
            <w:vAlign w:val="bottom"/>
            <w:gridSpan w:val="4"/>
            <w:vMerge w:val="continue"/>
            <w:shd w:val="clear" w:color="auto" w:fill="CCEEFF"/>
          </w:tcPr>
          <w:p>
            <w:pPr>
              <w:spacing w:after="0"/>
              <w:rPr>
                <w:sz w:val="18"/>
                <w:szCs w:val="18"/>
                <w:color w:val="auto"/>
              </w:rPr>
            </w:pPr>
          </w:p>
        </w:tc>
        <w:tc>
          <w:tcPr>
            <w:tcW w:w="1100" w:type="dxa"/>
            <w:vAlign w:val="bottom"/>
            <w:gridSpan w:val="9"/>
            <w:shd w:val="clear" w:color="auto" w:fill="CCEEFF"/>
          </w:tcPr>
          <w:p>
            <w:pPr>
              <w:spacing w:after="0"/>
              <w:rPr>
                <w:sz w:val="18"/>
                <w:szCs w:val="18"/>
                <w:color w:val="auto"/>
              </w:rPr>
            </w:pPr>
          </w:p>
        </w:tc>
        <w:tc>
          <w:tcPr>
            <w:tcW w:w="560" w:type="dxa"/>
            <w:vAlign w:val="bottom"/>
            <w:gridSpan w:val="2"/>
            <w:vMerge w:val="continue"/>
            <w:shd w:val="clear" w:color="auto" w:fill="CCEEFF"/>
          </w:tcPr>
          <w:p>
            <w:pPr>
              <w:spacing w:after="0"/>
              <w:rPr>
                <w:sz w:val="18"/>
                <w:szCs w:val="18"/>
                <w:color w:val="auto"/>
              </w:rPr>
            </w:pPr>
          </w:p>
        </w:tc>
        <w:tc>
          <w:tcPr>
            <w:tcW w:w="1200" w:type="dxa"/>
            <w:vAlign w:val="bottom"/>
            <w:gridSpan w:val="12"/>
            <w:shd w:val="clear" w:color="auto" w:fill="CCEEFF"/>
          </w:tcPr>
          <w:p>
            <w:pPr>
              <w:spacing w:after="0"/>
              <w:rPr>
                <w:sz w:val="18"/>
                <w:szCs w:val="18"/>
                <w:color w:val="auto"/>
              </w:rPr>
            </w:pPr>
          </w:p>
        </w:tc>
        <w:tc>
          <w:tcPr>
            <w:tcW w:w="660" w:type="dxa"/>
            <w:vAlign w:val="bottom"/>
            <w:gridSpan w:val="2"/>
            <w:vMerge w:val="continue"/>
            <w:shd w:val="clear" w:color="auto" w:fill="CCEEFF"/>
          </w:tcPr>
          <w:p>
            <w:pPr>
              <w:spacing w:after="0"/>
              <w:rPr>
                <w:sz w:val="18"/>
                <w:szCs w:val="18"/>
                <w:color w:val="auto"/>
              </w:rPr>
            </w:pPr>
          </w:p>
        </w:tc>
        <w:tc>
          <w:tcPr>
            <w:tcW w:w="1260" w:type="dxa"/>
            <w:vAlign w:val="bottom"/>
            <w:gridSpan w:val="12"/>
            <w:shd w:val="clear" w:color="auto" w:fill="CCEEFF"/>
          </w:tcPr>
          <w:p>
            <w:pPr>
              <w:spacing w:after="0"/>
              <w:rPr>
                <w:sz w:val="18"/>
                <w:szCs w:val="18"/>
                <w:color w:val="auto"/>
              </w:rPr>
            </w:pPr>
          </w:p>
        </w:tc>
        <w:tc>
          <w:tcPr>
            <w:tcW w:w="560" w:type="dxa"/>
            <w:vAlign w:val="bottom"/>
            <w:gridSpan w:val="3"/>
            <w:vMerge w:val="continue"/>
            <w:shd w:val="clear" w:color="auto" w:fill="CCEEFF"/>
          </w:tcPr>
          <w:p>
            <w:pPr>
              <w:spacing w:after="0"/>
              <w:rPr>
                <w:sz w:val="18"/>
                <w:szCs w:val="18"/>
                <w:color w:val="auto"/>
              </w:rPr>
            </w:pPr>
          </w:p>
        </w:tc>
        <w:tc>
          <w:tcPr>
            <w:tcW w:w="300" w:type="dxa"/>
            <w:vAlign w:val="bottom"/>
            <w:gridSpan w:val="4"/>
            <w:shd w:val="clear" w:color="auto" w:fill="CCEEFF"/>
          </w:tcPr>
          <w:p>
            <w:pPr>
              <w:spacing w:after="0"/>
              <w:rPr>
                <w:sz w:val="18"/>
                <w:szCs w:val="18"/>
                <w:color w:val="auto"/>
              </w:rPr>
            </w:pPr>
          </w:p>
        </w:tc>
        <w:tc>
          <w:tcPr>
            <w:tcW w:w="560" w:type="dxa"/>
            <w:vAlign w:val="bottom"/>
            <w:gridSpan w:val="2"/>
            <w:vMerge w:val="continue"/>
            <w:shd w:val="clear" w:color="auto" w:fill="CCEEFF"/>
          </w:tcPr>
          <w:p>
            <w:pPr>
              <w:spacing w:after="0"/>
              <w:rPr>
                <w:sz w:val="18"/>
                <w:szCs w:val="18"/>
                <w:color w:val="auto"/>
              </w:rPr>
            </w:pPr>
          </w:p>
        </w:tc>
        <w:tc>
          <w:tcPr>
            <w:tcW w:w="340" w:type="dxa"/>
            <w:vAlign w:val="bottom"/>
            <w:gridSpan w:val="7"/>
            <w:shd w:val="clear" w:color="auto" w:fill="CCEEFF"/>
          </w:tcPr>
          <w:p>
            <w:pPr>
              <w:spacing w:after="0"/>
              <w:rPr>
                <w:sz w:val="18"/>
                <w:szCs w:val="18"/>
                <w:color w:val="auto"/>
              </w:rPr>
            </w:pPr>
          </w:p>
        </w:tc>
        <w:tc>
          <w:tcPr>
            <w:tcW w:w="440" w:type="dxa"/>
            <w:vAlign w:val="bottom"/>
            <w:vMerge w:val="continue"/>
            <w:shd w:val="clear" w:color="auto" w:fill="CCEEFF"/>
          </w:tcPr>
          <w:p>
            <w:pPr>
              <w:spacing w:after="0"/>
              <w:rPr>
                <w:sz w:val="18"/>
                <w:szCs w:val="18"/>
                <w:color w:val="auto"/>
              </w:rPr>
            </w:pPr>
          </w:p>
        </w:tc>
        <w:tc>
          <w:tcPr>
            <w:tcW w:w="620" w:type="dxa"/>
            <w:vAlign w:val="bottom"/>
            <w:gridSpan w:val="5"/>
            <w:shd w:val="clear" w:color="auto" w:fill="CCEEFF"/>
          </w:tcPr>
          <w:p>
            <w:pPr>
              <w:spacing w:after="0"/>
              <w:rPr>
                <w:sz w:val="18"/>
                <w:szCs w:val="18"/>
                <w:color w:val="auto"/>
              </w:rPr>
            </w:pPr>
          </w:p>
        </w:tc>
        <w:tc>
          <w:tcPr>
            <w:tcW w:w="64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620" w:type="dxa"/>
            <w:vAlign w:val="bottom"/>
            <w:gridSpan w:val="5"/>
          </w:tcPr>
          <w:p>
            <w:pPr>
              <w:ind w:left="20"/>
              <w:spacing w:after="0" w:line="216" w:lineRule="exact"/>
              <w:rPr>
                <w:sz w:val="20"/>
                <w:szCs w:val="20"/>
                <w:color w:val="auto"/>
              </w:rPr>
            </w:pPr>
            <w:r>
              <w:rPr>
                <w:rFonts w:ascii="Times New Roman" w:cs="Times New Roman" w:eastAsia="Times New Roman" w:hAnsi="Times New Roman"/>
                <w:sz w:val="16"/>
                <w:szCs w:val="16"/>
                <w:color w:val="auto"/>
              </w:rPr>
              <w:t xml:space="preserve">IP litigation </w:t>
            </w:r>
            <w:r>
              <w:rPr>
                <w:rFonts w:ascii="Times New Roman" w:cs="Times New Roman" w:eastAsia="Times New Roman" w:hAnsi="Times New Roman"/>
                <w:sz w:val="21"/>
                <w:szCs w:val="21"/>
                <w:color w:val="auto"/>
                <w:vertAlign w:val="superscript"/>
              </w:rPr>
              <w:t>(b)</w:t>
            </w:r>
          </w:p>
        </w:tc>
        <w:tc>
          <w:tcPr>
            <w:tcW w:w="820" w:type="dxa"/>
            <w:vAlign w:val="bottom"/>
            <w:gridSpan w:val="8"/>
          </w:tcPr>
          <w:p>
            <w:pPr>
              <w:jc w:val="right"/>
              <w:ind w:right="379"/>
              <w:spacing w:after="0"/>
              <w:rPr>
                <w:sz w:val="20"/>
                <w:szCs w:val="20"/>
                <w:color w:val="auto"/>
              </w:rPr>
            </w:pPr>
            <w:r>
              <w:rPr>
                <w:rFonts w:ascii="Times New Roman" w:cs="Times New Roman" w:eastAsia="Times New Roman" w:hAnsi="Times New Roman"/>
                <w:sz w:val="16"/>
                <w:szCs w:val="16"/>
                <w:color w:val="auto"/>
              </w:rPr>
              <w:t>—</w:t>
            </w:r>
          </w:p>
        </w:tc>
        <w:tc>
          <w:tcPr>
            <w:tcW w:w="1660" w:type="dxa"/>
            <w:vAlign w:val="bottom"/>
            <w:gridSpan w:val="13"/>
          </w:tcPr>
          <w:p>
            <w:pPr>
              <w:jc w:val="right"/>
              <w:ind w:right="1199"/>
              <w:spacing w:after="0"/>
              <w:rPr>
                <w:sz w:val="20"/>
                <w:szCs w:val="20"/>
                <w:color w:val="auto"/>
              </w:rPr>
            </w:pPr>
            <w:r>
              <w:rPr>
                <w:rFonts w:ascii="Times New Roman" w:cs="Times New Roman" w:eastAsia="Times New Roman" w:hAnsi="Times New Roman"/>
                <w:sz w:val="16"/>
                <w:szCs w:val="16"/>
                <w:color w:val="auto"/>
              </w:rPr>
              <w:t>—</w:t>
            </w:r>
          </w:p>
        </w:tc>
        <w:tc>
          <w:tcPr>
            <w:tcW w:w="1760" w:type="dxa"/>
            <w:vAlign w:val="bottom"/>
            <w:gridSpan w:val="14"/>
          </w:tcPr>
          <w:p>
            <w:pPr>
              <w:jc w:val="right"/>
              <w:ind w:right="1139"/>
              <w:spacing w:after="0"/>
              <w:rPr>
                <w:sz w:val="20"/>
                <w:szCs w:val="20"/>
                <w:color w:val="auto"/>
              </w:rPr>
            </w:pPr>
            <w:r>
              <w:rPr>
                <w:rFonts w:ascii="Times New Roman" w:cs="Times New Roman" w:eastAsia="Times New Roman" w:hAnsi="Times New Roman"/>
                <w:sz w:val="16"/>
                <w:szCs w:val="16"/>
                <w:color w:val="auto"/>
              </w:rPr>
              <w:t>(2.4)</w:t>
            </w:r>
          </w:p>
        </w:tc>
        <w:tc>
          <w:tcPr>
            <w:tcW w:w="1920" w:type="dxa"/>
            <w:vAlign w:val="bottom"/>
            <w:gridSpan w:val="14"/>
          </w:tcPr>
          <w:p>
            <w:pPr>
              <w:jc w:val="right"/>
              <w:ind w:right="1239"/>
              <w:spacing w:after="0"/>
              <w:rPr>
                <w:sz w:val="20"/>
                <w:szCs w:val="20"/>
                <w:color w:val="auto"/>
              </w:rPr>
            </w:pPr>
            <w:r>
              <w:rPr>
                <w:rFonts w:ascii="Times New Roman" w:cs="Times New Roman" w:eastAsia="Times New Roman" w:hAnsi="Times New Roman"/>
                <w:sz w:val="16"/>
                <w:szCs w:val="16"/>
                <w:color w:val="auto"/>
              </w:rPr>
              <w:t>2.4</w:t>
            </w:r>
          </w:p>
        </w:tc>
        <w:tc>
          <w:tcPr>
            <w:tcW w:w="860" w:type="dxa"/>
            <w:vAlign w:val="bottom"/>
            <w:gridSpan w:val="7"/>
          </w:tcPr>
          <w:p>
            <w:pPr>
              <w:jc w:val="right"/>
              <w:ind w:right="299"/>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gridSpan w:val="9"/>
          </w:tcPr>
          <w:p>
            <w:pPr>
              <w:jc w:val="right"/>
              <w:ind w:right="319"/>
              <w:spacing w:after="0"/>
              <w:rPr>
                <w:sz w:val="20"/>
                <w:szCs w:val="20"/>
                <w:color w:val="auto"/>
              </w:rPr>
            </w:pPr>
            <w:r>
              <w:rPr>
                <w:rFonts w:ascii="Times New Roman" w:cs="Times New Roman" w:eastAsia="Times New Roman" w:hAnsi="Times New Roman"/>
                <w:sz w:val="16"/>
                <w:szCs w:val="16"/>
                <w:color w:val="auto"/>
              </w:rPr>
              <w:t>0.6</w:t>
            </w:r>
          </w:p>
        </w:tc>
        <w:tc>
          <w:tcPr>
            <w:tcW w:w="1060" w:type="dxa"/>
            <w:vAlign w:val="bottom"/>
            <w:gridSpan w:val="6"/>
          </w:tcPr>
          <w:p>
            <w:pPr>
              <w:jc w:val="right"/>
              <w:ind w:right="539"/>
              <w:spacing w:after="0"/>
              <w:rPr>
                <w:sz w:val="20"/>
                <w:szCs w:val="20"/>
                <w:color w:val="auto"/>
              </w:rPr>
            </w:pPr>
            <w:r>
              <w:rPr>
                <w:rFonts w:ascii="Times New Roman" w:cs="Times New Roman" w:eastAsia="Times New Roman" w:hAnsi="Times New Roman"/>
                <w:sz w:val="16"/>
                <w:szCs w:val="16"/>
                <w:color w:val="auto"/>
              </w:rPr>
              <w:t>1.8</w:t>
            </w: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0.05</w:t>
            </w:r>
          </w:p>
        </w:tc>
        <w:tc>
          <w:tcPr>
            <w:tcW w:w="0" w:type="dxa"/>
            <w:vAlign w:val="bottom"/>
          </w:tcPr>
          <w:p>
            <w:pPr>
              <w:spacing w:after="0"/>
              <w:rPr>
                <w:sz w:val="1"/>
                <w:szCs w:val="1"/>
                <w:color w:val="auto"/>
              </w:rPr>
            </w:pPr>
          </w:p>
        </w:tc>
      </w:tr>
      <w:tr>
        <w:trPr>
          <w:trHeight w:val="235"/>
        </w:trPr>
        <w:tc>
          <w:tcPr>
            <w:tcW w:w="1220" w:type="dxa"/>
            <w:vAlign w:val="bottom"/>
            <w:tcBorders>
              <w:top w:val="single" w:sz="8" w:color="CCEEFF"/>
              <w:bottom w:val="single" w:sz="8" w:color="CCEEFF"/>
            </w:tcBorders>
            <w:shd w:val="clear" w:color="auto" w:fill="CCEEFF"/>
          </w:tcPr>
          <w:p>
            <w:pPr>
              <w:ind w:left="20"/>
              <w:spacing w:after="0" w:line="210" w:lineRule="exact"/>
              <w:rPr>
                <w:sz w:val="20"/>
                <w:szCs w:val="20"/>
                <w:color w:val="auto"/>
              </w:rPr>
            </w:pPr>
            <w:r>
              <w:rPr>
                <w:rFonts w:ascii="Times New Roman" w:cs="Times New Roman" w:eastAsia="Times New Roman" w:hAnsi="Times New Roman"/>
                <w:sz w:val="16"/>
                <w:szCs w:val="16"/>
                <w:b w:val="1"/>
                <w:bCs w:val="1"/>
                <w:color w:val="auto"/>
              </w:rPr>
              <w:t xml:space="preserve">As adjusted </w:t>
            </w:r>
            <w:r>
              <w:rPr>
                <w:rFonts w:ascii="Times New Roman" w:cs="Times New Roman" w:eastAsia="Times New Roman" w:hAnsi="Times New Roman"/>
                <w:sz w:val="21"/>
                <w:szCs w:val="21"/>
                <w:b w:val="1"/>
                <w:bCs w:val="1"/>
                <w:color w:val="auto"/>
                <w:vertAlign w:val="superscript"/>
              </w:rPr>
              <w:t>(a)</w:t>
            </w:r>
          </w:p>
        </w:tc>
        <w:tc>
          <w:tcPr>
            <w:tcW w:w="6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00" w:type="dxa"/>
            <w:vAlign w:val="bottom"/>
            <w:tcBorders>
              <w:top w:val="single" w:sz="8" w:color="auto"/>
              <w:bottom w:val="single" w:sz="8" w:color="auto"/>
            </w:tcBorders>
            <w:gridSpan w:val="4"/>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1,115.5</w:t>
            </w:r>
          </w:p>
        </w:tc>
        <w:tc>
          <w:tcPr>
            <w:tcW w:w="60" w:type="dxa"/>
            <w:vAlign w:val="bottom"/>
            <w:tcBorders>
              <w:top w:val="single" w:sz="8" w:color="auto"/>
              <w:bottom w:val="single" w:sz="8" w:color="auto"/>
            </w:tcBorders>
            <w:gridSpan w:val="2"/>
            <w:shd w:val="clear" w:color="auto" w:fill="CCEEFF"/>
          </w:tcPr>
          <w:p>
            <w:pPr>
              <w:spacing w:after="0"/>
              <w:rPr>
                <w:sz w:val="19"/>
                <w:szCs w:val="19"/>
                <w:color w:val="auto"/>
              </w:rPr>
            </w:pPr>
          </w:p>
        </w:tc>
        <w:tc>
          <w:tcPr>
            <w:tcW w:w="6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0" w:type="dxa"/>
            <w:vAlign w:val="bottom"/>
            <w:tcBorders>
              <w:top w:val="single" w:sz="8" w:color="auto"/>
              <w:bottom w:val="single" w:sz="8" w:color="auto"/>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spacing w:after="0"/>
              <w:rPr>
                <w:sz w:val="19"/>
                <w:szCs w:val="19"/>
                <w:color w:val="auto"/>
              </w:rPr>
            </w:pPr>
          </w:p>
        </w:tc>
        <w:tc>
          <w:tcPr>
            <w:tcW w:w="44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933.6</w:t>
            </w:r>
          </w:p>
        </w:tc>
        <w:tc>
          <w:tcPr>
            <w:tcW w:w="20" w:type="dxa"/>
            <w:vAlign w:val="bottom"/>
            <w:tcBorders>
              <w:top w:val="single" w:sz="8" w:color="auto"/>
              <w:bottom w:val="single" w:sz="8" w:color="auto"/>
            </w:tcBorders>
            <w:shd w:val="clear" w:color="auto" w:fill="CCEEFF"/>
          </w:tcPr>
          <w:p>
            <w:pPr>
              <w:spacing w:after="0"/>
              <w:rPr>
                <w:sz w:val="19"/>
                <w:szCs w:val="19"/>
                <w:color w:val="auto"/>
              </w:rPr>
            </w:pP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720" w:type="dxa"/>
            <w:vAlign w:val="bottom"/>
            <w:tcBorders>
              <w:top w:val="single" w:sz="8" w:color="CCEEFF"/>
              <w:bottom w:val="single" w:sz="8" w:color="CCEEFF"/>
            </w:tcBorders>
            <w:gridSpan w:val="4"/>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45.6 %</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20" w:type="dxa"/>
            <w:vAlign w:val="bottom"/>
            <w:tcBorders>
              <w:top w:val="single" w:sz="8" w:color="auto"/>
              <w:bottom w:val="single" w:sz="8" w:color="auto"/>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Borders>
              <w:top w:val="single" w:sz="8" w:color="auto"/>
              <w:bottom w:val="single" w:sz="8" w:color="auto"/>
            </w:tcBorders>
            <w:shd w:val="clear" w:color="auto" w:fill="CCEEFF"/>
          </w:tcPr>
          <w:p>
            <w:pPr>
              <w:spacing w:after="0"/>
              <w:rPr>
                <w:sz w:val="19"/>
                <w:szCs w:val="19"/>
                <w:color w:val="auto"/>
              </w:rPr>
            </w:pPr>
          </w:p>
        </w:tc>
        <w:tc>
          <w:tcPr>
            <w:tcW w:w="56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843.2</w:t>
            </w:r>
          </w:p>
        </w:tc>
        <w:tc>
          <w:tcPr>
            <w:tcW w:w="2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720" w:type="dxa"/>
            <w:vAlign w:val="bottom"/>
            <w:tcBorders>
              <w:top w:val="single" w:sz="8" w:color="CCEEFF"/>
              <w:bottom w:val="single" w:sz="8" w:color="CCEEFF"/>
            </w:tcBorders>
            <w:gridSpan w:val="4"/>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41.2 %</w:t>
            </w:r>
          </w:p>
        </w:tc>
        <w:tc>
          <w:tcPr>
            <w:tcW w:w="2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w w:val="99"/>
              </w:rPr>
              <w:t>$</w:t>
            </w:r>
          </w:p>
        </w:tc>
        <w:tc>
          <w:tcPr>
            <w:tcW w:w="40" w:type="dxa"/>
            <w:vAlign w:val="bottom"/>
            <w:tcBorders>
              <w:top w:val="single" w:sz="8" w:color="auto"/>
              <w:bottom w:val="single" w:sz="8" w:color="auto"/>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spacing w:after="0"/>
              <w:rPr>
                <w:sz w:val="19"/>
                <w:szCs w:val="19"/>
                <w:color w:val="auto"/>
              </w:rPr>
            </w:pPr>
          </w:p>
        </w:tc>
        <w:tc>
          <w:tcPr>
            <w:tcW w:w="66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103.5</w:t>
            </w:r>
          </w:p>
        </w:tc>
        <w:tc>
          <w:tcPr>
            <w:tcW w:w="4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780" w:type="dxa"/>
            <w:vAlign w:val="bottom"/>
            <w:tcBorders>
              <w:top w:val="single" w:sz="8" w:color="CCEEFF"/>
              <w:bottom w:val="single" w:sz="8" w:color="CCEEFF"/>
            </w:tcBorders>
            <w:gridSpan w:val="4"/>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5.0 %</w:t>
            </w:r>
          </w:p>
        </w:tc>
        <w:tc>
          <w:tcPr>
            <w:tcW w:w="40" w:type="dxa"/>
            <w:vAlign w:val="bottom"/>
            <w:tcBorders>
              <w:top w:val="single" w:sz="8" w:color="CCEEFF"/>
              <w:bottom w:val="single" w:sz="8" w:color="CCEEFF"/>
            </w:tcBorders>
            <w:shd w:val="clear" w:color="auto" w:fill="CCEEFF"/>
          </w:tcPr>
          <w:p>
            <w:pPr>
              <w:spacing w:after="0"/>
              <w:rPr>
                <w:sz w:val="19"/>
                <w:szCs w:val="19"/>
                <w:color w:val="auto"/>
              </w:rPr>
            </w:pPr>
          </w:p>
        </w:tc>
        <w:tc>
          <w:tcPr>
            <w:tcW w:w="6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20" w:type="dxa"/>
            <w:vAlign w:val="bottom"/>
            <w:tcBorders>
              <w:top w:val="single" w:sz="8" w:color="auto"/>
              <w:bottom w:val="single" w:sz="8" w:color="auto"/>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spacing w:after="0"/>
              <w:rPr>
                <w:sz w:val="19"/>
                <w:szCs w:val="19"/>
                <w:color w:val="auto"/>
              </w:rPr>
            </w:pPr>
          </w:p>
        </w:tc>
        <w:tc>
          <w:tcPr>
            <w:tcW w:w="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12.5</w:t>
            </w:r>
          </w:p>
        </w:tc>
        <w:tc>
          <w:tcPr>
            <w:tcW w:w="60" w:type="dxa"/>
            <w:vAlign w:val="bottom"/>
            <w:tcBorders>
              <w:top w:val="single" w:sz="8" w:color="auto"/>
              <w:bottom w:val="single" w:sz="8" w:color="auto"/>
            </w:tcBorders>
            <w:shd w:val="clear" w:color="auto" w:fill="CCEEFF"/>
          </w:tcPr>
          <w:p>
            <w:pPr>
              <w:spacing w:after="0"/>
              <w:rPr>
                <w:sz w:val="19"/>
                <w:szCs w:val="19"/>
                <w:color w:val="auto"/>
              </w:rPr>
            </w:pPr>
          </w:p>
        </w:tc>
        <w:tc>
          <w:tcPr>
            <w:tcW w:w="20" w:type="dxa"/>
            <w:vAlign w:val="bottom"/>
            <w:tcBorders>
              <w:top w:val="single" w:sz="8" w:color="CCEEFF"/>
              <w:bottom w:val="single" w:sz="8" w:color="CCEEFF"/>
            </w:tcBorders>
            <w:shd w:val="clear" w:color="auto" w:fill="CCEEFF"/>
          </w:tcPr>
          <w:p>
            <w:pPr>
              <w:spacing w:after="0"/>
              <w:rPr>
                <w:sz w:val="19"/>
                <w:szCs w:val="19"/>
                <w:color w:val="auto"/>
              </w:rPr>
            </w:pPr>
          </w:p>
        </w:tc>
        <w:tc>
          <w:tcPr>
            <w:tcW w:w="6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0" w:type="dxa"/>
            <w:vAlign w:val="bottom"/>
            <w:tcBorders>
              <w:top w:val="single" w:sz="8" w:color="auto"/>
              <w:bottom w:val="single" w:sz="8" w:color="auto"/>
            </w:tcBorders>
            <w:shd w:val="clear" w:color="auto" w:fill="CCEEFF"/>
          </w:tcPr>
          <w:p>
            <w:pPr>
              <w:spacing w:after="0"/>
              <w:rPr>
                <w:sz w:val="19"/>
                <w:szCs w:val="19"/>
                <w:color w:val="auto"/>
              </w:rPr>
            </w:pPr>
          </w:p>
        </w:tc>
        <w:tc>
          <w:tcPr>
            <w:tcW w:w="560" w:type="dxa"/>
            <w:vAlign w:val="bottom"/>
            <w:tcBorders>
              <w:top w:val="single" w:sz="8" w:color="auto"/>
              <w:bottom w:val="single" w:sz="8" w:color="auto"/>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19.1</w:t>
            </w:r>
          </w:p>
        </w:tc>
        <w:tc>
          <w:tcPr>
            <w:tcW w:w="40" w:type="dxa"/>
            <w:vAlign w:val="bottom"/>
            <w:tcBorders>
              <w:top w:val="single" w:sz="8" w:color="CCEEFF"/>
              <w:bottom w:val="single" w:sz="8" w:color="CCEEFF"/>
            </w:tcBorders>
            <w:shd w:val="clear" w:color="auto" w:fill="CCEEFF"/>
          </w:tcPr>
          <w:p>
            <w:pPr>
              <w:spacing w:after="0"/>
              <w:rPr>
                <w:sz w:val="19"/>
                <w:szCs w:val="19"/>
                <w:color w:val="auto"/>
              </w:rPr>
            </w:pPr>
          </w:p>
        </w:tc>
        <w:tc>
          <w:tcPr>
            <w:tcW w:w="20" w:type="dxa"/>
            <w:vAlign w:val="bottom"/>
            <w:tcBorders>
              <w:top w:val="single" w:sz="8" w:color="CCEEFF"/>
              <w:bottom w:val="single" w:sz="8" w:color="CCEEFF"/>
            </w:tcBorders>
            <w:shd w:val="clear" w:color="auto" w:fill="CCEEFF"/>
          </w:tcPr>
          <w:p>
            <w:pPr>
              <w:spacing w:after="0"/>
              <w:rPr>
                <w:sz w:val="19"/>
                <w:szCs w:val="19"/>
                <w:color w:val="auto"/>
              </w:rPr>
            </w:pPr>
          </w:p>
        </w:tc>
        <w:tc>
          <w:tcPr>
            <w:tcW w:w="4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20" w:type="dxa"/>
            <w:vAlign w:val="bottom"/>
            <w:tcBorders>
              <w:top w:val="single" w:sz="8" w:color="auto"/>
              <w:bottom w:val="single" w:sz="8" w:color="auto"/>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spacing w:after="0"/>
              <w:rPr>
                <w:sz w:val="19"/>
                <w:szCs w:val="19"/>
                <w:color w:val="auto"/>
              </w:rPr>
            </w:pPr>
          </w:p>
        </w:tc>
        <w:tc>
          <w:tcPr>
            <w:tcW w:w="4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61.2</w:t>
            </w:r>
          </w:p>
        </w:tc>
        <w:tc>
          <w:tcPr>
            <w:tcW w:w="80" w:type="dxa"/>
            <w:vAlign w:val="bottom"/>
            <w:tcBorders>
              <w:top w:val="single" w:sz="8" w:color="auto"/>
              <w:bottom w:val="single" w:sz="8" w:color="auto"/>
            </w:tcBorders>
            <w:shd w:val="clear" w:color="auto" w:fill="CCEEFF"/>
          </w:tcPr>
          <w:p>
            <w:pPr>
              <w:spacing w:after="0"/>
              <w:rPr>
                <w:sz w:val="19"/>
                <w:szCs w:val="19"/>
                <w:color w:val="auto"/>
              </w:rPr>
            </w:pPr>
          </w:p>
        </w:tc>
        <w:tc>
          <w:tcPr>
            <w:tcW w:w="40" w:type="dxa"/>
            <w:vAlign w:val="bottom"/>
            <w:tcBorders>
              <w:top w:val="single" w:sz="8" w:color="CCEEFF"/>
              <w:bottom w:val="single" w:sz="8" w:color="CCEEFF"/>
            </w:tcBorders>
            <w:shd w:val="clear" w:color="auto" w:fill="CCEEFF"/>
          </w:tcPr>
          <w:p>
            <w:pPr>
              <w:spacing w:after="0"/>
              <w:rPr>
                <w:sz w:val="19"/>
                <w:szCs w:val="19"/>
                <w:color w:val="auto"/>
              </w:rPr>
            </w:pPr>
          </w:p>
        </w:tc>
        <w:tc>
          <w:tcPr>
            <w:tcW w:w="6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340" w:type="dxa"/>
            <w:vAlign w:val="bottom"/>
            <w:tcBorders>
              <w:top w:val="single" w:sz="8" w:color="auto"/>
              <w:bottom w:val="single" w:sz="8" w:color="auto"/>
            </w:tcBorders>
            <w:shd w:val="clear" w:color="auto" w:fill="CCEEFF"/>
          </w:tcPr>
          <w:p>
            <w:pPr>
              <w:spacing w:after="0"/>
              <w:rPr>
                <w:sz w:val="19"/>
                <w:szCs w:val="19"/>
                <w:color w:val="auto"/>
              </w:rPr>
            </w:pP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1.68</w:t>
            </w:r>
          </w:p>
        </w:tc>
        <w:tc>
          <w:tcPr>
            <w:tcW w:w="0" w:type="dxa"/>
            <w:vAlign w:val="bottom"/>
          </w:tcPr>
          <w:p>
            <w:pPr>
              <w:spacing w:after="0"/>
              <w:rPr>
                <w:sz w:val="1"/>
                <w:szCs w:val="1"/>
                <w:color w:val="auto"/>
              </w:rPr>
            </w:pPr>
          </w:p>
        </w:tc>
      </w:tr>
      <w:tr>
        <w:trPr>
          <w:trHeight w:val="20"/>
        </w:trPr>
        <w:tc>
          <w:tcPr>
            <w:tcW w:w="1280" w:type="dxa"/>
            <w:vAlign w:val="bottom"/>
            <w:tcBorders>
              <w:top w:val="single" w:sz="8" w:color="CCEEFF"/>
            </w:tcBorders>
            <w:gridSpan w:val="2"/>
          </w:tcPr>
          <w:p>
            <w:pPr>
              <w:spacing w:after="0" w:line="20" w:lineRule="exact"/>
              <w:rPr>
                <w:sz w:val="1"/>
                <w:szCs w:val="1"/>
                <w:color w:val="auto"/>
              </w:rPr>
            </w:pPr>
          </w:p>
        </w:tc>
        <w:tc>
          <w:tcPr>
            <w:tcW w:w="780" w:type="dxa"/>
            <w:vAlign w:val="bottom"/>
            <w:tcBorders>
              <w:top w:val="single" w:sz="8" w:color="CCEEFF"/>
              <w:bottom w:val="single" w:sz="8" w:color="auto"/>
            </w:tcBorders>
            <w:gridSpan w:val="7"/>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CCEEFF"/>
              <w:bottom w:val="single" w:sz="8" w:color="auto"/>
            </w:tcBorders>
            <w:gridSpan w:val="6"/>
          </w:tcPr>
          <w:p>
            <w:pPr>
              <w:spacing w:after="0" w:line="20" w:lineRule="exact"/>
              <w:rPr>
                <w:sz w:val="1"/>
                <w:szCs w:val="1"/>
                <w:color w:val="auto"/>
              </w:rPr>
            </w:pPr>
          </w:p>
        </w:tc>
        <w:tc>
          <w:tcPr>
            <w:tcW w:w="920" w:type="dxa"/>
            <w:vAlign w:val="bottom"/>
            <w:tcBorders>
              <w:top w:val="single" w:sz="8" w:color="CCEEFF"/>
            </w:tcBorders>
            <w:gridSpan w:val="6"/>
          </w:tcPr>
          <w:p>
            <w:pPr>
              <w:spacing w:after="0" w:line="20" w:lineRule="exact"/>
              <w:rPr>
                <w:sz w:val="1"/>
                <w:szCs w:val="1"/>
                <w:color w:val="auto"/>
              </w:rPr>
            </w:pPr>
          </w:p>
        </w:tc>
        <w:tc>
          <w:tcPr>
            <w:tcW w:w="840" w:type="dxa"/>
            <w:vAlign w:val="bottom"/>
            <w:tcBorders>
              <w:top w:val="single" w:sz="8" w:color="CCEEFF"/>
              <w:bottom w:val="single" w:sz="8" w:color="auto"/>
            </w:tcBorders>
            <w:gridSpan w:val="6"/>
          </w:tcPr>
          <w:p>
            <w:pPr>
              <w:spacing w:after="0" w:line="20" w:lineRule="exact"/>
              <w:rPr>
                <w:sz w:val="1"/>
                <w:szCs w:val="1"/>
                <w:color w:val="auto"/>
              </w:rPr>
            </w:pPr>
          </w:p>
        </w:tc>
        <w:tc>
          <w:tcPr>
            <w:tcW w:w="960" w:type="dxa"/>
            <w:vAlign w:val="bottom"/>
            <w:tcBorders>
              <w:top w:val="single" w:sz="8" w:color="CCEEFF"/>
            </w:tcBorders>
            <w:gridSpan w:val="8"/>
          </w:tcPr>
          <w:p>
            <w:pPr>
              <w:spacing w:after="0" w:line="20" w:lineRule="exact"/>
              <w:rPr>
                <w:sz w:val="1"/>
                <w:szCs w:val="1"/>
                <w:color w:val="auto"/>
              </w:rPr>
            </w:pPr>
          </w:p>
        </w:tc>
        <w:tc>
          <w:tcPr>
            <w:tcW w:w="900" w:type="dxa"/>
            <w:vAlign w:val="bottom"/>
            <w:tcBorders>
              <w:top w:val="single" w:sz="8" w:color="CCEEFF"/>
              <w:bottom w:val="single" w:sz="8" w:color="auto"/>
            </w:tcBorders>
            <w:gridSpan w:val="6"/>
          </w:tcPr>
          <w:p>
            <w:pPr>
              <w:spacing w:after="0" w:line="20" w:lineRule="exact"/>
              <w:rPr>
                <w:sz w:val="1"/>
                <w:szCs w:val="1"/>
                <w:color w:val="auto"/>
              </w:rPr>
            </w:pPr>
          </w:p>
        </w:tc>
        <w:tc>
          <w:tcPr>
            <w:tcW w:w="1000" w:type="dxa"/>
            <w:vAlign w:val="bottom"/>
            <w:tcBorders>
              <w:top w:val="single" w:sz="8" w:color="CCEEFF"/>
            </w:tcBorders>
            <w:gridSpan w:val="8"/>
          </w:tcPr>
          <w:p>
            <w:pPr>
              <w:spacing w:after="0" w:line="20" w:lineRule="exact"/>
              <w:rPr>
                <w:sz w:val="1"/>
                <w:szCs w:val="1"/>
                <w:color w:val="auto"/>
              </w:rPr>
            </w:pPr>
          </w:p>
        </w:tc>
        <w:tc>
          <w:tcPr>
            <w:tcW w:w="800" w:type="dxa"/>
            <w:vAlign w:val="bottom"/>
            <w:tcBorders>
              <w:top w:val="single" w:sz="8" w:color="CCEEFF"/>
              <w:bottom w:val="single" w:sz="8" w:color="auto"/>
            </w:tcBorders>
            <w:gridSpan w:val="6"/>
          </w:tcPr>
          <w:p>
            <w:pPr>
              <w:spacing w:after="0" w:line="20" w:lineRule="exact"/>
              <w:rPr>
                <w:sz w:val="1"/>
                <w:szCs w:val="1"/>
                <w:color w:val="auto"/>
              </w:rPr>
            </w:pPr>
          </w:p>
        </w:tc>
        <w:tc>
          <w:tcPr>
            <w:tcW w:w="80" w:type="dxa"/>
            <w:vAlign w:val="bottom"/>
            <w:tcBorders>
              <w:top w:val="single" w:sz="8" w:color="CCEEFF"/>
            </w:tcBorders>
            <w:gridSpan w:val="2"/>
          </w:tcPr>
          <w:p>
            <w:pPr>
              <w:spacing w:after="0" w:line="20" w:lineRule="exact"/>
              <w:rPr>
                <w:sz w:val="1"/>
                <w:szCs w:val="1"/>
                <w:color w:val="auto"/>
              </w:rPr>
            </w:pPr>
          </w:p>
        </w:tc>
        <w:tc>
          <w:tcPr>
            <w:tcW w:w="800" w:type="dxa"/>
            <w:vAlign w:val="bottom"/>
            <w:tcBorders>
              <w:top w:val="single" w:sz="8" w:color="CCEEFF"/>
              <w:bottom w:val="single" w:sz="8" w:color="auto"/>
            </w:tcBorders>
            <w:gridSpan w:val="5"/>
          </w:tcPr>
          <w:p>
            <w:pPr>
              <w:spacing w:after="0" w:line="20" w:lineRule="exact"/>
              <w:rPr>
                <w:sz w:val="1"/>
                <w:szCs w:val="1"/>
                <w:color w:val="auto"/>
              </w:rPr>
            </w:pPr>
          </w:p>
        </w:tc>
        <w:tc>
          <w:tcPr>
            <w:tcW w:w="100" w:type="dxa"/>
            <w:vAlign w:val="bottom"/>
            <w:tcBorders>
              <w:top w:val="single" w:sz="8" w:color="CCEEFF"/>
            </w:tcBorders>
            <w:gridSpan w:val="3"/>
          </w:tcPr>
          <w:p>
            <w:pPr>
              <w:spacing w:after="0" w:line="20" w:lineRule="exact"/>
              <w:rPr>
                <w:sz w:val="1"/>
                <w:szCs w:val="1"/>
                <w:color w:val="auto"/>
              </w:rPr>
            </w:pPr>
          </w:p>
        </w:tc>
        <w:tc>
          <w:tcPr>
            <w:tcW w:w="760" w:type="dxa"/>
            <w:vAlign w:val="bottom"/>
            <w:tcBorders>
              <w:top w:val="single" w:sz="8" w:color="CCEEFF"/>
              <w:bottom w:val="single" w:sz="8" w:color="auto"/>
            </w:tcBorders>
            <w:gridSpan w:val="6"/>
          </w:tcPr>
          <w:p>
            <w:pPr>
              <w:spacing w:after="0" w:line="20" w:lineRule="exact"/>
              <w:rPr>
                <w:sz w:val="1"/>
                <w:szCs w:val="1"/>
                <w:color w:val="auto"/>
              </w:rPr>
            </w:pPr>
          </w:p>
        </w:tc>
        <w:tc>
          <w:tcPr>
            <w:tcW w:w="100" w:type="dxa"/>
            <w:vAlign w:val="bottom"/>
            <w:tcBorders>
              <w:top w:val="single" w:sz="8" w:color="CCEEFF"/>
            </w:tcBorders>
            <w:gridSpan w:val="2"/>
          </w:tcPr>
          <w:p>
            <w:pPr>
              <w:spacing w:after="0" w:line="20" w:lineRule="exact"/>
              <w:rPr>
                <w:sz w:val="1"/>
                <w:szCs w:val="1"/>
                <w:color w:val="auto"/>
              </w:rPr>
            </w:pPr>
          </w:p>
        </w:tc>
        <w:tc>
          <w:tcPr>
            <w:tcW w:w="1080" w:type="dxa"/>
            <w:vAlign w:val="bottom"/>
            <w:tcBorders>
              <w:top w:val="single" w:sz="8" w:color="CCEEFF"/>
              <w:bottom w:val="single" w:sz="8" w:color="auto"/>
            </w:tcBorders>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95"/>
        </w:trPr>
        <w:tc>
          <w:tcPr>
            <w:tcW w:w="1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3440" w:type="dxa"/>
            <w:vAlign w:val="bottom"/>
            <w:tcBorders>
              <w:bottom w:val="single" w:sz="8" w:color="auto"/>
            </w:tcBorders>
            <w:gridSpan w:val="25"/>
          </w:tcPr>
          <w:p>
            <w:pPr>
              <w:ind w:left="440"/>
              <w:spacing w:after="0"/>
              <w:rPr>
                <w:sz w:val="20"/>
                <w:szCs w:val="20"/>
                <w:color w:val="auto"/>
              </w:rPr>
            </w:pPr>
            <w:r>
              <w:rPr>
                <w:rFonts w:ascii="Times New Roman" w:cs="Times New Roman" w:eastAsia="Times New Roman" w:hAnsi="Times New Roman"/>
                <w:sz w:val="16"/>
                <w:szCs w:val="16"/>
                <w:b w:val="1"/>
                <w:bCs w:val="1"/>
                <w:color w:val="auto"/>
              </w:rPr>
              <w:t>Fiscal Quarter Ended September 27, 2025</w:t>
            </w:r>
          </w:p>
        </w:tc>
        <w:tc>
          <w:tcPr>
            <w:tcW w:w="6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58"/>
        </w:trPr>
        <w:tc>
          <w:tcPr>
            <w:tcW w:w="12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gridSpan w:val="6"/>
          </w:tcPr>
          <w:p>
            <w:pPr>
              <w:jc w:val="right"/>
              <w:ind w:right="39"/>
              <w:spacing w:after="0" w:line="158" w:lineRule="exact"/>
              <w:rPr>
                <w:sz w:val="20"/>
                <w:szCs w:val="20"/>
                <w:color w:val="auto"/>
              </w:rPr>
            </w:pPr>
            <w:r>
              <w:rPr>
                <w:rFonts w:ascii="Times New Roman" w:cs="Times New Roman" w:eastAsia="Times New Roman" w:hAnsi="Times New Roman"/>
                <w:sz w:val="16"/>
                <w:szCs w:val="16"/>
                <w:b w:val="1"/>
                <w:bCs w:val="1"/>
                <w:color w:val="auto"/>
                <w:w w:val="99"/>
              </w:rPr>
              <w:t>Cost of</w:t>
            </w: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60" w:type="dxa"/>
            <w:vAlign w:val="bottom"/>
            <w:gridSpan w:val="4"/>
            <w:vMerge w:val="restart"/>
          </w:tcPr>
          <w:p>
            <w:pPr>
              <w:jc w:val="right"/>
              <w:ind w:right="120"/>
              <w:spacing w:after="0"/>
              <w:rPr>
                <w:sz w:val="20"/>
                <w:szCs w:val="20"/>
                <w:color w:val="auto"/>
              </w:rPr>
            </w:pPr>
            <w:r>
              <w:rPr>
                <w:rFonts w:ascii="Times New Roman" w:cs="Times New Roman" w:eastAsia="Times New Roman" w:hAnsi="Times New Roman"/>
                <w:sz w:val="16"/>
                <w:szCs w:val="16"/>
                <w:b w:val="1"/>
                <w:bCs w:val="1"/>
                <w:color w:val="auto"/>
              </w:rPr>
              <w:t>Gross</w:t>
            </w: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80" w:type="dxa"/>
            <w:vAlign w:val="bottom"/>
            <w:gridSpan w:val="2"/>
            <w:vMerge w:val="restart"/>
          </w:tcPr>
          <w:p>
            <w:pPr>
              <w:jc w:val="right"/>
              <w:spacing w:after="0"/>
              <w:rPr>
                <w:sz w:val="20"/>
                <w:szCs w:val="20"/>
                <w:color w:val="auto"/>
              </w:rPr>
            </w:pPr>
            <w:r>
              <w:rPr>
                <w:rFonts w:ascii="Times New Roman" w:cs="Times New Roman" w:eastAsia="Times New Roman" w:hAnsi="Times New Roman"/>
                <w:sz w:val="16"/>
                <w:szCs w:val="16"/>
                <w:b w:val="1"/>
                <w:bCs w:val="1"/>
                <w:color w:val="auto"/>
              </w:rPr>
              <w:t>% Net</w:t>
            </w: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80" w:type="dxa"/>
            <w:vAlign w:val="bottom"/>
            <w:gridSpan w:val="4"/>
            <w:vMerge w:val="restart"/>
          </w:tcPr>
          <w:p>
            <w:pPr>
              <w:ind w:left="40"/>
              <w:spacing w:after="0"/>
              <w:rPr>
                <w:sz w:val="20"/>
                <w:szCs w:val="20"/>
                <w:color w:val="auto"/>
              </w:rPr>
            </w:pPr>
            <w:r>
              <w:rPr>
                <w:rFonts w:ascii="Times New Roman" w:cs="Times New Roman" w:eastAsia="Times New Roman" w:hAnsi="Times New Roman"/>
                <w:sz w:val="16"/>
                <w:szCs w:val="16"/>
                <w:b w:val="1"/>
                <w:bCs w:val="1"/>
                <w:color w:val="auto"/>
              </w:rPr>
              <w:t>SG&amp;A</w:t>
            </w: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gridSpan w:val="3"/>
            <w:vMerge w:val="restart"/>
          </w:tcPr>
          <w:p>
            <w:pPr>
              <w:ind w:left="160"/>
              <w:spacing w:after="0"/>
              <w:rPr>
                <w:sz w:val="20"/>
                <w:szCs w:val="20"/>
                <w:color w:val="auto"/>
              </w:rPr>
            </w:pPr>
            <w:r>
              <w:rPr>
                <w:rFonts w:ascii="Times New Roman" w:cs="Times New Roman" w:eastAsia="Times New Roman" w:hAnsi="Times New Roman"/>
                <w:sz w:val="16"/>
                <w:szCs w:val="16"/>
                <w:b w:val="1"/>
                <w:bCs w:val="1"/>
                <w:color w:val="auto"/>
                <w:w w:val="99"/>
              </w:rPr>
              <w:t>% Net</w:t>
            </w:r>
          </w:p>
        </w:tc>
        <w:tc>
          <w:tcPr>
            <w:tcW w:w="1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gridSpan w:val="4"/>
            <w:vMerge w:val="restart"/>
          </w:tcPr>
          <w:p>
            <w:pPr>
              <w:jc w:val="center"/>
              <w:ind w:right="60"/>
              <w:spacing w:after="0"/>
              <w:rPr>
                <w:sz w:val="20"/>
                <w:szCs w:val="20"/>
                <w:color w:val="auto"/>
              </w:rPr>
            </w:pPr>
            <w:r>
              <w:rPr>
                <w:rFonts w:ascii="Times New Roman" w:cs="Times New Roman" w:eastAsia="Times New Roman" w:hAnsi="Times New Roman"/>
                <w:sz w:val="16"/>
                <w:szCs w:val="16"/>
                <w:b w:val="1"/>
                <w:bCs w:val="1"/>
                <w:color w:val="auto"/>
              </w:rPr>
              <w:t>Operating</w:t>
            </w: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60" w:type="dxa"/>
            <w:vAlign w:val="bottom"/>
            <w:gridSpan w:val="3"/>
            <w:vMerge w:val="restart"/>
          </w:tcPr>
          <w:p>
            <w:pPr>
              <w:ind w:left="160"/>
              <w:spacing w:after="0"/>
              <w:rPr>
                <w:sz w:val="20"/>
                <w:szCs w:val="20"/>
                <w:color w:val="auto"/>
              </w:rPr>
            </w:pPr>
            <w:r>
              <w:rPr>
                <w:rFonts w:ascii="Times New Roman" w:cs="Times New Roman" w:eastAsia="Times New Roman" w:hAnsi="Times New Roman"/>
                <w:sz w:val="16"/>
                <w:szCs w:val="16"/>
                <w:b w:val="1"/>
                <w:bCs w:val="1"/>
                <w:color w:val="auto"/>
              </w:rPr>
              <w:t>% Net</w:t>
            </w: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60" w:type="dxa"/>
            <w:vAlign w:val="bottom"/>
            <w:gridSpan w:val="3"/>
            <w:vMerge w:val="restart"/>
          </w:tcPr>
          <w:p>
            <w:pPr>
              <w:spacing w:after="0"/>
              <w:rPr>
                <w:sz w:val="20"/>
                <w:szCs w:val="20"/>
                <w:color w:val="auto"/>
              </w:rPr>
            </w:pPr>
            <w:r>
              <w:rPr>
                <w:rFonts w:ascii="Times New Roman" w:cs="Times New Roman" w:eastAsia="Times New Roman" w:hAnsi="Times New Roman"/>
                <w:sz w:val="16"/>
                <w:szCs w:val="16"/>
                <w:b w:val="1"/>
                <w:bCs w:val="1"/>
                <w:color w:val="auto"/>
              </w:rPr>
              <w:t>Interest</w:t>
            </w: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20" w:type="dxa"/>
            <w:vAlign w:val="bottom"/>
            <w:gridSpan w:val="4"/>
            <w:vMerge w:val="restart"/>
          </w:tcPr>
          <w:p>
            <w:pPr>
              <w:jc w:val="right"/>
              <w:spacing w:after="0"/>
              <w:rPr>
                <w:sz w:val="20"/>
                <w:szCs w:val="20"/>
                <w:color w:val="auto"/>
              </w:rPr>
            </w:pPr>
            <w:r>
              <w:rPr>
                <w:rFonts w:ascii="Times New Roman" w:cs="Times New Roman" w:eastAsia="Times New Roman" w:hAnsi="Times New Roman"/>
                <w:sz w:val="16"/>
                <w:szCs w:val="16"/>
                <w:b w:val="1"/>
                <w:bCs w:val="1"/>
                <w:color w:val="auto"/>
              </w:rPr>
              <w:t>Income</w:t>
            </w: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60" w:type="dxa"/>
            <w:vAlign w:val="bottom"/>
            <w:gridSpan w:val="3"/>
            <w:vMerge w:val="restart"/>
          </w:tcPr>
          <w:p>
            <w:pPr>
              <w:jc w:val="right"/>
              <w:ind w:right="180"/>
              <w:spacing w:after="0"/>
              <w:rPr>
                <w:sz w:val="20"/>
                <w:szCs w:val="20"/>
                <w:color w:val="auto"/>
              </w:rPr>
            </w:pPr>
            <w:r>
              <w:rPr>
                <w:rFonts w:ascii="Times New Roman" w:cs="Times New Roman" w:eastAsia="Times New Roman" w:hAnsi="Times New Roman"/>
                <w:sz w:val="16"/>
                <w:szCs w:val="16"/>
                <w:b w:val="1"/>
                <w:bCs w:val="1"/>
                <w:color w:val="auto"/>
              </w:rPr>
              <w:t>Net</w:t>
            </w: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12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gridSpan w:val="6"/>
          </w:tcPr>
          <w:p>
            <w:pPr>
              <w:jc w:val="right"/>
              <w:ind w:right="59"/>
              <w:spacing w:after="0" w:line="162" w:lineRule="exact"/>
              <w:rPr>
                <w:sz w:val="20"/>
                <w:szCs w:val="20"/>
                <w:color w:val="auto"/>
              </w:rPr>
            </w:pPr>
            <w:r>
              <w:rPr>
                <w:rFonts w:ascii="Times New Roman" w:cs="Times New Roman" w:eastAsia="Times New Roman" w:hAnsi="Times New Roman"/>
                <w:sz w:val="16"/>
                <w:szCs w:val="16"/>
                <w:b w:val="1"/>
                <w:bCs w:val="1"/>
                <w:color w:val="auto"/>
              </w:rPr>
              <w:t>Goods</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gridSpan w:val="4"/>
            <w:vMerge w:val="continue"/>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80" w:type="dxa"/>
            <w:vAlign w:val="bottom"/>
            <w:gridSpan w:val="4"/>
            <w:vMerge w:val="continue"/>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gridSpan w:val="3"/>
            <w:vMerge w:val="continue"/>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gridSpan w:val="4"/>
            <w:vMerge w:val="continue"/>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gridSpan w:val="3"/>
            <w:vMerge w:val="continue"/>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gridSpan w:val="3"/>
            <w:vMerge w:val="continue"/>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gridSpan w:val="4"/>
            <w:vMerge w:val="continue"/>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gridSpan w:val="3"/>
            <w:vMerge w:val="continue"/>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gridSpan w:val="2"/>
            <w:vMerge w:val="restart"/>
          </w:tcPr>
          <w:p>
            <w:pPr>
              <w:jc w:val="right"/>
              <w:spacing w:after="0"/>
              <w:rPr>
                <w:sz w:val="20"/>
                <w:szCs w:val="20"/>
                <w:color w:val="auto"/>
              </w:rPr>
            </w:pPr>
            <w:r>
              <w:rPr>
                <w:rFonts w:ascii="Times New Roman" w:cs="Times New Roman" w:eastAsia="Times New Roman" w:hAnsi="Times New Roman"/>
                <w:sz w:val="16"/>
                <w:szCs w:val="16"/>
                <w:b w:val="1"/>
                <w:bCs w:val="1"/>
                <w:color w:val="auto"/>
              </w:rPr>
              <w:t>Diluted EPS</w:t>
            </w:r>
          </w:p>
        </w:tc>
        <w:tc>
          <w:tcPr>
            <w:tcW w:w="0" w:type="dxa"/>
            <w:vAlign w:val="bottom"/>
          </w:tcPr>
          <w:p>
            <w:pPr>
              <w:spacing w:after="0"/>
              <w:rPr>
                <w:sz w:val="1"/>
                <w:szCs w:val="1"/>
                <w:color w:val="auto"/>
              </w:rPr>
            </w:pPr>
          </w:p>
        </w:tc>
      </w:tr>
      <w:tr>
        <w:trPr>
          <w:trHeight w:val="214"/>
        </w:trPr>
        <w:tc>
          <w:tcPr>
            <w:tcW w:w="1220" w:type="dxa"/>
            <w:vAlign w:val="bottom"/>
            <w:tcBorders>
              <w:bottom w:val="single" w:sz="8" w:color="CCEEFF"/>
            </w:tcBorders>
          </w:tcPr>
          <w:p>
            <w:pPr>
              <w:spacing w:after="0"/>
              <w:rPr>
                <w:sz w:val="18"/>
                <w:szCs w:val="18"/>
                <w:color w:val="auto"/>
              </w:rPr>
            </w:pPr>
          </w:p>
        </w:tc>
        <w:tc>
          <w:tcPr>
            <w:tcW w:w="6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gridSpan w:val="6"/>
          </w:tcPr>
          <w:p>
            <w:pPr>
              <w:jc w:val="right"/>
              <w:ind w:right="119"/>
              <w:spacing w:after="0"/>
              <w:rPr>
                <w:sz w:val="20"/>
                <w:szCs w:val="20"/>
                <w:color w:val="auto"/>
              </w:rPr>
            </w:pPr>
            <w:r>
              <w:rPr>
                <w:rFonts w:ascii="Times New Roman" w:cs="Times New Roman" w:eastAsia="Times New Roman" w:hAnsi="Times New Roman"/>
                <w:sz w:val="16"/>
                <w:szCs w:val="16"/>
                <w:b w:val="1"/>
                <w:bCs w:val="1"/>
                <w:color w:val="auto"/>
              </w:rPr>
              <w:t>Sold</w:t>
            </w:r>
          </w:p>
        </w:tc>
        <w:tc>
          <w:tcPr>
            <w:tcW w:w="8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gridSpan w:val="4"/>
          </w:tcPr>
          <w:p>
            <w:pPr>
              <w:jc w:val="right"/>
              <w:ind w:right="120"/>
              <w:spacing w:after="0"/>
              <w:rPr>
                <w:sz w:val="20"/>
                <w:szCs w:val="20"/>
                <w:color w:val="auto"/>
              </w:rPr>
            </w:pPr>
            <w:r>
              <w:rPr>
                <w:rFonts w:ascii="Times New Roman" w:cs="Times New Roman" w:eastAsia="Times New Roman" w:hAnsi="Times New Roman"/>
                <w:sz w:val="16"/>
                <w:szCs w:val="16"/>
                <w:b w:val="1"/>
                <w:bCs w:val="1"/>
                <w:color w:val="auto"/>
              </w:rPr>
              <w:t>Profit</w:t>
            </w:r>
          </w:p>
        </w:tc>
        <w:tc>
          <w:tcPr>
            <w:tcW w:w="4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580" w:type="dxa"/>
            <w:vAlign w:val="bottom"/>
            <w:tcBorders>
              <w:bottom w:val="single" w:sz="8" w:color="auto"/>
            </w:tcBorders>
            <w:gridSpan w:val="2"/>
          </w:tcPr>
          <w:p>
            <w:pPr>
              <w:jc w:val="right"/>
              <w:ind w:right="40"/>
              <w:spacing w:after="0"/>
              <w:rPr>
                <w:sz w:val="20"/>
                <w:szCs w:val="20"/>
                <w:color w:val="auto"/>
              </w:rPr>
            </w:pPr>
            <w:r>
              <w:rPr>
                <w:rFonts w:ascii="Times New Roman" w:cs="Times New Roman" w:eastAsia="Times New Roman" w:hAnsi="Times New Roman"/>
                <w:sz w:val="16"/>
                <w:szCs w:val="16"/>
                <w:b w:val="1"/>
                <w:bCs w:val="1"/>
                <w:color w:val="auto"/>
              </w:rPr>
              <w:t>Sales</w:t>
            </w:r>
          </w:p>
        </w:tc>
        <w:tc>
          <w:tcPr>
            <w:tcW w:w="10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820" w:type="dxa"/>
            <w:vAlign w:val="bottom"/>
            <w:tcBorders>
              <w:bottom w:val="single" w:sz="8" w:color="auto"/>
            </w:tcBorders>
            <w:gridSpan w:val="5"/>
          </w:tcPr>
          <w:p>
            <w:pPr>
              <w:jc w:val="center"/>
              <w:spacing w:after="0"/>
              <w:rPr>
                <w:sz w:val="20"/>
                <w:szCs w:val="20"/>
                <w:color w:val="auto"/>
              </w:rPr>
            </w:pPr>
            <w:r>
              <w:rPr>
                <w:rFonts w:ascii="Times New Roman" w:cs="Times New Roman" w:eastAsia="Times New Roman" w:hAnsi="Times New Roman"/>
                <w:sz w:val="16"/>
                <w:szCs w:val="16"/>
                <w:b w:val="1"/>
                <w:bCs w:val="1"/>
                <w:color w:val="auto"/>
              </w:rPr>
              <w:t>Expenses</w:t>
            </w:r>
          </w:p>
        </w:tc>
        <w:tc>
          <w:tcPr>
            <w:tcW w:w="2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620" w:type="dxa"/>
            <w:vAlign w:val="bottom"/>
            <w:tcBorders>
              <w:bottom w:val="single" w:sz="8" w:color="auto"/>
            </w:tcBorders>
            <w:gridSpan w:val="3"/>
          </w:tcPr>
          <w:p>
            <w:pPr>
              <w:ind w:left="200"/>
              <w:spacing w:after="0"/>
              <w:rPr>
                <w:sz w:val="20"/>
                <w:szCs w:val="20"/>
                <w:color w:val="auto"/>
              </w:rPr>
            </w:pPr>
            <w:r>
              <w:rPr>
                <w:rFonts w:ascii="Times New Roman" w:cs="Times New Roman" w:eastAsia="Times New Roman" w:hAnsi="Times New Roman"/>
                <w:sz w:val="16"/>
                <w:szCs w:val="16"/>
                <w:b w:val="1"/>
                <w:bCs w:val="1"/>
                <w:color w:val="auto"/>
              </w:rPr>
              <w:t>Sales</w:t>
            </w:r>
          </w:p>
        </w:tc>
        <w:tc>
          <w:tcPr>
            <w:tcW w:w="100" w:type="dxa"/>
            <w:vAlign w:val="bottom"/>
            <w:tcBorders>
              <w:bottom w:val="single" w:sz="8" w:color="auto"/>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60" w:type="dxa"/>
            <w:vAlign w:val="bottom"/>
            <w:tcBorders>
              <w:bottom w:val="single" w:sz="8" w:color="CCEEFF"/>
            </w:tcBorders>
          </w:tcPr>
          <w:p>
            <w:pPr>
              <w:spacing w:after="0"/>
              <w:rPr>
                <w:sz w:val="18"/>
                <w:szCs w:val="18"/>
                <w:color w:val="auto"/>
              </w:rPr>
            </w:pPr>
          </w:p>
        </w:tc>
        <w:tc>
          <w:tcPr>
            <w:tcW w:w="4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gridSpan w:val="4"/>
          </w:tcPr>
          <w:p>
            <w:pPr>
              <w:jc w:val="center"/>
              <w:ind w:right="60"/>
              <w:spacing w:after="0"/>
              <w:rPr>
                <w:sz w:val="20"/>
                <w:szCs w:val="20"/>
                <w:color w:val="auto"/>
              </w:rPr>
            </w:pPr>
            <w:r>
              <w:rPr>
                <w:rFonts w:ascii="Times New Roman" w:cs="Times New Roman" w:eastAsia="Times New Roman" w:hAnsi="Times New Roman"/>
                <w:sz w:val="16"/>
                <w:szCs w:val="16"/>
                <w:b w:val="1"/>
                <w:bCs w:val="1"/>
                <w:color w:val="auto"/>
              </w:rPr>
              <w:t>Income</w:t>
            </w:r>
          </w:p>
        </w:tc>
        <w:tc>
          <w:tcPr>
            <w:tcW w:w="6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660" w:type="dxa"/>
            <w:vAlign w:val="bottom"/>
            <w:tcBorders>
              <w:bottom w:val="single" w:sz="8" w:color="auto"/>
            </w:tcBorders>
            <w:gridSpan w:val="3"/>
          </w:tcPr>
          <w:p>
            <w:pPr>
              <w:ind w:left="200"/>
              <w:spacing w:after="0"/>
              <w:rPr>
                <w:sz w:val="20"/>
                <w:szCs w:val="20"/>
                <w:color w:val="auto"/>
              </w:rPr>
            </w:pPr>
            <w:r>
              <w:rPr>
                <w:rFonts w:ascii="Times New Roman" w:cs="Times New Roman" w:eastAsia="Times New Roman" w:hAnsi="Times New Roman"/>
                <w:sz w:val="16"/>
                <w:szCs w:val="16"/>
                <w:b w:val="1"/>
                <w:bCs w:val="1"/>
                <w:color w:val="auto"/>
              </w:rPr>
              <w:t>Sales</w:t>
            </w:r>
          </w:p>
        </w:tc>
        <w:tc>
          <w:tcPr>
            <w:tcW w:w="60" w:type="dxa"/>
            <w:vAlign w:val="bottom"/>
            <w:tcBorders>
              <w:bottom w:val="single" w:sz="8" w:color="auto"/>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gridSpan w:val="3"/>
          </w:tcPr>
          <w:p>
            <w:pPr>
              <w:ind w:left="20"/>
              <w:spacing w:after="0"/>
              <w:rPr>
                <w:sz w:val="20"/>
                <w:szCs w:val="20"/>
                <w:color w:val="auto"/>
              </w:rPr>
            </w:pPr>
            <w:r>
              <w:rPr>
                <w:rFonts w:ascii="Times New Roman" w:cs="Times New Roman" w:eastAsia="Times New Roman" w:hAnsi="Times New Roman"/>
                <w:sz w:val="16"/>
                <w:szCs w:val="16"/>
                <w:b w:val="1"/>
                <w:bCs w:val="1"/>
                <w:color w:val="auto"/>
              </w:rPr>
              <w:t>Income</w:t>
            </w:r>
          </w:p>
        </w:tc>
        <w:tc>
          <w:tcPr>
            <w:tcW w:w="60" w:type="dxa"/>
            <w:vAlign w:val="bottom"/>
            <w:tcBorders>
              <w:bottom w:val="single" w:sz="8" w:color="auto"/>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gridSpan w:val="4"/>
          </w:tcPr>
          <w:p>
            <w:pPr>
              <w:ind w:left="80"/>
              <w:spacing w:after="0"/>
              <w:rPr>
                <w:sz w:val="20"/>
                <w:szCs w:val="20"/>
                <w:color w:val="auto"/>
              </w:rPr>
            </w:pPr>
            <w:r>
              <w:rPr>
                <w:rFonts w:ascii="Times New Roman" w:cs="Times New Roman" w:eastAsia="Times New Roman" w:hAnsi="Times New Roman"/>
                <w:sz w:val="16"/>
                <w:szCs w:val="16"/>
                <w:b w:val="1"/>
                <w:bCs w:val="1"/>
                <w:color w:val="auto"/>
              </w:rPr>
              <w:t>Taxes</w:t>
            </w:r>
          </w:p>
        </w:tc>
        <w:tc>
          <w:tcPr>
            <w:tcW w:w="4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gridSpan w:val="3"/>
          </w:tcPr>
          <w:p>
            <w:pPr>
              <w:spacing w:after="0"/>
              <w:rPr>
                <w:sz w:val="20"/>
                <w:szCs w:val="20"/>
                <w:color w:val="auto"/>
              </w:rPr>
            </w:pPr>
            <w:r>
              <w:rPr>
                <w:rFonts w:ascii="Times New Roman" w:cs="Times New Roman" w:eastAsia="Times New Roman" w:hAnsi="Times New Roman"/>
                <w:sz w:val="16"/>
                <w:szCs w:val="16"/>
                <w:b w:val="1"/>
                <w:bCs w:val="1"/>
                <w:color w:val="auto"/>
              </w:rPr>
              <w:t>Income</w:t>
            </w:r>
          </w:p>
        </w:tc>
        <w:tc>
          <w:tcPr>
            <w:tcW w:w="6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980" w:type="dxa"/>
            <w:vAlign w:val="bottom"/>
            <w:tcBorders>
              <w:bottom w:val="single" w:sz="8" w:color="auto"/>
            </w:tcBorders>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1520" w:type="dxa"/>
            <w:vAlign w:val="bottom"/>
            <w:gridSpan w:val="4"/>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As reported (GAAP)</w:t>
            </w:r>
          </w:p>
        </w:tc>
        <w:tc>
          <w:tcPr>
            <w:tcW w:w="1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620" w:type="dxa"/>
            <w:vAlign w:val="bottom"/>
            <w:gridSpan w:val="6"/>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416.2</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w w:val="99"/>
              </w:rPr>
              <w:t>$</w:t>
            </w:r>
          </w:p>
        </w:tc>
        <w:tc>
          <w:tcPr>
            <w:tcW w:w="560" w:type="dxa"/>
            <w:vAlign w:val="bottom"/>
            <w:gridSpan w:val="4"/>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341.6</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45.1 %</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80" w:type="dxa"/>
            <w:vAlign w:val="bottom"/>
            <w:gridSpan w:val="4"/>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318.0</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5"/>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42.0 %</w:t>
            </w: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gridSpan w:val="4"/>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29.1</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5"/>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3.8 %</w:t>
            </w: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w w:val="99"/>
              </w:rPr>
              <w:t>$</w:t>
            </w:r>
          </w:p>
        </w:tc>
        <w:tc>
          <w:tcPr>
            <w:tcW w:w="62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w:t>
            </w: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w w:val="99"/>
              </w:rPr>
              <w:t>$</w:t>
            </w:r>
          </w:p>
        </w:tc>
        <w:tc>
          <w:tcPr>
            <w:tcW w:w="620" w:type="dxa"/>
            <w:vAlign w:val="bottom"/>
            <w:gridSpan w:val="4"/>
            <w:shd w:val="clear" w:color="auto" w:fill="CCEEFF"/>
          </w:tcPr>
          <w:p>
            <w:pPr>
              <w:jc w:val="center"/>
              <w:ind w:left="339"/>
              <w:spacing w:after="0"/>
              <w:rPr>
                <w:sz w:val="20"/>
                <w:szCs w:val="20"/>
                <w:color w:val="auto"/>
              </w:rPr>
            </w:pPr>
            <w:r>
              <w:rPr>
                <w:rFonts w:ascii="Times New Roman" w:cs="Times New Roman" w:eastAsia="Times New Roman" w:hAnsi="Times New Roman"/>
                <w:sz w:val="16"/>
                <w:szCs w:val="16"/>
                <w:color w:val="auto"/>
                <w:w w:val="99"/>
              </w:rPr>
              <w:t>3.2</w:t>
            </w: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5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11.6</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0.32</w:t>
            </w:r>
          </w:p>
        </w:tc>
        <w:tc>
          <w:tcPr>
            <w:tcW w:w="0" w:type="dxa"/>
            <w:vAlign w:val="bottom"/>
          </w:tcPr>
          <w:p>
            <w:pPr>
              <w:spacing w:after="0"/>
              <w:rPr>
                <w:sz w:val="1"/>
                <w:szCs w:val="1"/>
                <w:color w:val="auto"/>
              </w:rPr>
            </w:pPr>
          </w:p>
        </w:tc>
      </w:tr>
      <w:tr>
        <w:trPr>
          <w:trHeight w:val="162"/>
        </w:trPr>
        <w:tc>
          <w:tcPr>
            <w:tcW w:w="2000" w:type="dxa"/>
            <w:vAlign w:val="bottom"/>
            <w:gridSpan w:val="7"/>
          </w:tcPr>
          <w:p>
            <w:pPr>
              <w:ind w:left="20"/>
              <w:spacing w:after="0" w:line="162" w:lineRule="exact"/>
              <w:rPr>
                <w:sz w:val="20"/>
                <w:szCs w:val="20"/>
                <w:color w:val="auto"/>
              </w:rPr>
            </w:pPr>
            <w:r>
              <w:rPr>
                <w:rFonts w:ascii="Times New Roman" w:cs="Times New Roman" w:eastAsia="Times New Roman" w:hAnsi="Times New Roman"/>
                <w:sz w:val="16"/>
                <w:szCs w:val="16"/>
                <w:color w:val="auto"/>
              </w:rPr>
              <w:t>Organizational</w:t>
            </w:r>
          </w:p>
        </w:tc>
        <w:tc>
          <w:tcPr>
            <w:tcW w:w="240" w:type="dxa"/>
            <w:vAlign w:val="bottom"/>
            <w:gridSpan w:val="4"/>
            <w:vMerge w:val="restart"/>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540" w:type="dxa"/>
            <w:vAlign w:val="bottom"/>
            <w:gridSpan w:val="3"/>
          </w:tcPr>
          <w:p>
            <w:pPr>
              <w:spacing w:after="0"/>
              <w:rPr>
                <w:sz w:val="14"/>
                <w:szCs w:val="14"/>
                <w:color w:val="auto"/>
              </w:rPr>
            </w:pPr>
          </w:p>
        </w:tc>
        <w:tc>
          <w:tcPr>
            <w:tcW w:w="220" w:type="dxa"/>
            <w:vAlign w:val="bottom"/>
            <w:gridSpan w:val="3"/>
            <w:vMerge w:val="restart"/>
          </w:tcPr>
          <w:p>
            <w:pPr>
              <w:jc w:val="right"/>
              <w:ind w:right="40"/>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gridSpan w:val="9"/>
          </w:tcPr>
          <w:p>
            <w:pPr>
              <w:spacing w:after="0"/>
              <w:rPr>
                <w:sz w:val="14"/>
                <w:szCs w:val="14"/>
                <w:color w:val="auto"/>
              </w:rPr>
            </w:pPr>
          </w:p>
        </w:tc>
        <w:tc>
          <w:tcPr>
            <w:tcW w:w="680" w:type="dxa"/>
            <w:vAlign w:val="bottom"/>
            <w:gridSpan w:val="4"/>
            <w:vMerge w:val="restart"/>
          </w:tcPr>
          <w:p>
            <w:pPr>
              <w:jc w:val="right"/>
              <w:ind w:right="20"/>
              <w:spacing w:after="0"/>
              <w:rPr>
                <w:sz w:val="20"/>
                <w:szCs w:val="20"/>
                <w:color w:val="auto"/>
              </w:rPr>
            </w:pPr>
            <w:r>
              <w:rPr>
                <w:rFonts w:ascii="Times New Roman" w:cs="Times New Roman" w:eastAsia="Times New Roman" w:hAnsi="Times New Roman"/>
                <w:sz w:val="16"/>
                <w:szCs w:val="16"/>
                <w:color w:val="auto"/>
              </w:rPr>
              <w:t>(6.1)</w:t>
            </w:r>
          </w:p>
        </w:tc>
        <w:tc>
          <w:tcPr>
            <w:tcW w:w="1080" w:type="dxa"/>
            <w:vAlign w:val="bottom"/>
            <w:gridSpan w:val="10"/>
          </w:tcPr>
          <w:p>
            <w:pPr>
              <w:spacing w:after="0"/>
              <w:rPr>
                <w:sz w:val="14"/>
                <w:szCs w:val="14"/>
                <w:color w:val="auto"/>
              </w:rPr>
            </w:pPr>
          </w:p>
        </w:tc>
        <w:tc>
          <w:tcPr>
            <w:tcW w:w="780" w:type="dxa"/>
            <w:vAlign w:val="bottom"/>
            <w:gridSpan w:val="4"/>
            <w:vMerge w:val="restart"/>
          </w:tcPr>
          <w:p>
            <w:pPr>
              <w:jc w:val="right"/>
              <w:ind w:right="20"/>
              <w:spacing w:after="0"/>
              <w:rPr>
                <w:sz w:val="20"/>
                <w:szCs w:val="20"/>
                <w:color w:val="auto"/>
              </w:rPr>
            </w:pPr>
            <w:r>
              <w:rPr>
                <w:rFonts w:ascii="Times New Roman" w:cs="Times New Roman" w:eastAsia="Times New Roman" w:hAnsi="Times New Roman"/>
                <w:sz w:val="16"/>
                <w:szCs w:val="16"/>
                <w:color w:val="auto"/>
              </w:rPr>
              <w:t>6.1</w:t>
            </w:r>
          </w:p>
        </w:tc>
        <w:tc>
          <w:tcPr>
            <w:tcW w:w="1140" w:type="dxa"/>
            <w:vAlign w:val="bottom"/>
            <w:gridSpan w:val="10"/>
          </w:tcPr>
          <w:p>
            <w:pPr>
              <w:spacing w:after="0"/>
              <w:rPr>
                <w:sz w:val="14"/>
                <w:szCs w:val="14"/>
                <w:color w:val="auto"/>
              </w:rPr>
            </w:pPr>
          </w:p>
        </w:tc>
        <w:tc>
          <w:tcPr>
            <w:tcW w:w="740" w:type="dxa"/>
            <w:vAlign w:val="bottom"/>
            <w:gridSpan w:val="6"/>
            <w:vMerge w:val="restart"/>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4"/>
                <w:szCs w:val="14"/>
                <w:color w:val="auto"/>
              </w:rPr>
            </w:pPr>
          </w:p>
        </w:tc>
        <w:tc>
          <w:tcPr>
            <w:tcW w:w="620" w:type="dxa"/>
            <w:vAlign w:val="bottom"/>
            <w:gridSpan w:val="4"/>
            <w:vMerge w:val="restart"/>
          </w:tcPr>
          <w:p>
            <w:pPr>
              <w:jc w:val="center"/>
              <w:ind w:left="339"/>
              <w:spacing w:after="0"/>
              <w:rPr>
                <w:sz w:val="20"/>
                <w:szCs w:val="20"/>
                <w:color w:val="auto"/>
              </w:rPr>
            </w:pPr>
            <w:r>
              <w:rPr>
                <w:rFonts w:ascii="Times New Roman" w:cs="Times New Roman" w:eastAsia="Times New Roman" w:hAnsi="Times New Roman"/>
                <w:sz w:val="16"/>
                <w:szCs w:val="16"/>
                <w:color w:val="auto"/>
                <w:w w:val="99"/>
              </w:rPr>
              <w:t>1.5</w:t>
            </w:r>
          </w:p>
        </w:tc>
        <w:tc>
          <w:tcPr>
            <w:tcW w:w="280" w:type="dxa"/>
            <w:vAlign w:val="bottom"/>
            <w:gridSpan w:val="5"/>
          </w:tcPr>
          <w:p>
            <w:pPr>
              <w:spacing w:after="0"/>
              <w:rPr>
                <w:sz w:val="14"/>
                <w:szCs w:val="14"/>
                <w:color w:val="auto"/>
              </w:rPr>
            </w:pPr>
          </w:p>
        </w:tc>
        <w:tc>
          <w:tcPr>
            <w:tcW w:w="560" w:type="dxa"/>
            <w:vAlign w:val="bottom"/>
            <w:gridSpan w:val="3"/>
            <w:vMerge w:val="restart"/>
          </w:tcPr>
          <w:p>
            <w:pPr>
              <w:jc w:val="right"/>
              <w:spacing w:after="0"/>
              <w:rPr>
                <w:sz w:val="20"/>
                <w:szCs w:val="20"/>
                <w:color w:val="auto"/>
              </w:rPr>
            </w:pPr>
            <w:r>
              <w:rPr>
                <w:rFonts w:ascii="Times New Roman" w:cs="Times New Roman" w:eastAsia="Times New Roman" w:hAnsi="Times New Roman"/>
                <w:sz w:val="16"/>
                <w:szCs w:val="16"/>
                <w:color w:val="auto"/>
              </w:rPr>
              <w:t>4.6</w:t>
            </w:r>
          </w:p>
        </w:tc>
        <w:tc>
          <w:tcPr>
            <w:tcW w:w="500" w:type="dxa"/>
            <w:vAlign w:val="bottom"/>
            <w:gridSpan w:val="3"/>
          </w:tcPr>
          <w:p>
            <w:pPr>
              <w:spacing w:after="0"/>
              <w:rPr>
                <w:sz w:val="14"/>
                <w:szCs w:val="14"/>
                <w:color w:val="auto"/>
              </w:rPr>
            </w:pPr>
          </w:p>
        </w:tc>
        <w:tc>
          <w:tcPr>
            <w:tcW w:w="6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0.13</w:t>
            </w:r>
          </w:p>
        </w:tc>
        <w:tc>
          <w:tcPr>
            <w:tcW w:w="0" w:type="dxa"/>
            <w:vAlign w:val="bottom"/>
          </w:tcPr>
          <w:p>
            <w:pPr>
              <w:spacing w:after="0"/>
              <w:rPr>
                <w:sz w:val="1"/>
                <w:szCs w:val="1"/>
                <w:color w:val="auto"/>
              </w:rPr>
            </w:pPr>
          </w:p>
        </w:tc>
      </w:tr>
      <w:tr>
        <w:trPr>
          <w:trHeight w:val="216"/>
        </w:trPr>
        <w:tc>
          <w:tcPr>
            <w:tcW w:w="2000" w:type="dxa"/>
            <w:vAlign w:val="bottom"/>
            <w:gridSpan w:val="7"/>
          </w:tcPr>
          <w:p>
            <w:pPr>
              <w:ind w:left="20"/>
              <w:spacing w:after="0" w:line="216" w:lineRule="exact"/>
              <w:rPr>
                <w:sz w:val="20"/>
                <w:szCs w:val="20"/>
                <w:color w:val="auto"/>
              </w:rPr>
            </w:pPr>
            <w:r>
              <w:rPr>
                <w:rFonts w:ascii="Times New Roman" w:cs="Times New Roman" w:eastAsia="Times New Roman" w:hAnsi="Times New Roman"/>
                <w:sz w:val="16"/>
                <w:szCs w:val="16"/>
                <w:color w:val="auto"/>
              </w:rPr>
              <w:t xml:space="preserve">restructuring </w:t>
            </w:r>
            <w:r>
              <w:rPr>
                <w:rFonts w:ascii="Times New Roman" w:cs="Times New Roman" w:eastAsia="Times New Roman" w:hAnsi="Times New Roman"/>
                <w:sz w:val="21"/>
                <w:szCs w:val="21"/>
                <w:color w:val="auto"/>
                <w:vertAlign w:val="superscript"/>
              </w:rPr>
              <w:t>(e)</w:t>
            </w:r>
          </w:p>
        </w:tc>
        <w:tc>
          <w:tcPr>
            <w:tcW w:w="240" w:type="dxa"/>
            <w:vAlign w:val="bottom"/>
            <w:gridSpan w:val="4"/>
            <w:vMerge w:val="continue"/>
          </w:tcPr>
          <w:p>
            <w:pPr>
              <w:spacing w:after="0"/>
              <w:rPr>
                <w:sz w:val="18"/>
                <w:szCs w:val="18"/>
                <w:color w:val="auto"/>
              </w:rPr>
            </w:pPr>
          </w:p>
        </w:tc>
        <w:tc>
          <w:tcPr>
            <w:tcW w:w="540" w:type="dxa"/>
            <w:vAlign w:val="bottom"/>
            <w:gridSpan w:val="3"/>
          </w:tcPr>
          <w:p>
            <w:pPr>
              <w:spacing w:after="0"/>
              <w:rPr>
                <w:sz w:val="18"/>
                <w:szCs w:val="18"/>
                <w:color w:val="auto"/>
              </w:rPr>
            </w:pPr>
          </w:p>
        </w:tc>
        <w:tc>
          <w:tcPr>
            <w:tcW w:w="220" w:type="dxa"/>
            <w:vAlign w:val="bottom"/>
            <w:gridSpan w:val="3"/>
            <w:vMerge w:val="continue"/>
          </w:tcPr>
          <w:p>
            <w:pPr>
              <w:spacing w:after="0"/>
              <w:rPr>
                <w:sz w:val="18"/>
                <w:szCs w:val="18"/>
                <w:color w:val="auto"/>
              </w:rPr>
            </w:pPr>
          </w:p>
        </w:tc>
        <w:tc>
          <w:tcPr>
            <w:tcW w:w="1100" w:type="dxa"/>
            <w:vAlign w:val="bottom"/>
            <w:gridSpan w:val="9"/>
          </w:tcPr>
          <w:p>
            <w:pPr>
              <w:spacing w:after="0"/>
              <w:rPr>
                <w:sz w:val="18"/>
                <w:szCs w:val="18"/>
                <w:color w:val="auto"/>
              </w:rPr>
            </w:pPr>
          </w:p>
        </w:tc>
        <w:tc>
          <w:tcPr>
            <w:tcW w:w="680" w:type="dxa"/>
            <w:vAlign w:val="bottom"/>
            <w:gridSpan w:val="4"/>
            <w:vMerge w:val="continue"/>
          </w:tcPr>
          <w:p>
            <w:pPr>
              <w:spacing w:after="0"/>
              <w:rPr>
                <w:sz w:val="18"/>
                <w:szCs w:val="18"/>
                <w:color w:val="auto"/>
              </w:rPr>
            </w:pPr>
          </w:p>
        </w:tc>
        <w:tc>
          <w:tcPr>
            <w:tcW w:w="1080" w:type="dxa"/>
            <w:vAlign w:val="bottom"/>
            <w:gridSpan w:val="10"/>
          </w:tcPr>
          <w:p>
            <w:pPr>
              <w:spacing w:after="0"/>
              <w:rPr>
                <w:sz w:val="18"/>
                <w:szCs w:val="18"/>
                <w:color w:val="auto"/>
              </w:rPr>
            </w:pPr>
          </w:p>
        </w:tc>
        <w:tc>
          <w:tcPr>
            <w:tcW w:w="780" w:type="dxa"/>
            <w:vAlign w:val="bottom"/>
            <w:gridSpan w:val="4"/>
            <w:vMerge w:val="continue"/>
          </w:tcPr>
          <w:p>
            <w:pPr>
              <w:spacing w:after="0"/>
              <w:rPr>
                <w:sz w:val="18"/>
                <w:szCs w:val="18"/>
                <w:color w:val="auto"/>
              </w:rPr>
            </w:pPr>
          </w:p>
        </w:tc>
        <w:tc>
          <w:tcPr>
            <w:tcW w:w="1140" w:type="dxa"/>
            <w:vAlign w:val="bottom"/>
            <w:gridSpan w:val="10"/>
          </w:tcPr>
          <w:p>
            <w:pPr>
              <w:spacing w:after="0"/>
              <w:rPr>
                <w:sz w:val="18"/>
                <w:szCs w:val="18"/>
                <w:color w:val="auto"/>
              </w:rPr>
            </w:pPr>
          </w:p>
        </w:tc>
        <w:tc>
          <w:tcPr>
            <w:tcW w:w="740" w:type="dxa"/>
            <w:vAlign w:val="bottom"/>
            <w:gridSpan w:val="6"/>
            <w:vMerge w:val="continue"/>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gridSpan w:val="4"/>
            <w:vMerge w:val="continue"/>
          </w:tcPr>
          <w:p>
            <w:pPr>
              <w:spacing w:after="0"/>
              <w:rPr>
                <w:sz w:val="18"/>
                <w:szCs w:val="18"/>
                <w:color w:val="auto"/>
              </w:rPr>
            </w:pPr>
          </w:p>
        </w:tc>
        <w:tc>
          <w:tcPr>
            <w:tcW w:w="280" w:type="dxa"/>
            <w:vAlign w:val="bottom"/>
            <w:gridSpan w:val="5"/>
          </w:tcPr>
          <w:p>
            <w:pPr>
              <w:spacing w:after="0"/>
              <w:rPr>
                <w:sz w:val="18"/>
                <w:szCs w:val="18"/>
                <w:color w:val="auto"/>
              </w:rPr>
            </w:pPr>
          </w:p>
        </w:tc>
        <w:tc>
          <w:tcPr>
            <w:tcW w:w="560" w:type="dxa"/>
            <w:vAlign w:val="bottom"/>
            <w:gridSpan w:val="3"/>
            <w:vMerge w:val="continue"/>
          </w:tcPr>
          <w:p>
            <w:pPr>
              <w:spacing w:after="0"/>
              <w:rPr>
                <w:sz w:val="18"/>
                <w:szCs w:val="18"/>
                <w:color w:val="auto"/>
              </w:rPr>
            </w:pPr>
          </w:p>
        </w:tc>
        <w:tc>
          <w:tcPr>
            <w:tcW w:w="500" w:type="dxa"/>
            <w:vAlign w:val="bottom"/>
            <w:gridSpan w:val="3"/>
          </w:tcPr>
          <w:p>
            <w:pPr>
              <w:spacing w:after="0"/>
              <w:rPr>
                <w:sz w:val="18"/>
                <w:szCs w:val="18"/>
                <w:color w:val="auto"/>
              </w:rPr>
            </w:pPr>
          </w:p>
        </w:tc>
        <w:tc>
          <w:tcPr>
            <w:tcW w:w="6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2000" w:type="dxa"/>
            <w:vAlign w:val="bottom"/>
            <w:gridSpan w:val="7"/>
            <w:shd w:val="clear" w:color="auto" w:fill="CCEEFF"/>
          </w:tcPr>
          <w:p>
            <w:pPr>
              <w:ind w:left="20"/>
              <w:spacing w:after="0" w:line="162" w:lineRule="exact"/>
              <w:rPr>
                <w:sz w:val="20"/>
                <w:szCs w:val="20"/>
                <w:color w:val="auto"/>
              </w:rPr>
            </w:pPr>
            <w:r>
              <w:rPr>
                <w:rFonts w:ascii="Times New Roman" w:cs="Times New Roman" w:eastAsia="Times New Roman" w:hAnsi="Times New Roman"/>
                <w:sz w:val="16"/>
                <w:szCs w:val="16"/>
                <w:color w:val="auto"/>
              </w:rPr>
              <w:t>Operating model</w:t>
            </w:r>
          </w:p>
        </w:tc>
        <w:tc>
          <w:tcPr>
            <w:tcW w:w="240" w:type="dxa"/>
            <w:vAlign w:val="bottom"/>
            <w:gridSpan w:val="4"/>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540" w:type="dxa"/>
            <w:vAlign w:val="bottom"/>
            <w:gridSpan w:val="3"/>
            <w:shd w:val="clear" w:color="auto" w:fill="CCEEFF"/>
          </w:tcPr>
          <w:p>
            <w:pPr>
              <w:spacing w:after="0"/>
              <w:rPr>
                <w:sz w:val="14"/>
                <w:szCs w:val="14"/>
                <w:color w:val="auto"/>
              </w:rPr>
            </w:pPr>
          </w:p>
        </w:tc>
        <w:tc>
          <w:tcPr>
            <w:tcW w:w="220" w:type="dxa"/>
            <w:vAlign w:val="bottom"/>
            <w:gridSpan w:val="3"/>
            <w:vMerge w:val="restart"/>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gridSpan w:val="9"/>
            <w:shd w:val="clear" w:color="auto" w:fill="CCEEFF"/>
          </w:tcPr>
          <w:p>
            <w:pPr>
              <w:spacing w:after="0"/>
              <w:rPr>
                <w:sz w:val="14"/>
                <w:szCs w:val="14"/>
                <w:color w:val="auto"/>
              </w:rPr>
            </w:pPr>
          </w:p>
        </w:tc>
        <w:tc>
          <w:tcPr>
            <w:tcW w:w="680" w:type="dxa"/>
            <w:vAlign w:val="bottom"/>
            <w:gridSpan w:val="4"/>
            <w:vMerge w:val="restart"/>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(3.7)</w:t>
            </w:r>
          </w:p>
        </w:tc>
        <w:tc>
          <w:tcPr>
            <w:tcW w:w="1080" w:type="dxa"/>
            <w:vAlign w:val="bottom"/>
            <w:gridSpan w:val="10"/>
            <w:shd w:val="clear" w:color="auto" w:fill="CCEEFF"/>
          </w:tcPr>
          <w:p>
            <w:pPr>
              <w:spacing w:after="0"/>
              <w:rPr>
                <w:sz w:val="14"/>
                <w:szCs w:val="14"/>
                <w:color w:val="auto"/>
              </w:rPr>
            </w:pPr>
          </w:p>
        </w:tc>
        <w:tc>
          <w:tcPr>
            <w:tcW w:w="780" w:type="dxa"/>
            <w:vAlign w:val="bottom"/>
            <w:gridSpan w:val="4"/>
            <w:vMerge w:val="restart"/>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3.7</w:t>
            </w:r>
          </w:p>
        </w:tc>
        <w:tc>
          <w:tcPr>
            <w:tcW w:w="1140" w:type="dxa"/>
            <w:vAlign w:val="bottom"/>
            <w:gridSpan w:val="10"/>
            <w:shd w:val="clear" w:color="auto" w:fill="CCEEFF"/>
          </w:tcPr>
          <w:p>
            <w:pPr>
              <w:spacing w:after="0"/>
              <w:rPr>
                <w:sz w:val="14"/>
                <w:szCs w:val="14"/>
                <w:color w:val="auto"/>
              </w:rPr>
            </w:pPr>
          </w:p>
        </w:tc>
        <w:tc>
          <w:tcPr>
            <w:tcW w:w="740" w:type="dxa"/>
            <w:vAlign w:val="bottom"/>
            <w:gridSpan w:val="6"/>
            <w:vMerge w:val="restart"/>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4"/>
                <w:szCs w:val="14"/>
                <w:color w:val="auto"/>
              </w:rPr>
            </w:pPr>
          </w:p>
        </w:tc>
        <w:tc>
          <w:tcPr>
            <w:tcW w:w="620" w:type="dxa"/>
            <w:vAlign w:val="bottom"/>
            <w:gridSpan w:val="4"/>
            <w:vMerge w:val="restart"/>
            <w:shd w:val="clear" w:color="auto" w:fill="CCEEFF"/>
          </w:tcPr>
          <w:p>
            <w:pPr>
              <w:jc w:val="center"/>
              <w:ind w:left="339"/>
              <w:spacing w:after="0"/>
              <w:rPr>
                <w:sz w:val="20"/>
                <w:szCs w:val="20"/>
                <w:color w:val="auto"/>
              </w:rPr>
            </w:pPr>
            <w:r>
              <w:rPr>
                <w:rFonts w:ascii="Times New Roman" w:cs="Times New Roman" w:eastAsia="Times New Roman" w:hAnsi="Times New Roman"/>
                <w:sz w:val="16"/>
                <w:szCs w:val="16"/>
                <w:color w:val="auto"/>
                <w:w w:val="99"/>
              </w:rPr>
              <w:t>0.9</w:t>
            </w:r>
          </w:p>
        </w:tc>
        <w:tc>
          <w:tcPr>
            <w:tcW w:w="280" w:type="dxa"/>
            <w:vAlign w:val="bottom"/>
            <w:gridSpan w:val="5"/>
            <w:shd w:val="clear" w:color="auto" w:fill="CCEEFF"/>
          </w:tcPr>
          <w:p>
            <w:pPr>
              <w:spacing w:after="0"/>
              <w:rPr>
                <w:sz w:val="14"/>
                <w:szCs w:val="14"/>
                <w:color w:val="auto"/>
              </w:rPr>
            </w:pPr>
          </w:p>
        </w:tc>
        <w:tc>
          <w:tcPr>
            <w:tcW w:w="560" w:type="dxa"/>
            <w:vAlign w:val="bottom"/>
            <w:gridSpan w:val="3"/>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w:t>
            </w:r>
          </w:p>
        </w:tc>
        <w:tc>
          <w:tcPr>
            <w:tcW w:w="500" w:type="dxa"/>
            <w:vAlign w:val="bottom"/>
            <w:gridSpan w:val="3"/>
            <w:shd w:val="clear" w:color="auto" w:fill="CCEEFF"/>
          </w:tcPr>
          <w:p>
            <w:pPr>
              <w:spacing w:after="0"/>
              <w:rPr>
                <w:sz w:val="14"/>
                <w:szCs w:val="14"/>
                <w:color w:val="auto"/>
              </w:rPr>
            </w:pPr>
          </w:p>
        </w:tc>
        <w:tc>
          <w:tcPr>
            <w:tcW w:w="6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0.08</w:t>
            </w:r>
          </w:p>
        </w:tc>
        <w:tc>
          <w:tcPr>
            <w:tcW w:w="0" w:type="dxa"/>
            <w:vAlign w:val="bottom"/>
          </w:tcPr>
          <w:p>
            <w:pPr>
              <w:spacing w:after="0"/>
              <w:rPr>
                <w:sz w:val="1"/>
                <w:szCs w:val="1"/>
                <w:color w:val="auto"/>
              </w:rPr>
            </w:pPr>
          </w:p>
        </w:tc>
      </w:tr>
      <w:tr>
        <w:trPr>
          <w:trHeight w:val="216"/>
        </w:trPr>
        <w:tc>
          <w:tcPr>
            <w:tcW w:w="1400" w:type="dxa"/>
            <w:vAlign w:val="bottom"/>
            <w:gridSpan w:val="3"/>
            <w:shd w:val="clear" w:color="auto" w:fill="CCEEFF"/>
          </w:tcPr>
          <w:p>
            <w:pPr>
              <w:ind w:left="20"/>
              <w:spacing w:after="0" w:line="216" w:lineRule="exact"/>
              <w:rPr>
                <w:sz w:val="20"/>
                <w:szCs w:val="20"/>
                <w:color w:val="auto"/>
              </w:rPr>
            </w:pPr>
            <w:r>
              <w:rPr>
                <w:rFonts w:ascii="Times New Roman" w:cs="Times New Roman" w:eastAsia="Times New Roman" w:hAnsi="Times New Roman"/>
                <w:sz w:val="16"/>
                <w:szCs w:val="16"/>
                <w:color w:val="auto"/>
                <w:w w:val="97"/>
              </w:rPr>
              <w:t xml:space="preserve">improvement costs </w:t>
            </w:r>
            <w:r>
              <w:rPr>
                <w:rFonts w:ascii="Times New Roman" w:cs="Times New Roman" w:eastAsia="Times New Roman" w:hAnsi="Times New Roman"/>
                <w:sz w:val="21"/>
                <w:szCs w:val="21"/>
                <w:color w:val="auto"/>
                <w:w w:val="97"/>
                <w:vertAlign w:val="superscript"/>
              </w:rPr>
              <w:t>(f)</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40" w:type="dxa"/>
            <w:vAlign w:val="bottom"/>
            <w:gridSpan w:val="4"/>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20" w:type="dxa"/>
            <w:vAlign w:val="bottom"/>
            <w:gridSpan w:val="3"/>
            <w:vMerge w:val="continue"/>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gridSpan w:val="4"/>
            <w:vMerge w:val="continue"/>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4"/>
            <w:vMerge w:val="continue"/>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gridSpan w:val="6"/>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gridSpan w:val="4"/>
            <w:vMerge w:val="continue"/>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gridSpan w:val="3"/>
            <w:vMerge w:val="continue"/>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64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1400" w:type="dxa"/>
            <w:vAlign w:val="bottom"/>
            <w:gridSpan w:val="3"/>
          </w:tcPr>
          <w:p>
            <w:pPr>
              <w:ind w:left="20"/>
              <w:spacing w:after="0" w:line="162" w:lineRule="exact"/>
              <w:rPr>
                <w:sz w:val="20"/>
                <w:szCs w:val="20"/>
                <w:color w:val="auto"/>
              </w:rPr>
            </w:pPr>
            <w:r>
              <w:rPr>
                <w:rFonts w:ascii="Times New Roman" w:cs="Times New Roman" w:eastAsia="Times New Roman" w:hAnsi="Times New Roman"/>
                <w:sz w:val="16"/>
                <w:szCs w:val="16"/>
                <w:color w:val="auto"/>
              </w:rPr>
              <w:t>Leadership transition</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40" w:type="dxa"/>
            <w:vAlign w:val="bottom"/>
            <w:gridSpan w:val="4"/>
            <w:vMerge w:val="restart"/>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20" w:type="dxa"/>
            <w:vAlign w:val="bottom"/>
            <w:gridSpan w:val="3"/>
            <w:vMerge w:val="restart"/>
          </w:tcPr>
          <w:p>
            <w:pPr>
              <w:jc w:val="right"/>
              <w:ind w:right="40"/>
              <w:spacing w:after="0"/>
              <w:rPr>
                <w:sz w:val="20"/>
                <w:szCs w:val="20"/>
                <w:color w:val="auto"/>
              </w:rPr>
            </w:pPr>
            <w:r>
              <w:rPr>
                <w:rFonts w:ascii="Times New Roman" w:cs="Times New Roman" w:eastAsia="Times New Roman" w:hAnsi="Times New Roman"/>
                <w:sz w:val="16"/>
                <w:szCs w:val="16"/>
                <w:color w:val="auto"/>
                <w:w w:val="99"/>
              </w:rPr>
              <w:t>—</w:t>
            </w: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80" w:type="dxa"/>
            <w:vAlign w:val="bottom"/>
            <w:gridSpan w:val="4"/>
            <w:vMerge w:val="restart"/>
          </w:tcPr>
          <w:p>
            <w:pPr>
              <w:jc w:val="right"/>
              <w:ind w:right="20"/>
              <w:spacing w:after="0"/>
              <w:rPr>
                <w:sz w:val="20"/>
                <w:szCs w:val="20"/>
                <w:color w:val="auto"/>
              </w:rPr>
            </w:pPr>
            <w:r>
              <w:rPr>
                <w:rFonts w:ascii="Times New Roman" w:cs="Times New Roman" w:eastAsia="Times New Roman" w:hAnsi="Times New Roman"/>
                <w:sz w:val="16"/>
                <w:szCs w:val="16"/>
                <w:color w:val="auto"/>
              </w:rPr>
              <w:t>(0.5)</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gridSpan w:val="4"/>
            <w:vMerge w:val="restart"/>
          </w:tcPr>
          <w:p>
            <w:pPr>
              <w:jc w:val="right"/>
              <w:ind w:right="20"/>
              <w:spacing w:after="0"/>
              <w:rPr>
                <w:sz w:val="20"/>
                <w:szCs w:val="20"/>
                <w:color w:val="auto"/>
              </w:rPr>
            </w:pPr>
            <w:r>
              <w:rPr>
                <w:rFonts w:ascii="Times New Roman" w:cs="Times New Roman" w:eastAsia="Times New Roman" w:hAnsi="Times New Roman"/>
                <w:sz w:val="16"/>
                <w:szCs w:val="16"/>
                <w:color w:val="auto"/>
              </w:rPr>
              <w:t>0.5</w:t>
            </w: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gridSpan w:val="6"/>
            <w:vMerge w:val="restart"/>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4"/>
                <w:szCs w:val="14"/>
                <w:color w:val="auto"/>
              </w:rPr>
            </w:pPr>
          </w:p>
        </w:tc>
        <w:tc>
          <w:tcPr>
            <w:tcW w:w="620" w:type="dxa"/>
            <w:vAlign w:val="bottom"/>
            <w:gridSpan w:val="4"/>
            <w:vMerge w:val="restart"/>
          </w:tcPr>
          <w:p>
            <w:pPr>
              <w:jc w:val="center"/>
              <w:ind w:left="339"/>
              <w:spacing w:after="0"/>
              <w:rPr>
                <w:sz w:val="20"/>
                <w:szCs w:val="20"/>
                <w:color w:val="auto"/>
              </w:rPr>
            </w:pPr>
            <w:r>
              <w:rPr>
                <w:rFonts w:ascii="Times New Roman" w:cs="Times New Roman" w:eastAsia="Times New Roman" w:hAnsi="Times New Roman"/>
                <w:sz w:val="16"/>
                <w:szCs w:val="16"/>
                <w:color w:val="auto"/>
                <w:w w:val="99"/>
              </w:rPr>
              <w:t>0.1</w:t>
            </w: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gridSpan w:val="3"/>
            <w:vMerge w:val="restart"/>
          </w:tcPr>
          <w:p>
            <w:pPr>
              <w:jc w:val="right"/>
              <w:spacing w:after="0"/>
              <w:rPr>
                <w:sz w:val="20"/>
                <w:szCs w:val="20"/>
                <w:color w:val="auto"/>
              </w:rPr>
            </w:pPr>
            <w:r>
              <w:rPr>
                <w:rFonts w:ascii="Times New Roman" w:cs="Times New Roman" w:eastAsia="Times New Roman" w:hAnsi="Times New Roman"/>
                <w:sz w:val="16"/>
                <w:szCs w:val="16"/>
                <w:color w:val="auto"/>
              </w:rPr>
              <w:t>0.4</w:t>
            </w: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0.01</w:t>
            </w:r>
          </w:p>
        </w:tc>
        <w:tc>
          <w:tcPr>
            <w:tcW w:w="0" w:type="dxa"/>
            <w:vAlign w:val="bottom"/>
          </w:tcPr>
          <w:p>
            <w:pPr>
              <w:spacing w:after="0"/>
              <w:rPr>
                <w:sz w:val="1"/>
                <w:szCs w:val="1"/>
                <w:color w:val="auto"/>
              </w:rPr>
            </w:pPr>
          </w:p>
        </w:tc>
      </w:tr>
      <w:tr>
        <w:trPr>
          <w:trHeight w:val="216"/>
        </w:trPr>
        <w:tc>
          <w:tcPr>
            <w:tcW w:w="2000" w:type="dxa"/>
            <w:vAlign w:val="bottom"/>
            <w:gridSpan w:val="7"/>
          </w:tcPr>
          <w:p>
            <w:pPr>
              <w:ind w:left="20"/>
              <w:spacing w:after="0" w:line="216" w:lineRule="exact"/>
              <w:rPr>
                <w:sz w:val="20"/>
                <w:szCs w:val="20"/>
                <w:color w:val="auto"/>
              </w:rPr>
            </w:pPr>
            <w:r>
              <w:rPr>
                <w:rFonts w:ascii="Times New Roman" w:cs="Times New Roman" w:eastAsia="Times New Roman" w:hAnsi="Times New Roman"/>
                <w:sz w:val="16"/>
                <w:szCs w:val="16"/>
                <w:color w:val="auto"/>
              </w:rPr>
              <w:t xml:space="preserve">costs </w:t>
            </w:r>
            <w:r>
              <w:rPr>
                <w:rFonts w:ascii="Times New Roman" w:cs="Times New Roman" w:eastAsia="Times New Roman" w:hAnsi="Times New Roman"/>
                <w:sz w:val="21"/>
                <w:szCs w:val="21"/>
                <w:color w:val="auto"/>
                <w:vertAlign w:val="superscript"/>
              </w:rPr>
              <w:t>(c)</w:t>
            </w:r>
          </w:p>
        </w:tc>
        <w:tc>
          <w:tcPr>
            <w:tcW w:w="240" w:type="dxa"/>
            <w:vAlign w:val="bottom"/>
            <w:gridSpan w:val="4"/>
            <w:vMerge w:val="continue"/>
          </w:tcPr>
          <w:p>
            <w:pPr>
              <w:spacing w:after="0"/>
              <w:rPr>
                <w:sz w:val="18"/>
                <w:szCs w:val="18"/>
                <w:color w:val="auto"/>
              </w:rPr>
            </w:pPr>
          </w:p>
        </w:tc>
        <w:tc>
          <w:tcPr>
            <w:tcW w:w="540" w:type="dxa"/>
            <w:vAlign w:val="bottom"/>
            <w:gridSpan w:val="3"/>
          </w:tcPr>
          <w:p>
            <w:pPr>
              <w:spacing w:after="0"/>
              <w:rPr>
                <w:sz w:val="18"/>
                <w:szCs w:val="18"/>
                <w:color w:val="auto"/>
              </w:rPr>
            </w:pPr>
          </w:p>
        </w:tc>
        <w:tc>
          <w:tcPr>
            <w:tcW w:w="220" w:type="dxa"/>
            <w:vAlign w:val="bottom"/>
            <w:gridSpan w:val="3"/>
            <w:vMerge w:val="continue"/>
          </w:tcPr>
          <w:p>
            <w:pPr>
              <w:spacing w:after="0"/>
              <w:rPr>
                <w:sz w:val="18"/>
                <w:szCs w:val="18"/>
                <w:color w:val="auto"/>
              </w:rPr>
            </w:pPr>
          </w:p>
        </w:tc>
        <w:tc>
          <w:tcPr>
            <w:tcW w:w="1100" w:type="dxa"/>
            <w:vAlign w:val="bottom"/>
            <w:gridSpan w:val="9"/>
          </w:tcPr>
          <w:p>
            <w:pPr>
              <w:spacing w:after="0"/>
              <w:rPr>
                <w:sz w:val="18"/>
                <w:szCs w:val="18"/>
                <w:color w:val="auto"/>
              </w:rPr>
            </w:pPr>
          </w:p>
        </w:tc>
        <w:tc>
          <w:tcPr>
            <w:tcW w:w="680" w:type="dxa"/>
            <w:vAlign w:val="bottom"/>
            <w:gridSpan w:val="4"/>
            <w:vMerge w:val="continue"/>
          </w:tcPr>
          <w:p>
            <w:pPr>
              <w:spacing w:after="0"/>
              <w:rPr>
                <w:sz w:val="18"/>
                <w:szCs w:val="18"/>
                <w:color w:val="auto"/>
              </w:rPr>
            </w:pPr>
          </w:p>
        </w:tc>
        <w:tc>
          <w:tcPr>
            <w:tcW w:w="1080" w:type="dxa"/>
            <w:vAlign w:val="bottom"/>
            <w:gridSpan w:val="10"/>
          </w:tcPr>
          <w:p>
            <w:pPr>
              <w:spacing w:after="0"/>
              <w:rPr>
                <w:sz w:val="18"/>
                <w:szCs w:val="18"/>
                <w:color w:val="auto"/>
              </w:rPr>
            </w:pPr>
          </w:p>
        </w:tc>
        <w:tc>
          <w:tcPr>
            <w:tcW w:w="780" w:type="dxa"/>
            <w:vAlign w:val="bottom"/>
            <w:gridSpan w:val="4"/>
            <w:vMerge w:val="continue"/>
          </w:tcPr>
          <w:p>
            <w:pPr>
              <w:spacing w:after="0"/>
              <w:rPr>
                <w:sz w:val="18"/>
                <w:szCs w:val="18"/>
                <w:color w:val="auto"/>
              </w:rPr>
            </w:pPr>
          </w:p>
        </w:tc>
        <w:tc>
          <w:tcPr>
            <w:tcW w:w="1140" w:type="dxa"/>
            <w:vAlign w:val="bottom"/>
            <w:gridSpan w:val="10"/>
          </w:tcPr>
          <w:p>
            <w:pPr>
              <w:spacing w:after="0"/>
              <w:rPr>
                <w:sz w:val="18"/>
                <w:szCs w:val="18"/>
                <w:color w:val="auto"/>
              </w:rPr>
            </w:pPr>
          </w:p>
        </w:tc>
        <w:tc>
          <w:tcPr>
            <w:tcW w:w="740" w:type="dxa"/>
            <w:vAlign w:val="bottom"/>
            <w:gridSpan w:val="6"/>
            <w:vMerge w:val="continue"/>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gridSpan w:val="4"/>
            <w:vMerge w:val="continue"/>
          </w:tcPr>
          <w:p>
            <w:pPr>
              <w:spacing w:after="0"/>
              <w:rPr>
                <w:sz w:val="18"/>
                <w:szCs w:val="18"/>
                <w:color w:val="auto"/>
              </w:rPr>
            </w:pPr>
          </w:p>
        </w:tc>
        <w:tc>
          <w:tcPr>
            <w:tcW w:w="280" w:type="dxa"/>
            <w:vAlign w:val="bottom"/>
            <w:gridSpan w:val="5"/>
          </w:tcPr>
          <w:p>
            <w:pPr>
              <w:spacing w:after="0"/>
              <w:rPr>
                <w:sz w:val="18"/>
                <w:szCs w:val="18"/>
                <w:color w:val="auto"/>
              </w:rPr>
            </w:pPr>
          </w:p>
        </w:tc>
        <w:tc>
          <w:tcPr>
            <w:tcW w:w="560" w:type="dxa"/>
            <w:vAlign w:val="bottom"/>
            <w:gridSpan w:val="3"/>
            <w:vMerge w:val="continue"/>
          </w:tcPr>
          <w:p>
            <w:pPr>
              <w:spacing w:after="0"/>
              <w:rPr>
                <w:sz w:val="18"/>
                <w:szCs w:val="18"/>
                <w:color w:val="auto"/>
              </w:rPr>
            </w:pPr>
          </w:p>
        </w:tc>
        <w:tc>
          <w:tcPr>
            <w:tcW w:w="500" w:type="dxa"/>
            <w:vAlign w:val="bottom"/>
            <w:gridSpan w:val="3"/>
          </w:tcPr>
          <w:p>
            <w:pPr>
              <w:spacing w:after="0"/>
              <w:rPr>
                <w:sz w:val="18"/>
                <w:szCs w:val="18"/>
                <w:color w:val="auto"/>
              </w:rPr>
            </w:pPr>
          </w:p>
        </w:tc>
        <w:tc>
          <w:tcPr>
            <w:tcW w:w="6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2000" w:type="dxa"/>
            <w:vAlign w:val="bottom"/>
            <w:gridSpan w:val="7"/>
            <w:shd w:val="clear" w:color="auto" w:fill="CCEEFF"/>
          </w:tcPr>
          <w:p>
            <w:pPr>
              <w:ind w:left="20"/>
              <w:spacing w:after="0" w:line="162" w:lineRule="exact"/>
              <w:rPr>
                <w:sz w:val="20"/>
                <w:szCs w:val="20"/>
                <w:color w:val="auto"/>
              </w:rPr>
            </w:pPr>
            <w:r>
              <w:rPr>
                <w:rFonts w:ascii="Times New Roman" w:cs="Times New Roman" w:eastAsia="Times New Roman" w:hAnsi="Times New Roman"/>
                <w:sz w:val="16"/>
                <w:szCs w:val="16"/>
                <w:color w:val="auto"/>
              </w:rPr>
              <w:t>Pension plan</w:t>
            </w:r>
          </w:p>
        </w:tc>
        <w:tc>
          <w:tcPr>
            <w:tcW w:w="240" w:type="dxa"/>
            <w:vAlign w:val="bottom"/>
            <w:gridSpan w:val="4"/>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540" w:type="dxa"/>
            <w:vAlign w:val="bottom"/>
            <w:gridSpan w:val="3"/>
            <w:shd w:val="clear" w:color="auto" w:fill="CCEEFF"/>
          </w:tcPr>
          <w:p>
            <w:pPr>
              <w:spacing w:after="0"/>
              <w:rPr>
                <w:sz w:val="14"/>
                <w:szCs w:val="14"/>
                <w:color w:val="auto"/>
              </w:rPr>
            </w:pPr>
          </w:p>
        </w:tc>
        <w:tc>
          <w:tcPr>
            <w:tcW w:w="220" w:type="dxa"/>
            <w:vAlign w:val="bottom"/>
            <w:gridSpan w:val="3"/>
            <w:vMerge w:val="restart"/>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gridSpan w:val="9"/>
            <w:shd w:val="clear" w:color="auto" w:fill="CCEEFF"/>
          </w:tcPr>
          <w:p>
            <w:pPr>
              <w:spacing w:after="0"/>
              <w:rPr>
                <w:sz w:val="14"/>
                <w:szCs w:val="14"/>
                <w:color w:val="auto"/>
              </w:rPr>
            </w:pPr>
          </w:p>
        </w:tc>
        <w:tc>
          <w:tcPr>
            <w:tcW w:w="680" w:type="dxa"/>
            <w:vAlign w:val="bottom"/>
            <w:gridSpan w:val="4"/>
            <w:vMerge w:val="restart"/>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1680" w:type="dxa"/>
            <w:vAlign w:val="bottom"/>
            <w:gridSpan w:val="11"/>
            <w:shd w:val="clear" w:color="auto" w:fill="CCEEFF"/>
          </w:tcPr>
          <w:p>
            <w:pPr>
              <w:spacing w:after="0"/>
              <w:rPr>
                <w:sz w:val="14"/>
                <w:szCs w:val="14"/>
                <w:color w:val="auto"/>
              </w:rPr>
            </w:pPr>
          </w:p>
        </w:tc>
        <w:tc>
          <w:tcPr>
            <w:tcW w:w="180" w:type="dxa"/>
            <w:vAlign w:val="bottom"/>
            <w:gridSpan w:val="3"/>
            <w:vMerge w:val="restart"/>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w w:val="87"/>
              </w:rPr>
              <w:t>—</w:t>
            </w:r>
          </w:p>
        </w:tc>
        <w:tc>
          <w:tcPr>
            <w:tcW w:w="1140" w:type="dxa"/>
            <w:vAlign w:val="bottom"/>
            <w:gridSpan w:val="10"/>
            <w:shd w:val="clear" w:color="auto" w:fill="CCEEFF"/>
          </w:tcPr>
          <w:p>
            <w:pPr>
              <w:spacing w:after="0"/>
              <w:rPr>
                <w:sz w:val="14"/>
                <w:szCs w:val="14"/>
                <w:color w:val="auto"/>
              </w:rPr>
            </w:pPr>
          </w:p>
        </w:tc>
        <w:tc>
          <w:tcPr>
            <w:tcW w:w="740" w:type="dxa"/>
            <w:vAlign w:val="bottom"/>
            <w:gridSpan w:val="6"/>
            <w:vMerge w:val="restart"/>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4"/>
                <w:szCs w:val="14"/>
                <w:color w:val="auto"/>
              </w:rPr>
            </w:pPr>
          </w:p>
        </w:tc>
        <w:tc>
          <w:tcPr>
            <w:tcW w:w="620" w:type="dxa"/>
            <w:vAlign w:val="bottom"/>
            <w:gridSpan w:val="4"/>
            <w:vMerge w:val="restart"/>
            <w:shd w:val="clear" w:color="auto" w:fill="CCEEFF"/>
          </w:tcPr>
          <w:p>
            <w:pPr>
              <w:jc w:val="center"/>
              <w:ind w:left="339"/>
              <w:spacing w:after="0"/>
              <w:rPr>
                <w:sz w:val="20"/>
                <w:szCs w:val="20"/>
                <w:color w:val="auto"/>
              </w:rPr>
            </w:pPr>
            <w:r>
              <w:rPr>
                <w:rFonts w:ascii="Times New Roman" w:cs="Times New Roman" w:eastAsia="Times New Roman" w:hAnsi="Times New Roman"/>
                <w:sz w:val="16"/>
                <w:szCs w:val="16"/>
                <w:color w:val="auto"/>
                <w:w w:val="99"/>
              </w:rPr>
              <w:t>2.1</w:t>
            </w:r>
          </w:p>
        </w:tc>
        <w:tc>
          <w:tcPr>
            <w:tcW w:w="280" w:type="dxa"/>
            <w:vAlign w:val="bottom"/>
            <w:gridSpan w:val="5"/>
            <w:shd w:val="clear" w:color="auto" w:fill="CCEEFF"/>
          </w:tcPr>
          <w:p>
            <w:pPr>
              <w:spacing w:after="0"/>
              <w:rPr>
                <w:sz w:val="14"/>
                <w:szCs w:val="14"/>
                <w:color w:val="auto"/>
              </w:rPr>
            </w:pPr>
          </w:p>
        </w:tc>
        <w:tc>
          <w:tcPr>
            <w:tcW w:w="560" w:type="dxa"/>
            <w:vAlign w:val="bottom"/>
            <w:gridSpan w:val="3"/>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6.7</w:t>
            </w:r>
          </w:p>
        </w:tc>
        <w:tc>
          <w:tcPr>
            <w:tcW w:w="500" w:type="dxa"/>
            <w:vAlign w:val="bottom"/>
            <w:gridSpan w:val="3"/>
            <w:shd w:val="clear" w:color="auto" w:fill="CCEEFF"/>
          </w:tcPr>
          <w:p>
            <w:pPr>
              <w:spacing w:after="0"/>
              <w:rPr>
                <w:sz w:val="14"/>
                <w:szCs w:val="14"/>
                <w:color w:val="auto"/>
              </w:rPr>
            </w:pPr>
          </w:p>
        </w:tc>
        <w:tc>
          <w:tcPr>
            <w:tcW w:w="6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0.18</w:t>
            </w:r>
          </w:p>
        </w:tc>
        <w:tc>
          <w:tcPr>
            <w:tcW w:w="0" w:type="dxa"/>
            <w:vAlign w:val="bottom"/>
          </w:tcPr>
          <w:p>
            <w:pPr>
              <w:spacing w:after="0"/>
              <w:rPr>
                <w:sz w:val="1"/>
                <w:szCs w:val="1"/>
                <w:color w:val="auto"/>
              </w:rPr>
            </w:pPr>
          </w:p>
        </w:tc>
      </w:tr>
      <w:tr>
        <w:trPr>
          <w:trHeight w:val="216"/>
        </w:trPr>
        <w:tc>
          <w:tcPr>
            <w:tcW w:w="2000" w:type="dxa"/>
            <w:vAlign w:val="bottom"/>
            <w:gridSpan w:val="7"/>
            <w:shd w:val="clear" w:color="auto" w:fill="CCEEFF"/>
          </w:tcPr>
          <w:p>
            <w:pPr>
              <w:ind w:left="20"/>
              <w:spacing w:after="0" w:line="216" w:lineRule="exact"/>
              <w:rPr>
                <w:sz w:val="20"/>
                <w:szCs w:val="20"/>
                <w:color w:val="auto"/>
              </w:rPr>
            </w:pPr>
            <w:r>
              <w:rPr>
                <w:rFonts w:ascii="Times New Roman" w:cs="Times New Roman" w:eastAsia="Times New Roman" w:hAnsi="Times New Roman"/>
                <w:sz w:val="16"/>
                <w:szCs w:val="16"/>
                <w:color w:val="auto"/>
              </w:rPr>
              <w:t xml:space="preserve">settlement </w:t>
            </w:r>
            <w:r>
              <w:rPr>
                <w:rFonts w:ascii="Times New Roman" w:cs="Times New Roman" w:eastAsia="Times New Roman" w:hAnsi="Times New Roman"/>
                <w:sz w:val="21"/>
                <w:szCs w:val="21"/>
                <w:color w:val="auto"/>
                <w:vertAlign w:val="superscript"/>
              </w:rPr>
              <w:t>(g)</w:t>
            </w:r>
          </w:p>
        </w:tc>
        <w:tc>
          <w:tcPr>
            <w:tcW w:w="240" w:type="dxa"/>
            <w:vAlign w:val="bottom"/>
            <w:gridSpan w:val="4"/>
            <w:vMerge w:val="continue"/>
            <w:shd w:val="clear" w:color="auto" w:fill="CCEEFF"/>
          </w:tcPr>
          <w:p>
            <w:pPr>
              <w:spacing w:after="0"/>
              <w:rPr>
                <w:sz w:val="18"/>
                <w:szCs w:val="18"/>
                <w:color w:val="auto"/>
              </w:rPr>
            </w:pPr>
          </w:p>
        </w:tc>
        <w:tc>
          <w:tcPr>
            <w:tcW w:w="540" w:type="dxa"/>
            <w:vAlign w:val="bottom"/>
            <w:gridSpan w:val="3"/>
            <w:shd w:val="clear" w:color="auto" w:fill="CCEEFF"/>
          </w:tcPr>
          <w:p>
            <w:pPr>
              <w:spacing w:after="0"/>
              <w:rPr>
                <w:sz w:val="18"/>
                <w:szCs w:val="18"/>
                <w:color w:val="auto"/>
              </w:rPr>
            </w:pPr>
          </w:p>
        </w:tc>
        <w:tc>
          <w:tcPr>
            <w:tcW w:w="220" w:type="dxa"/>
            <w:vAlign w:val="bottom"/>
            <w:gridSpan w:val="3"/>
            <w:vMerge w:val="continue"/>
            <w:shd w:val="clear" w:color="auto" w:fill="CCEEFF"/>
          </w:tcPr>
          <w:p>
            <w:pPr>
              <w:spacing w:after="0"/>
              <w:rPr>
                <w:sz w:val="18"/>
                <w:szCs w:val="18"/>
                <w:color w:val="auto"/>
              </w:rPr>
            </w:pPr>
          </w:p>
        </w:tc>
        <w:tc>
          <w:tcPr>
            <w:tcW w:w="1100" w:type="dxa"/>
            <w:vAlign w:val="bottom"/>
            <w:gridSpan w:val="9"/>
            <w:shd w:val="clear" w:color="auto" w:fill="CCEEFF"/>
          </w:tcPr>
          <w:p>
            <w:pPr>
              <w:spacing w:after="0"/>
              <w:rPr>
                <w:sz w:val="18"/>
                <w:szCs w:val="18"/>
                <w:color w:val="auto"/>
              </w:rPr>
            </w:pPr>
          </w:p>
        </w:tc>
        <w:tc>
          <w:tcPr>
            <w:tcW w:w="680" w:type="dxa"/>
            <w:vAlign w:val="bottom"/>
            <w:gridSpan w:val="4"/>
            <w:vMerge w:val="continue"/>
            <w:shd w:val="clear" w:color="auto" w:fill="CCEEFF"/>
          </w:tcPr>
          <w:p>
            <w:pPr>
              <w:spacing w:after="0"/>
              <w:rPr>
                <w:sz w:val="18"/>
                <w:szCs w:val="18"/>
                <w:color w:val="auto"/>
              </w:rPr>
            </w:pPr>
          </w:p>
        </w:tc>
        <w:tc>
          <w:tcPr>
            <w:tcW w:w="1680" w:type="dxa"/>
            <w:vAlign w:val="bottom"/>
            <w:gridSpan w:val="11"/>
            <w:shd w:val="clear" w:color="auto" w:fill="CCEEFF"/>
          </w:tcPr>
          <w:p>
            <w:pPr>
              <w:spacing w:after="0"/>
              <w:rPr>
                <w:sz w:val="18"/>
                <w:szCs w:val="18"/>
                <w:color w:val="auto"/>
              </w:rPr>
            </w:pPr>
          </w:p>
        </w:tc>
        <w:tc>
          <w:tcPr>
            <w:tcW w:w="180" w:type="dxa"/>
            <w:vAlign w:val="bottom"/>
            <w:gridSpan w:val="3"/>
            <w:vMerge w:val="continue"/>
            <w:shd w:val="clear" w:color="auto" w:fill="CCEEFF"/>
          </w:tcPr>
          <w:p>
            <w:pPr>
              <w:spacing w:after="0"/>
              <w:rPr>
                <w:sz w:val="18"/>
                <w:szCs w:val="18"/>
                <w:color w:val="auto"/>
              </w:rPr>
            </w:pPr>
          </w:p>
        </w:tc>
        <w:tc>
          <w:tcPr>
            <w:tcW w:w="1140" w:type="dxa"/>
            <w:vAlign w:val="bottom"/>
            <w:gridSpan w:val="10"/>
            <w:shd w:val="clear" w:color="auto" w:fill="CCEEFF"/>
          </w:tcPr>
          <w:p>
            <w:pPr>
              <w:spacing w:after="0"/>
              <w:rPr>
                <w:sz w:val="18"/>
                <w:szCs w:val="18"/>
                <w:color w:val="auto"/>
              </w:rPr>
            </w:pPr>
          </w:p>
        </w:tc>
        <w:tc>
          <w:tcPr>
            <w:tcW w:w="740" w:type="dxa"/>
            <w:vAlign w:val="bottom"/>
            <w:gridSpan w:val="6"/>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gridSpan w:val="4"/>
            <w:vMerge w:val="continue"/>
            <w:shd w:val="clear" w:color="auto" w:fill="CCEEFF"/>
          </w:tcPr>
          <w:p>
            <w:pPr>
              <w:spacing w:after="0"/>
              <w:rPr>
                <w:sz w:val="18"/>
                <w:szCs w:val="18"/>
                <w:color w:val="auto"/>
              </w:rPr>
            </w:pPr>
          </w:p>
        </w:tc>
        <w:tc>
          <w:tcPr>
            <w:tcW w:w="280" w:type="dxa"/>
            <w:vAlign w:val="bottom"/>
            <w:gridSpan w:val="5"/>
            <w:shd w:val="clear" w:color="auto" w:fill="CCEEFF"/>
          </w:tcPr>
          <w:p>
            <w:pPr>
              <w:spacing w:after="0"/>
              <w:rPr>
                <w:sz w:val="18"/>
                <w:szCs w:val="18"/>
                <w:color w:val="auto"/>
              </w:rPr>
            </w:pPr>
          </w:p>
        </w:tc>
        <w:tc>
          <w:tcPr>
            <w:tcW w:w="560" w:type="dxa"/>
            <w:vAlign w:val="bottom"/>
            <w:gridSpan w:val="3"/>
            <w:vMerge w:val="continue"/>
            <w:shd w:val="clear" w:color="auto" w:fill="CCEEFF"/>
          </w:tcPr>
          <w:p>
            <w:pPr>
              <w:spacing w:after="0"/>
              <w:rPr>
                <w:sz w:val="18"/>
                <w:szCs w:val="18"/>
                <w:color w:val="auto"/>
              </w:rPr>
            </w:pPr>
          </w:p>
        </w:tc>
        <w:tc>
          <w:tcPr>
            <w:tcW w:w="500" w:type="dxa"/>
            <w:vAlign w:val="bottom"/>
            <w:gridSpan w:val="3"/>
            <w:shd w:val="clear" w:color="auto" w:fill="CCEEFF"/>
          </w:tcPr>
          <w:p>
            <w:pPr>
              <w:spacing w:after="0"/>
              <w:rPr>
                <w:sz w:val="18"/>
                <w:szCs w:val="18"/>
                <w:color w:val="auto"/>
              </w:rPr>
            </w:pPr>
          </w:p>
        </w:tc>
        <w:tc>
          <w:tcPr>
            <w:tcW w:w="64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11240" w:type="dxa"/>
            <w:vAlign w:val="bottom"/>
            <w:gridSpan w:val="77"/>
          </w:tcPr>
          <w:p>
            <w:pPr>
              <w:ind w:left="20"/>
              <w:spacing w:after="0" w:line="162" w:lineRule="exact"/>
              <w:rPr>
                <w:sz w:val="20"/>
                <w:szCs w:val="20"/>
                <w:color w:val="auto"/>
              </w:rPr>
            </w:pPr>
            <w:r>
              <w:rPr>
                <w:rFonts w:ascii="Times New Roman" w:cs="Times New Roman" w:eastAsia="Times New Roman" w:hAnsi="Times New Roman"/>
                <w:sz w:val="16"/>
                <w:szCs w:val="16"/>
                <w:color w:val="auto"/>
              </w:rPr>
              <w:t>Deferred</w:t>
            </w:r>
          </w:p>
        </w:tc>
        <w:tc>
          <w:tcPr>
            <w:tcW w:w="0" w:type="dxa"/>
            <w:vAlign w:val="bottom"/>
          </w:tcPr>
          <w:p>
            <w:pPr>
              <w:spacing w:after="0"/>
              <w:rPr>
                <w:sz w:val="1"/>
                <w:szCs w:val="1"/>
                <w:color w:val="auto"/>
              </w:rPr>
            </w:pPr>
          </w:p>
        </w:tc>
      </w:tr>
      <w:tr>
        <w:trPr>
          <w:trHeight w:val="162"/>
        </w:trPr>
        <w:tc>
          <w:tcPr>
            <w:tcW w:w="1400" w:type="dxa"/>
            <w:vAlign w:val="bottom"/>
            <w:gridSpan w:val="3"/>
          </w:tcPr>
          <w:p>
            <w:pPr>
              <w:ind w:left="20"/>
              <w:spacing w:after="0" w:line="162" w:lineRule="exact"/>
              <w:rPr>
                <w:sz w:val="20"/>
                <w:szCs w:val="20"/>
                <w:color w:val="auto"/>
              </w:rPr>
            </w:pPr>
            <w:r>
              <w:rPr>
                <w:rFonts w:ascii="Times New Roman" w:cs="Times New Roman" w:eastAsia="Times New Roman" w:hAnsi="Times New Roman"/>
                <w:sz w:val="16"/>
                <w:szCs w:val="16"/>
                <w:color w:val="auto"/>
              </w:rPr>
              <w:t>compensation plan</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40" w:type="dxa"/>
            <w:vAlign w:val="bottom"/>
            <w:gridSpan w:val="4"/>
            <w:vMerge w:val="restart"/>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20" w:type="dxa"/>
            <w:vAlign w:val="bottom"/>
            <w:gridSpan w:val="3"/>
            <w:vMerge w:val="restart"/>
          </w:tcPr>
          <w:p>
            <w:pPr>
              <w:jc w:val="right"/>
              <w:ind w:right="40"/>
              <w:spacing w:after="0"/>
              <w:rPr>
                <w:sz w:val="20"/>
                <w:szCs w:val="20"/>
                <w:color w:val="auto"/>
              </w:rPr>
            </w:pPr>
            <w:r>
              <w:rPr>
                <w:rFonts w:ascii="Times New Roman" w:cs="Times New Roman" w:eastAsia="Times New Roman" w:hAnsi="Times New Roman"/>
                <w:sz w:val="16"/>
                <w:szCs w:val="16"/>
                <w:color w:val="auto"/>
                <w:w w:val="99"/>
              </w:rPr>
              <w:t>—</w:t>
            </w: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80" w:type="dxa"/>
            <w:vAlign w:val="bottom"/>
            <w:gridSpan w:val="4"/>
            <w:vMerge w:val="restart"/>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80" w:type="dxa"/>
            <w:vAlign w:val="bottom"/>
            <w:gridSpan w:val="3"/>
            <w:vMerge w:val="restart"/>
          </w:tcPr>
          <w:p>
            <w:pPr>
              <w:jc w:val="right"/>
              <w:ind w:right="20"/>
              <w:spacing w:after="0"/>
              <w:rPr>
                <w:sz w:val="20"/>
                <w:szCs w:val="20"/>
                <w:color w:val="auto"/>
              </w:rPr>
            </w:pPr>
            <w:r>
              <w:rPr>
                <w:rFonts w:ascii="Times New Roman" w:cs="Times New Roman" w:eastAsia="Times New Roman" w:hAnsi="Times New Roman"/>
                <w:sz w:val="16"/>
                <w:szCs w:val="16"/>
                <w:color w:val="auto"/>
                <w:w w:val="87"/>
              </w:rPr>
              <w:t>—</w:t>
            </w: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gridSpan w:val="5"/>
            <w:vMerge w:val="restart"/>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vMerge w:val="restart"/>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gridSpan w:val="5"/>
            <w:vMerge w:val="restart"/>
          </w:tcPr>
          <w:p>
            <w:pPr>
              <w:jc w:val="center"/>
              <w:ind w:left="259"/>
              <w:spacing w:after="0"/>
              <w:rPr>
                <w:sz w:val="20"/>
                <w:szCs w:val="20"/>
                <w:color w:val="auto"/>
              </w:rPr>
            </w:pPr>
            <w:r>
              <w:rPr>
                <w:rFonts w:ascii="Times New Roman" w:cs="Times New Roman" w:eastAsia="Times New Roman" w:hAnsi="Times New Roman"/>
                <w:sz w:val="16"/>
                <w:szCs w:val="16"/>
                <w:color w:val="auto"/>
              </w:rPr>
              <w:t>(0.8)</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gridSpan w:val="3"/>
            <w:vMerge w:val="restart"/>
          </w:tcPr>
          <w:p>
            <w:pPr>
              <w:jc w:val="right"/>
              <w:spacing w:after="0"/>
              <w:rPr>
                <w:sz w:val="20"/>
                <w:szCs w:val="20"/>
                <w:color w:val="auto"/>
              </w:rPr>
            </w:pPr>
            <w:r>
              <w:rPr>
                <w:rFonts w:ascii="Times New Roman" w:cs="Times New Roman" w:eastAsia="Times New Roman" w:hAnsi="Times New Roman"/>
                <w:sz w:val="16"/>
                <w:szCs w:val="16"/>
                <w:color w:val="auto"/>
              </w:rPr>
              <w:t>0.8</w:t>
            </w: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0.02</w:t>
            </w:r>
          </w:p>
        </w:tc>
        <w:tc>
          <w:tcPr>
            <w:tcW w:w="0" w:type="dxa"/>
            <w:vAlign w:val="bottom"/>
          </w:tcPr>
          <w:p>
            <w:pPr>
              <w:spacing w:after="0"/>
              <w:rPr>
                <w:sz w:val="1"/>
                <w:szCs w:val="1"/>
                <w:color w:val="auto"/>
              </w:rPr>
            </w:pPr>
          </w:p>
        </w:tc>
      </w:tr>
      <w:tr>
        <w:trPr>
          <w:trHeight w:val="216"/>
        </w:trPr>
        <w:tc>
          <w:tcPr>
            <w:tcW w:w="1520" w:type="dxa"/>
            <w:vAlign w:val="bottom"/>
            <w:tcBorders>
              <w:bottom w:val="single" w:sz="8" w:color="CCEEFF"/>
            </w:tcBorders>
            <w:gridSpan w:val="4"/>
          </w:tcPr>
          <w:p>
            <w:pPr>
              <w:ind w:left="20"/>
              <w:spacing w:after="0" w:line="216" w:lineRule="exact"/>
              <w:rPr>
                <w:sz w:val="20"/>
                <w:szCs w:val="20"/>
                <w:color w:val="auto"/>
              </w:rPr>
            </w:pPr>
            <w:r>
              <w:rPr>
                <w:rFonts w:ascii="Times New Roman" w:cs="Times New Roman" w:eastAsia="Times New Roman" w:hAnsi="Times New Roman"/>
                <w:sz w:val="16"/>
                <w:szCs w:val="16"/>
                <w:color w:val="auto"/>
              </w:rPr>
              <w:t xml:space="preserve">termination </w:t>
            </w:r>
            <w:r>
              <w:rPr>
                <w:rFonts w:ascii="Times New Roman" w:cs="Times New Roman" w:eastAsia="Times New Roman" w:hAnsi="Times New Roman"/>
                <w:sz w:val="21"/>
                <w:szCs w:val="21"/>
                <w:color w:val="auto"/>
                <w:vertAlign w:val="superscript"/>
              </w:rPr>
              <w:t>(h)</w:t>
            </w:r>
          </w:p>
        </w:tc>
        <w:tc>
          <w:tcPr>
            <w:tcW w:w="480" w:type="dxa"/>
            <w:vAlign w:val="bottom"/>
            <w:tcBorders>
              <w:bottom w:val="single" w:sz="8" w:color="auto"/>
            </w:tcBorders>
            <w:gridSpan w:val="3"/>
          </w:tcPr>
          <w:p>
            <w:pPr>
              <w:spacing w:after="0"/>
              <w:rPr>
                <w:sz w:val="18"/>
                <w:szCs w:val="18"/>
                <w:color w:val="auto"/>
              </w:rPr>
            </w:pPr>
          </w:p>
        </w:tc>
        <w:tc>
          <w:tcPr>
            <w:tcW w:w="240" w:type="dxa"/>
            <w:vAlign w:val="bottom"/>
            <w:tcBorders>
              <w:bottom w:val="single" w:sz="8" w:color="auto"/>
            </w:tcBorders>
            <w:gridSpan w:val="4"/>
            <w:vMerge w:val="continue"/>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460" w:type="dxa"/>
            <w:vAlign w:val="bottom"/>
            <w:tcBorders>
              <w:bottom w:val="single" w:sz="8" w:color="auto"/>
            </w:tcBorders>
            <w:gridSpan w:val="2"/>
          </w:tcPr>
          <w:p>
            <w:pPr>
              <w:spacing w:after="0"/>
              <w:rPr>
                <w:sz w:val="18"/>
                <w:szCs w:val="18"/>
                <w:color w:val="auto"/>
              </w:rPr>
            </w:pPr>
          </w:p>
        </w:tc>
        <w:tc>
          <w:tcPr>
            <w:tcW w:w="220" w:type="dxa"/>
            <w:vAlign w:val="bottom"/>
            <w:tcBorders>
              <w:bottom w:val="single" w:sz="8" w:color="auto"/>
            </w:tcBorders>
            <w:gridSpan w:val="3"/>
            <w:vMerge w:val="continue"/>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920" w:type="dxa"/>
            <w:vAlign w:val="bottom"/>
            <w:tcBorders>
              <w:bottom w:val="single" w:sz="8" w:color="CCEEFF"/>
            </w:tcBorders>
            <w:gridSpan w:val="7"/>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gridSpan w:val="4"/>
            <w:vMerge w:val="continue"/>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960" w:type="dxa"/>
            <w:vAlign w:val="bottom"/>
            <w:tcBorders>
              <w:bottom w:val="single" w:sz="8" w:color="CCEEFF"/>
            </w:tcBorders>
            <w:gridSpan w:val="8"/>
          </w:tcPr>
          <w:p>
            <w:pPr>
              <w:spacing w:after="0"/>
              <w:rPr>
                <w:sz w:val="18"/>
                <w:szCs w:val="18"/>
                <w:color w:val="auto"/>
              </w:rPr>
            </w:pPr>
          </w:p>
        </w:tc>
        <w:tc>
          <w:tcPr>
            <w:tcW w:w="700" w:type="dxa"/>
            <w:vAlign w:val="bottom"/>
            <w:tcBorders>
              <w:bottom w:val="single" w:sz="8" w:color="auto"/>
            </w:tcBorders>
            <w:gridSpan w:val="2"/>
          </w:tcPr>
          <w:p>
            <w:pPr>
              <w:spacing w:after="0"/>
              <w:rPr>
                <w:sz w:val="18"/>
                <w:szCs w:val="18"/>
                <w:color w:val="auto"/>
              </w:rPr>
            </w:pPr>
          </w:p>
        </w:tc>
        <w:tc>
          <w:tcPr>
            <w:tcW w:w="180" w:type="dxa"/>
            <w:vAlign w:val="bottom"/>
            <w:tcBorders>
              <w:bottom w:val="single" w:sz="8" w:color="auto"/>
            </w:tcBorders>
            <w:gridSpan w:val="3"/>
            <w:vMerge w:val="continue"/>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960" w:type="dxa"/>
            <w:vAlign w:val="bottom"/>
            <w:tcBorders>
              <w:bottom w:val="single" w:sz="8" w:color="CCEEFF"/>
            </w:tcBorders>
            <w:gridSpan w:val="8"/>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gridSpan w:val="5"/>
            <w:vMerge w:val="continue"/>
          </w:tcPr>
          <w:p>
            <w:pPr>
              <w:spacing w:after="0"/>
              <w:rPr>
                <w:sz w:val="18"/>
                <w:szCs w:val="18"/>
                <w:color w:val="auto"/>
              </w:rPr>
            </w:pPr>
          </w:p>
        </w:tc>
        <w:tc>
          <w:tcPr>
            <w:tcW w:w="80" w:type="dxa"/>
            <w:vAlign w:val="bottom"/>
            <w:tcBorders>
              <w:bottom w:val="single" w:sz="8" w:color="CCEEFF"/>
            </w:tcBorders>
            <w:vMerge w:val="continue"/>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gridSpan w:val="5"/>
            <w:vMerge w:val="continue"/>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20" w:type="dxa"/>
            <w:vAlign w:val="bottom"/>
            <w:tcBorders>
              <w:bottom w:val="single" w:sz="8" w:color="CCEEFF"/>
            </w:tcBorders>
            <w:gridSpan w:val="2"/>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gridSpan w:val="3"/>
            <w:vMerge w:val="continue"/>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220" w:type="dxa"/>
            <w:vAlign w:val="bottom"/>
            <w:shd w:val="clear" w:color="auto" w:fill="CCEEFF"/>
          </w:tcPr>
          <w:p>
            <w:pPr>
              <w:ind w:left="20"/>
              <w:spacing w:after="0" w:line="210" w:lineRule="exact"/>
              <w:rPr>
                <w:sz w:val="20"/>
                <w:szCs w:val="20"/>
                <w:color w:val="auto"/>
              </w:rPr>
            </w:pPr>
            <w:r>
              <w:rPr>
                <w:rFonts w:ascii="Times New Roman" w:cs="Times New Roman" w:eastAsia="Times New Roman" w:hAnsi="Times New Roman"/>
                <w:sz w:val="16"/>
                <w:szCs w:val="16"/>
                <w:b w:val="1"/>
                <w:bCs w:val="1"/>
                <w:color w:val="auto"/>
              </w:rPr>
              <w:t xml:space="preserve">As adjusted </w:t>
            </w:r>
            <w:r>
              <w:rPr>
                <w:rFonts w:ascii="Times New Roman" w:cs="Times New Roman" w:eastAsia="Times New Roman" w:hAnsi="Times New Roman"/>
                <w:sz w:val="21"/>
                <w:szCs w:val="21"/>
                <w:b w:val="1"/>
                <w:bCs w:val="1"/>
                <w:color w:val="auto"/>
                <w:vertAlign w:val="superscript"/>
              </w:rPr>
              <w:t>(a)</w:t>
            </w:r>
          </w:p>
        </w:tc>
        <w:tc>
          <w:tcPr>
            <w:tcW w:w="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620" w:type="dxa"/>
            <w:vAlign w:val="bottom"/>
            <w:gridSpan w:val="6"/>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416.2</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w w:val="99"/>
              </w:rPr>
              <w:t>$</w:t>
            </w:r>
          </w:p>
        </w:tc>
        <w:tc>
          <w:tcPr>
            <w:tcW w:w="560" w:type="dxa"/>
            <w:vAlign w:val="bottom"/>
            <w:gridSpan w:val="4"/>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341.6</w:t>
            </w:r>
          </w:p>
        </w:tc>
        <w:tc>
          <w:tcPr>
            <w:tcW w:w="840" w:type="dxa"/>
            <w:vAlign w:val="bottom"/>
            <w:gridSpan w:val="6"/>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45.1 %</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80" w:type="dxa"/>
            <w:vAlign w:val="bottom"/>
            <w:gridSpan w:val="4"/>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307.7</w:t>
            </w:r>
          </w:p>
        </w:tc>
        <w:tc>
          <w:tcPr>
            <w:tcW w:w="880" w:type="dxa"/>
            <w:vAlign w:val="bottom"/>
            <w:gridSpan w:val="7"/>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40.6 %</w:t>
            </w: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gridSpan w:val="4"/>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39.4</w:t>
            </w:r>
          </w:p>
        </w:tc>
        <w:tc>
          <w:tcPr>
            <w:tcW w:w="920" w:type="dxa"/>
            <w:vAlign w:val="bottom"/>
            <w:gridSpan w:val="7"/>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5.2 %</w:t>
            </w: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w w:val="99"/>
              </w:rPr>
              <w:t>$</w:t>
            </w:r>
          </w:p>
        </w:tc>
        <w:tc>
          <w:tcPr>
            <w:tcW w:w="62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w:t>
            </w: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w w:val="99"/>
              </w:rPr>
              <w:t>$</w:t>
            </w:r>
          </w:p>
        </w:tc>
        <w:tc>
          <w:tcPr>
            <w:tcW w:w="620" w:type="dxa"/>
            <w:vAlign w:val="bottom"/>
            <w:gridSpan w:val="4"/>
            <w:shd w:val="clear" w:color="auto" w:fill="CCEEFF"/>
          </w:tcPr>
          <w:p>
            <w:pPr>
              <w:jc w:val="center"/>
              <w:ind w:left="339"/>
              <w:spacing w:after="0"/>
              <w:rPr>
                <w:sz w:val="20"/>
                <w:szCs w:val="20"/>
                <w:color w:val="auto"/>
              </w:rPr>
            </w:pPr>
            <w:r>
              <w:rPr>
                <w:rFonts w:ascii="Times New Roman" w:cs="Times New Roman" w:eastAsia="Times New Roman" w:hAnsi="Times New Roman"/>
                <w:sz w:val="16"/>
                <w:szCs w:val="16"/>
                <w:color w:val="auto"/>
                <w:w w:val="99"/>
              </w:rPr>
              <w:t>7.1</w:t>
            </w:r>
          </w:p>
        </w:tc>
        <w:tc>
          <w:tcPr>
            <w:tcW w:w="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5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26.8</w:t>
            </w: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0.74</w:t>
            </w:r>
          </w:p>
        </w:tc>
        <w:tc>
          <w:tcPr>
            <w:tcW w:w="0" w:type="dxa"/>
            <w:vAlign w:val="bottom"/>
          </w:tcPr>
          <w:p>
            <w:pPr>
              <w:spacing w:after="0"/>
              <w:rPr>
                <w:sz w:val="1"/>
                <w:szCs w:val="1"/>
                <w:color w:val="auto"/>
              </w:rPr>
            </w:pPr>
          </w:p>
        </w:tc>
      </w:tr>
      <w:tr>
        <w:trPr>
          <w:trHeight w:val="20"/>
        </w:trPr>
        <w:tc>
          <w:tcPr>
            <w:tcW w:w="1520" w:type="dxa"/>
            <w:vAlign w:val="bottom"/>
            <w:tcBorders>
              <w:top w:val="single" w:sz="8" w:color="CCEEFF"/>
            </w:tcBorders>
            <w:gridSpan w:val="4"/>
          </w:tcPr>
          <w:p>
            <w:pPr>
              <w:spacing w:after="0" w:line="20" w:lineRule="exact"/>
              <w:rPr>
                <w:sz w:val="1"/>
                <w:szCs w:val="1"/>
                <w:color w:val="auto"/>
              </w:rPr>
            </w:pPr>
          </w:p>
        </w:tc>
        <w:tc>
          <w:tcPr>
            <w:tcW w:w="720" w:type="dxa"/>
            <w:vAlign w:val="bottom"/>
            <w:tcBorders>
              <w:top w:val="single" w:sz="8" w:color="auto"/>
              <w:bottom w:val="single" w:sz="8" w:color="auto"/>
            </w:tcBorders>
            <w:gridSpan w:val="7"/>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auto"/>
              <w:bottom w:val="single" w:sz="8" w:color="auto"/>
            </w:tcBorders>
            <w:gridSpan w:val="6"/>
          </w:tcPr>
          <w:p>
            <w:pPr>
              <w:spacing w:after="0" w:line="20" w:lineRule="exact"/>
              <w:rPr>
                <w:sz w:val="1"/>
                <w:szCs w:val="1"/>
                <w:color w:val="auto"/>
              </w:rPr>
            </w:pPr>
          </w:p>
        </w:tc>
        <w:tc>
          <w:tcPr>
            <w:tcW w:w="920" w:type="dxa"/>
            <w:vAlign w:val="bottom"/>
            <w:tcBorders>
              <w:top w:val="single" w:sz="8" w:color="CCEEFF"/>
            </w:tcBorders>
            <w:gridSpan w:val="7"/>
          </w:tcPr>
          <w:p>
            <w:pPr>
              <w:spacing w:after="0" w:line="20" w:lineRule="exact"/>
              <w:rPr>
                <w:sz w:val="1"/>
                <w:szCs w:val="1"/>
                <w:color w:val="auto"/>
              </w:rPr>
            </w:pPr>
          </w:p>
        </w:tc>
        <w:tc>
          <w:tcPr>
            <w:tcW w:w="840" w:type="dxa"/>
            <w:vAlign w:val="bottom"/>
            <w:tcBorders>
              <w:top w:val="single" w:sz="8" w:color="auto"/>
              <w:bottom w:val="single" w:sz="8" w:color="auto"/>
            </w:tcBorders>
            <w:gridSpan w:val="6"/>
          </w:tcPr>
          <w:p>
            <w:pPr>
              <w:spacing w:after="0" w:line="20" w:lineRule="exact"/>
              <w:rPr>
                <w:sz w:val="1"/>
                <w:szCs w:val="1"/>
                <w:color w:val="auto"/>
              </w:rPr>
            </w:pPr>
          </w:p>
        </w:tc>
        <w:tc>
          <w:tcPr>
            <w:tcW w:w="960" w:type="dxa"/>
            <w:vAlign w:val="bottom"/>
            <w:tcBorders>
              <w:top w:val="single" w:sz="8" w:color="CCEEFF"/>
            </w:tcBorders>
            <w:gridSpan w:val="8"/>
          </w:tcPr>
          <w:p>
            <w:pPr>
              <w:spacing w:after="0" w:line="20" w:lineRule="exact"/>
              <w:rPr>
                <w:sz w:val="1"/>
                <w:szCs w:val="1"/>
                <w:color w:val="auto"/>
              </w:rPr>
            </w:pPr>
          </w:p>
        </w:tc>
        <w:tc>
          <w:tcPr>
            <w:tcW w:w="940" w:type="dxa"/>
            <w:vAlign w:val="bottom"/>
            <w:tcBorders>
              <w:top w:val="single" w:sz="8" w:color="auto"/>
              <w:bottom w:val="single" w:sz="8" w:color="auto"/>
            </w:tcBorders>
            <w:gridSpan w:val="6"/>
          </w:tcPr>
          <w:p>
            <w:pPr>
              <w:spacing w:after="0" w:line="20" w:lineRule="exact"/>
              <w:rPr>
                <w:sz w:val="1"/>
                <w:szCs w:val="1"/>
                <w:color w:val="auto"/>
              </w:rPr>
            </w:pPr>
          </w:p>
        </w:tc>
        <w:tc>
          <w:tcPr>
            <w:tcW w:w="960" w:type="dxa"/>
            <w:vAlign w:val="bottom"/>
            <w:tcBorders>
              <w:top w:val="single" w:sz="8" w:color="CCEEFF"/>
            </w:tcBorders>
            <w:gridSpan w:val="8"/>
          </w:tcPr>
          <w:p>
            <w:pPr>
              <w:spacing w:after="0" w:line="20" w:lineRule="exact"/>
              <w:rPr>
                <w:sz w:val="1"/>
                <w:szCs w:val="1"/>
                <w:color w:val="auto"/>
              </w:rPr>
            </w:pPr>
          </w:p>
        </w:tc>
        <w:tc>
          <w:tcPr>
            <w:tcW w:w="780" w:type="dxa"/>
            <w:vAlign w:val="bottom"/>
            <w:tcBorders>
              <w:top w:val="single" w:sz="8" w:color="auto"/>
              <w:bottom w:val="single" w:sz="8" w:color="auto"/>
            </w:tcBorders>
            <w:gridSpan w:val="6"/>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auto"/>
              <w:bottom w:val="single" w:sz="8" w:color="auto"/>
            </w:tcBorders>
            <w:gridSpan w:val="7"/>
          </w:tcPr>
          <w:p>
            <w:pPr>
              <w:spacing w:after="0" w:line="20" w:lineRule="exact"/>
              <w:rPr>
                <w:sz w:val="1"/>
                <w:szCs w:val="1"/>
                <w:color w:val="auto"/>
              </w:rPr>
            </w:pPr>
          </w:p>
        </w:tc>
        <w:tc>
          <w:tcPr>
            <w:tcW w:w="120" w:type="dxa"/>
            <w:vAlign w:val="bottom"/>
            <w:tcBorders>
              <w:top w:val="single" w:sz="8" w:color="CCEEFF"/>
            </w:tcBorders>
            <w:gridSpan w:val="2"/>
          </w:tcPr>
          <w:p>
            <w:pPr>
              <w:spacing w:after="0" w:line="20" w:lineRule="exact"/>
              <w:rPr>
                <w:sz w:val="1"/>
                <w:szCs w:val="1"/>
                <w:color w:val="auto"/>
              </w:rPr>
            </w:pPr>
          </w:p>
        </w:tc>
        <w:tc>
          <w:tcPr>
            <w:tcW w:w="720" w:type="dxa"/>
            <w:vAlign w:val="bottom"/>
            <w:tcBorders>
              <w:top w:val="single" w:sz="8" w:color="auto"/>
              <w:bottom w:val="single" w:sz="8" w:color="auto"/>
            </w:tcBorders>
            <w:gridSpan w:val="5"/>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auto"/>
              <w:bottom w:val="single" w:sz="8" w:color="auto"/>
            </w:tcBorders>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ectPr>
          <w:pgSz w:w="11900" w:h="16838" w:orient="portrait"/>
          <w:cols w:equalWidth="0" w:num="1">
            <w:col w:w="11240"/>
          </w:cols>
          <w:pgMar w:left="320" w:top="891" w:right="339" w:bottom="1440" w:gutter="0" w:footer="0" w:header="0"/>
        </w:sectPr>
      </w:pPr>
    </w:p>
    <w:bookmarkStart w:id="16" w:name="page17"/>
    <w:bookmarkEnd w:id="16"/>
    <w:tbl>
      <w:tblPr>
        <w:tblLayout w:type="fixed"/>
        <w:tblInd w:w="0" w:type="dxa"/>
        <w:tblCellMar>
          <w:top w:w="0" w:type="dxa"/>
          <w:left w:w="0" w:type="dxa"/>
          <w:bottom w:w="0" w:type="dxa"/>
          <w:right w:w="0" w:type="dxa"/>
        </w:tblCellMar>
      </w:tblPr>
      <w:tr>
        <w:trPr>
          <w:trHeight w:val="215"/>
        </w:trPr>
        <w:tc>
          <w:tcPr>
            <w:tcW w:w="154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3580" w:type="dxa"/>
            <w:vAlign w:val="bottom"/>
            <w:tcBorders>
              <w:bottom w:val="single" w:sz="8" w:color="auto"/>
            </w:tcBorders>
            <w:gridSpan w:val="26"/>
          </w:tcPr>
          <w:p>
            <w:pPr>
              <w:ind w:left="20"/>
              <w:spacing w:after="0"/>
              <w:rPr>
                <w:sz w:val="20"/>
                <w:szCs w:val="20"/>
                <w:color w:val="auto"/>
              </w:rPr>
            </w:pPr>
            <w:r>
              <w:rPr>
                <w:rFonts w:ascii="Times New Roman" w:cs="Times New Roman" w:eastAsia="Times New Roman" w:hAnsi="Times New Roman"/>
                <w:sz w:val="16"/>
                <w:szCs w:val="16"/>
                <w:b w:val="1"/>
                <w:bCs w:val="1"/>
                <w:color w:val="auto"/>
              </w:rPr>
              <w:t>Three Fiscal Quarters Ended September 27, 2025</w:t>
            </w:r>
          </w:p>
        </w:tc>
        <w:tc>
          <w:tcPr>
            <w:tcW w:w="52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58"/>
        </w:trPr>
        <w:tc>
          <w:tcPr>
            <w:tcW w:w="15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20" w:type="dxa"/>
            <w:vAlign w:val="bottom"/>
            <w:gridSpan w:val="2"/>
          </w:tcPr>
          <w:p>
            <w:pPr>
              <w:jc w:val="center"/>
              <w:ind w:right="200"/>
              <w:spacing w:after="0" w:line="158" w:lineRule="exact"/>
              <w:rPr>
                <w:sz w:val="20"/>
                <w:szCs w:val="20"/>
                <w:color w:val="auto"/>
              </w:rPr>
            </w:pPr>
            <w:r>
              <w:rPr>
                <w:rFonts w:ascii="Times New Roman" w:cs="Times New Roman" w:eastAsia="Times New Roman" w:hAnsi="Times New Roman"/>
                <w:sz w:val="16"/>
                <w:szCs w:val="16"/>
                <w:b w:val="1"/>
                <w:bCs w:val="1"/>
                <w:color w:val="auto"/>
                <w:w w:val="99"/>
              </w:rPr>
              <w:t>Cost of</w:t>
            </w:r>
          </w:p>
        </w:tc>
        <w:tc>
          <w:tcPr>
            <w:tcW w:w="120" w:type="dxa"/>
            <w:vAlign w:val="bottom"/>
          </w:tcPr>
          <w:p>
            <w:pPr>
              <w:spacing w:after="0"/>
              <w:rPr>
                <w:sz w:val="13"/>
                <w:szCs w:val="13"/>
                <w:color w:val="auto"/>
              </w:rPr>
            </w:pPr>
          </w:p>
        </w:tc>
        <w:tc>
          <w:tcPr>
            <w:tcW w:w="580" w:type="dxa"/>
            <w:vAlign w:val="bottom"/>
            <w:vMerge w:val="restart"/>
          </w:tcPr>
          <w:p>
            <w:pPr>
              <w:jc w:val="right"/>
              <w:ind w:right="79"/>
              <w:spacing w:after="0"/>
              <w:rPr>
                <w:sz w:val="20"/>
                <w:szCs w:val="20"/>
                <w:color w:val="auto"/>
              </w:rPr>
            </w:pPr>
            <w:r>
              <w:rPr>
                <w:rFonts w:ascii="Times New Roman" w:cs="Times New Roman" w:eastAsia="Times New Roman" w:hAnsi="Times New Roman"/>
                <w:sz w:val="16"/>
                <w:szCs w:val="16"/>
                <w:b w:val="1"/>
                <w:bCs w:val="1"/>
                <w:color w:val="auto"/>
                <w:w w:val="99"/>
              </w:rPr>
              <w:t>Gross</w:t>
            </w:r>
          </w:p>
        </w:tc>
        <w:tc>
          <w:tcPr>
            <w:tcW w:w="100" w:type="dxa"/>
            <w:vAlign w:val="bottom"/>
          </w:tcPr>
          <w:p>
            <w:pPr>
              <w:spacing w:after="0"/>
              <w:rPr>
                <w:sz w:val="13"/>
                <w:szCs w:val="13"/>
                <w:color w:val="auto"/>
              </w:rPr>
            </w:pPr>
          </w:p>
        </w:tc>
        <w:tc>
          <w:tcPr>
            <w:tcW w:w="72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6"/>
                <w:szCs w:val="16"/>
                <w:b w:val="1"/>
                <w:bCs w:val="1"/>
                <w:color w:val="auto"/>
              </w:rPr>
              <w:t>% Net</w:t>
            </w: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20" w:type="dxa"/>
            <w:vAlign w:val="bottom"/>
            <w:gridSpan w:val="7"/>
            <w:vMerge w:val="restart"/>
          </w:tcPr>
          <w:p>
            <w:pPr>
              <w:jc w:val="center"/>
              <w:ind w:right="320"/>
              <w:spacing w:after="0"/>
              <w:rPr>
                <w:sz w:val="20"/>
                <w:szCs w:val="20"/>
                <w:color w:val="auto"/>
              </w:rPr>
            </w:pPr>
            <w:r>
              <w:rPr>
                <w:rFonts w:ascii="Times New Roman" w:cs="Times New Roman" w:eastAsia="Times New Roman" w:hAnsi="Times New Roman"/>
                <w:sz w:val="16"/>
                <w:szCs w:val="16"/>
                <w:b w:val="1"/>
                <w:bCs w:val="1"/>
                <w:color w:val="auto"/>
              </w:rPr>
              <w:t>SG&amp;A</w:t>
            </w:r>
          </w:p>
        </w:tc>
        <w:tc>
          <w:tcPr>
            <w:tcW w:w="40" w:type="dxa"/>
            <w:vAlign w:val="bottom"/>
          </w:tcPr>
          <w:p>
            <w:pPr>
              <w:spacing w:after="0"/>
              <w:rPr>
                <w:sz w:val="13"/>
                <w:szCs w:val="13"/>
                <w:color w:val="auto"/>
              </w:rPr>
            </w:pPr>
          </w:p>
        </w:tc>
        <w:tc>
          <w:tcPr>
            <w:tcW w:w="700" w:type="dxa"/>
            <w:vAlign w:val="bottom"/>
            <w:gridSpan w:val="4"/>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 Net</w:t>
            </w:r>
          </w:p>
        </w:tc>
        <w:tc>
          <w:tcPr>
            <w:tcW w:w="100" w:type="dxa"/>
            <w:vAlign w:val="bottom"/>
          </w:tcPr>
          <w:p>
            <w:pPr>
              <w:spacing w:after="0"/>
              <w:rPr>
                <w:sz w:val="13"/>
                <w:szCs w:val="13"/>
                <w:color w:val="auto"/>
              </w:rPr>
            </w:pPr>
          </w:p>
        </w:tc>
        <w:tc>
          <w:tcPr>
            <w:tcW w:w="760" w:type="dxa"/>
            <w:vAlign w:val="bottom"/>
            <w:gridSpan w:val="6"/>
            <w:vMerge w:val="restart"/>
          </w:tcPr>
          <w:p>
            <w:pPr>
              <w:jc w:val="center"/>
              <w:spacing w:after="0"/>
              <w:rPr>
                <w:sz w:val="20"/>
                <w:szCs w:val="20"/>
                <w:color w:val="auto"/>
              </w:rPr>
            </w:pPr>
            <w:r>
              <w:rPr>
                <w:rFonts w:ascii="Times New Roman" w:cs="Times New Roman" w:eastAsia="Times New Roman" w:hAnsi="Times New Roman"/>
                <w:sz w:val="16"/>
                <w:szCs w:val="16"/>
                <w:b w:val="1"/>
                <w:bCs w:val="1"/>
                <w:color w:val="auto"/>
              </w:rPr>
              <w:t>Operating</w:t>
            </w: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60" w:type="dxa"/>
            <w:vAlign w:val="bottom"/>
            <w:gridSpan w:val="6"/>
            <w:vMerge w:val="restart"/>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rPr>
              <w:t>% Net</w:t>
            </w:r>
          </w:p>
        </w:tc>
        <w:tc>
          <w:tcPr>
            <w:tcW w:w="800" w:type="dxa"/>
            <w:vAlign w:val="bottom"/>
            <w:gridSpan w:val="5"/>
            <w:vMerge w:val="restart"/>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rPr>
              <w:t>Interest</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0" w:type="dxa"/>
            <w:vAlign w:val="bottom"/>
            <w:gridSpan w:val="2"/>
            <w:vMerge w:val="restart"/>
          </w:tcPr>
          <w:p>
            <w:pPr>
              <w:jc w:val="right"/>
              <w:ind w:right="80"/>
              <w:spacing w:after="0"/>
              <w:rPr>
                <w:sz w:val="20"/>
                <w:szCs w:val="20"/>
                <w:color w:val="auto"/>
              </w:rPr>
            </w:pPr>
            <w:r>
              <w:rPr>
                <w:rFonts w:ascii="Times New Roman" w:cs="Times New Roman" w:eastAsia="Times New Roman" w:hAnsi="Times New Roman"/>
                <w:sz w:val="16"/>
                <w:szCs w:val="16"/>
                <w:b w:val="1"/>
                <w:bCs w:val="1"/>
                <w:color w:val="auto"/>
                <w:w w:val="98"/>
              </w:rPr>
              <w:t>Income</w:t>
            </w: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40" w:type="dxa"/>
            <w:vAlign w:val="bottom"/>
            <w:gridSpan w:val="3"/>
            <w:vMerge w:val="restart"/>
          </w:tcPr>
          <w:p>
            <w:pPr>
              <w:jc w:val="center"/>
              <w:ind w:right="200"/>
              <w:spacing w:after="0"/>
              <w:rPr>
                <w:sz w:val="20"/>
                <w:szCs w:val="20"/>
                <w:color w:val="auto"/>
              </w:rPr>
            </w:pPr>
            <w:r>
              <w:rPr>
                <w:rFonts w:ascii="Times New Roman" w:cs="Times New Roman" w:eastAsia="Times New Roman" w:hAnsi="Times New Roman"/>
                <w:sz w:val="16"/>
                <w:szCs w:val="16"/>
                <w:b w:val="1"/>
                <w:bCs w:val="1"/>
                <w:color w:val="auto"/>
              </w:rPr>
              <w:t>Net</w:t>
            </w: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15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gridSpan w:val="2"/>
          </w:tcPr>
          <w:p>
            <w:pPr>
              <w:jc w:val="center"/>
              <w:ind w:right="200"/>
              <w:spacing w:after="0" w:line="162" w:lineRule="exact"/>
              <w:rPr>
                <w:sz w:val="20"/>
                <w:szCs w:val="20"/>
                <w:color w:val="auto"/>
              </w:rPr>
            </w:pPr>
            <w:r>
              <w:rPr>
                <w:rFonts w:ascii="Times New Roman" w:cs="Times New Roman" w:eastAsia="Times New Roman" w:hAnsi="Times New Roman"/>
                <w:sz w:val="16"/>
                <w:szCs w:val="16"/>
                <w:b w:val="1"/>
                <w:bCs w:val="1"/>
                <w:color w:val="auto"/>
              </w:rPr>
              <w:t>Goods</w:t>
            </w:r>
          </w:p>
        </w:tc>
        <w:tc>
          <w:tcPr>
            <w:tcW w:w="120" w:type="dxa"/>
            <w:vAlign w:val="bottom"/>
          </w:tcPr>
          <w:p>
            <w:pPr>
              <w:spacing w:after="0"/>
              <w:rPr>
                <w:sz w:val="14"/>
                <w:szCs w:val="14"/>
                <w:color w:val="auto"/>
              </w:rPr>
            </w:pPr>
          </w:p>
        </w:tc>
        <w:tc>
          <w:tcPr>
            <w:tcW w:w="58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gridSpan w:val="2"/>
            <w:vMerge w:val="continue"/>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920" w:type="dxa"/>
            <w:vAlign w:val="bottom"/>
            <w:gridSpan w:val="7"/>
            <w:vMerge w:val="continue"/>
          </w:tcPr>
          <w:p>
            <w:pPr>
              <w:spacing w:after="0"/>
              <w:rPr>
                <w:sz w:val="14"/>
                <w:szCs w:val="14"/>
                <w:color w:val="auto"/>
              </w:rPr>
            </w:pPr>
          </w:p>
        </w:tc>
        <w:tc>
          <w:tcPr>
            <w:tcW w:w="40" w:type="dxa"/>
            <w:vAlign w:val="bottom"/>
          </w:tcPr>
          <w:p>
            <w:pPr>
              <w:spacing w:after="0"/>
              <w:rPr>
                <w:sz w:val="14"/>
                <w:szCs w:val="14"/>
                <w:color w:val="auto"/>
              </w:rPr>
            </w:pPr>
          </w:p>
        </w:tc>
        <w:tc>
          <w:tcPr>
            <w:tcW w:w="700" w:type="dxa"/>
            <w:vAlign w:val="bottom"/>
            <w:gridSpan w:val="4"/>
            <w:vMerge w:val="continue"/>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gridSpan w:val="6"/>
            <w:vMerge w:val="continue"/>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60" w:type="dxa"/>
            <w:vAlign w:val="bottom"/>
            <w:gridSpan w:val="6"/>
            <w:vMerge w:val="continue"/>
          </w:tcPr>
          <w:p>
            <w:pPr>
              <w:spacing w:after="0"/>
              <w:rPr>
                <w:sz w:val="14"/>
                <w:szCs w:val="14"/>
                <w:color w:val="auto"/>
              </w:rPr>
            </w:pPr>
          </w:p>
        </w:tc>
        <w:tc>
          <w:tcPr>
            <w:tcW w:w="800" w:type="dxa"/>
            <w:vAlign w:val="bottom"/>
            <w:gridSpan w:val="5"/>
            <w:vMerge w:val="continue"/>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gridSpan w:val="2"/>
            <w:vMerge w:val="continue"/>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gridSpan w:val="3"/>
            <w:vMerge w:val="continue"/>
          </w:tcPr>
          <w:p>
            <w:pPr>
              <w:spacing w:after="0"/>
              <w:rPr>
                <w:sz w:val="14"/>
                <w:szCs w:val="14"/>
                <w:color w:val="auto"/>
              </w:rPr>
            </w:pPr>
          </w:p>
        </w:tc>
        <w:tc>
          <w:tcPr>
            <w:tcW w:w="20" w:type="dxa"/>
            <w:vAlign w:val="bottom"/>
          </w:tcPr>
          <w:p>
            <w:pPr>
              <w:spacing w:after="0"/>
              <w:rPr>
                <w:sz w:val="14"/>
                <w:szCs w:val="14"/>
                <w:color w:val="auto"/>
              </w:rPr>
            </w:pPr>
          </w:p>
        </w:tc>
        <w:tc>
          <w:tcPr>
            <w:tcW w:w="960" w:type="dxa"/>
            <w:vAlign w:val="bottom"/>
            <w:gridSpan w:val="3"/>
            <w:vMerge w:val="restart"/>
          </w:tcPr>
          <w:p>
            <w:pPr>
              <w:jc w:val="right"/>
              <w:spacing w:after="0"/>
              <w:rPr>
                <w:sz w:val="20"/>
                <w:szCs w:val="20"/>
                <w:color w:val="auto"/>
              </w:rPr>
            </w:pPr>
            <w:r>
              <w:rPr>
                <w:rFonts w:ascii="Times New Roman" w:cs="Times New Roman" w:eastAsia="Times New Roman" w:hAnsi="Times New Roman"/>
                <w:sz w:val="16"/>
                <w:szCs w:val="16"/>
                <w:b w:val="1"/>
                <w:bCs w:val="1"/>
                <w:color w:val="auto"/>
              </w:rPr>
              <w:t>Diluted EPS</w:t>
            </w:r>
          </w:p>
        </w:tc>
        <w:tc>
          <w:tcPr>
            <w:tcW w:w="0" w:type="dxa"/>
            <w:vAlign w:val="bottom"/>
          </w:tcPr>
          <w:p>
            <w:pPr>
              <w:spacing w:after="0"/>
              <w:rPr>
                <w:sz w:val="1"/>
                <w:szCs w:val="1"/>
                <w:color w:val="auto"/>
              </w:rPr>
            </w:pPr>
          </w:p>
        </w:tc>
      </w:tr>
      <w:tr>
        <w:trPr>
          <w:trHeight w:val="214"/>
        </w:trPr>
        <w:tc>
          <w:tcPr>
            <w:tcW w:w="1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gridSpan w:val="2"/>
          </w:tcPr>
          <w:p>
            <w:pPr>
              <w:jc w:val="center"/>
              <w:ind w:right="200"/>
              <w:spacing w:after="0"/>
              <w:rPr>
                <w:sz w:val="20"/>
                <w:szCs w:val="20"/>
                <w:color w:val="auto"/>
              </w:rPr>
            </w:pPr>
            <w:r>
              <w:rPr>
                <w:rFonts w:ascii="Times New Roman" w:cs="Times New Roman" w:eastAsia="Times New Roman" w:hAnsi="Times New Roman"/>
                <w:sz w:val="16"/>
                <w:szCs w:val="16"/>
                <w:b w:val="1"/>
                <w:bCs w:val="1"/>
                <w:color w:val="auto"/>
              </w:rPr>
              <w:t>Sold</w:t>
            </w:r>
          </w:p>
        </w:tc>
        <w:tc>
          <w:tcPr>
            <w:tcW w:w="120" w:type="dxa"/>
            <w:vAlign w:val="bottom"/>
          </w:tcPr>
          <w:p>
            <w:pPr>
              <w:spacing w:after="0"/>
              <w:rPr>
                <w:sz w:val="18"/>
                <w:szCs w:val="18"/>
                <w:color w:val="auto"/>
              </w:rPr>
            </w:pPr>
          </w:p>
        </w:tc>
        <w:tc>
          <w:tcPr>
            <w:tcW w:w="580" w:type="dxa"/>
            <w:vAlign w:val="bottom"/>
          </w:tcPr>
          <w:p>
            <w:pPr>
              <w:jc w:val="right"/>
              <w:ind w:right="79"/>
              <w:spacing w:after="0"/>
              <w:rPr>
                <w:sz w:val="20"/>
                <w:szCs w:val="20"/>
                <w:color w:val="auto"/>
              </w:rPr>
            </w:pPr>
            <w:r>
              <w:rPr>
                <w:rFonts w:ascii="Times New Roman" w:cs="Times New Roman" w:eastAsia="Times New Roman" w:hAnsi="Times New Roman"/>
                <w:sz w:val="16"/>
                <w:szCs w:val="16"/>
                <w:b w:val="1"/>
                <w:bCs w:val="1"/>
                <w:color w:val="auto"/>
                <w:w w:val="99"/>
              </w:rPr>
              <w:t>Profit</w:t>
            </w:r>
          </w:p>
        </w:tc>
        <w:tc>
          <w:tcPr>
            <w:tcW w:w="100" w:type="dxa"/>
            <w:vAlign w:val="bottom"/>
          </w:tcPr>
          <w:p>
            <w:pPr>
              <w:spacing w:after="0"/>
              <w:rPr>
                <w:sz w:val="18"/>
                <w:szCs w:val="18"/>
                <w:color w:val="auto"/>
              </w:rPr>
            </w:pPr>
          </w:p>
        </w:tc>
        <w:tc>
          <w:tcPr>
            <w:tcW w:w="7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b w:val="1"/>
                <w:bCs w:val="1"/>
                <w:color w:val="auto"/>
              </w:rPr>
              <w:t>Sales</w:t>
            </w: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8"/>
          </w:tcPr>
          <w:p>
            <w:pPr>
              <w:jc w:val="center"/>
              <w:ind w:right="300"/>
              <w:spacing w:after="0"/>
              <w:rPr>
                <w:sz w:val="20"/>
                <w:szCs w:val="20"/>
                <w:color w:val="auto"/>
              </w:rPr>
            </w:pPr>
            <w:r>
              <w:rPr>
                <w:rFonts w:ascii="Times New Roman" w:cs="Times New Roman" w:eastAsia="Times New Roman" w:hAnsi="Times New Roman"/>
                <w:sz w:val="16"/>
                <w:szCs w:val="16"/>
                <w:b w:val="1"/>
                <w:bCs w:val="1"/>
                <w:color w:val="auto"/>
              </w:rPr>
              <w:t>Expenses</w:t>
            </w: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60" w:type="dxa"/>
            <w:vAlign w:val="bottom"/>
            <w:gridSpan w:val="3"/>
          </w:tcPr>
          <w:p>
            <w:pPr>
              <w:ind w:left="20"/>
              <w:spacing w:after="0"/>
              <w:rPr>
                <w:sz w:val="20"/>
                <w:szCs w:val="20"/>
                <w:color w:val="auto"/>
              </w:rPr>
            </w:pPr>
            <w:r>
              <w:rPr>
                <w:rFonts w:ascii="Times New Roman" w:cs="Times New Roman" w:eastAsia="Times New Roman" w:hAnsi="Times New Roman"/>
                <w:sz w:val="16"/>
                <w:szCs w:val="16"/>
                <w:b w:val="1"/>
                <w:bCs w:val="1"/>
                <w:color w:val="auto"/>
              </w:rPr>
              <w:t>Sales</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40" w:type="dxa"/>
            <w:vAlign w:val="bottom"/>
            <w:gridSpan w:val="5"/>
          </w:tcPr>
          <w:p>
            <w:pPr>
              <w:jc w:val="center"/>
              <w:spacing w:after="0"/>
              <w:rPr>
                <w:sz w:val="20"/>
                <w:szCs w:val="20"/>
                <w:color w:val="auto"/>
              </w:rPr>
            </w:pPr>
            <w:r>
              <w:rPr>
                <w:rFonts w:ascii="Times New Roman" w:cs="Times New Roman" w:eastAsia="Times New Roman" w:hAnsi="Times New Roman"/>
                <w:sz w:val="16"/>
                <w:szCs w:val="16"/>
                <w:b w:val="1"/>
                <w:bCs w:val="1"/>
                <w:color w:val="auto"/>
              </w:rPr>
              <w:t>Income</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gridSpan w:val="6"/>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w w:val="97"/>
              </w:rPr>
              <w:t>Sales</w:t>
            </w:r>
          </w:p>
        </w:tc>
        <w:tc>
          <w:tcPr>
            <w:tcW w:w="800" w:type="dxa"/>
            <w:vAlign w:val="bottom"/>
            <w:gridSpan w:val="5"/>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rPr>
              <w:t>Income</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b w:val="1"/>
                <w:bCs w:val="1"/>
                <w:color w:val="auto"/>
              </w:rPr>
              <w:t>Taxes</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3"/>
          </w:tcPr>
          <w:p>
            <w:pPr>
              <w:jc w:val="center"/>
              <w:ind w:right="200"/>
              <w:spacing w:after="0"/>
              <w:rPr>
                <w:sz w:val="20"/>
                <w:szCs w:val="20"/>
                <w:color w:val="auto"/>
              </w:rPr>
            </w:pPr>
            <w:r>
              <w:rPr>
                <w:rFonts w:ascii="Times New Roman" w:cs="Times New Roman" w:eastAsia="Times New Roman" w:hAnsi="Times New Roman"/>
                <w:sz w:val="16"/>
                <w:szCs w:val="16"/>
                <w:b w:val="1"/>
                <w:bCs w:val="1"/>
                <w:color w:val="auto"/>
                <w:w w:val="98"/>
              </w:rPr>
              <w:t>Income</w:t>
            </w:r>
          </w:p>
        </w:tc>
        <w:tc>
          <w:tcPr>
            <w:tcW w:w="20" w:type="dxa"/>
            <w:vAlign w:val="bottom"/>
          </w:tcPr>
          <w:p>
            <w:pPr>
              <w:spacing w:after="0"/>
              <w:rPr>
                <w:sz w:val="18"/>
                <w:szCs w:val="18"/>
                <w:color w:val="auto"/>
              </w:rPr>
            </w:pPr>
          </w:p>
        </w:tc>
        <w:tc>
          <w:tcPr>
            <w:tcW w:w="960" w:type="dxa"/>
            <w:vAlign w:val="bottom"/>
            <w:gridSpan w:val="3"/>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15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As reported (GAAP)</w:t>
            </w: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1,058.5</w:t>
            </w:r>
          </w:p>
        </w:tc>
        <w:tc>
          <w:tcPr>
            <w:tcW w:w="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914.5</w:t>
            </w:r>
          </w:p>
        </w:tc>
        <w:tc>
          <w:tcPr>
            <w:tcW w:w="100" w:type="dxa"/>
            <w:vAlign w:val="bottom"/>
            <w:tcBorders>
              <w:top w:val="single" w:sz="8" w:color="CCEEFF"/>
            </w:tcBorders>
            <w:shd w:val="clear" w:color="auto" w:fill="CCEEFF"/>
          </w:tcPr>
          <w:p>
            <w:pPr>
              <w:spacing w:after="0"/>
              <w:rPr>
                <w:sz w:val="18"/>
                <w:szCs w:val="18"/>
                <w:color w:val="auto"/>
              </w:rPr>
            </w:pPr>
          </w:p>
        </w:tc>
        <w:tc>
          <w:tcPr>
            <w:tcW w:w="720" w:type="dxa"/>
            <w:vAlign w:val="bottom"/>
            <w:tcBorders>
              <w:top w:val="single" w:sz="8" w:color="auto"/>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46.4 %</w:t>
            </w:r>
          </w:p>
        </w:tc>
        <w:tc>
          <w:tcPr>
            <w:tcW w:w="4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2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869.2</w:t>
            </w:r>
          </w:p>
        </w:tc>
        <w:tc>
          <w:tcPr>
            <w:tcW w:w="8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40" w:type="dxa"/>
            <w:vAlign w:val="bottom"/>
            <w:tcBorders>
              <w:top w:val="single" w:sz="8" w:color="auto"/>
            </w:tcBorders>
            <w:shd w:val="clear" w:color="auto" w:fill="CCEEFF"/>
          </w:tcPr>
          <w:p>
            <w:pPr>
              <w:spacing w:after="0"/>
              <w:rPr>
                <w:sz w:val="18"/>
                <w:szCs w:val="18"/>
                <w:color w:val="auto"/>
              </w:rPr>
            </w:pPr>
          </w:p>
        </w:tc>
        <w:tc>
          <w:tcPr>
            <w:tcW w:w="600" w:type="dxa"/>
            <w:vAlign w:val="bottom"/>
            <w:tcBorders>
              <w:top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44.1 %</w:t>
            </w: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2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52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59.2</w:t>
            </w:r>
          </w:p>
        </w:tc>
        <w:tc>
          <w:tcPr>
            <w:tcW w:w="6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440" w:type="dxa"/>
            <w:vAlign w:val="bottom"/>
            <w:tcBorders>
              <w:top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3.0 %</w:t>
            </w:r>
          </w:p>
        </w:tc>
        <w:tc>
          <w:tcPr>
            <w:tcW w:w="1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jc w:val="center"/>
              <w:ind w:right="59"/>
              <w:spacing w:after="0"/>
              <w:rPr>
                <w:sz w:val="20"/>
                <w:szCs w:val="20"/>
                <w:color w:val="auto"/>
              </w:rPr>
            </w:pPr>
            <w:r>
              <w:rPr>
                <w:rFonts w:ascii="Times New Roman" w:cs="Times New Roman" w:eastAsia="Times New Roman" w:hAnsi="Times New Roman"/>
                <w:sz w:val="16"/>
                <w:szCs w:val="16"/>
                <w:color w:val="auto"/>
                <w:w w:val="99"/>
              </w:rPr>
              <w:t>$</w:t>
            </w:r>
          </w:p>
        </w:tc>
        <w:tc>
          <w:tcPr>
            <w:tcW w:w="100" w:type="dxa"/>
            <w:vAlign w:val="bottom"/>
            <w:tcBorders>
              <w:top w:val="single" w:sz="8" w:color="auto"/>
            </w:tcBorders>
            <w:shd w:val="clear" w:color="auto" w:fill="CCEEFF"/>
          </w:tcPr>
          <w:p>
            <w:pPr>
              <w:spacing w:after="0"/>
              <w:rPr>
                <w:sz w:val="18"/>
                <w:szCs w:val="18"/>
                <w:color w:val="auto"/>
              </w:rPr>
            </w:pPr>
          </w:p>
        </w:tc>
        <w:tc>
          <w:tcPr>
            <w:tcW w:w="440" w:type="dxa"/>
            <w:vAlign w:val="bottom"/>
            <w:tcBorders>
              <w:top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w:t>
            </w:r>
          </w:p>
        </w:tc>
        <w:tc>
          <w:tcPr>
            <w:tcW w:w="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600" w:type="dxa"/>
            <w:vAlign w:val="bottom"/>
            <w:tcBorders>
              <w:top w:val="single" w:sz="8" w:color="auto"/>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10.3</w:t>
            </w:r>
          </w:p>
        </w:tc>
        <w:tc>
          <w:tcPr>
            <w:tcW w:w="2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27.6</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0.75</w:t>
            </w:r>
          </w:p>
        </w:tc>
        <w:tc>
          <w:tcPr>
            <w:tcW w:w="0" w:type="dxa"/>
            <w:vAlign w:val="bottom"/>
          </w:tcPr>
          <w:p>
            <w:pPr>
              <w:spacing w:after="0"/>
              <w:rPr>
                <w:sz w:val="1"/>
                <w:szCs w:val="1"/>
                <w:color w:val="auto"/>
              </w:rPr>
            </w:pPr>
          </w:p>
        </w:tc>
      </w:tr>
      <w:tr>
        <w:trPr>
          <w:trHeight w:val="162"/>
        </w:trPr>
        <w:tc>
          <w:tcPr>
            <w:tcW w:w="1660" w:type="dxa"/>
            <w:vAlign w:val="bottom"/>
            <w:gridSpan w:val="2"/>
          </w:tcPr>
          <w:p>
            <w:pPr>
              <w:ind w:left="20"/>
              <w:spacing w:after="0" w:line="162" w:lineRule="exact"/>
              <w:rPr>
                <w:sz w:val="20"/>
                <w:szCs w:val="20"/>
                <w:color w:val="auto"/>
              </w:rPr>
            </w:pPr>
            <w:r>
              <w:rPr>
                <w:rFonts w:ascii="Times New Roman" w:cs="Times New Roman" w:eastAsia="Times New Roman" w:hAnsi="Times New Roman"/>
                <w:sz w:val="16"/>
                <w:szCs w:val="16"/>
                <w:color w:val="auto"/>
              </w:rPr>
              <w:t>Operating model</w:t>
            </w:r>
          </w:p>
        </w:tc>
        <w:tc>
          <w:tcPr>
            <w:tcW w:w="72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4"/>
                <w:szCs w:val="14"/>
                <w:color w:val="auto"/>
              </w:rPr>
            </w:pPr>
          </w:p>
        </w:tc>
        <w:tc>
          <w:tcPr>
            <w:tcW w:w="5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60" w:type="dxa"/>
            <w:vAlign w:val="bottom"/>
            <w:gridSpan w:val="9"/>
          </w:tcPr>
          <w:p>
            <w:pPr>
              <w:spacing w:after="0"/>
              <w:rPr>
                <w:sz w:val="14"/>
                <w:szCs w:val="14"/>
                <w:color w:val="auto"/>
              </w:rPr>
            </w:pPr>
          </w:p>
        </w:tc>
        <w:tc>
          <w:tcPr>
            <w:tcW w:w="5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(13.5)</w:t>
            </w:r>
          </w:p>
        </w:tc>
        <w:tc>
          <w:tcPr>
            <w:tcW w:w="1280" w:type="dxa"/>
            <w:vAlign w:val="bottom"/>
            <w:gridSpan w:val="14"/>
          </w:tcPr>
          <w:p>
            <w:pPr>
              <w:spacing w:after="0"/>
              <w:rPr>
                <w:sz w:val="14"/>
                <w:szCs w:val="14"/>
                <w:color w:val="auto"/>
              </w:rPr>
            </w:pPr>
          </w:p>
        </w:tc>
        <w:tc>
          <w:tcPr>
            <w:tcW w:w="520" w:type="dxa"/>
            <w:vAlign w:val="bottom"/>
            <w:gridSpan w:val="2"/>
            <w:vMerge w:val="restart"/>
          </w:tcPr>
          <w:p>
            <w:pPr>
              <w:jc w:val="right"/>
              <w:spacing w:after="0"/>
              <w:rPr>
                <w:sz w:val="20"/>
                <w:szCs w:val="20"/>
                <w:color w:val="auto"/>
              </w:rPr>
            </w:pPr>
            <w:r>
              <w:rPr>
                <w:rFonts w:ascii="Times New Roman" w:cs="Times New Roman" w:eastAsia="Times New Roman" w:hAnsi="Times New Roman"/>
                <w:sz w:val="16"/>
                <w:szCs w:val="16"/>
                <w:color w:val="auto"/>
              </w:rPr>
              <w:t>13.5</w:t>
            </w:r>
          </w:p>
        </w:tc>
        <w:tc>
          <w:tcPr>
            <w:tcW w:w="1540" w:type="dxa"/>
            <w:vAlign w:val="bottom"/>
            <w:gridSpan w:val="11"/>
          </w:tcPr>
          <w:p>
            <w:pPr>
              <w:spacing w:after="0"/>
              <w:rPr>
                <w:sz w:val="14"/>
                <w:szCs w:val="14"/>
                <w:color w:val="auto"/>
              </w:rPr>
            </w:pPr>
          </w:p>
        </w:tc>
        <w:tc>
          <w:tcPr>
            <w:tcW w:w="300" w:type="dxa"/>
            <w:vAlign w:val="bottom"/>
            <w:gridSpan w:val="2"/>
            <w:vMerge w:val="restart"/>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gridSpan w:val="2"/>
          </w:tcPr>
          <w:p>
            <w:pPr>
              <w:spacing w:after="0"/>
              <w:rPr>
                <w:sz w:val="14"/>
                <w:szCs w:val="14"/>
                <w:color w:val="auto"/>
              </w:rPr>
            </w:pPr>
          </w:p>
        </w:tc>
        <w:tc>
          <w:tcPr>
            <w:tcW w:w="600" w:type="dxa"/>
            <w:vAlign w:val="bottom"/>
            <w:gridSpan w:val="2"/>
            <w:vMerge w:val="restart"/>
          </w:tcPr>
          <w:p>
            <w:pPr>
              <w:jc w:val="right"/>
              <w:ind w:right="20"/>
              <w:spacing w:after="0"/>
              <w:rPr>
                <w:sz w:val="20"/>
                <w:szCs w:val="20"/>
                <w:color w:val="auto"/>
              </w:rPr>
            </w:pPr>
            <w:r>
              <w:rPr>
                <w:rFonts w:ascii="Times New Roman" w:cs="Times New Roman" w:eastAsia="Times New Roman" w:hAnsi="Times New Roman"/>
                <w:sz w:val="16"/>
                <w:szCs w:val="16"/>
                <w:color w:val="auto"/>
              </w:rPr>
              <w:t>3.2</w:t>
            </w:r>
          </w:p>
        </w:tc>
        <w:tc>
          <w:tcPr>
            <w:tcW w:w="260" w:type="dxa"/>
            <w:vAlign w:val="bottom"/>
            <w:gridSpan w:val="5"/>
          </w:tcPr>
          <w:p>
            <w:pPr>
              <w:spacing w:after="0"/>
              <w:rPr>
                <w:sz w:val="14"/>
                <w:szCs w:val="14"/>
                <w:color w:val="auto"/>
              </w:rPr>
            </w:pPr>
          </w:p>
        </w:tc>
        <w:tc>
          <w:tcPr>
            <w:tcW w:w="6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10.2</w:t>
            </w:r>
          </w:p>
        </w:tc>
        <w:tc>
          <w:tcPr>
            <w:tcW w:w="360" w:type="dxa"/>
            <w:vAlign w:val="bottom"/>
            <w:gridSpan w:val="5"/>
          </w:tcPr>
          <w:p>
            <w:pPr>
              <w:spacing w:after="0"/>
              <w:rPr>
                <w:sz w:val="14"/>
                <w:szCs w:val="14"/>
                <w:color w:val="auto"/>
              </w:rPr>
            </w:pP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0.29</w:t>
            </w:r>
          </w:p>
        </w:tc>
        <w:tc>
          <w:tcPr>
            <w:tcW w:w="0" w:type="dxa"/>
            <w:vAlign w:val="bottom"/>
          </w:tcPr>
          <w:p>
            <w:pPr>
              <w:spacing w:after="0"/>
              <w:rPr>
                <w:sz w:val="1"/>
                <w:szCs w:val="1"/>
                <w:color w:val="auto"/>
              </w:rPr>
            </w:pPr>
          </w:p>
        </w:tc>
      </w:tr>
      <w:tr>
        <w:trPr>
          <w:trHeight w:val="216"/>
        </w:trPr>
        <w:tc>
          <w:tcPr>
            <w:tcW w:w="1660" w:type="dxa"/>
            <w:vAlign w:val="bottom"/>
            <w:gridSpan w:val="2"/>
          </w:tcPr>
          <w:p>
            <w:pPr>
              <w:ind w:left="20"/>
              <w:spacing w:after="0" w:line="216" w:lineRule="exact"/>
              <w:rPr>
                <w:sz w:val="20"/>
                <w:szCs w:val="20"/>
                <w:color w:val="auto"/>
              </w:rPr>
            </w:pPr>
            <w:r>
              <w:rPr>
                <w:rFonts w:ascii="Times New Roman" w:cs="Times New Roman" w:eastAsia="Times New Roman" w:hAnsi="Times New Roman"/>
                <w:sz w:val="16"/>
                <w:szCs w:val="16"/>
                <w:color w:val="auto"/>
              </w:rPr>
              <w:t xml:space="preserve">improvement costs </w:t>
            </w:r>
            <w:r>
              <w:rPr>
                <w:rFonts w:ascii="Times New Roman" w:cs="Times New Roman" w:eastAsia="Times New Roman" w:hAnsi="Times New Roman"/>
                <w:sz w:val="21"/>
                <w:szCs w:val="21"/>
                <w:color w:val="auto"/>
                <w:vertAlign w:val="superscript"/>
              </w:rPr>
              <w:t>(f)</w:t>
            </w:r>
          </w:p>
        </w:tc>
        <w:tc>
          <w:tcPr>
            <w:tcW w:w="72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vMerge w:val="continue"/>
          </w:tcPr>
          <w:p>
            <w:pPr>
              <w:spacing w:after="0"/>
              <w:rPr>
                <w:sz w:val="18"/>
                <w:szCs w:val="18"/>
                <w:color w:val="auto"/>
              </w:rPr>
            </w:pPr>
          </w:p>
        </w:tc>
        <w:tc>
          <w:tcPr>
            <w:tcW w:w="1260" w:type="dxa"/>
            <w:vAlign w:val="bottom"/>
            <w:gridSpan w:val="9"/>
          </w:tcPr>
          <w:p>
            <w:pPr>
              <w:spacing w:after="0"/>
              <w:rPr>
                <w:sz w:val="18"/>
                <w:szCs w:val="18"/>
                <w:color w:val="auto"/>
              </w:rPr>
            </w:pPr>
          </w:p>
        </w:tc>
        <w:tc>
          <w:tcPr>
            <w:tcW w:w="500" w:type="dxa"/>
            <w:vAlign w:val="bottom"/>
            <w:vMerge w:val="continue"/>
          </w:tcPr>
          <w:p>
            <w:pPr>
              <w:spacing w:after="0"/>
              <w:rPr>
                <w:sz w:val="18"/>
                <w:szCs w:val="18"/>
                <w:color w:val="auto"/>
              </w:rPr>
            </w:pPr>
          </w:p>
        </w:tc>
        <w:tc>
          <w:tcPr>
            <w:tcW w:w="1280" w:type="dxa"/>
            <w:vAlign w:val="bottom"/>
            <w:gridSpan w:val="14"/>
          </w:tcPr>
          <w:p>
            <w:pPr>
              <w:spacing w:after="0"/>
              <w:rPr>
                <w:sz w:val="18"/>
                <w:szCs w:val="18"/>
                <w:color w:val="auto"/>
              </w:rPr>
            </w:pPr>
          </w:p>
        </w:tc>
        <w:tc>
          <w:tcPr>
            <w:tcW w:w="520" w:type="dxa"/>
            <w:vAlign w:val="bottom"/>
            <w:gridSpan w:val="2"/>
            <w:vMerge w:val="continue"/>
          </w:tcPr>
          <w:p>
            <w:pPr>
              <w:spacing w:after="0"/>
              <w:rPr>
                <w:sz w:val="18"/>
                <w:szCs w:val="18"/>
                <w:color w:val="auto"/>
              </w:rPr>
            </w:pPr>
          </w:p>
        </w:tc>
        <w:tc>
          <w:tcPr>
            <w:tcW w:w="1540" w:type="dxa"/>
            <w:vAlign w:val="bottom"/>
            <w:gridSpan w:val="11"/>
          </w:tcPr>
          <w:p>
            <w:pPr>
              <w:spacing w:after="0"/>
              <w:rPr>
                <w:sz w:val="18"/>
                <w:szCs w:val="18"/>
                <w:color w:val="auto"/>
              </w:rPr>
            </w:pPr>
          </w:p>
        </w:tc>
        <w:tc>
          <w:tcPr>
            <w:tcW w:w="300" w:type="dxa"/>
            <w:vAlign w:val="bottom"/>
            <w:gridSpan w:val="2"/>
            <w:vMerge w:val="continue"/>
          </w:tcPr>
          <w:p>
            <w:pPr>
              <w:spacing w:after="0"/>
              <w:rPr>
                <w:sz w:val="18"/>
                <w:szCs w:val="18"/>
                <w:color w:val="auto"/>
              </w:rPr>
            </w:pPr>
          </w:p>
        </w:tc>
        <w:tc>
          <w:tcPr>
            <w:tcW w:w="180" w:type="dxa"/>
            <w:vAlign w:val="bottom"/>
            <w:gridSpan w:val="2"/>
          </w:tcPr>
          <w:p>
            <w:pPr>
              <w:spacing w:after="0"/>
              <w:rPr>
                <w:sz w:val="18"/>
                <w:szCs w:val="18"/>
                <w:color w:val="auto"/>
              </w:rPr>
            </w:pPr>
          </w:p>
        </w:tc>
        <w:tc>
          <w:tcPr>
            <w:tcW w:w="600" w:type="dxa"/>
            <w:vAlign w:val="bottom"/>
            <w:gridSpan w:val="2"/>
            <w:vMerge w:val="continue"/>
          </w:tcPr>
          <w:p>
            <w:pPr>
              <w:spacing w:after="0"/>
              <w:rPr>
                <w:sz w:val="18"/>
                <w:szCs w:val="18"/>
                <w:color w:val="auto"/>
              </w:rPr>
            </w:pPr>
          </w:p>
        </w:tc>
        <w:tc>
          <w:tcPr>
            <w:tcW w:w="260" w:type="dxa"/>
            <w:vAlign w:val="bottom"/>
            <w:gridSpan w:val="5"/>
          </w:tcPr>
          <w:p>
            <w:pPr>
              <w:spacing w:after="0"/>
              <w:rPr>
                <w:sz w:val="18"/>
                <w:szCs w:val="18"/>
                <w:color w:val="auto"/>
              </w:rPr>
            </w:pPr>
          </w:p>
        </w:tc>
        <w:tc>
          <w:tcPr>
            <w:tcW w:w="640" w:type="dxa"/>
            <w:vAlign w:val="bottom"/>
            <w:vMerge w:val="continue"/>
          </w:tcPr>
          <w:p>
            <w:pPr>
              <w:spacing w:after="0"/>
              <w:rPr>
                <w:sz w:val="18"/>
                <w:szCs w:val="18"/>
                <w:color w:val="auto"/>
              </w:rPr>
            </w:pPr>
          </w:p>
        </w:tc>
        <w:tc>
          <w:tcPr>
            <w:tcW w:w="360" w:type="dxa"/>
            <w:vAlign w:val="bottom"/>
            <w:gridSpan w:val="5"/>
          </w:tcPr>
          <w:p>
            <w:pPr>
              <w:spacing w:after="0"/>
              <w:rPr>
                <w:sz w:val="18"/>
                <w:szCs w:val="18"/>
                <w:color w:val="auto"/>
              </w:rPr>
            </w:pPr>
          </w:p>
        </w:tc>
        <w:tc>
          <w:tcPr>
            <w:tcW w:w="7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1660" w:type="dxa"/>
            <w:vAlign w:val="bottom"/>
            <w:gridSpan w:val="2"/>
            <w:shd w:val="clear" w:color="auto" w:fill="CCEEFF"/>
          </w:tcPr>
          <w:p>
            <w:pPr>
              <w:ind w:left="20"/>
              <w:spacing w:after="0" w:line="162" w:lineRule="exact"/>
              <w:rPr>
                <w:sz w:val="20"/>
                <w:szCs w:val="20"/>
                <w:color w:val="auto"/>
              </w:rPr>
            </w:pPr>
            <w:r>
              <w:rPr>
                <w:rFonts w:ascii="Times New Roman" w:cs="Times New Roman" w:eastAsia="Times New Roman" w:hAnsi="Times New Roman"/>
                <w:sz w:val="16"/>
                <w:szCs w:val="16"/>
                <w:color w:val="auto"/>
              </w:rPr>
              <w:t>Leadership transition</w:t>
            </w:r>
          </w:p>
        </w:tc>
        <w:tc>
          <w:tcPr>
            <w:tcW w:w="72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4"/>
                <w:szCs w:val="14"/>
                <w:color w:val="auto"/>
              </w:rPr>
            </w:pPr>
          </w:p>
        </w:tc>
        <w:tc>
          <w:tcPr>
            <w:tcW w:w="5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60" w:type="dxa"/>
            <w:vAlign w:val="bottom"/>
            <w:gridSpan w:val="9"/>
            <w:shd w:val="clear" w:color="auto" w:fill="CCEEFF"/>
          </w:tcPr>
          <w:p>
            <w:pPr>
              <w:spacing w:after="0"/>
              <w:rPr>
                <w:sz w:val="14"/>
                <w:szCs w:val="14"/>
                <w:color w:val="auto"/>
              </w:rPr>
            </w:pPr>
          </w:p>
        </w:tc>
        <w:tc>
          <w:tcPr>
            <w:tcW w:w="5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(7.7)</w:t>
            </w:r>
          </w:p>
        </w:tc>
        <w:tc>
          <w:tcPr>
            <w:tcW w:w="1280" w:type="dxa"/>
            <w:vAlign w:val="bottom"/>
            <w:gridSpan w:val="14"/>
            <w:shd w:val="clear" w:color="auto" w:fill="CCEEFF"/>
          </w:tcPr>
          <w:p>
            <w:pPr>
              <w:spacing w:after="0"/>
              <w:rPr>
                <w:sz w:val="14"/>
                <w:szCs w:val="14"/>
                <w:color w:val="auto"/>
              </w:rPr>
            </w:pPr>
          </w:p>
        </w:tc>
        <w:tc>
          <w:tcPr>
            <w:tcW w:w="52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7.7</w:t>
            </w:r>
          </w:p>
        </w:tc>
        <w:tc>
          <w:tcPr>
            <w:tcW w:w="1540" w:type="dxa"/>
            <w:vAlign w:val="bottom"/>
            <w:gridSpan w:val="11"/>
            <w:shd w:val="clear" w:color="auto" w:fill="CCEEFF"/>
          </w:tcPr>
          <w:p>
            <w:pPr>
              <w:spacing w:after="0"/>
              <w:rPr>
                <w:sz w:val="14"/>
                <w:szCs w:val="14"/>
                <w:color w:val="auto"/>
              </w:rPr>
            </w:pPr>
          </w:p>
        </w:tc>
        <w:tc>
          <w:tcPr>
            <w:tcW w:w="30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gridSpan w:val="2"/>
            <w:shd w:val="clear" w:color="auto" w:fill="CCEEFF"/>
          </w:tcPr>
          <w:p>
            <w:pPr>
              <w:spacing w:after="0"/>
              <w:rPr>
                <w:sz w:val="14"/>
                <w:szCs w:val="14"/>
                <w:color w:val="auto"/>
              </w:rPr>
            </w:pPr>
          </w:p>
        </w:tc>
        <w:tc>
          <w:tcPr>
            <w:tcW w:w="600" w:type="dxa"/>
            <w:vAlign w:val="bottom"/>
            <w:gridSpan w:val="2"/>
            <w:vMerge w:val="restart"/>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0.7</w:t>
            </w:r>
          </w:p>
        </w:tc>
        <w:tc>
          <w:tcPr>
            <w:tcW w:w="260" w:type="dxa"/>
            <w:vAlign w:val="bottom"/>
            <w:gridSpan w:val="5"/>
            <w:shd w:val="clear" w:color="auto" w:fill="CCEEFF"/>
          </w:tcPr>
          <w:p>
            <w:pPr>
              <w:spacing w:after="0"/>
              <w:rPr>
                <w:sz w:val="14"/>
                <w:szCs w:val="14"/>
                <w:color w:val="auto"/>
              </w:rPr>
            </w:pPr>
          </w:p>
        </w:tc>
        <w:tc>
          <w:tcPr>
            <w:tcW w:w="6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7.0</w:t>
            </w:r>
          </w:p>
        </w:tc>
        <w:tc>
          <w:tcPr>
            <w:tcW w:w="360" w:type="dxa"/>
            <w:vAlign w:val="bottom"/>
            <w:gridSpan w:val="5"/>
            <w:shd w:val="clear" w:color="auto" w:fill="CCEEFF"/>
          </w:tcPr>
          <w:p>
            <w:pPr>
              <w:spacing w:after="0"/>
              <w:rPr>
                <w:sz w:val="14"/>
                <w:szCs w:val="14"/>
                <w:color w:val="auto"/>
              </w:rPr>
            </w:pPr>
          </w:p>
        </w:tc>
        <w:tc>
          <w:tcPr>
            <w:tcW w:w="7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0.19</w:t>
            </w:r>
          </w:p>
        </w:tc>
        <w:tc>
          <w:tcPr>
            <w:tcW w:w="0" w:type="dxa"/>
            <w:vAlign w:val="bottom"/>
          </w:tcPr>
          <w:p>
            <w:pPr>
              <w:spacing w:after="0"/>
              <w:rPr>
                <w:sz w:val="1"/>
                <w:szCs w:val="1"/>
                <w:color w:val="auto"/>
              </w:rPr>
            </w:pPr>
          </w:p>
        </w:tc>
      </w:tr>
      <w:tr>
        <w:trPr>
          <w:trHeight w:val="216"/>
        </w:trPr>
        <w:tc>
          <w:tcPr>
            <w:tcW w:w="1660" w:type="dxa"/>
            <w:vAlign w:val="bottom"/>
            <w:gridSpan w:val="2"/>
            <w:shd w:val="clear" w:color="auto" w:fill="CCEEFF"/>
          </w:tcPr>
          <w:p>
            <w:pPr>
              <w:ind w:left="20"/>
              <w:spacing w:after="0" w:line="216" w:lineRule="exact"/>
              <w:rPr>
                <w:sz w:val="20"/>
                <w:szCs w:val="20"/>
                <w:color w:val="auto"/>
              </w:rPr>
            </w:pPr>
            <w:r>
              <w:rPr>
                <w:rFonts w:ascii="Times New Roman" w:cs="Times New Roman" w:eastAsia="Times New Roman" w:hAnsi="Times New Roman"/>
                <w:sz w:val="16"/>
                <w:szCs w:val="16"/>
                <w:color w:val="auto"/>
              </w:rPr>
              <w:t xml:space="preserve">costs </w:t>
            </w:r>
            <w:r>
              <w:rPr>
                <w:rFonts w:ascii="Times New Roman" w:cs="Times New Roman" w:eastAsia="Times New Roman" w:hAnsi="Times New Roman"/>
                <w:sz w:val="21"/>
                <w:szCs w:val="21"/>
                <w:color w:val="auto"/>
                <w:vertAlign w:val="superscript"/>
              </w:rPr>
              <w:t>(c)</w:t>
            </w:r>
          </w:p>
        </w:tc>
        <w:tc>
          <w:tcPr>
            <w:tcW w:w="720" w:type="dxa"/>
            <w:vAlign w:val="bottom"/>
            <w:gridSpan w:val="2"/>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vMerge w:val="continue"/>
            <w:shd w:val="clear" w:color="auto" w:fill="CCEEFF"/>
          </w:tcPr>
          <w:p>
            <w:pPr>
              <w:spacing w:after="0"/>
              <w:rPr>
                <w:sz w:val="18"/>
                <w:szCs w:val="18"/>
                <w:color w:val="auto"/>
              </w:rPr>
            </w:pPr>
          </w:p>
        </w:tc>
        <w:tc>
          <w:tcPr>
            <w:tcW w:w="1260" w:type="dxa"/>
            <w:vAlign w:val="bottom"/>
            <w:gridSpan w:val="9"/>
            <w:shd w:val="clear" w:color="auto" w:fill="CCEEFF"/>
          </w:tcPr>
          <w:p>
            <w:pPr>
              <w:spacing w:after="0"/>
              <w:rPr>
                <w:sz w:val="18"/>
                <w:szCs w:val="18"/>
                <w:color w:val="auto"/>
              </w:rPr>
            </w:pPr>
          </w:p>
        </w:tc>
        <w:tc>
          <w:tcPr>
            <w:tcW w:w="500" w:type="dxa"/>
            <w:vAlign w:val="bottom"/>
            <w:vMerge w:val="continue"/>
            <w:shd w:val="clear" w:color="auto" w:fill="CCEEFF"/>
          </w:tcPr>
          <w:p>
            <w:pPr>
              <w:spacing w:after="0"/>
              <w:rPr>
                <w:sz w:val="18"/>
                <w:szCs w:val="18"/>
                <w:color w:val="auto"/>
              </w:rPr>
            </w:pPr>
          </w:p>
        </w:tc>
        <w:tc>
          <w:tcPr>
            <w:tcW w:w="1280" w:type="dxa"/>
            <w:vAlign w:val="bottom"/>
            <w:gridSpan w:val="14"/>
            <w:shd w:val="clear" w:color="auto" w:fill="CCEEFF"/>
          </w:tcPr>
          <w:p>
            <w:pPr>
              <w:spacing w:after="0"/>
              <w:rPr>
                <w:sz w:val="18"/>
                <w:szCs w:val="18"/>
                <w:color w:val="auto"/>
              </w:rPr>
            </w:pPr>
          </w:p>
        </w:tc>
        <w:tc>
          <w:tcPr>
            <w:tcW w:w="520" w:type="dxa"/>
            <w:vAlign w:val="bottom"/>
            <w:gridSpan w:val="2"/>
            <w:vMerge w:val="continue"/>
            <w:shd w:val="clear" w:color="auto" w:fill="CCEEFF"/>
          </w:tcPr>
          <w:p>
            <w:pPr>
              <w:spacing w:after="0"/>
              <w:rPr>
                <w:sz w:val="18"/>
                <w:szCs w:val="18"/>
                <w:color w:val="auto"/>
              </w:rPr>
            </w:pPr>
          </w:p>
        </w:tc>
        <w:tc>
          <w:tcPr>
            <w:tcW w:w="1540" w:type="dxa"/>
            <w:vAlign w:val="bottom"/>
            <w:gridSpan w:val="11"/>
            <w:shd w:val="clear" w:color="auto" w:fill="CCEEFF"/>
          </w:tcPr>
          <w:p>
            <w:pPr>
              <w:spacing w:after="0"/>
              <w:rPr>
                <w:sz w:val="18"/>
                <w:szCs w:val="18"/>
                <w:color w:val="auto"/>
              </w:rPr>
            </w:pPr>
          </w:p>
        </w:tc>
        <w:tc>
          <w:tcPr>
            <w:tcW w:w="300" w:type="dxa"/>
            <w:vAlign w:val="bottom"/>
            <w:gridSpan w:val="2"/>
            <w:vMerge w:val="continue"/>
            <w:shd w:val="clear" w:color="auto" w:fill="CCEEFF"/>
          </w:tcPr>
          <w:p>
            <w:pPr>
              <w:spacing w:after="0"/>
              <w:rPr>
                <w:sz w:val="18"/>
                <w:szCs w:val="18"/>
                <w:color w:val="auto"/>
              </w:rPr>
            </w:pPr>
          </w:p>
        </w:tc>
        <w:tc>
          <w:tcPr>
            <w:tcW w:w="180" w:type="dxa"/>
            <w:vAlign w:val="bottom"/>
            <w:gridSpan w:val="2"/>
            <w:shd w:val="clear" w:color="auto" w:fill="CCEEFF"/>
          </w:tcPr>
          <w:p>
            <w:pPr>
              <w:spacing w:after="0"/>
              <w:rPr>
                <w:sz w:val="18"/>
                <w:szCs w:val="18"/>
                <w:color w:val="auto"/>
              </w:rPr>
            </w:pPr>
          </w:p>
        </w:tc>
        <w:tc>
          <w:tcPr>
            <w:tcW w:w="600" w:type="dxa"/>
            <w:vAlign w:val="bottom"/>
            <w:gridSpan w:val="2"/>
            <w:vMerge w:val="continue"/>
            <w:shd w:val="clear" w:color="auto" w:fill="CCEEFF"/>
          </w:tcPr>
          <w:p>
            <w:pPr>
              <w:spacing w:after="0"/>
              <w:rPr>
                <w:sz w:val="18"/>
                <w:szCs w:val="18"/>
                <w:color w:val="auto"/>
              </w:rPr>
            </w:pPr>
          </w:p>
        </w:tc>
        <w:tc>
          <w:tcPr>
            <w:tcW w:w="260" w:type="dxa"/>
            <w:vAlign w:val="bottom"/>
            <w:gridSpan w:val="5"/>
            <w:shd w:val="clear" w:color="auto" w:fill="CCEEFF"/>
          </w:tcPr>
          <w:p>
            <w:pPr>
              <w:spacing w:after="0"/>
              <w:rPr>
                <w:sz w:val="18"/>
                <w:szCs w:val="18"/>
                <w:color w:val="auto"/>
              </w:rPr>
            </w:pPr>
          </w:p>
        </w:tc>
        <w:tc>
          <w:tcPr>
            <w:tcW w:w="640" w:type="dxa"/>
            <w:vAlign w:val="bottom"/>
            <w:vMerge w:val="continue"/>
            <w:shd w:val="clear" w:color="auto" w:fill="CCEEFF"/>
          </w:tcPr>
          <w:p>
            <w:pPr>
              <w:spacing w:after="0"/>
              <w:rPr>
                <w:sz w:val="18"/>
                <w:szCs w:val="18"/>
                <w:color w:val="auto"/>
              </w:rPr>
            </w:pPr>
          </w:p>
        </w:tc>
        <w:tc>
          <w:tcPr>
            <w:tcW w:w="360" w:type="dxa"/>
            <w:vAlign w:val="bottom"/>
            <w:gridSpan w:val="5"/>
            <w:shd w:val="clear" w:color="auto" w:fill="CCEEFF"/>
          </w:tcPr>
          <w:p>
            <w:pPr>
              <w:spacing w:after="0"/>
              <w:rPr>
                <w:sz w:val="18"/>
                <w:szCs w:val="18"/>
                <w:color w:val="auto"/>
              </w:rPr>
            </w:pPr>
          </w:p>
        </w:tc>
        <w:tc>
          <w:tcPr>
            <w:tcW w:w="72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1660" w:type="dxa"/>
            <w:vAlign w:val="bottom"/>
            <w:gridSpan w:val="2"/>
          </w:tcPr>
          <w:p>
            <w:pPr>
              <w:ind w:left="20"/>
              <w:spacing w:after="0" w:line="162" w:lineRule="exact"/>
              <w:rPr>
                <w:sz w:val="20"/>
                <w:szCs w:val="20"/>
                <w:color w:val="auto"/>
              </w:rPr>
            </w:pPr>
            <w:r>
              <w:rPr>
                <w:rFonts w:ascii="Times New Roman" w:cs="Times New Roman" w:eastAsia="Times New Roman" w:hAnsi="Times New Roman"/>
                <w:sz w:val="16"/>
                <w:szCs w:val="16"/>
                <w:color w:val="auto"/>
              </w:rPr>
              <w:t>Organizational</w:t>
            </w:r>
          </w:p>
        </w:tc>
        <w:tc>
          <w:tcPr>
            <w:tcW w:w="72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4"/>
                <w:szCs w:val="14"/>
                <w:color w:val="auto"/>
              </w:rPr>
            </w:pPr>
          </w:p>
        </w:tc>
        <w:tc>
          <w:tcPr>
            <w:tcW w:w="5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60" w:type="dxa"/>
            <w:vAlign w:val="bottom"/>
            <w:gridSpan w:val="9"/>
          </w:tcPr>
          <w:p>
            <w:pPr>
              <w:spacing w:after="0"/>
              <w:rPr>
                <w:sz w:val="14"/>
                <w:szCs w:val="14"/>
                <w:color w:val="auto"/>
              </w:rPr>
            </w:pPr>
          </w:p>
        </w:tc>
        <w:tc>
          <w:tcPr>
            <w:tcW w:w="5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(6.1)</w:t>
            </w:r>
          </w:p>
        </w:tc>
        <w:tc>
          <w:tcPr>
            <w:tcW w:w="1280" w:type="dxa"/>
            <w:vAlign w:val="bottom"/>
            <w:gridSpan w:val="14"/>
          </w:tcPr>
          <w:p>
            <w:pPr>
              <w:spacing w:after="0"/>
              <w:rPr>
                <w:sz w:val="14"/>
                <w:szCs w:val="14"/>
                <w:color w:val="auto"/>
              </w:rPr>
            </w:pPr>
          </w:p>
        </w:tc>
        <w:tc>
          <w:tcPr>
            <w:tcW w:w="520" w:type="dxa"/>
            <w:vAlign w:val="bottom"/>
            <w:gridSpan w:val="2"/>
            <w:vMerge w:val="restart"/>
          </w:tcPr>
          <w:p>
            <w:pPr>
              <w:jc w:val="right"/>
              <w:spacing w:after="0"/>
              <w:rPr>
                <w:sz w:val="20"/>
                <w:szCs w:val="20"/>
                <w:color w:val="auto"/>
              </w:rPr>
            </w:pPr>
            <w:r>
              <w:rPr>
                <w:rFonts w:ascii="Times New Roman" w:cs="Times New Roman" w:eastAsia="Times New Roman" w:hAnsi="Times New Roman"/>
                <w:sz w:val="16"/>
                <w:szCs w:val="16"/>
                <w:color w:val="auto"/>
              </w:rPr>
              <w:t>6.1</w:t>
            </w:r>
          </w:p>
        </w:tc>
        <w:tc>
          <w:tcPr>
            <w:tcW w:w="1540" w:type="dxa"/>
            <w:vAlign w:val="bottom"/>
            <w:gridSpan w:val="11"/>
          </w:tcPr>
          <w:p>
            <w:pPr>
              <w:spacing w:after="0"/>
              <w:rPr>
                <w:sz w:val="14"/>
                <w:szCs w:val="14"/>
                <w:color w:val="auto"/>
              </w:rPr>
            </w:pPr>
          </w:p>
        </w:tc>
        <w:tc>
          <w:tcPr>
            <w:tcW w:w="300" w:type="dxa"/>
            <w:vAlign w:val="bottom"/>
            <w:gridSpan w:val="2"/>
            <w:vMerge w:val="restart"/>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gridSpan w:val="2"/>
          </w:tcPr>
          <w:p>
            <w:pPr>
              <w:spacing w:after="0"/>
              <w:rPr>
                <w:sz w:val="14"/>
                <w:szCs w:val="14"/>
                <w:color w:val="auto"/>
              </w:rPr>
            </w:pPr>
          </w:p>
        </w:tc>
        <w:tc>
          <w:tcPr>
            <w:tcW w:w="600" w:type="dxa"/>
            <w:vAlign w:val="bottom"/>
            <w:gridSpan w:val="2"/>
            <w:vMerge w:val="restart"/>
          </w:tcPr>
          <w:p>
            <w:pPr>
              <w:jc w:val="right"/>
              <w:ind w:right="20"/>
              <w:spacing w:after="0"/>
              <w:rPr>
                <w:sz w:val="20"/>
                <w:szCs w:val="20"/>
                <w:color w:val="auto"/>
              </w:rPr>
            </w:pPr>
            <w:r>
              <w:rPr>
                <w:rFonts w:ascii="Times New Roman" w:cs="Times New Roman" w:eastAsia="Times New Roman" w:hAnsi="Times New Roman"/>
                <w:sz w:val="16"/>
                <w:szCs w:val="16"/>
                <w:color w:val="auto"/>
              </w:rPr>
              <w:t>1.5</w:t>
            </w:r>
          </w:p>
        </w:tc>
        <w:tc>
          <w:tcPr>
            <w:tcW w:w="260" w:type="dxa"/>
            <w:vAlign w:val="bottom"/>
            <w:gridSpan w:val="5"/>
          </w:tcPr>
          <w:p>
            <w:pPr>
              <w:spacing w:after="0"/>
              <w:rPr>
                <w:sz w:val="14"/>
                <w:szCs w:val="14"/>
                <w:color w:val="auto"/>
              </w:rPr>
            </w:pPr>
          </w:p>
        </w:tc>
        <w:tc>
          <w:tcPr>
            <w:tcW w:w="6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4.6</w:t>
            </w:r>
          </w:p>
        </w:tc>
        <w:tc>
          <w:tcPr>
            <w:tcW w:w="360" w:type="dxa"/>
            <w:vAlign w:val="bottom"/>
            <w:gridSpan w:val="5"/>
          </w:tcPr>
          <w:p>
            <w:pPr>
              <w:spacing w:after="0"/>
              <w:rPr>
                <w:sz w:val="14"/>
                <w:szCs w:val="14"/>
                <w:color w:val="auto"/>
              </w:rPr>
            </w:pP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0.13</w:t>
            </w:r>
          </w:p>
        </w:tc>
        <w:tc>
          <w:tcPr>
            <w:tcW w:w="0" w:type="dxa"/>
            <w:vAlign w:val="bottom"/>
          </w:tcPr>
          <w:p>
            <w:pPr>
              <w:spacing w:after="0"/>
              <w:rPr>
                <w:sz w:val="1"/>
                <w:szCs w:val="1"/>
                <w:color w:val="auto"/>
              </w:rPr>
            </w:pPr>
          </w:p>
        </w:tc>
      </w:tr>
      <w:tr>
        <w:trPr>
          <w:trHeight w:val="216"/>
        </w:trPr>
        <w:tc>
          <w:tcPr>
            <w:tcW w:w="1660" w:type="dxa"/>
            <w:vAlign w:val="bottom"/>
            <w:gridSpan w:val="2"/>
          </w:tcPr>
          <w:p>
            <w:pPr>
              <w:ind w:left="20"/>
              <w:spacing w:after="0" w:line="216" w:lineRule="exact"/>
              <w:rPr>
                <w:sz w:val="20"/>
                <w:szCs w:val="20"/>
                <w:color w:val="auto"/>
              </w:rPr>
            </w:pPr>
            <w:r>
              <w:rPr>
                <w:rFonts w:ascii="Times New Roman" w:cs="Times New Roman" w:eastAsia="Times New Roman" w:hAnsi="Times New Roman"/>
                <w:sz w:val="16"/>
                <w:szCs w:val="16"/>
                <w:color w:val="auto"/>
              </w:rPr>
              <w:t xml:space="preserve">restructuring </w:t>
            </w:r>
            <w:r>
              <w:rPr>
                <w:rFonts w:ascii="Times New Roman" w:cs="Times New Roman" w:eastAsia="Times New Roman" w:hAnsi="Times New Roman"/>
                <w:sz w:val="21"/>
                <w:szCs w:val="21"/>
                <w:color w:val="auto"/>
                <w:vertAlign w:val="superscript"/>
              </w:rPr>
              <w:t>(e)</w:t>
            </w:r>
          </w:p>
        </w:tc>
        <w:tc>
          <w:tcPr>
            <w:tcW w:w="72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vMerge w:val="continue"/>
          </w:tcPr>
          <w:p>
            <w:pPr>
              <w:spacing w:after="0"/>
              <w:rPr>
                <w:sz w:val="18"/>
                <w:szCs w:val="18"/>
                <w:color w:val="auto"/>
              </w:rPr>
            </w:pPr>
          </w:p>
        </w:tc>
        <w:tc>
          <w:tcPr>
            <w:tcW w:w="1260" w:type="dxa"/>
            <w:vAlign w:val="bottom"/>
            <w:gridSpan w:val="9"/>
          </w:tcPr>
          <w:p>
            <w:pPr>
              <w:spacing w:after="0"/>
              <w:rPr>
                <w:sz w:val="18"/>
                <w:szCs w:val="18"/>
                <w:color w:val="auto"/>
              </w:rPr>
            </w:pPr>
          </w:p>
        </w:tc>
        <w:tc>
          <w:tcPr>
            <w:tcW w:w="500" w:type="dxa"/>
            <w:vAlign w:val="bottom"/>
            <w:vMerge w:val="continue"/>
          </w:tcPr>
          <w:p>
            <w:pPr>
              <w:spacing w:after="0"/>
              <w:rPr>
                <w:sz w:val="18"/>
                <w:szCs w:val="18"/>
                <w:color w:val="auto"/>
              </w:rPr>
            </w:pPr>
          </w:p>
        </w:tc>
        <w:tc>
          <w:tcPr>
            <w:tcW w:w="1280" w:type="dxa"/>
            <w:vAlign w:val="bottom"/>
            <w:gridSpan w:val="14"/>
          </w:tcPr>
          <w:p>
            <w:pPr>
              <w:spacing w:after="0"/>
              <w:rPr>
                <w:sz w:val="18"/>
                <w:szCs w:val="18"/>
                <w:color w:val="auto"/>
              </w:rPr>
            </w:pPr>
          </w:p>
        </w:tc>
        <w:tc>
          <w:tcPr>
            <w:tcW w:w="520" w:type="dxa"/>
            <w:vAlign w:val="bottom"/>
            <w:gridSpan w:val="2"/>
            <w:vMerge w:val="continue"/>
          </w:tcPr>
          <w:p>
            <w:pPr>
              <w:spacing w:after="0"/>
              <w:rPr>
                <w:sz w:val="18"/>
                <w:szCs w:val="18"/>
                <w:color w:val="auto"/>
              </w:rPr>
            </w:pPr>
          </w:p>
        </w:tc>
        <w:tc>
          <w:tcPr>
            <w:tcW w:w="1540" w:type="dxa"/>
            <w:vAlign w:val="bottom"/>
            <w:gridSpan w:val="11"/>
          </w:tcPr>
          <w:p>
            <w:pPr>
              <w:spacing w:after="0"/>
              <w:rPr>
                <w:sz w:val="18"/>
                <w:szCs w:val="18"/>
                <w:color w:val="auto"/>
              </w:rPr>
            </w:pPr>
          </w:p>
        </w:tc>
        <w:tc>
          <w:tcPr>
            <w:tcW w:w="300" w:type="dxa"/>
            <w:vAlign w:val="bottom"/>
            <w:gridSpan w:val="2"/>
            <w:vMerge w:val="continue"/>
          </w:tcPr>
          <w:p>
            <w:pPr>
              <w:spacing w:after="0"/>
              <w:rPr>
                <w:sz w:val="18"/>
                <w:szCs w:val="18"/>
                <w:color w:val="auto"/>
              </w:rPr>
            </w:pPr>
          </w:p>
        </w:tc>
        <w:tc>
          <w:tcPr>
            <w:tcW w:w="180" w:type="dxa"/>
            <w:vAlign w:val="bottom"/>
            <w:gridSpan w:val="2"/>
          </w:tcPr>
          <w:p>
            <w:pPr>
              <w:spacing w:after="0"/>
              <w:rPr>
                <w:sz w:val="18"/>
                <w:szCs w:val="18"/>
                <w:color w:val="auto"/>
              </w:rPr>
            </w:pPr>
          </w:p>
        </w:tc>
        <w:tc>
          <w:tcPr>
            <w:tcW w:w="600" w:type="dxa"/>
            <w:vAlign w:val="bottom"/>
            <w:gridSpan w:val="2"/>
            <w:vMerge w:val="continue"/>
          </w:tcPr>
          <w:p>
            <w:pPr>
              <w:spacing w:after="0"/>
              <w:rPr>
                <w:sz w:val="18"/>
                <w:szCs w:val="18"/>
                <w:color w:val="auto"/>
              </w:rPr>
            </w:pPr>
          </w:p>
        </w:tc>
        <w:tc>
          <w:tcPr>
            <w:tcW w:w="260" w:type="dxa"/>
            <w:vAlign w:val="bottom"/>
            <w:gridSpan w:val="5"/>
          </w:tcPr>
          <w:p>
            <w:pPr>
              <w:spacing w:after="0"/>
              <w:rPr>
                <w:sz w:val="18"/>
                <w:szCs w:val="18"/>
                <w:color w:val="auto"/>
              </w:rPr>
            </w:pPr>
          </w:p>
        </w:tc>
        <w:tc>
          <w:tcPr>
            <w:tcW w:w="640" w:type="dxa"/>
            <w:vAlign w:val="bottom"/>
            <w:vMerge w:val="continue"/>
          </w:tcPr>
          <w:p>
            <w:pPr>
              <w:spacing w:after="0"/>
              <w:rPr>
                <w:sz w:val="18"/>
                <w:szCs w:val="18"/>
                <w:color w:val="auto"/>
              </w:rPr>
            </w:pPr>
          </w:p>
        </w:tc>
        <w:tc>
          <w:tcPr>
            <w:tcW w:w="360" w:type="dxa"/>
            <w:vAlign w:val="bottom"/>
            <w:gridSpan w:val="5"/>
          </w:tcPr>
          <w:p>
            <w:pPr>
              <w:spacing w:after="0"/>
              <w:rPr>
                <w:sz w:val="18"/>
                <w:szCs w:val="18"/>
                <w:color w:val="auto"/>
              </w:rPr>
            </w:pPr>
          </w:p>
        </w:tc>
        <w:tc>
          <w:tcPr>
            <w:tcW w:w="7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1540" w:type="dxa"/>
            <w:vAlign w:val="bottom"/>
            <w:shd w:val="clear" w:color="auto" w:fill="CCEEFF"/>
          </w:tcPr>
          <w:p>
            <w:pPr>
              <w:ind w:left="20"/>
              <w:spacing w:after="0" w:line="162" w:lineRule="exact"/>
              <w:rPr>
                <w:sz w:val="20"/>
                <w:szCs w:val="20"/>
                <w:color w:val="auto"/>
              </w:rPr>
            </w:pPr>
            <w:r>
              <w:rPr>
                <w:rFonts w:ascii="Times New Roman" w:cs="Times New Roman" w:eastAsia="Times New Roman" w:hAnsi="Times New Roman"/>
                <w:sz w:val="16"/>
                <w:szCs w:val="16"/>
                <w:color w:val="auto"/>
              </w:rPr>
              <w:t>Pension plan</w:t>
            </w:r>
          </w:p>
        </w:tc>
        <w:tc>
          <w:tcPr>
            <w:tcW w:w="120" w:type="dxa"/>
            <w:vAlign w:val="bottom"/>
            <w:shd w:val="clear" w:color="auto" w:fill="CCEEFF"/>
          </w:tcPr>
          <w:p>
            <w:pPr>
              <w:spacing w:after="0"/>
              <w:rPr>
                <w:sz w:val="14"/>
                <w:szCs w:val="14"/>
                <w:color w:val="auto"/>
              </w:rPr>
            </w:pPr>
          </w:p>
        </w:tc>
        <w:tc>
          <w:tcPr>
            <w:tcW w:w="72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4"/>
                <w:szCs w:val="14"/>
                <w:color w:val="auto"/>
              </w:rPr>
            </w:pPr>
          </w:p>
        </w:tc>
        <w:tc>
          <w:tcPr>
            <w:tcW w:w="5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00" w:type="dxa"/>
            <w:vAlign w:val="bottom"/>
            <w:gridSpan w:val="5"/>
            <w:vMerge w:val="restart"/>
            <w:shd w:val="clear" w:color="auto" w:fill="CCEEFF"/>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4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30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00" w:type="dxa"/>
            <w:vAlign w:val="bottom"/>
            <w:gridSpan w:val="2"/>
            <w:vMerge w:val="restart"/>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2.1</w:t>
            </w:r>
          </w:p>
        </w:tc>
        <w:tc>
          <w:tcPr>
            <w:tcW w:w="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6.7</w:t>
            </w: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0.19</w:t>
            </w:r>
          </w:p>
        </w:tc>
        <w:tc>
          <w:tcPr>
            <w:tcW w:w="0" w:type="dxa"/>
            <w:vAlign w:val="bottom"/>
          </w:tcPr>
          <w:p>
            <w:pPr>
              <w:spacing w:after="0"/>
              <w:rPr>
                <w:sz w:val="1"/>
                <w:szCs w:val="1"/>
                <w:color w:val="auto"/>
              </w:rPr>
            </w:pPr>
          </w:p>
        </w:tc>
      </w:tr>
      <w:tr>
        <w:trPr>
          <w:trHeight w:val="216"/>
        </w:trPr>
        <w:tc>
          <w:tcPr>
            <w:tcW w:w="1540" w:type="dxa"/>
            <w:vAlign w:val="bottom"/>
            <w:shd w:val="clear" w:color="auto" w:fill="CCEEFF"/>
          </w:tcPr>
          <w:p>
            <w:pPr>
              <w:ind w:left="20"/>
              <w:spacing w:after="0" w:line="216" w:lineRule="exact"/>
              <w:rPr>
                <w:sz w:val="20"/>
                <w:szCs w:val="20"/>
                <w:color w:val="auto"/>
              </w:rPr>
            </w:pPr>
            <w:r>
              <w:rPr>
                <w:rFonts w:ascii="Times New Roman" w:cs="Times New Roman" w:eastAsia="Times New Roman" w:hAnsi="Times New Roman"/>
                <w:sz w:val="16"/>
                <w:szCs w:val="16"/>
                <w:color w:val="auto"/>
              </w:rPr>
              <w:t xml:space="preserve">settlement </w:t>
            </w:r>
            <w:r>
              <w:rPr>
                <w:rFonts w:ascii="Times New Roman" w:cs="Times New Roman" w:eastAsia="Times New Roman" w:hAnsi="Times New Roman"/>
                <w:sz w:val="21"/>
                <w:szCs w:val="21"/>
                <w:color w:val="auto"/>
                <w:vertAlign w:val="superscript"/>
              </w:rPr>
              <w:t>(g)</w:t>
            </w:r>
          </w:p>
        </w:tc>
        <w:tc>
          <w:tcPr>
            <w:tcW w:w="120" w:type="dxa"/>
            <w:vAlign w:val="bottom"/>
            <w:shd w:val="clear" w:color="auto" w:fill="CCEEFF"/>
          </w:tcPr>
          <w:p>
            <w:pPr>
              <w:spacing w:after="0"/>
              <w:rPr>
                <w:sz w:val="18"/>
                <w:szCs w:val="18"/>
                <w:color w:val="auto"/>
              </w:rPr>
            </w:pPr>
          </w:p>
        </w:tc>
        <w:tc>
          <w:tcPr>
            <w:tcW w:w="720" w:type="dxa"/>
            <w:vAlign w:val="bottom"/>
            <w:gridSpan w:val="2"/>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5"/>
            <w:vMerge w:val="continue"/>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40" w:type="dxa"/>
            <w:vAlign w:val="bottom"/>
            <w:vMerge w:val="continue"/>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00" w:type="dxa"/>
            <w:vAlign w:val="bottom"/>
            <w:gridSpan w:val="2"/>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gridSpan w:val="2"/>
            <w:vMerge w:val="continue"/>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vMerge w:val="continue"/>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11240" w:type="dxa"/>
            <w:vAlign w:val="bottom"/>
            <w:gridSpan w:val="61"/>
          </w:tcPr>
          <w:p>
            <w:pPr>
              <w:ind w:left="20"/>
              <w:spacing w:after="0" w:line="162" w:lineRule="exact"/>
              <w:rPr>
                <w:sz w:val="20"/>
                <w:szCs w:val="20"/>
                <w:color w:val="auto"/>
              </w:rPr>
            </w:pPr>
            <w:r>
              <w:rPr>
                <w:rFonts w:ascii="Times New Roman" w:cs="Times New Roman" w:eastAsia="Times New Roman" w:hAnsi="Times New Roman"/>
                <w:sz w:val="16"/>
                <w:szCs w:val="16"/>
                <w:color w:val="auto"/>
              </w:rPr>
              <w:t>Deferred</w:t>
            </w:r>
          </w:p>
        </w:tc>
        <w:tc>
          <w:tcPr>
            <w:tcW w:w="0" w:type="dxa"/>
            <w:vAlign w:val="bottom"/>
          </w:tcPr>
          <w:p>
            <w:pPr>
              <w:spacing w:after="0"/>
              <w:rPr>
                <w:sz w:val="1"/>
                <w:szCs w:val="1"/>
                <w:color w:val="auto"/>
              </w:rPr>
            </w:pPr>
          </w:p>
        </w:tc>
      </w:tr>
      <w:tr>
        <w:trPr>
          <w:trHeight w:val="162"/>
        </w:trPr>
        <w:tc>
          <w:tcPr>
            <w:tcW w:w="1540" w:type="dxa"/>
            <w:vAlign w:val="bottom"/>
          </w:tcPr>
          <w:p>
            <w:pPr>
              <w:ind w:left="20"/>
              <w:spacing w:after="0" w:line="162" w:lineRule="exact"/>
              <w:rPr>
                <w:sz w:val="20"/>
                <w:szCs w:val="20"/>
                <w:color w:val="auto"/>
              </w:rPr>
            </w:pPr>
            <w:r>
              <w:rPr>
                <w:rFonts w:ascii="Times New Roman" w:cs="Times New Roman" w:eastAsia="Times New Roman" w:hAnsi="Times New Roman"/>
                <w:sz w:val="16"/>
                <w:szCs w:val="16"/>
                <w:color w:val="auto"/>
              </w:rPr>
              <w:t>compensation plan</w:t>
            </w:r>
          </w:p>
        </w:tc>
        <w:tc>
          <w:tcPr>
            <w:tcW w:w="120" w:type="dxa"/>
            <w:vAlign w:val="bottom"/>
          </w:tcPr>
          <w:p>
            <w:pPr>
              <w:spacing w:after="0"/>
              <w:rPr>
                <w:sz w:val="14"/>
                <w:szCs w:val="14"/>
                <w:color w:val="auto"/>
              </w:rPr>
            </w:pPr>
          </w:p>
        </w:tc>
        <w:tc>
          <w:tcPr>
            <w:tcW w:w="72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4"/>
                <w:szCs w:val="14"/>
                <w:color w:val="auto"/>
              </w:rPr>
            </w:pPr>
          </w:p>
        </w:tc>
        <w:tc>
          <w:tcPr>
            <w:tcW w:w="5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gridSpan w:val="5"/>
            <w:vMerge w:val="restart"/>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00" w:type="dxa"/>
            <w:vAlign w:val="bottom"/>
            <w:gridSpan w:val="2"/>
            <w:vMerge w:val="restart"/>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gridSpan w:val="4"/>
            <w:vMerge w:val="restart"/>
          </w:tcPr>
          <w:p>
            <w:pPr>
              <w:jc w:val="right"/>
              <w:spacing w:after="0"/>
              <w:rPr>
                <w:sz w:val="20"/>
                <w:szCs w:val="20"/>
                <w:color w:val="auto"/>
              </w:rPr>
            </w:pPr>
            <w:r>
              <w:rPr>
                <w:rFonts w:ascii="Times New Roman" w:cs="Times New Roman" w:eastAsia="Times New Roman" w:hAnsi="Times New Roman"/>
                <w:sz w:val="16"/>
                <w:szCs w:val="16"/>
                <w:color w:val="auto"/>
              </w:rPr>
              <w:t>(0.8)</w:t>
            </w: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0.8</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0.02</w:t>
            </w:r>
          </w:p>
        </w:tc>
        <w:tc>
          <w:tcPr>
            <w:tcW w:w="0" w:type="dxa"/>
            <w:vAlign w:val="bottom"/>
          </w:tcPr>
          <w:p>
            <w:pPr>
              <w:spacing w:after="0"/>
              <w:rPr>
                <w:sz w:val="1"/>
                <w:szCs w:val="1"/>
                <w:color w:val="auto"/>
              </w:rPr>
            </w:pPr>
          </w:p>
        </w:tc>
      </w:tr>
      <w:tr>
        <w:trPr>
          <w:trHeight w:val="216"/>
        </w:trPr>
        <w:tc>
          <w:tcPr>
            <w:tcW w:w="1540" w:type="dxa"/>
            <w:vAlign w:val="bottom"/>
          </w:tcPr>
          <w:p>
            <w:pPr>
              <w:ind w:left="20"/>
              <w:spacing w:after="0" w:line="216" w:lineRule="exact"/>
              <w:rPr>
                <w:sz w:val="20"/>
                <w:szCs w:val="20"/>
                <w:color w:val="auto"/>
              </w:rPr>
            </w:pPr>
            <w:r>
              <w:rPr>
                <w:rFonts w:ascii="Times New Roman" w:cs="Times New Roman" w:eastAsia="Times New Roman" w:hAnsi="Times New Roman"/>
                <w:sz w:val="16"/>
                <w:szCs w:val="16"/>
                <w:color w:val="auto"/>
              </w:rPr>
              <w:t xml:space="preserve">termination </w:t>
            </w:r>
            <w:r>
              <w:rPr>
                <w:rFonts w:ascii="Times New Roman" w:cs="Times New Roman" w:eastAsia="Times New Roman" w:hAnsi="Times New Roman"/>
                <w:sz w:val="21"/>
                <w:szCs w:val="21"/>
                <w:color w:val="auto"/>
                <w:vertAlign w:val="superscript"/>
              </w:rPr>
              <w:t>(h)</w:t>
            </w:r>
          </w:p>
        </w:tc>
        <w:tc>
          <w:tcPr>
            <w:tcW w:w="120" w:type="dxa"/>
            <w:vAlign w:val="bottom"/>
          </w:tcPr>
          <w:p>
            <w:pPr>
              <w:spacing w:after="0"/>
              <w:rPr>
                <w:sz w:val="18"/>
                <w:szCs w:val="18"/>
                <w:color w:val="auto"/>
              </w:rPr>
            </w:pPr>
          </w:p>
        </w:tc>
        <w:tc>
          <w:tcPr>
            <w:tcW w:w="72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5"/>
            <w:vMerge w:val="continue"/>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40" w:type="dxa"/>
            <w:vAlign w:val="bottom"/>
            <w:vMerge w:val="continue"/>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00" w:type="dxa"/>
            <w:vAlign w:val="bottom"/>
            <w:gridSpan w:val="2"/>
            <w:vMerge w:val="continue"/>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gridSpan w:val="4"/>
            <w:vMerge w:val="continue"/>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vMerge w:val="continue"/>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35"/>
        </w:trPr>
        <w:tc>
          <w:tcPr>
            <w:tcW w:w="1540" w:type="dxa"/>
            <w:vAlign w:val="bottom"/>
            <w:tcBorders>
              <w:top w:val="single" w:sz="8" w:color="CCEEFF"/>
              <w:bottom w:val="single" w:sz="8" w:color="CCEEFF"/>
            </w:tcBorders>
            <w:shd w:val="clear" w:color="auto" w:fill="CCEEFF"/>
          </w:tcPr>
          <w:p>
            <w:pPr>
              <w:ind w:left="20"/>
              <w:spacing w:after="0" w:line="210" w:lineRule="exact"/>
              <w:rPr>
                <w:sz w:val="20"/>
                <w:szCs w:val="20"/>
                <w:color w:val="auto"/>
              </w:rPr>
            </w:pPr>
            <w:r>
              <w:rPr>
                <w:rFonts w:ascii="Times New Roman" w:cs="Times New Roman" w:eastAsia="Times New Roman" w:hAnsi="Times New Roman"/>
                <w:sz w:val="16"/>
                <w:szCs w:val="16"/>
                <w:b w:val="1"/>
                <w:bCs w:val="1"/>
                <w:color w:val="auto"/>
              </w:rPr>
              <w:t xml:space="preserve">As adjusted </w:t>
            </w:r>
            <w:r>
              <w:rPr>
                <w:rFonts w:ascii="Times New Roman" w:cs="Times New Roman" w:eastAsia="Times New Roman" w:hAnsi="Times New Roman"/>
                <w:sz w:val="21"/>
                <w:szCs w:val="21"/>
                <w:b w:val="1"/>
                <w:bCs w:val="1"/>
                <w:color w:val="auto"/>
                <w:vertAlign w:val="superscript"/>
              </w:rPr>
              <w:t>(a)</w:t>
            </w: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1,058.5</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914.5</w:t>
            </w:r>
          </w:p>
        </w:tc>
        <w:tc>
          <w:tcPr>
            <w:tcW w:w="820" w:type="dxa"/>
            <w:vAlign w:val="bottom"/>
            <w:tcBorders>
              <w:top w:val="single" w:sz="8" w:color="CCEEFF"/>
              <w:bottom w:val="single" w:sz="8" w:color="CCEEFF"/>
            </w:tcBorders>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46.4 %</w:t>
            </w:r>
          </w:p>
        </w:tc>
        <w:tc>
          <w:tcPr>
            <w:tcW w:w="40" w:type="dxa"/>
            <w:vAlign w:val="bottom"/>
            <w:tcBorders>
              <w:top w:val="single" w:sz="8" w:color="CCEEFF"/>
              <w:bottom w:val="single" w:sz="8" w:color="CCEEFF"/>
            </w:tcBorders>
            <w:shd w:val="clear" w:color="auto" w:fill="CCEEFF"/>
          </w:tcPr>
          <w:p>
            <w:pPr>
              <w:spacing w:after="0"/>
              <w:rPr>
                <w:sz w:val="19"/>
                <w:szCs w:val="19"/>
                <w:color w:val="auto"/>
              </w:rPr>
            </w:pPr>
          </w:p>
        </w:tc>
        <w:tc>
          <w:tcPr>
            <w:tcW w:w="6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20" w:type="dxa"/>
            <w:vAlign w:val="bottom"/>
            <w:tcBorders>
              <w:top w:val="single" w:sz="8" w:color="auto"/>
              <w:bottom w:val="single" w:sz="8" w:color="auto"/>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spacing w:after="0"/>
              <w:rPr>
                <w:sz w:val="19"/>
                <w:szCs w:val="19"/>
                <w:color w:val="auto"/>
              </w:rPr>
            </w:pPr>
          </w:p>
        </w:tc>
        <w:tc>
          <w:tcPr>
            <w:tcW w:w="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842.0</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2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20" w:type="dxa"/>
            <w:vAlign w:val="bottom"/>
            <w:tcBorders>
              <w:top w:val="single" w:sz="8" w:color="CCEEFF"/>
              <w:bottom w:val="single" w:sz="8" w:color="CCEEFF"/>
            </w:tcBorders>
            <w:shd w:val="clear" w:color="auto" w:fill="CCEEFF"/>
          </w:tcPr>
          <w:p>
            <w:pPr>
              <w:spacing w:after="0"/>
              <w:rPr>
                <w:sz w:val="19"/>
                <w:szCs w:val="19"/>
                <w:color w:val="auto"/>
              </w:rPr>
            </w:pPr>
          </w:p>
        </w:tc>
        <w:tc>
          <w:tcPr>
            <w:tcW w:w="40" w:type="dxa"/>
            <w:vAlign w:val="bottom"/>
            <w:tcBorders>
              <w:top w:val="single" w:sz="8" w:color="CCEEFF"/>
              <w:bottom w:val="single" w:sz="8" w:color="CCEEFF"/>
            </w:tcBorders>
            <w:shd w:val="clear" w:color="auto" w:fill="CCEEFF"/>
          </w:tcPr>
          <w:p>
            <w:pPr>
              <w:spacing w:after="0"/>
              <w:rPr>
                <w:sz w:val="19"/>
                <w:szCs w:val="19"/>
                <w:color w:val="auto"/>
              </w:rPr>
            </w:pPr>
          </w:p>
        </w:tc>
        <w:tc>
          <w:tcPr>
            <w:tcW w:w="600" w:type="dxa"/>
            <w:vAlign w:val="bottom"/>
            <w:tcBorders>
              <w:top w:val="single" w:sz="8" w:color="CCEEFF"/>
              <w:bottom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42.7 %</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20" w:type="dxa"/>
            <w:vAlign w:val="bottom"/>
            <w:tcBorders>
              <w:top w:val="single" w:sz="8" w:color="auto"/>
              <w:bottom w:val="single" w:sz="8" w:color="auto"/>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spacing w:after="0"/>
              <w:rPr>
                <w:sz w:val="19"/>
                <w:szCs w:val="19"/>
                <w:color w:val="auto"/>
              </w:rPr>
            </w:pPr>
          </w:p>
        </w:tc>
        <w:tc>
          <w:tcPr>
            <w:tcW w:w="80" w:type="dxa"/>
            <w:vAlign w:val="bottom"/>
            <w:tcBorders>
              <w:top w:val="single" w:sz="8" w:color="auto"/>
              <w:bottom w:val="single" w:sz="8" w:color="auto"/>
            </w:tcBorders>
            <w:shd w:val="clear" w:color="auto" w:fill="CCEEFF"/>
          </w:tcPr>
          <w:p>
            <w:pPr>
              <w:spacing w:after="0"/>
              <w:rPr>
                <w:sz w:val="19"/>
                <w:szCs w:val="19"/>
                <w:color w:val="auto"/>
              </w:rPr>
            </w:pPr>
          </w:p>
        </w:tc>
        <w:tc>
          <w:tcPr>
            <w:tcW w:w="20" w:type="dxa"/>
            <w:vAlign w:val="bottom"/>
            <w:tcBorders>
              <w:top w:val="single" w:sz="8" w:color="auto"/>
              <w:bottom w:val="single" w:sz="8" w:color="auto"/>
            </w:tcBorders>
            <w:shd w:val="clear" w:color="auto" w:fill="CCEEFF"/>
          </w:tcPr>
          <w:p>
            <w:pPr>
              <w:spacing w:after="0"/>
              <w:rPr>
                <w:sz w:val="19"/>
                <w:szCs w:val="19"/>
                <w:color w:val="auto"/>
              </w:rPr>
            </w:pPr>
          </w:p>
        </w:tc>
        <w:tc>
          <w:tcPr>
            <w:tcW w:w="52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86.5</w:t>
            </w:r>
          </w:p>
        </w:tc>
        <w:tc>
          <w:tcPr>
            <w:tcW w:w="60" w:type="dxa"/>
            <w:vAlign w:val="bottom"/>
            <w:tcBorders>
              <w:top w:val="single" w:sz="8" w:color="auto"/>
              <w:bottom w:val="single" w:sz="8" w:color="auto"/>
            </w:tcBorders>
            <w:shd w:val="clear" w:color="auto" w:fill="CCEEFF"/>
          </w:tcPr>
          <w:p>
            <w:pPr>
              <w:spacing w:after="0"/>
              <w:rPr>
                <w:sz w:val="19"/>
                <w:szCs w:val="19"/>
                <w:color w:val="auto"/>
              </w:rPr>
            </w:pP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20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440" w:type="dxa"/>
            <w:vAlign w:val="bottom"/>
            <w:tcBorders>
              <w:top w:val="single" w:sz="8" w:color="CCEEFF"/>
              <w:bottom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4.4 %</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260" w:type="dxa"/>
            <w:vAlign w:val="bottom"/>
            <w:tcBorders>
              <w:top w:val="single" w:sz="8" w:color="auto"/>
              <w:bottom w:val="single" w:sz="8" w:color="auto"/>
            </w:tcBorders>
            <w:shd w:val="clear" w:color="auto" w:fill="CCEEFF"/>
          </w:tcPr>
          <w:p>
            <w:pPr>
              <w:jc w:val="center"/>
              <w:ind w:right="59"/>
              <w:spacing w:after="0"/>
              <w:rPr>
                <w:sz w:val="20"/>
                <w:szCs w:val="20"/>
                <w:color w:val="auto"/>
              </w:rPr>
            </w:pPr>
            <w:r>
              <w:rPr>
                <w:rFonts w:ascii="Times New Roman" w:cs="Times New Roman" w:eastAsia="Times New Roman" w:hAnsi="Times New Roman"/>
                <w:sz w:val="16"/>
                <w:szCs w:val="16"/>
                <w:color w:val="auto"/>
                <w:w w:val="99"/>
              </w:rPr>
              <w:t>$</w:t>
            </w:r>
          </w:p>
        </w:tc>
        <w:tc>
          <w:tcPr>
            <w:tcW w:w="100" w:type="dxa"/>
            <w:vAlign w:val="bottom"/>
            <w:tcBorders>
              <w:top w:val="single" w:sz="8" w:color="auto"/>
              <w:bottom w:val="single" w:sz="8" w:color="auto"/>
            </w:tcBorders>
            <w:shd w:val="clear" w:color="auto" w:fill="CCEEFF"/>
          </w:tcPr>
          <w:p>
            <w:pPr>
              <w:spacing w:after="0"/>
              <w:rPr>
                <w:sz w:val="19"/>
                <w:szCs w:val="19"/>
                <w:color w:val="auto"/>
              </w:rPr>
            </w:pPr>
          </w:p>
        </w:tc>
        <w:tc>
          <w:tcPr>
            <w:tcW w:w="440" w:type="dxa"/>
            <w:vAlign w:val="bottom"/>
            <w:tcBorders>
              <w:top w:val="single" w:sz="8" w:color="auto"/>
              <w:bottom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600" w:type="dxa"/>
            <w:vAlign w:val="bottom"/>
            <w:tcBorders>
              <w:top w:val="single" w:sz="8" w:color="auto"/>
              <w:bottom w:val="single" w:sz="8" w:color="auto"/>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17.0</w:t>
            </w:r>
          </w:p>
        </w:tc>
        <w:tc>
          <w:tcPr>
            <w:tcW w:w="20" w:type="dxa"/>
            <w:vAlign w:val="bottom"/>
            <w:tcBorders>
              <w:top w:val="single" w:sz="8" w:color="auto"/>
              <w:bottom w:val="single" w:sz="8" w:color="auto"/>
            </w:tcBorders>
            <w:shd w:val="clear" w:color="auto" w:fill="CCEEFF"/>
          </w:tcPr>
          <w:p>
            <w:pPr>
              <w:spacing w:after="0"/>
              <w:rPr>
                <w:sz w:val="19"/>
                <w:szCs w:val="19"/>
                <w:color w:val="auto"/>
              </w:rPr>
            </w:pPr>
          </w:p>
        </w:tc>
        <w:tc>
          <w:tcPr>
            <w:tcW w:w="20" w:type="dxa"/>
            <w:vAlign w:val="bottom"/>
            <w:tcBorders>
              <w:top w:val="single" w:sz="8" w:color="auto"/>
              <w:bottom w:val="single" w:sz="8" w:color="auto"/>
            </w:tcBorders>
            <w:shd w:val="clear" w:color="auto" w:fill="CCEEFF"/>
          </w:tcPr>
          <w:p>
            <w:pPr>
              <w:spacing w:after="0"/>
              <w:rPr>
                <w:sz w:val="19"/>
                <w:szCs w:val="19"/>
                <w:color w:val="auto"/>
              </w:rPr>
            </w:pPr>
          </w:p>
        </w:tc>
        <w:tc>
          <w:tcPr>
            <w:tcW w:w="60" w:type="dxa"/>
            <w:vAlign w:val="bottom"/>
            <w:tcBorders>
              <w:top w:val="single" w:sz="8" w:color="CCEEFF"/>
              <w:bottom w:val="single" w:sz="8" w:color="CCEEFF"/>
            </w:tcBorders>
            <w:shd w:val="clear" w:color="auto" w:fill="CCEEFF"/>
          </w:tcPr>
          <w:p>
            <w:pPr>
              <w:spacing w:after="0"/>
              <w:rPr>
                <w:sz w:val="19"/>
                <w:szCs w:val="19"/>
                <w:color w:val="auto"/>
              </w:rPr>
            </w:pPr>
          </w:p>
        </w:tc>
        <w:tc>
          <w:tcPr>
            <w:tcW w:w="6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56.9</w:t>
            </w:r>
          </w:p>
        </w:tc>
        <w:tc>
          <w:tcPr>
            <w:tcW w:w="2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0" w:type="dxa"/>
            <w:vAlign w:val="bottom"/>
            <w:tcBorders>
              <w:top w:val="single" w:sz="8" w:color="auto"/>
              <w:bottom w:val="single" w:sz="8" w:color="auto"/>
            </w:tcBorders>
            <w:shd w:val="clear" w:color="auto" w:fill="CCEEFF"/>
          </w:tcPr>
          <w:p>
            <w:pPr>
              <w:spacing w:after="0"/>
              <w:rPr>
                <w:sz w:val="19"/>
                <w:szCs w:val="19"/>
                <w:color w:val="auto"/>
              </w:rPr>
            </w:pP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1.57</w:t>
            </w:r>
          </w:p>
        </w:tc>
        <w:tc>
          <w:tcPr>
            <w:tcW w:w="0" w:type="dxa"/>
            <w:vAlign w:val="bottom"/>
          </w:tcPr>
          <w:p>
            <w:pPr>
              <w:spacing w:after="0"/>
              <w:rPr>
                <w:sz w:val="1"/>
                <w:szCs w:val="1"/>
                <w:color w:val="auto"/>
              </w:rPr>
            </w:pPr>
          </w:p>
        </w:tc>
      </w:tr>
      <w:tr>
        <w:trPr>
          <w:trHeight w:val="20"/>
        </w:trPr>
        <w:tc>
          <w:tcPr>
            <w:tcW w:w="15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gridSpan w:val="2"/>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gridSpan w:val="2"/>
          </w:tcPr>
          <w:p>
            <w:pPr>
              <w:spacing w:after="0" w:line="20" w:lineRule="exact"/>
              <w:rPr>
                <w:sz w:val="1"/>
                <w:szCs w:val="1"/>
                <w:color w:val="auto"/>
              </w:rPr>
            </w:pPr>
          </w:p>
        </w:tc>
        <w:tc>
          <w:tcPr>
            <w:tcW w:w="500" w:type="dxa"/>
            <w:vAlign w:val="bottom"/>
            <w:tcBorders>
              <w:top w:val="single" w:sz="8" w:color="CCEEFF"/>
              <w:bottom w:val="single" w:sz="8" w:color="auto"/>
            </w:tcBorders>
            <w:gridSpan w:val="2"/>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gridSpan w:val="2"/>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340" w:type="dxa"/>
            <w:vAlign w:val="bottom"/>
            <w:tcBorders>
              <w:top w:val="single" w:sz="8" w:color="CCEEFF"/>
              <w:bottom w:val="single" w:sz="8" w:color="auto"/>
            </w:tcBorders>
            <w:gridSpan w:val="3"/>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CCEEFF"/>
              <w:bottom w:val="single" w:sz="8" w:color="auto"/>
            </w:tcBorders>
            <w:gridSpan w:val="2"/>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52"/>
        </w:trPr>
        <w:tc>
          <w:tcPr>
            <w:tcW w:w="15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3480" w:type="dxa"/>
            <w:vAlign w:val="bottom"/>
            <w:tcBorders>
              <w:bottom w:val="single" w:sz="8" w:color="auto"/>
            </w:tcBorders>
            <w:gridSpan w:val="24"/>
          </w:tcPr>
          <w:p>
            <w:pPr>
              <w:jc w:val="center"/>
              <w:spacing w:after="0"/>
              <w:rPr>
                <w:sz w:val="20"/>
                <w:szCs w:val="20"/>
                <w:color w:val="auto"/>
              </w:rPr>
            </w:pPr>
            <w:r>
              <w:rPr>
                <w:rFonts w:ascii="Times New Roman" w:cs="Times New Roman" w:eastAsia="Times New Roman" w:hAnsi="Times New Roman"/>
                <w:sz w:val="16"/>
                <w:szCs w:val="16"/>
                <w:b w:val="1"/>
                <w:bCs w:val="1"/>
                <w:color w:val="auto"/>
              </w:rPr>
              <w:t>Fiscal quarter ended January 3, 2026 (14 weeks)</w:t>
            </w: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58"/>
        </w:trPr>
        <w:tc>
          <w:tcPr>
            <w:tcW w:w="15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20" w:type="dxa"/>
            <w:vAlign w:val="bottom"/>
            <w:gridSpan w:val="7"/>
          </w:tcPr>
          <w:p>
            <w:pPr>
              <w:jc w:val="center"/>
              <w:ind w:right="280"/>
              <w:spacing w:after="0" w:line="158" w:lineRule="exact"/>
              <w:rPr>
                <w:sz w:val="20"/>
                <w:szCs w:val="20"/>
                <w:color w:val="auto"/>
              </w:rPr>
            </w:pPr>
            <w:r>
              <w:rPr>
                <w:rFonts w:ascii="Times New Roman" w:cs="Times New Roman" w:eastAsia="Times New Roman" w:hAnsi="Times New Roman"/>
                <w:sz w:val="16"/>
                <w:szCs w:val="16"/>
                <w:b w:val="1"/>
                <w:bCs w:val="1"/>
                <w:color w:val="auto"/>
              </w:rPr>
              <w:t>SG&amp;A</w:t>
            </w:r>
          </w:p>
        </w:tc>
        <w:tc>
          <w:tcPr>
            <w:tcW w:w="840" w:type="dxa"/>
            <w:vAlign w:val="bottom"/>
            <w:gridSpan w:val="6"/>
            <w:vMerge w:val="restart"/>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 Net Sales</w:t>
            </w: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0" w:type="dxa"/>
            <w:vAlign w:val="bottom"/>
            <w:gridSpan w:val="6"/>
          </w:tcPr>
          <w:p>
            <w:pPr>
              <w:jc w:val="right"/>
              <w:ind w:right="240"/>
              <w:spacing w:after="0" w:line="158" w:lineRule="exact"/>
              <w:rPr>
                <w:sz w:val="20"/>
                <w:szCs w:val="20"/>
                <w:color w:val="auto"/>
              </w:rPr>
            </w:pPr>
            <w:r>
              <w:rPr>
                <w:rFonts w:ascii="Times New Roman" w:cs="Times New Roman" w:eastAsia="Times New Roman" w:hAnsi="Times New Roman"/>
                <w:sz w:val="16"/>
                <w:szCs w:val="16"/>
                <w:b w:val="1"/>
                <w:bCs w:val="1"/>
                <w:color w:val="auto"/>
              </w:rPr>
              <w:t>Operating</w:t>
            </w: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40" w:type="dxa"/>
            <w:vAlign w:val="bottom"/>
            <w:gridSpan w:val="4"/>
          </w:tcPr>
          <w:p>
            <w:pPr>
              <w:jc w:val="center"/>
              <w:ind w:right="280"/>
              <w:spacing w:after="0" w:line="158" w:lineRule="exact"/>
              <w:rPr>
                <w:sz w:val="20"/>
                <w:szCs w:val="20"/>
                <w:color w:val="auto"/>
              </w:rPr>
            </w:pPr>
            <w:r>
              <w:rPr>
                <w:rFonts w:ascii="Times New Roman" w:cs="Times New Roman" w:eastAsia="Times New Roman" w:hAnsi="Times New Roman"/>
                <w:sz w:val="16"/>
                <w:szCs w:val="16"/>
                <w:b w:val="1"/>
                <w:bCs w:val="1"/>
                <w:color w:val="auto"/>
              </w:rPr>
              <w:t>% Net</w:t>
            </w:r>
          </w:p>
        </w:tc>
        <w:tc>
          <w:tcPr>
            <w:tcW w:w="1220" w:type="dxa"/>
            <w:vAlign w:val="bottom"/>
            <w:gridSpan w:val="7"/>
            <w:vMerge w:val="restart"/>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w w:val="99"/>
              </w:rPr>
              <w:t>Income Taxes</w:t>
            </w: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900" w:type="dxa"/>
            <w:vAlign w:val="bottom"/>
            <w:gridSpan w:val="5"/>
            <w:vMerge w:val="restart"/>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w w:val="99"/>
              </w:rPr>
              <w:t>Net Income</w:t>
            </w: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20" w:type="dxa"/>
            <w:vAlign w:val="bottom"/>
          </w:tcPr>
          <w:p>
            <w:pPr>
              <w:jc w:val="right"/>
              <w:ind w:right="79"/>
              <w:spacing w:after="0" w:line="158" w:lineRule="exact"/>
              <w:rPr>
                <w:sz w:val="20"/>
                <w:szCs w:val="20"/>
                <w:color w:val="auto"/>
              </w:rPr>
            </w:pPr>
            <w:r>
              <w:rPr>
                <w:rFonts w:ascii="Times New Roman" w:cs="Times New Roman" w:eastAsia="Times New Roman" w:hAnsi="Times New Roman"/>
                <w:sz w:val="16"/>
                <w:szCs w:val="16"/>
                <w:b w:val="1"/>
                <w:bCs w:val="1"/>
                <w:color w:val="auto"/>
              </w:rPr>
              <w:t>Diluted</w:t>
            </w:r>
          </w:p>
        </w:tc>
        <w:tc>
          <w:tcPr>
            <w:tcW w:w="0" w:type="dxa"/>
            <w:vAlign w:val="bottom"/>
          </w:tcPr>
          <w:p>
            <w:pPr>
              <w:spacing w:after="0"/>
              <w:rPr>
                <w:sz w:val="1"/>
                <w:szCs w:val="1"/>
                <w:color w:val="auto"/>
              </w:rPr>
            </w:pPr>
          </w:p>
        </w:tc>
      </w:tr>
      <w:tr>
        <w:trPr>
          <w:trHeight w:val="214"/>
        </w:trPr>
        <w:tc>
          <w:tcPr>
            <w:tcW w:w="1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8"/>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rPr>
              <w:t>Expenses</w:t>
            </w:r>
          </w:p>
        </w:tc>
        <w:tc>
          <w:tcPr>
            <w:tcW w:w="840" w:type="dxa"/>
            <w:vAlign w:val="bottom"/>
            <w:gridSpan w:val="6"/>
            <w:vMerge w:val="continue"/>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gridSpan w:val="5"/>
          </w:tcPr>
          <w:p>
            <w:pPr>
              <w:jc w:val="right"/>
              <w:ind w:right="340"/>
              <w:spacing w:after="0"/>
              <w:rPr>
                <w:sz w:val="20"/>
                <w:szCs w:val="20"/>
                <w:color w:val="auto"/>
              </w:rPr>
            </w:pPr>
            <w:r>
              <w:rPr>
                <w:rFonts w:ascii="Times New Roman" w:cs="Times New Roman" w:eastAsia="Times New Roman" w:hAnsi="Times New Roman"/>
                <w:sz w:val="16"/>
                <w:szCs w:val="16"/>
                <w:b w:val="1"/>
                <w:bCs w:val="1"/>
                <w:color w:val="auto"/>
              </w:rPr>
              <w:t>Income</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gridSpan w:val="4"/>
          </w:tcPr>
          <w:p>
            <w:pPr>
              <w:jc w:val="center"/>
              <w:ind w:right="280"/>
              <w:spacing w:after="0"/>
              <w:rPr>
                <w:sz w:val="20"/>
                <w:szCs w:val="20"/>
                <w:color w:val="auto"/>
              </w:rPr>
            </w:pPr>
            <w:r>
              <w:rPr>
                <w:rFonts w:ascii="Times New Roman" w:cs="Times New Roman" w:eastAsia="Times New Roman" w:hAnsi="Times New Roman"/>
                <w:sz w:val="16"/>
                <w:szCs w:val="16"/>
                <w:b w:val="1"/>
                <w:bCs w:val="1"/>
                <w:color w:val="auto"/>
                <w:w w:val="97"/>
              </w:rPr>
              <w:t>Sales</w:t>
            </w:r>
          </w:p>
        </w:tc>
        <w:tc>
          <w:tcPr>
            <w:tcW w:w="1220" w:type="dxa"/>
            <w:vAlign w:val="bottom"/>
            <w:gridSpan w:val="7"/>
            <w:vMerge w:val="continue"/>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900" w:type="dxa"/>
            <w:vAlign w:val="bottom"/>
            <w:gridSpan w:val="5"/>
            <w:vMerge w:val="continue"/>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tcPr>
          <w:p>
            <w:pPr>
              <w:jc w:val="right"/>
              <w:ind w:right="199"/>
              <w:spacing w:after="0"/>
              <w:rPr>
                <w:sz w:val="20"/>
                <w:szCs w:val="20"/>
                <w:color w:val="auto"/>
              </w:rPr>
            </w:pPr>
            <w:r>
              <w:rPr>
                <w:rFonts w:ascii="Times New Roman" w:cs="Times New Roman" w:eastAsia="Times New Roman" w:hAnsi="Times New Roman"/>
                <w:sz w:val="16"/>
                <w:szCs w:val="16"/>
                <w:b w:val="1"/>
                <w:bCs w:val="1"/>
                <w:color w:val="auto"/>
              </w:rPr>
              <w:t>EPS</w:t>
            </w:r>
          </w:p>
        </w:tc>
        <w:tc>
          <w:tcPr>
            <w:tcW w:w="0" w:type="dxa"/>
            <w:vAlign w:val="bottom"/>
          </w:tcPr>
          <w:p>
            <w:pPr>
              <w:spacing w:after="0"/>
              <w:rPr>
                <w:sz w:val="1"/>
                <w:szCs w:val="1"/>
                <w:color w:val="auto"/>
              </w:rPr>
            </w:pPr>
          </w:p>
        </w:tc>
      </w:tr>
      <w:tr>
        <w:trPr>
          <w:trHeight w:val="211"/>
        </w:trPr>
        <w:tc>
          <w:tcPr>
            <w:tcW w:w="15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As reported (GAAP)</w:t>
            </w:r>
          </w:p>
        </w:tc>
        <w:tc>
          <w:tcPr>
            <w:tcW w:w="120" w:type="dxa"/>
            <w:vAlign w:val="bottom"/>
            <w:tcBorders>
              <w:top w:val="single" w:sz="8" w:color="CCEEFF"/>
            </w:tcBorders>
            <w:shd w:val="clear" w:color="auto" w:fill="CCEEFF"/>
          </w:tcPr>
          <w:p>
            <w:pPr>
              <w:spacing w:after="0"/>
              <w:rPr>
                <w:sz w:val="18"/>
                <w:szCs w:val="18"/>
                <w:color w:val="auto"/>
              </w:rPr>
            </w:pPr>
          </w:p>
        </w:tc>
        <w:tc>
          <w:tcPr>
            <w:tcW w:w="6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6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2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319.6</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4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gridSpan w:val="5"/>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34.5 %</w:t>
            </w:r>
          </w:p>
        </w:tc>
        <w:tc>
          <w:tcPr>
            <w:tcW w:w="2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0" w:type="dxa"/>
            <w:vAlign w:val="bottom"/>
            <w:tcBorders>
              <w:top w:val="single" w:sz="8" w:color="auto"/>
            </w:tcBorders>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spacing w:after="0"/>
              <w:rPr>
                <w:sz w:val="18"/>
                <w:szCs w:val="18"/>
                <w:color w:val="auto"/>
              </w:rPr>
            </w:pPr>
          </w:p>
        </w:tc>
        <w:tc>
          <w:tcPr>
            <w:tcW w:w="380" w:type="dxa"/>
            <w:vAlign w:val="bottom"/>
            <w:tcBorders>
              <w:top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84.7</w:t>
            </w:r>
          </w:p>
        </w:tc>
        <w:tc>
          <w:tcPr>
            <w:tcW w:w="100" w:type="dxa"/>
            <w:vAlign w:val="bottom"/>
            <w:tcBorders>
              <w:top w:val="single" w:sz="8" w:color="CCEEFF"/>
            </w:tcBorders>
            <w:shd w:val="clear" w:color="auto" w:fill="CCEEFF"/>
          </w:tcPr>
          <w:p>
            <w:pPr>
              <w:spacing w:after="0"/>
              <w:rPr>
                <w:sz w:val="18"/>
                <w:szCs w:val="18"/>
                <w:color w:val="auto"/>
              </w:rPr>
            </w:pPr>
          </w:p>
        </w:tc>
        <w:tc>
          <w:tcPr>
            <w:tcW w:w="820" w:type="dxa"/>
            <w:vAlign w:val="bottom"/>
            <w:tcBorders>
              <w:top w:val="single" w:sz="8" w:color="auto"/>
            </w:tcBorders>
            <w:gridSpan w:val="5"/>
            <w:shd w:val="clear" w:color="auto" w:fill="CCEEFF"/>
          </w:tcPr>
          <w:p>
            <w:pPr>
              <w:jc w:val="center"/>
              <w:ind w:left="299"/>
              <w:spacing w:after="0"/>
              <w:rPr>
                <w:sz w:val="20"/>
                <w:szCs w:val="20"/>
                <w:color w:val="auto"/>
              </w:rPr>
            </w:pPr>
            <w:r>
              <w:rPr>
                <w:rFonts w:ascii="Times New Roman" w:cs="Times New Roman" w:eastAsia="Times New Roman" w:hAnsi="Times New Roman"/>
                <w:sz w:val="16"/>
                <w:szCs w:val="16"/>
                <w:color w:val="auto"/>
              </w:rPr>
              <w:t>9.2 %</w:t>
            </w: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11.7</w:t>
            </w:r>
          </w:p>
        </w:tc>
        <w:tc>
          <w:tcPr>
            <w:tcW w:w="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64.2</w:t>
            </w:r>
          </w:p>
        </w:tc>
        <w:tc>
          <w:tcPr>
            <w:tcW w:w="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1.76</w:t>
            </w:r>
          </w:p>
        </w:tc>
        <w:tc>
          <w:tcPr>
            <w:tcW w:w="0" w:type="dxa"/>
            <w:vAlign w:val="bottom"/>
          </w:tcPr>
          <w:p>
            <w:pPr>
              <w:spacing w:after="0"/>
              <w:rPr>
                <w:sz w:val="1"/>
                <w:szCs w:val="1"/>
                <w:color w:val="auto"/>
              </w:rPr>
            </w:pPr>
          </w:p>
        </w:tc>
      </w:tr>
      <w:tr>
        <w:trPr>
          <w:trHeight w:val="216"/>
        </w:trPr>
        <w:tc>
          <w:tcPr>
            <w:tcW w:w="2380" w:type="dxa"/>
            <w:vAlign w:val="bottom"/>
            <w:gridSpan w:val="4"/>
          </w:tcPr>
          <w:p>
            <w:pPr>
              <w:ind w:left="20"/>
              <w:spacing w:after="0" w:line="216" w:lineRule="exact"/>
              <w:rPr>
                <w:sz w:val="20"/>
                <w:szCs w:val="20"/>
                <w:color w:val="auto"/>
              </w:rPr>
            </w:pPr>
            <w:r>
              <w:rPr>
                <w:rFonts w:ascii="Times New Roman" w:cs="Times New Roman" w:eastAsia="Times New Roman" w:hAnsi="Times New Roman"/>
                <w:sz w:val="16"/>
                <w:szCs w:val="16"/>
                <w:color w:val="auto"/>
              </w:rPr>
              <w:t xml:space="preserve">Organizational restructuring </w:t>
            </w:r>
            <w:r>
              <w:rPr>
                <w:rFonts w:ascii="Times New Roman" w:cs="Times New Roman" w:eastAsia="Times New Roman" w:hAnsi="Times New Roman"/>
                <w:sz w:val="21"/>
                <w:szCs w:val="21"/>
                <w:color w:val="auto"/>
                <w:vertAlign w:val="superscript"/>
              </w:rPr>
              <w:t>(e)</w:t>
            </w: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(3.7)</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8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3.7</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0.9</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3"/>
          </w:tcPr>
          <w:p>
            <w:pPr>
              <w:jc w:val="right"/>
              <w:ind w:right="40"/>
              <w:spacing w:after="0"/>
              <w:rPr>
                <w:sz w:val="20"/>
                <w:szCs w:val="20"/>
                <w:color w:val="auto"/>
              </w:rPr>
            </w:pPr>
            <w:r>
              <w:rPr>
                <w:rFonts w:ascii="Times New Roman" w:cs="Times New Roman" w:eastAsia="Times New Roman" w:hAnsi="Times New Roman"/>
                <w:sz w:val="16"/>
                <w:szCs w:val="16"/>
                <w:color w:val="auto"/>
              </w:rPr>
              <w:t>2.8</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0.08</w:t>
            </w:r>
          </w:p>
        </w:tc>
        <w:tc>
          <w:tcPr>
            <w:tcW w:w="0" w:type="dxa"/>
            <w:vAlign w:val="bottom"/>
          </w:tcPr>
          <w:p>
            <w:pPr>
              <w:spacing w:after="0"/>
              <w:rPr>
                <w:sz w:val="1"/>
                <w:szCs w:val="1"/>
                <w:color w:val="auto"/>
              </w:rPr>
            </w:pPr>
          </w:p>
        </w:tc>
      </w:tr>
      <w:tr>
        <w:trPr>
          <w:trHeight w:val="216"/>
        </w:trPr>
        <w:tc>
          <w:tcPr>
            <w:tcW w:w="3080" w:type="dxa"/>
            <w:vAlign w:val="bottom"/>
            <w:gridSpan w:val="6"/>
            <w:shd w:val="clear" w:color="auto" w:fill="CCEEFF"/>
          </w:tcPr>
          <w:p>
            <w:pPr>
              <w:ind w:left="20"/>
              <w:spacing w:after="0" w:line="216" w:lineRule="exact"/>
              <w:rPr>
                <w:sz w:val="20"/>
                <w:szCs w:val="20"/>
                <w:color w:val="auto"/>
              </w:rPr>
            </w:pPr>
            <w:r>
              <w:rPr>
                <w:rFonts w:ascii="Times New Roman" w:cs="Times New Roman" w:eastAsia="Times New Roman" w:hAnsi="Times New Roman"/>
                <w:sz w:val="16"/>
                <w:szCs w:val="16"/>
                <w:color w:val="auto"/>
              </w:rPr>
              <w:t xml:space="preserve">Operating model improvement costs </w:t>
            </w:r>
            <w:r>
              <w:rPr>
                <w:rFonts w:ascii="Times New Roman" w:cs="Times New Roman" w:eastAsia="Times New Roman" w:hAnsi="Times New Roman"/>
                <w:sz w:val="21"/>
                <w:szCs w:val="21"/>
                <w:color w:val="auto"/>
                <w:vertAlign w:val="superscript"/>
              </w:rPr>
              <w:t>(f)</w:t>
            </w: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(0.7)</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3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0.7</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0.2</w:t>
            </w: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0.5</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0.01</w:t>
            </w:r>
          </w:p>
        </w:tc>
        <w:tc>
          <w:tcPr>
            <w:tcW w:w="0" w:type="dxa"/>
            <w:vAlign w:val="bottom"/>
          </w:tcPr>
          <w:p>
            <w:pPr>
              <w:spacing w:after="0"/>
              <w:rPr>
                <w:sz w:val="1"/>
                <w:szCs w:val="1"/>
                <w:color w:val="auto"/>
              </w:rPr>
            </w:pPr>
          </w:p>
        </w:tc>
      </w:tr>
      <w:tr>
        <w:trPr>
          <w:trHeight w:val="216"/>
        </w:trPr>
        <w:tc>
          <w:tcPr>
            <w:tcW w:w="2380" w:type="dxa"/>
            <w:vAlign w:val="bottom"/>
            <w:gridSpan w:val="4"/>
          </w:tcPr>
          <w:p>
            <w:pPr>
              <w:ind w:left="20"/>
              <w:spacing w:after="0" w:line="216" w:lineRule="exact"/>
              <w:rPr>
                <w:sz w:val="20"/>
                <w:szCs w:val="20"/>
                <w:color w:val="auto"/>
              </w:rPr>
            </w:pPr>
            <w:r>
              <w:rPr>
                <w:rFonts w:ascii="Times New Roman" w:cs="Times New Roman" w:eastAsia="Times New Roman" w:hAnsi="Times New Roman"/>
                <w:sz w:val="16"/>
                <w:szCs w:val="16"/>
                <w:color w:val="auto"/>
              </w:rPr>
              <w:t xml:space="preserve">Leadership transition costs </w:t>
            </w:r>
            <w:r>
              <w:rPr>
                <w:rFonts w:ascii="Times New Roman" w:cs="Times New Roman" w:eastAsia="Times New Roman" w:hAnsi="Times New Roman"/>
                <w:sz w:val="21"/>
                <w:szCs w:val="21"/>
                <w:color w:val="auto"/>
                <w:vertAlign w:val="superscript"/>
              </w:rPr>
              <w:t>(c)</w:t>
            </w: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(0.4)</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8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0.4</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3"/>
          </w:tcPr>
          <w:p>
            <w:pPr>
              <w:jc w:val="right"/>
              <w:ind w:right="40"/>
              <w:spacing w:after="0"/>
              <w:rPr>
                <w:sz w:val="20"/>
                <w:szCs w:val="20"/>
                <w:color w:val="auto"/>
              </w:rPr>
            </w:pPr>
            <w:r>
              <w:rPr>
                <w:rFonts w:ascii="Times New Roman" w:cs="Times New Roman" w:eastAsia="Times New Roman" w:hAnsi="Times New Roman"/>
                <w:sz w:val="16"/>
                <w:szCs w:val="16"/>
                <w:color w:val="auto"/>
              </w:rPr>
              <w:t>0.3</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0.01</w:t>
            </w:r>
          </w:p>
        </w:tc>
        <w:tc>
          <w:tcPr>
            <w:tcW w:w="0" w:type="dxa"/>
            <w:vAlign w:val="bottom"/>
          </w:tcPr>
          <w:p>
            <w:pPr>
              <w:spacing w:after="0"/>
              <w:rPr>
                <w:sz w:val="1"/>
                <w:szCs w:val="1"/>
                <w:color w:val="auto"/>
              </w:rPr>
            </w:pPr>
          </w:p>
        </w:tc>
      </w:tr>
      <w:tr>
        <w:trPr>
          <w:trHeight w:val="216"/>
        </w:trPr>
        <w:tc>
          <w:tcPr>
            <w:tcW w:w="2380" w:type="dxa"/>
            <w:vAlign w:val="bottom"/>
            <w:gridSpan w:val="4"/>
            <w:shd w:val="clear" w:color="auto" w:fill="CCEEFF"/>
          </w:tcPr>
          <w:p>
            <w:pPr>
              <w:ind w:left="20"/>
              <w:spacing w:after="0" w:line="216" w:lineRule="exact"/>
              <w:rPr>
                <w:sz w:val="20"/>
                <w:szCs w:val="20"/>
                <w:color w:val="auto"/>
              </w:rPr>
            </w:pPr>
            <w:r>
              <w:rPr>
                <w:rFonts w:ascii="Times New Roman" w:cs="Times New Roman" w:eastAsia="Times New Roman" w:hAnsi="Times New Roman"/>
                <w:sz w:val="16"/>
                <w:szCs w:val="16"/>
                <w:color w:val="auto"/>
              </w:rPr>
              <w:t xml:space="preserve">Loss on extinguishment of debt </w:t>
            </w:r>
            <w:r>
              <w:rPr>
                <w:rFonts w:ascii="Times New Roman" w:cs="Times New Roman" w:eastAsia="Times New Roman" w:hAnsi="Times New Roman"/>
                <w:sz w:val="21"/>
                <w:szCs w:val="21"/>
                <w:color w:val="auto"/>
                <w:vertAlign w:val="superscript"/>
              </w:rPr>
              <w:t>(i)</w:t>
            </w: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5"/>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2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0.4</w:t>
            </w: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1.3</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0.03</w:t>
            </w:r>
          </w:p>
        </w:tc>
        <w:tc>
          <w:tcPr>
            <w:tcW w:w="0" w:type="dxa"/>
            <w:vAlign w:val="bottom"/>
          </w:tcPr>
          <w:p>
            <w:pPr>
              <w:spacing w:after="0"/>
              <w:rPr>
                <w:sz w:val="1"/>
                <w:szCs w:val="1"/>
                <w:color w:val="auto"/>
              </w:rPr>
            </w:pPr>
          </w:p>
        </w:tc>
      </w:tr>
      <w:tr>
        <w:trPr>
          <w:trHeight w:val="209"/>
        </w:trPr>
        <w:tc>
          <w:tcPr>
            <w:tcW w:w="1540" w:type="dxa"/>
            <w:vAlign w:val="bottom"/>
          </w:tcPr>
          <w:p>
            <w:pPr>
              <w:ind w:left="20"/>
              <w:spacing w:after="0" w:line="210" w:lineRule="exact"/>
              <w:rPr>
                <w:sz w:val="20"/>
                <w:szCs w:val="20"/>
                <w:color w:val="auto"/>
              </w:rPr>
            </w:pPr>
            <w:r>
              <w:rPr>
                <w:rFonts w:ascii="Times New Roman" w:cs="Times New Roman" w:eastAsia="Times New Roman" w:hAnsi="Times New Roman"/>
                <w:sz w:val="16"/>
                <w:szCs w:val="16"/>
                <w:b w:val="1"/>
                <w:bCs w:val="1"/>
                <w:color w:val="auto"/>
              </w:rPr>
              <w:t xml:space="preserve">As adjusted </w:t>
            </w:r>
            <w:r>
              <w:rPr>
                <w:rFonts w:ascii="Times New Roman" w:cs="Times New Roman" w:eastAsia="Times New Roman" w:hAnsi="Times New Roman"/>
                <w:sz w:val="21"/>
                <w:szCs w:val="21"/>
                <w:b w:val="1"/>
                <w:bCs w:val="1"/>
                <w:color w:val="auto"/>
                <w:vertAlign w:val="superscript"/>
              </w:rPr>
              <w:t>(a)</w:t>
            </w:r>
          </w:p>
        </w:tc>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20" w:type="dxa"/>
            <w:vAlign w:val="bottom"/>
            <w:tcBorders>
              <w:top w:val="single" w:sz="8" w:color="auto"/>
              <w:bottom w:val="single" w:sz="8" w:color="auto"/>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58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6"/>
                <w:szCs w:val="16"/>
                <w:color w:val="auto"/>
              </w:rPr>
              <w:t>314.8</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0" w:type="dxa"/>
            <w:vAlign w:val="bottom"/>
            <w:gridSpan w:val="5"/>
          </w:tcPr>
          <w:p>
            <w:pPr>
              <w:jc w:val="right"/>
              <w:spacing w:after="0"/>
              <w:rPr>
                <w:sz w:val="20"/>
                <w:szCs w:val="20"/>
                <w:color w:val="auto"/>
              </w:rPr>
            </w:pPr>
            <w:r>
              <w:rPr>
                <w:rFonts w:ascii="Times New Roman" w:cs="Times New Roman" w:eastAsia="Times New Roman" w:hAnsi="Times New Roman"/>
                <w:sz w:val="16"/>
                <w:szCs w:val="16"/>
                <w:color w:val="auto"/>
              </w:rPr>
              <w:t>34.0 %</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0" w:type="dxa"/>
            <w:vAlign w:val="bottom"/>
            <w:tcBorders>
              <w:top w:val="single" w:sz="8" w:color="auto"/>
              <w:bottom w:val="single" w:sz="8" w:color="auto"/>
            </w:tcBorders>
          </w:tcPr>
          <w:p>
            <w:pPr>
              <w:spacing w:after="0"/>
              <w:rPr>
                <w:sz w:val="18"/>
                <w:szCs w:val="18"/>
                <w:color w:val="auto"/>
              </w:rPr>
            </w:pPr>
          </w:p>
        </w:tc>
        <w:tc>
          <w:tcPr>
            <w:tcW w:w="440" w:type="dxa"/>
            <w:vAlign w:val="bottom"/>
            <w:tcBorders>
              <w:top w:val="single" w:sz="8" w:color="auto"/>
              <w:bottom w:val="single" w:sz="8" w:color="auto"/>
            </w:tcBorders>
          </w:tcPr>
          <w:p>
            <w:pPr>
              <w:spacing w:after="0"/>
              <w:rPr>
                <w:sz w:val="18"/>
                <w:szCs w:val="18"/>
                <w:color w:val="auto"/>
              </w:rPr>
            </w:pPr>
          </w:p>
        </w:tc>
        <w:tc>
          <w:tcPr>
            <w:tcW w:w="380" w:type="dxa"/>
            <w:vAlign w:val="bottom"/>
            <w:tcBorders>
              <w:top w:val="single" w:sz="8" w:color="auto"/>
              <w:bottom w:val="single" w:sz="8" w:color="auto"/>
            </w:tcBorders>
            <w:gridSpan w:val="3"/>
          </w:tcPr>
          <w:p>
            <w:pPr>
              <w:jc w:val="right"/>
              <w:spacing w:after="0"/>
              <w:rPr>
                <w:sz w:val="20"/>
                <w:szCs w:val="20"/>
                <w:color w:val="auto"/>
              </w:rPr>
            </w:pPr>
            <w:r>
              <w:rPr>
                <w:rFonts w:ascii="Times New Roman" w:cs="Times New Roman" w:eastAsia="Times New Roman" w:hAnsi="Times New Roman"/>
                <w:sz w:val="16"/>
                <w:szCs w:val="16"/>
                <w:color w:val="auto"/>
                <w:w w:val="99"/>
              </w:rPr>
              <w:t>89.5</w:t>
            </w:r>
          </w:p>
        </w:tc>
        <w:tc>
          <w:tcPr>
            <w:tcW w:w="100" w:type="dxa"/>
            <w:vAlign w:val="bottom"/>
          </w:tcPr>
          <w:p>
            <w:pPr>
              <w:spacing w:after="0"/>
              <w:rPr>
                <w:sz w:val="18"/>
                <w:szCs w:val="18"/>
                <w:color w:val="auto"/>
              </w:rPr>
            </w:pPr>
          </w:p>
        </w:tc>
        <w:tc>
          <w:tcPr>
            <w:tcW w:w="820" w:type="dxa"/>
            <w:vAlign w:val="bottom"/>
            <w:gridSpan w:val="5"/>
          </w:tcPr>
          <w:p>
            <w:pPr>
              <w:jc w:val="center"/>
              <w:ind w:left="299"/>
              <w:spacing w:after="0"/>
              <w:rPr>
                <w:sz w:val="20"/>
                <w:szCs w:val="20"/>
                <w:color w:val="auto"/>
              </w:rPr>
            </w:pPr>
            <w:r>
              <w:rPr>
                <w:rFonts w:ascii="Times New Roman" w:cs="Times New Roman" w:eastAsia="Times New Roman" w:hAnsi="Times New Roman"/>
                <w:sz w:val="16"/>
                <w:szCs w:val="16"/>
                <w:color w:val="auto"/>
              </w:rPr>
              <w:t>9.7 %</w:t>
            </w:r>
          </w:p>
        </w:tc>
        <w:tc>
          <w:tcPr>
            <w:tcW w:w="10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0" w:type="dxa"/>
            <w:vAlign w:val="bottom"/>
            <w:tcBorders>
              <w:top w:val="single" w:sz="8" w:color="auto"/>
              <w:bottom w:val="single" w:sz="8" w:color="auto"/>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80" w:type="dxa"/>
            <w:vAlign w:val="bottom"/>
            <w:tcBorders>
              <w:top w:val="single" w:sz="8" w:color="auto"/>
              <w:bottom w:val="single" w:sz="8" w:color="auto"/>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5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13.2</w:t>
            </w:r>
          </w:p>
        </w:tc>
        <w:tc>
          <w:tcPr>
            <w:tcW w:w="80" w:type="dxa"/>
            <w:vAlign w:val="bottom"/>
          </w:tcPr>
          <w:p>
            <w:pPr>
              <w:spacing w:after="0"/>
              <w:rPr>
                <w:sz w:val="18"/>
                <w:szCs w:val="18"/>
                <w:color w:val="auto"/>
              </w:rPr>
            </w:pPr>
          </w:p>
        </w:tc>
        <w:tc>
          <w:tcPr>
            <w:tcW w:w="100" w:type="dxa"/>
            <w:vAlign w:val="bottom"/>
            <w:tcBorders>
              <w:top w:val="single" w:sz="8" w:color="auto"/>
              <w:bottom w:val="single" w:sz="8" w:color="auto"/>
            </w:tcBorders>
            <w:gridSpan w:val="3"/>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0" w:type="dxa"/>
            <w:vAlign w:val="bottom"/>
            <w:tcBorders>
              <w:top w:val="single" w:sz="8" w:color="auto"/>
              <w:bottom w:val="single" w:sz="8" w:color="auto"/>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740" w:type="dxa"/>
            <w:vAlign w:val="bottom"/>
            <w:tcBorders>
              <w:top w:val="single" w:sz="8" w:color="auto"/>
              <w:bottom w:val="single" w:sz="8" w:color="auto"/>
            </w:tcBorders>
            <w:gridSpan w:val="3"/>
          </w:tcPr>
          <w:p>
            <w:pPr>
              <w:jc w:val="right"/>
              <w:ind w:right="40"/>
              <w:spacing w:after="0"/>
              <w:rPr>
                <w:sz w:val="20"/>
                <w:szCs w:val="20"/>
                <w:color w:val="auto"/>
              </w:rPr>
            </w:pPr>
            <w:r>
              <w:rPr>
                <w:rFonts w:ascii="Times New Roman" w:cs="Times New Roman" w:eastAsia="Times New Roman" w:hAnsi="Times New Roman"/>
                <w:sz w:val="16"/>
                <w:szCs w:val="16"/>
                <w:color w:val="auto"/>
              </w:rPr>
              <w:t>69.2</w:t>
            </w:r>
          </w:p>
        </w:tc>
        <w:tc>
          <w:tcPr>
            <w:tcW w:w="20" w:type="dxa"/>
            <w:vAlign w:val="bottom"/>
            <w:tcBorders>
              <w:top w:val="single" w:sz="8" w:color="auto"/>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1.90</w:t>
            </w:r>
          </w:p>
        </w:tc>
        <w:tc>
          <w:tcPr>
            <w:tcW w:w="0" w:type="dxa"/>
            <w:vAlign w:val="bottom"/>
          </w:tcPr>
          <w:p>
            <w:pPr>
              <w:spacing w:after="0"/>
              <w:rPr>
                <w:sz w:val="1"/>
                <w:szCs w:val="1"/>
                <w:color w:val="auto"/>
              </w:rPr>
            </w:pPr>
          </w:p>
        </w:tc>
      </w:tr>
      <w:tr>
        <w:trPr>
          <w:trHeight w:val="21"/>
        </w:trPr>
        <w:tc>
          <w:tcPr>
            <w:tcW w:w="15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gridSpan w:val="4"/>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4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gridSpan w:val="2"/>
          </w:tcPr>
          <w:p>
            <w:pPr>
              <w:spacing w:after="0" w:line="20" w:lineRule="exact"/>
              <w:rPr>
                <w:sz w:val="1"/>
                <w:szCs w:val="1"/>
                <w:color w:val="auto"/>
              </w:rPr>
            </w:pPr>
          </w:p>
        </w:tc>
        <w:tc>
          <w:tcPr>
            <w:tcW w:w="900" w:type="dxa"/>
            <w:vAlign w:val="bottom"/>
            <w:tcBorders>
              <w:bottom w:val="single" w:sz="8" w:color="auto"/>
            </w:tcBorders>
            <w:gridSpan w:val="4"/>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gridSpan w:val="2"/>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58"/>
        </w:trPr>
        <w:tc>
          <w:tcPr>
            <w:tcW w:w="15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3240" w:type="dxa"/>
            <w:vAlign w:val="bottom"/>
            <w:tcBorders>
              <w:bottom w:val="single" w:sz="8" w:color="auto"/>
            </w:tcBorders>
            <w:gridSpan w:val="22"/>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Fiscal Year Ended January 3, 2026 (53 weeks)</w:t>
            </w:r>
          </w:p>
        </w:tc>
        <w:tc>
          <w:tcPr>
            <w:tcW w:w="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58"/>
        </w:trPr>
        <w:tc>
          <w:tcPr>
            <w:tcW w:w="15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00" w:type="dxa"/>
            <w:vAlign w:val="bottom"/>
            <w:gridSpan w:val="5"/>
          </w:tcPr>
          <w:p>
            <w:pPr>
              <w:jc w:val="right"/>
              <w:ind w:right="140"/>
              <w:spacing w:after="0" w:line="158" w:lineRule="exact"/>
              <w:rPr>
                <w:sz w:val="20"/>
                <w:szCs w:val="20"/>
                <w:color w:val="auto"/>
              </w:rPr>
            </w:pPr>
            <w:r>
              <w:rPr>
                <w:rFonts w:ascii="Times New Roman" w:cs="Times New Roman" w:eastAsia="Times New Roman" w:hAnsi="Times New Roman"/>
                <w:sz w:val="16"/>
                <w:szCs w:val="16"/>
                <w:b w:val="1"/>
                <w:bCs w:val="1"/>
                <w:color w:val="auto"/>
              </w:rPr>
              <w:t>SG&amp;A</w:t>
            </w: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00" w:type="dxa"/>
            <w:vAlign w:val="bottom"/>
            <w:gridSpan w:val="7"/>
            <w:vMerge w:val="restart"/>
          </w:tcPr>
          <w:p>
            <w:pPr>
              <w:jc w:val="right"/>
              <w:ind w:right="40"/>
              <w:spacing w:after="0"/>
              <w:rPr>
                <w:sz w:val="20"/>
                <w:szCs w:val="20"/>
                <w:color w:val="auto"/>
              </w:rPr>
            </w:pPr>
            <w:r>
              <w:rPr>
                <w:rFonts w:ascii="Times New Roman" w:cs="Times New Roman" w:eastAsia="Times New Roman" w:hAnsi="Times New Roman"/>
                <w:sz w:val="16"/>
                <w:szCs w:val="16"/>
                <w:b w:val="1"/>
                <w:bCs w:val="1"/>
                <w:color w:val="auto"/>
              </w:rPr>
              <w:t>% Net Sales</w:t>
            </w:r>
          </w:p>
        </w:tc>
        <w:tc>
          <w:tcPr>
            <w:tcW w:w="80" w:type="dxa"/>
            <w:vAlign w:val="bottom"/>
          </w:tcPr>
          <w:p>
            <w:pPr>
              <w:spacing w:after="0"/>
              <w:rPr>
                <w:sz w:val="13"/>
                <w:szCs w:val="13"/>
                <w:color w:val="auto"/>
              </w:rPr>
            </w:pPr>
          </w:p>
        </w:tc>
        <w:tc>
          <w:tcPr>
            <w:tcW w:w="920" w:type="dxa"/>
            <w:vAlign w:val="bottom"/>
            <w:gridSpan w:val="5"/>
          </w:tcPr>
          <w:p>
            <w:pPr>
              <w:jc w:val="right"/>
              <w:ind w:right="60"/>
              <w:spacing w:after="0" w:line="158" w:lineRule="exact"/>
              <w:rPr>
                <w:sz w:val="20"/>
                <w:szCs w:val="20"/>
                <w:color w:val="auto"/>
              </w:rPr>
            </w:pPr>
            <w:r>
              <w:rPr>
                <w:rFonts w:ascii="Times New Roman" w:cs="Times New Roman" w:eastAsia="Times New Roman" w:hAnsi="Times New Roman"/>
                <w:sz w:val="16"/>
                <w:szCs w:val="16"/>
                <w:b w:val="1"/>
                <w:bCs w:val="1"/>
                <w:color w:val="auto"/>
              </w:rPr>
              <w:t>Operating</w:t>
            </w: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80" w:type="dxa"/>
            <w:vAlign w:val="bottom"/>
            <w:gridSpan w:val="5"/>
            <w:vMerge w:val="restart"/>
          </w:tcPr>
          <w:p>
            <w:pPr>
              <w:jc w:val="center"/>
              <w:spacing w:after="0"/>
              <w:rPr>
                <w:sz w:val="20"/>
                <w:szCs w:val="20"/>
                <w:color w:val="auto"/>
              </w:rPr>
            </w:pPr>
            <w:r>
              <w:rPr>
                <w:rFonts w:ascii="Times New Roman" w:cs="Times New Roman" w:eastAsia="Times New Roman" w:hAnsi="Times New Roman"/>
                <w:sz w:val="16"/>
                <w:szCs w:val="16"/>
                <w:b w:val="1"/>
                <w:bCs w:val="1"/>
                <w:color w:val="auto"/>
              </w:rPr>
              <w:t>% Net Sales</w:t>
            </w: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80" w:type="dxa"/>
            <w:vAlign w:val="bottom"/>
            <w:gridSpan w:val="4"/>
          </w:tcPr>
          <w:p>
            <w:pPr>
              <w:jc w:val="right"/>
              <w:ind w:right="260"/>
              <w:spacing w:after="0" w:line="158" w:lineRule="exact"/>
              <w:rPr>
                <w:sz w:val="20"/>
                <w:szCs w:val="20"/>
                <w:color w:val="auto"/>
              </w:rPr>
            </w:pPr>
            <w:r>
              <w:rPr>
                <w:rFonts w:ascii="Times New Roman" w:cs="Times New Roman" w:eastAsia="Times New Roman" w:hAnsi="Times New Roman"/>
                <w:sz w:val="16"/>
                <w:szCs w:val="16"/>
                <w:b w:val="1"/>
                <w:bCs w:val="1"/>
                <w:color w:val="auto"/>
                <w:w w:val="98"/>
              </w:rPr>
              <w:t>Income</w:t>
            </w: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60" w:type="dxa"/>
            <w:vAlign w:val="bottom"/>
            <w:gridSpan w:val="6"/>
            <w:vMerge w:val="restart"/>
          </w:tcPr>
          <w:p>
            <w:pPr>
              <w:jc w:val="right"/>
              <w:ind w:right="140"/>
              <w:spacing w:after="0"/>
              <w:rPr>
                <w:sz w:val="20"/>
                <w:szCs w:val="20"/>
                <w:color w:val="auto"/>
              </w:rPr>
            </w:pPr>
            <w:r>
              <w:rPr>
                <w:rFonts w:ascii="Times New Roman" w:cs="Times New Roman" w:eastAsia="Times New Roman" w:hAnsi="Times New Roman"/>
                <w:sz w:val="16"/>
                <w:szCs w:val="16"/>
                <w:b w:val="1"/>
                <w:bCs w:val="1"/>
                <w:color w:val="auto"/>
              </w:rPr>
              <w:t>Net Income</w:t>
            </w:r>
          </w:p>
        </w:tc>
        <w:tc>
          <w:tcPr>
            <w:tcW w:w="20" w:type="dxa"/>
            <w:vAlign w:val="bottom"/>
          </w:tcPr>
          <w:p>
            <w:pPr>
              <w:spacing w:after="0"/>
              <w:rPr>
                <w:sz w:val="13"/>
                <w:szCs w:val="13"/>
                <w:color w:val="auto"/>
              </w:rPr>
            </w:pPr>
          </w:p>
        </w:tc>
        <w:tc>
          <w:tcPr>
            <w:tcW w:w="960" w:type="dxa"/>
            <w:vAlign w:val="bottom"/>
            <w:gridSpan w:val="3"/>
            <w:vMerge w:val="restart"/>
          </w:tcPr>
          <w:p>
            <w:pPr>
              <w:jc w:val="right"/>
              <w:spacing w:after="0"/>
              <w:rPr>
                <w:sz w:val="20"/>
                <w:szCs w:val="20"/>
                <w:color w:val="auto"/>
              </w:rPr>
            </w:pPr>
            <w:r>
              <w:rPr>
                <w:rFonts w:ascii="Times New Roman" w:cs="Times New Roman" w:eastAsia="Times New Roman" w:hAnsi="Times New Roman"/>
                <w:sz w:val="16"/>
                <w:szCs w:val="16"/>
                <w:b w:val="1"/>
                <w:bCs w:val="1"/>
                <w:color w:val="auto"/>
              </w:rPr>
              <w:t>Diluted EPS</w:t>
            </w:r>
          </w:p>
        </w:tc>
        <w:tc>
          <w:tcPr>
            <w:tcW w:w="0" w:type="dxa"/>
            <w:vAlign w:val="bottom"/>
          </w:tcPr>
          <w:p>
            <w:pPr>
              <w:spacing w:after="0"/>
              <w:rPr>
                <w:sz w:val="1"/>
                <w:szCs w:val="1"/>
                <w:color w:val="auto"/>
              </w:rPr>
            </w:pPr>
          </w:p>
        </w:tc>
      </w:tr>
      <w:tr>
        <w:trPr>
          <w:trHeight w:val="214"/>
        </w:trPr>
        <w:tc>
          <w:tcPr>
            <w:tcW w:w="1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5"/>
          </w:tcPr>
          <w:p>
            <w:pPr>
              <w:jc w:val="right"/>
              <w:ind w:right="40"/>
              <w:spacing w:after="0"/>
              <w:rPr>
                <w:sz w:val="20"/>
                <w:szCs w:val="20"/>
                <w:color w:val="auto"/>
              </w:rPr>
            </w:pPr>
            <w:r>
              <w:rPr>
                <w:rFonts w:ascii="Times New Roman" w:cs="Times New Roman" w:eastAsia="Times New Roman" w:hAnsi="Times New Roman"/>
                <w:sz w:val="16"/>
                <w:szCs w:val="16"/>
                <w:b w:val="1"/>
                <w:bCs w:val="1"/>
                <w:color w:val="auto"/>
              </w:rPr>
              <w:t>Expenses</w:t>
            </w: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7"/>
            <w:vMerge w:val="continue"/>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gridSpan w:val="5"/>
          </w:tcPr>
          <w:p>
            <w:pPr>
              <w:jc w:val="right"/>
              <w:ind w:right="160"/>
              <w:spacing w:after="0"/>
              <w:rPr>
                <w:sz w:val="20"/>
                <w:szCs w:val="20"/>
                <w:color w:val="auto"/>
              </w:rPr>
            </w:pPr>
            <w:r>
              <w:rPr>
                <w:rFonts w:ascii="Times New Roman" w:cs="Times New Roman" w:eastAsia="Times New Roman" w:hAnsi="Times New Roman"/>
                <w:sz w:val="16"/>
                <w:szCs w:val="16"/>
                <w:b w:val="1"/>
                <w:bCs w:val="1"/>
                <w:color w:val="auto"/>
              </w:rPr>
              <w:t>Income</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gridSpan w:val="5"/>
            <w:vMerge w:val="continue"/>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gridSpan w:val="4"/>
          </w:tcPr>
          <w:p>
            <w:pPr>
              <w:jc w:val="right"/>
              <w:ind w:right="320"/>
              <w:spacing w:after="0"/>
              <w:rPr>
                <w:sz w:val="20"/>
                <w:szCs w:val="20"/>
                <w:color w:val="auto"/>
              </w:rPr>
            </w:pPr>
            <w:r>
              <w:rPr>
                <w:rFonts w:ascii="Times New Roman" w:cs="Times New Roman" w:eastAsia="Times New Roman" w:hAnsi="Times New Roman"/>
                <w:sz w:val="16"/>
                <w:szCs w:val="16"/>
                <w:b w:val="1"/>
                <w:bCs w:val="1"/>
                <w:color w:val="auto"/>
              </w:rPr>
              <w:t>Taxes</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60" w:type="dxa"/>
            <w:vAlign w:val="bottom"/>
            <w:gridSpan w:val="6"/>
            <w:vMerge w:val="continue"/>
          </w:tcPr>
          <w:p>
            <w:pPr>
              <w:spacing w:after="0"/>
              <w:rPr>
                <w:sz w:val="18"/>
                <w:szCs w:val="18"/>
                <w:color w:val="auto"/>
              </w:rPr>
            </w:pPr>
          </w:p>
        </w:tc>
        <w:tc>
          <w:tcPr>
            <w:tcW w:w="20" w:type="dxa"/>
            <w:vAlign w:val="bottom"/>
          </w:tcPr>
          <w:p>
            <w:pPr>
              <w:spacing w:after="0"/>
              <w:rPr>
                <w:sz w:val="18"/>
                <w:szCs w:val="18"/>
                <w:color w:val="auto"/>
              </w:rPr>
            </w:pPr>
          </w:p>
        </w:tc>
        <w:tc>
          <w:tcPr>
            <w:tcW w:w="960" w:type="dxa"/>
            <w:vAlign w:val="bottom"/>
            <w:gridSpan w:val="3"/>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15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As reported (GAAP)</w:t>
            </w:r>
          </w:p>
        </w:tc>
        <w:tc>
          <w:tcPr>
            <w:tcW w:w="120" w:type="dxa"/>
            <w:vAlign w:val="bottom"/>
            <w:tcBorders>
              <w:top w:val="single" w:sz="8" w:color="CCEEFF"/>
            </w:tcBorders>
            <w:shd w:val="clear" w:color="auto" w:fill="CCEEFF"/>
          </w:tcPr>
          <w:p>
            <w:pPr>
              <w:spacing w:after="0"/>
              <w:rPr>
                <w:sz w:val="18"/>
                <w:szCs w:val="18"/>
                <w:color w:val="auto"/>
              </w:rPr>
            </w:pPr>
          </w:p>
        </w:tc>
        <w:tc>
          <w:tcPr>
            <w:tcW w:w="6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6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00" w:type="dxa"/>
            <w:vAlign w:val="bottom"/>
            <w:tcBorders>
              <w:top w:val="single" w:sz="8" w:color="auto"/>
            </w:tcBorders>
            <w:gridSpan w:val="5"/>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1,188.8</w:t>
            </w:r>
          </w:p>
        </w:tc>
        <w:tc>
          <w:tcPr>
            <w:tcW w:w="40" w:type="dxa"/>
            <w:vAlign w:val="bottom"/>
            <w:tcBorders>
              <w:top w:val="single" w:sz="8" w:color="auto"/>
            </w:tcBorders>
            <w:shd w:val="clear" w:color="auto" w:fill="CCEEFF"/>
          </w:tcPr>
          <w:p>
            <w:pPr>
              <w:spacing w:after="0"/>
              <w:rPr>
                <w:sz w:val="18"/>
                <w:szCs w:val="18"/>
                <w:color w:val="auto"/>
              </w:rPr>
            </w:pPr>
          </w:p>
        </w:tc>
        <w:tc>
          <w:tcPr>
            <w:tcW w:w="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880" w:type="dxa"/>
            <w:vAlign w:val="bottom"/>
            <w:tcBorders>
              <w:top w:val="single" w:sz="8" w:color="auto"/>
            </w:tcBorders>
            <w:gridSpan w:val="6"/>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41.0 %</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jc w:val="center"/>
              <w:ind w:right="239"/>
              <w:spacing w:after="0"/>
              <w:rPr>
                <w:sz w:val="20"/>
                <w:szCs w:val="20"/>
                <w:color w:val="auto"/>
              </w:rPr>
            </w:pPr>
            <w:r>
              <w:rPr>
                <w:rFonts w:ascii="Times New Roman" w:cs="Times New Roman" w:eastAsia="Times New Roman" w:hAnsi="Times New Roman"/>
                <w:sz w:val="16"/>
                <w:szCs w:val="16"/>
                <w:color w:val="auto"/>
                <w:w w:val="99"/>
              </w:rPr>
              <w:t>$</w:t>
            </w:r>
          </w:p>
        </w:tc>
        <w:tc>
          <w:tcPr>
            <w:tcW w:w="480" w:type="dxa"/>
            <w:vAlign w:val="bottom"/>
            <w:tcBorders>
              <w:top w:val="single" w:sz="8" w:color="auto"/>
            </w:tcBorders>
            <w:gridSpan w:val="4"/>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143.9</w:t>
            </w:r>
          </w:p>
        </w:tc>
        <w:tc>
          <w:tcPr>
            <w:tcW w:w="6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500" w:type="dxa"/>
            <w:vAlign w:val="bottom"/>
            <w:tcBorders>
              <w:top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5.0 %</w:t>
            </w: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22.0</w:t>
            </w:r>
          </w:p>
        </w:tc>
        <w:tc>
          <w:tcPr>
            <w:tcW w:w="8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91.8</w:t>
            </w:r>
          </w:p>
        </w:tc>
        <w:tc>
          <w:tcPr>
            <w:tcW w:w="2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2.53</w:t>
            </w:r>
          </w:p>
        </w:tc>
        <w:tc>
          <w:tcPr>
            <w:tcW w:w="0" w:type="dxa"/>
            <w:vAlign w:val="bottom"/>
          </w:tcPr>
          <w:p>
            <w:pPr>
              <w:spacing w:after="0"/>
              <w:rPr>
                <w:sz w:val="1"/>
                <w:szCs w:val="1"/>
                <w:color w:val="auto"/>
              </w:rPr>
            </w:pPr>
          </w:p>
        </w:tc>
      </w:tr>
      <w:tr>
        <w:trPr>
          <w:trHeight w:val="216"/>
        </w:trPr>
        <w:tc>
          <w:tcPr>
            <w:tcW w:w="3080" w:type="dxa"/>
            <w:vAlign w:val="bottom"/>
            <w:gridSpan w:val="6"/>
          </w:tcPr>
          <w:p>
            <w:pPr>
              <w:ind w:left="20"/>
              <w:spacing w:after="0" w:line="216" w:lineRule="exact"/>
              <w:rPr>
                <w:sz w:val="20"/>
                <w:szCs w:val="20"/>
                <w:color w:val="auto"/>
              </w:rPr>
            </w:pPr>
            <w:r>
              <w:rPr>
                <w:rFonts w:ascii="Times New Roman" w:cs="Times New Roman" w:eastAsia="Times New Roman" w:hAnsi="Times New Roman"/>
                <w:sz w:val="16"/>
                <w:szCs w:val="16"/>
                <w:color w:val="auto"/>
              </w:rPr>
              <w:t xml:space="preserve">Operating model improvement costs </w:t>
            </w:r>
            <w:r>
              <w:rPr>
                <w:rFonts w:ascii="Times New Roman" w:cs="Times New Roman" w:eastAsia="Times New Roman" w:hAnsi="Times New Roman"/>
                <w:sz w:val="21"/>
                <w:szCs w:val="21"/>
                <w:color w:val="auto"/>
                <w:vertAlign w:val="superscript"/>
              </w:rPr>
              <w:t>(f)</w:t>
            </w: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6"/>
          </w:tcPr>
          <w:p>
            <w:pPr>
              <w:jc w:val="right"/>
              <w:spacing w:after="0"/>
              <w:rPr>
                <w:sz w:val="20"/>
                <w:szCs w:val="20"/>
                <w:color w:val="auto"/>
              </w:rPr>
            </w:pPr>
            <w:r>
              <w:rPr>
                <w:rFonts w:ascii="Times New Roman" w:cs="Times New Roman" w:eastAsia="Times New Roman" w:hAnsi="Times New Roman"/>
                <w:sz w:val="16"/>
                <w:szCs w:val="16"/>
                <w:color w:val="auto"/>
              </w:rPr>
              <w:t>(14.2)</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80" w:type="dxa"/>
            <w:vAlign w:val="bottom"/>
            <w:gridSpan w:val="4"/>
          </w:tcPr>
          <w:p>
            <w:pPr>
              <w:jc w:val="right"/>
              <w:spacing w:after="0"/>
              <w:rPr>
                <w:sz w:val="20"/>
                <w:szCs w:val="20"/>
                <w:color w:val="auto"/>
              </w:rPr>
            </w:pPr>
            <w:r>
              <w:rPr>
                <w:rFonts w:ascii="Times New Roman" w:cs="Times New Roman" w:eastAsia="Times New Roman" w:hAnsi="Times New Roman"/>
                <w:sz w:val="16"/>
                <w:szCs w:val="16"/>
                <w:color w:val="auto"/>
              </w:rPr>
              <w:t>14.2</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10.8</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0.30</w:t>
            </w:r>
          </w:p>
        </w:tc>
        <w:tc>
          <w:tcPr>
            <w:tcW w:w="0" w:type="dxa"/>
            <w:vAlign w:val="bottom"/>
          </w:tcPr>
          <w:p>
            <w:pPr>
              <w:spacing w:after="0"/>
              <w:rPr>
                <w:sz w:val="1"/>
                <w:szCs w:val="1"/>
                <w:color w:val="auto"/>
              </w:rPr>
            </w:pPr>
          </w:p>
        </w:tc>
      </w:tr>
      <w:tr>
        <w:trPr>
          <w:trHeight w:val="216"/>
        </w:trPr>
        <w:tc>
          <w:tcPr>
            <w:tcW w:w="2380" w:type="dxa"/>
            <w:vAlign w:val="bottom"/>
            <w:gridSpan w:val="4"/>
            <w:shd w:val="clear" w:color="auto" w:fill="CCEEFF"/>
          </w:tcPr>
          <w:p>
            <w:pPr>
              <w:ind w:left="20"/>
              <w:spacing w:after="0" w:line="216" w:lineRule="exact"/>
              <w:rPr>
                <w:sz w:val="20"/>
                <w:szCs w:val="20"/>
                <w:color w:val="auto"/>
              </w:rPr>
            </w:pPr>
            <w:r>
              <w:rPr>
                <w:rFonts w:ascii="Times New Roman" w:cs="Times New Roman" w:eastAsia="Times New Roman" w:hAnsi="Times New Roman"/>
                <w:sz w:val="16"/>
                <w:szCs w:val="16"/>
                <w:color w:val="auto"/>
              </w:rPr>
              <w:t xml:space="preserve">Organizational restructuring </w:t>
            </w:r>
            <w:r>
              <w:rPr>
                <w:rFonts w:ascii="Times New Roman" w:cs="Times New Roman" w:eastAsia="Times New Roman" w:hAnsi="Times New Roman"/>
                <w:sz w:val="21"/>
                <w:szCs w:val="21"/>
                <w:color w:val="auto"/>
                <w:vertAlign w:val="superscript"/>
              </w:rPr>
              <w:t>(e)</w:t>
            </w: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6"/>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(9.8)</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48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9.8</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w:t>
            </w: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7.5</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0.20</w:t>
            </w:r>
          </w:p>
        </w:tc>
        <w:tc>
          <w:tcPr>
            <w:tcW w:w="0" w:type="dxa"/>
            <w:vAlign w:val="bottom"/>
          </w:tcPr>
          <w:p>
            <w:pPr>
              <w:spacing w:after="0"/>
              <w:rPr>
                <w:sz w:val="1"/>
                <w:szCs w:val="1"/>
                <w:color w:val="auto"/>
              </w:rPr>
            </w:pPr>
          </w:p>
        </w:tc>
      </w:tr>
      <w:tr>
        <w:trPr>
          <w:trHeight w:val="216"/>
        </w:trPr>
        <w:tc>
          <w:tcPr>
            <w:tcW w:w="2380" w:type="dxa"/>
            <w:vAlign w:val="bottom"/>
            <w:gridSpan w:val="4"/>
          </w:tcPr>
          <w:p>
            <w:pPr>
              <w:ind w:left="20"/>
              <w:spacing w:after="0" w:line="216" w:lineRule="exact"/>
              <w:rPr>
                <w:sz w:val="20"/>
                <w:szCs w:val="20"/>
                <w:color w:val="auto"/>
              </w:rPr>
            </w:pPr>
            <w:r>
              <w:rPr>
                <w:rFonts w:ascii="Times New Roman" w:cs="Times New Roman" w:eastAsia="Times New Roman" w:hAnsi="Times New Roman"/>
                <w:sz w:val="16"/>
                <w:szCs w:val="16"/>
                <w:color w:val="auto"/>
              </w:rPr>
              <w:t xml:space="preserve">Leadership transition costs </w:t>
            </w:r>
            <w:r>
              <w:rPr>
                <w:rFonts w:ascii="Times New Roman" w:cs="Times New Roman" w:eastAsia="Times New Roman" w:hAnsi="Times New Roman"/>
                <w:sz w:val="21"/>
                <w:szCs w:val="21"/>
                <w:color w:val="auto"/>
                <w:vertAlign w:val="superscript"/>
              </w:rPr>
              <w:t>(c)</w:t>
            </w: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6"/>
          </w:tcPr>
          <w:p>
            <w:pPr>
              <w:jc w:val="right"/>
              <w:spacing w:after="0"/>
              <w:rPr>
                <w:sz w:val="20"/>
                <w:szCs w:val="20"/>
                <w:color w:val="auto"/>
              </w:rPr>
            </w:pPr>
            <w:r>
              <w:rPr>
                <w:rFonts w:ascii="Times New Roman" w:cs="Times New Roman" w:eastAsia="Times New Roman" w:hAnsi="Times New Roman"/>
                <w:sz w:val="16"/>
                <w:szCs w:val="16"/>
                <w:color w:val="auto"/>
              </w:rPr>
              <w:t>(8.1)</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80" w:type="dxa"/>
            <w:vAlign w:val="bottom"/>
            <w:gridSpan w:val="4"/>
          </w:tcPr>
          <w:p>
            <w:pPr>
              <w:jc w:val="right"/>
              <w:spacing w:after="0"/>
              <w:rPr>
                <w:sz w:val="20"/>
                <w:szCs w:val="20"/>
                <w:color w:val="auto"/>
              </w:rPr>
            </w:pPr>
            <w:r>
              <w:rPr>
                <w:rFonts w:ascii="Times New Roman" w:cs="Times New Roman" w:eastAsia="Times New Roman" w:hAnsi="Times New Roman"/>
                <w:sz w:val="16"/>
                <w:szCs w:val="16"/>
                <w:color w:val="auto"/>
              </w:rPr>
              <w:t>8.1</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0.7</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7.3</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0.20</w:t>
            </w:r>
          </w:p>
        </w:tc>
        <w:tc>
          <w:tcPr>
            <w:tcW w:w="0" w:type="dxa"/>
            <w:vAlign w:val="bottom"/>
          </w:tcPr>
          <w:p>
            <w:pPr>
              <w:spacing w:after="0"/>
              <w:rPr>
                <w:sz w:val="1"/>
                <w:szCs w:val="1"/>
                <w:color w:val="auto"/>
              </w:rPr>
            </w:pPr>
          </w:p>
        </w:tc>
      </w:tr>
      <w:tr>
        <w:trPr>
          <w:trHeight w:val="216"/>
        </w:trPr>
        <w:tc>
          <w:tcPr>
            <w:tcW w:w="2380" w:type="dxa"/>
            <w:vAlign w:val="bottom"/>
            <w:gridSpan w:val="4"/>
            <w:shd w:val="clear" w:color="auto" w:fill="CCEEFF"/>
          </w:tcPr>
          <w:p>
            <w:pPr>
              <w:ind w:left="20"/>
              <w:spacing w:after="0" w:line="216" w:lineRule="exact"/>
              <w:rPr>
                <w:sz w:val="20"/>
                <w:szCs w:val="20"/>
                <w:color w:val="auto"/>
              </w:rPr>
            </w:pPr>
            <w:r>
              <w:rPr>
                <w:rFonts w:ascii="Times New Roman" w:cs="Times New Roman" w:eastAsia="Times New Roman" w:hAnsi="Times New Roman"/>
                <w:sz w:val="16"/>
                <w:szCs w:val="16"/>
                <w:color w:val="auto"/>
              </w:rPr>
              <w:t xml:space="preserve">Pension plan settlement </w:t>
            </w:r>
            <w:r>
              <w:rPr>
                <w:rFonts w:ascii="Times New Roman" w:cs="Times New Roman" w:eastAsia="Times New Roman" w:hAnsi="Times New Roman"/>
                <w:sz w:val="21"/>
                <w:szCs w:val="21"/>
                <w:color w:val="auto"/>
                <w:vertAlign w:val="superscript"/>
              </w:rPr>
              <w:t>(g)</w:t>
            </w: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0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w:t>
            </w: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6.7</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0.18</w:t>
            </w:r>
          </w:p>
        </w:tc>
        <w:tc>
          <w:tcPr>
            <w:tcW w:w="0" w:type="dxa"/>
            <w:vAlign w:val="bottom"/>
          </w:tcPr>
          <w:p>
            <w:pPr>
              <w:spacing w:after="0"/>
              <w:rPr>
                <w:sz w:val="1"/>
                <w:szCs w:val="1"/>
                <w:color w:val="auto"/>
              </w:rPr>
            </w:pPr>
          </w:p>
        </w:tc>
      </w:tr>
      <w:tr>
        <w:trPr>
          <w:trHeight w:val="216"/>
        </w:trPr>
        <w:tc>
          <w:tcPr>
            <w:tcW w:w="2380" w:type="dxa"/>
            <w:vAlign w:val="bottom"/>
            <w:gridSpan w:val="4"/>
          </w:tcPr>
          <w:p>
            <w:pPr>
              <w:ind w:left="20"/>
              <w:spacing w:after="0" w:line="216" w:lineRule="exact"/>
              <w:rPr>
                <w:sz w:val="20"/>
                <w:szCs w:val="20"/>
                <w:color w:val="auto"/>
              </w:rPr>
            </w:pPr>
            <w:r>
              <w:rPr>
                <w:rFonts w:ascii="Times New Roman" w:cs="Times New Roman" w:eastAsia="Times New Roman" w:hAnsi="Times New Roman"/>
                <w:sz w:val="16"/>
                <w:szCs w:val="16"/>
                <w:color w:val="auto"/>
              </w:rPr>
              <w:t xml:space="preserve">Loss on extinguishment of debt </w:t>
            </w:r>
            <w:r>
              <w:rPr>
                <w:rFonts w:ascii="Times New Roman" w:cs="Times New Roman" w:eastAsia="Times New Roman" w:hAnsi="Times New Roman"/>
                <w:sz w:val="21"/>
                <w:szCs w:val="21"/>
                <w:color w:val="auto"/>
                <w:vertAlign w:val="superscript"/>
              </w:rPr>
              <w:t>(i)</w:t>
            </w: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00" w:type="dxa"/>
            <w:vAlign w:val="bottom"/>
            <w:gridSpan w:val="4"/>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0.4</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0.03</w:t>
            </w:r>
          </w:p>
        </w:tc>
        <w:tc>
          <w:tcPr>
            <w:tcW w:w="0" w:type="dxa"/>
            <w:vAlign w:val="bottom"/>
          </w:tcPr>
          <w:p>
            <w:pPr>
              <w:spacing w:after="0"/>
              <w:rPr>
                <w:sz w:val="1"/>
                <w:szCs w:val="1"/>
                <w:color w:val="auto"/>
              </w:rPr>
            </w:pPr>
          </w:p>
        </w:tc>
      </w:tr>
      <w:tr>
        <w:trPr>
          <w:trHeight w:val="216"/>
        </w:trPr>
        <w:tc>
          <w:tcPr>
            <w:tcW w:w="3080" w:type="dxa"/>
            <w:vAlign w:val="bottom"/>
            <w:gridSpan w:val="6"/>
            <w:shd w:val="clear" w:color="auto" w:fill="CCEEFF"/>
          </w:tcPr>
          <w:p>
            <w:pPr>
              <w:ind w:left="20"/>
              <w:spacing w:after="0" w:line="216" w:lineRule="exact"/>
              <w:rPr>
                <w:sz w:val="20"/>
                <w:szCs w:val="20"/>
                <w:color w:val="auto"/>
              </w:rPr>
            </w:pPr>
            <w:r>
              <w:rPr>
                <w:rFonts w:ascii="Times New Roman" w:cs="Times New Roman" w:eastAsia="Times New Roman" w:hAnsi="Times New Roman"/>
                <w:sz w:val="16"/>
                <w:szCs w:val="16"/>
                <w:color w:val="auto"/>
              </w:rPr>
              <w:t xml:space="preserve">Deferred compensation plan termination </w:t>
            </w:r>
            <w:r>
              <w:rPr>
                <w:rFonts w:ascii="Times New Roman" w:cs="Times New Roman" w:eastAsia="Times New Roman" w:hAnsi="Times New Roman"/>
                <w:sz w:val="21"/>
                <w:szCs w:val="21"/>
                <w:color w:val="auto"/>
                <w:vertAlign w:val="superscript"/>
              </w:rPr>
              <w:t>(h)</w:t>
            </w: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spacing w:after="0"/>
              <w:rPr>
                <w:sz w:val="18"/>
                <w:szCs w:val="18"/>
                <w:color w:val="auto"/>
              </w:rPr>
            </w:pPr>
          </w:p>
        </w:tc>
        <w:tc>
          <w:tcPr>
            <w:tcW w:w="200" w:type="dxa"/>
            <w:vAlign w:val="bottom"/>
            <w:tcBorders>
              <w:bottom w:val="single" w:sz="8" w:color="auto"/>
            </w:tcBorders>
            <w:gridSpan w:val="4"/>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40" w:type="dxa"/>
            <w:vAlign w:val="bottom"/>
            <w:tcBorders>
              <w:bottom w:val="single" w:sz="8" w:color="auto"/>
            </w:tcBorders>
            <w:shd w:val="clear" w:color="auto" w:fill="CCEEFF"/>
          </w:tcPr>
          <w:p>
            <w:pPr>
              <w:spacing w:after="0"/>
              <w:rPr>
                <w:sz w:val="18"/>
                <w:szCs w:val="18"/>
                <w:color w:val="auto"/>
              </w:rPr>
            </w:pPr>
          </w:p>
        </w:tc>
        <w:tc>
          <w:tcPr>
            <w:tcW w:w="40" w:type="dxa"/>
            <w:vAlign w:val="bottom"/>
            <w:tcBorders>
              <w:bottom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40" w:type="dxa"/>
            <w:vAlign w:val="bottom"/>
            <w:tcBorders>
              <w:bottom w:val="single" w:sz="8" w:color="auto"/>
            </w:tcBorders>
            <w:shd w:val="clear" w:color="auto" w:fill="CCEEFF"/>
          </w:tcPr>
          <w:p>
            <w:pPr>
              <w:spacing w:after="0"/>
              <w:rPr>
                <w:sz w:val="18"/>
                <w:szCs w:val="18"/>
                <w:color w:val="auto"/>
              </w:rPr>
            </w:pPr>
          </w:p>
        </w:tc>
        <w:tc>
          <w:tcPr>
            <w:tcW w:w="60" w:type="dxa"/>
            <w:vAlign w:val="bottom"/>
            <w:tcBorders>
              <w:bottom w:val="single" w:sz="8" w:color="auto"/>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30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Borders>
              <w:bottom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(0.8)</w:t>
            </w: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tcBorders>
              <w:bottom w:val="single" w:sz="8" w:color="auto"/>
            </w:tcBorders>
            <w:shd w:val="clear" w:color="auto" w:fill="CCEEFF"/>
          </w:tcPr>
          <w:p>
            <w:pPr>
              <w:spacing w:after="0"/>
              <w:rPr>
                <w:sz w:val="18"/>
                <w:szCs w:val="18"/>
                <w:color w:val="auto"/>
              </w:rPr>
            </w:pPr>
          </w:p>
        </w:tc>
        <w:tc>
          <w:tcPr>
            <w:tcW w:w="60" w:type="dxa"/>
            <w:vAlign w:val="bottom"/>
            <w:tcBorders>
              <w:bottom w:val="single" w:sz="8" w:color="auto"/>
            </w:tcBorders>
            <w:shd w:val="clear" w:color="auto" w:fill="CCEEFF"/>
          </w:tcPr>
          <w:p>
            <w:pPr>
              <w:spacing w:after="0"/>
              <w:rPr>
                <w:sz w:val="18"/>
                <w:szCs w:val="18"/>
                <w:color w:val="auto"/>
              </w:rPr>
            </w:pPr>
          </w:p>
        </w:tc>
        <w:tc>
          <w:tcPr>
            <w:tcW w:w="60" w:type="dxa"/>
            <w:vAlign w:val="bottom"/>
            <w:tcBorders>
              <w:bottom w:val="single" w:sz="8" w:color="auto"/>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0.8</w:t>
            </w:r>
          </w:p>
        </w:tc>
        <w:tc>
          <w:tcPr>
            <w:tcW w:w="20" w:type="dxa"/>
            <w:vAlign w:val="bottom"/>
            <w:tcBorders>
              <w:bottom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0.03</w:t>
            </w:r>
          </w:p>
        </w:tc>
        <w:tc>
          <w:tcPr>
            <w:tcW w:w="0" w:type="dxa"/>
            <w:vAlign w:val="bottom"/>
          </w:tcPr>
          <w:p>
            <w:pPr>
              <w:spacing w:after="0"/>
              <w:rPr>
                <w:sz w:val="1"/>
                <w:szCs w:val="1"/>
                <w:color w:val="auto"/>
              </w:rPr>
            </w:pPr>
          </w:p>
        </w:tc>
      </w:tr>
      <w:tr>
        <w:trPr>
          <w:trHeight w:val="210"/>
        </w:trPr>
        <w:tc>
          <w:tcPr>
            <w:tcW w:w="1540" w:type="dxa"/>
            <w:vAlign w:val="bottom"/>
          </w:tcPr>
          <w:p>
            <w:pPr>
              <w:ind w:left="20"/>
              <w:spacing w:after="0" w:line="210" w:lineRule="exact"/>
              <w:rPr>
                <w:sz w:val="20"/>
                <w:szCs w:val="20"/>
                <w:color w:val="auto"/>
              </w:rPr>
            </w:pPr>
            <w:r>
              <w:rPr>
                <w:rFonts w:ascii="Times New Roman" w:cs="Times New Roman" w:eastAsia="Times New Roman" w:hAnsi="Times New Roman"/>
                <w:sz w:val="16"/>
                <w:szCs w:val="16"/>
                <w:b w:val="1"/>
                <w:bCs w:val="1"/>
                <w:color w:val="auto"/>
              </w:rPr>
              <w:t xml:space="preserve">As adjusted </w:t>
            </w:r>
            <w:r>
              <w:rPr>
                <w:rFonts w:ascii="Times New Roman" w:cs="Times New Roman" w:eastAsia="Times New Roman" w:hAnsi="Times New Roman"/>
                <w:sz w:val="21"/>
                <w:szCs w:val="21"/>
                <w:b w:val="1"/>
                <w:bCs w:val="1"/>
                <w:color w:val="auto"/>
                <w:vertAlign w:val="superscript"/>
              </w:rPr>
              <w:t>(a)</w:t>
            </w:r>
          </w:p>
        </w:tc>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00" w:type="dxa"/>
            <w:vAlign w:val="bottom"/>
            <w:gridSpan w:val="5"/>
          </w:tcPr>
          <w:p>
            <w:pPr>
              <w:jc w:val="right"/>
              <w:spacing w:after="0"/>
              <w:rPr>
                <w:sz w:val="20"/>
                <w:szCs w:val="20"/>
                <w:color w:val="auto"/>
              </w:rPr>
            </w:pPr>
            <w:r>
              <w:rPr>
                <w:rFonts w:ascii="Times New Roman" w:cs="Times New Roman" w:eastAsia="Times New Roman" w:hAnsi="Times New Roman"/>
                <w:sz w:val="16"/>
                <w:szCs w:val="16"/>
                <w:color w:val="auto"/>
              </w:rPr>
              <w:t>1,156.7</w:t>
            </w:r>
          </w:p>
        </w:tc>
        <w:tc>
          <w:tcPr>
            <w:tcW w:w="40" w:type="dxa"/>
            <w:vAlign w:val="bottom"/>
          </w:tcPr>
          <w:p>
            <w:pPr>
              <w:spacing w:after="0"/>
              <w:rPr>
                <w:sz w:val="18"/>
                <w:szCs w:val="18"/>
                <w:color w:val="auto"/>
              </w:rPr>
            </w:pPr>
          </w:p>
        </w:tc>
        <w:tc>
          <w:tcPr>
            <w:tcW w:w="1020" w:type="dxa"/>
            <w:vAlign w:val="bottom"/>
            <w:gridSpan w:val="8"/>
          </w:tcPr>
          <w:p>
            <w:pPr>
              <w:jc w:val="right"/>
              <w:spacing w:after="0"/>
              <w:rPr>
                <w:sz w:val="20"/>
                <w:szCs w:val="20"/>
                <w:color w:val="auto"/>
              </w:rPr>
            </w:pPr>
            <w:r>
              <w:rPr>
                <w:rFonts w:ascii="Times New Roman" w:cs="Times New Roman" w:eastAsia="Times New Roman" w:hAnsi="Times New Roman"/>
                <w:sz w:val="16"/>
                <w:szCs w:val="16"/>
                <w:color w:val="auto"/>
              </w:rPr>
              <w:t>39.9 %</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40" w:type="dxa"/>
            <w:vAlign w:val="bottom"/>
          </w:tcPr>
          <w:p>
            <w:pPr>
              <w:jc w:val="center"/>
              <w:ind w:right="239"/>
              <w:spacing w:after="0"/>
              <w:rPr>
                <w:sz w:val="20"/>
                <w:szCs w:val="20"/>
                <w:color w:val="auto"/>
              </w:rPr>
            </w:pPr>
            <w:r>
              <w:rPr>
                <w:rFonts w:ascii="Times New Roman" w:cs="Times New Roman" w:eastAsia="Times New Roman" w:hAnsi="Times New Roman"/>
                <w:sz w:val="16"/>
                <w:szCs w:val="16"/>
                <w:color w:val="auto"/>
                <w:w w:val="99"/>
              </w:rPr>
              <w:t>$</w:t>
            </w:r>
          </w:p>
        </w:tc>
        <w:tc>
          <w:tcPr>
            <w:tcW w:w="480" w:type="dxa"/>
            <w:vAlign w:val="bottom"/>
            <w:gridSpan w:val="4"/>
          </w:tcPr>
          <w:p>
            <w:pPr>
              <w:jc w:val="right"/>
              <w:spacing w:after="0"/>
              <w:rPr>
                <w:sz w:val="20"/>
                <w:szCs w:val="20"/>
                <w:color w:val="auto"/>
              </w:rPr>
            </w:pPr>
            <w:r>
              <w:rPr>
                <w:rFonts w:ascii="Times New Roman" w:cs="Times New Roman" w:eastAsia="Times New Roman" w:hAnsi="Times New Roman"/>
                <w:sz w:val="16"/>
                <w:szCs w:val="16"/>
                <w:color w:val="auto"/>
              </w:rPr>
              <w:t>176.0</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6.1 %</w:t>
            </w:r>
          </w:p>
        </w:tc>
        <w:tc>
          <w:tcPr>
            <w:tcW w:w="100" w:type="dxa"/>
            <w:vAlign w:val="bottom"/>
          </w:tcPr>
          <w:p>
            <w:pPr>
              <w:spacing w:after="0"/>
              <w:rPr>
                <w:sz w:val="18"/>
                <w:szCs w:val="18"/>
                <w:color w:val="auto"/>
              </w:rPr>
            </w:pPr>
          </w:p>
        </w:tc>
        <w:tc>
          <w:tcPr>
            <w:tcW w:w="2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30.3</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126.1</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3.47</w:t>
            </w:r>
          </w:p>
        </w:tc>
        <w:tc>
          <w:tcPr>
            <w:tcW w:w="0" w:type="dxa"/>
            <w:vAlign w:val="bottom"/>
          </w:tcPr>
          <w:p>
            <w:pPr>
              <w:spacing w:after="0"/>
              <w:rPr>
                <w:sz w:val="1"/>
                <w:szCs w:val="1"/>
                <w:color w:val="auto"/>
              </w:rPr>
            </w:pPr>
          </w:p>
        </w:tc>
      </w:tr>
      <w:tr>
        <w:trPr>
          <w:trHeight w:val="20"/>
        </w:trPr>
        <w:tc>
          <w:tcPr>
            <w:tcW w:w="4240" w:type="dxa"/>
            <w:vAlign w:val="bottom"/>
            <w:gridSpan w:val="14"/>
          </w:tcPr>
          <w:p>
            <w:pPr>
              <w:spacing w:after="0" w:line="20" w:lineRule="exact"/>
              <w:rPr>
                <w:sz w:val="1"/>
                <w:szCs w:val="1"/>
                <w:color w:val="auto"/>
              </w:rPr>
            </w:pPr>
          </w:p>
        </w:tc>
        <w:tc>
          <w:tcPr>
            <w:tcW w:w="880" w:type="dxa"/>
            <w:vAlign w:val="bottom"/>
            <w:tcBorders>
              <w:top w:val="single" w:sz="8" w:color="auto"/>
              <w:bottom w:val="single" w:sz="8" w:color="auto"/>
            </w:tcBorders>
            <w:gridSpan w:val="8"/>
          </w:tcPr>
          <w:p>
            <w:pPr>
              <w:spacing w:after="0" w:line="20" w:lineRule="exact"/>
              <w:rPr>
                <w:sz w:val="1"/>
                <w:szCs w:val="1"/>
                <w:color w:val="auto"/>
              </w:rPr>
            </w:pPr>
          </w:p>
        </w:tc>
        <w:tc>
          <w:tcPr>
            <w:tcW w:w="1080" w:type="dxa"/>
            <w:vAlign w:val="bottom"/>
            <w:gridSpan w:val="9"/>
          </w:tcPr>
          <w:p>
            <w:pPr>
              <w:spacing w:after="0" w:line="20" w:lineRule="exact"/>
              <w:rPr>
                <w:sz w:val="1"/>
                <w:szCs w:val="1"/>
                <w:color w:val="auto"/>
              </w:rPr>
            </w:pPr>
          </w:p>
        </w:tc>
        <w:tc>
          <w:tcPr>
            <w:tcW w:w="980" w:type="dxa"/>
            <w:vAlign w:val="bottom"/>
            <w:tcBorders>
              <w:top w:val="single" w:sz="8" w:color="auto"/>
              <w:bottom w:val="single" w:sz="8" w:color="auto"/>
            </w:tcBorders>
            <w:gridSpan w:val="6"/>
          </w:tcPr>
          <w:p>
            <w:pPr>
              <w:spacing w:after="0" w:line="20" w:lineRule="exact"/>
              <w:rPr>
                <w:sz w:val="1"/>
                <w:szCs w:val="1"/>
                <w:color w:val="auto"/>
              </w:rPr>
            </w:pPr>
          </w:p>
        </w:tc>
        <w:tc>
          <w:tcPr>
            <w:tcW w:w="1100" w:type="dxa"/>
            <w:vAlign w:val="bottom"/>
            <w:gridSpan w:val="7"/>
          </w:tcPr>
          <w:p>
            <w:pPr>
              <w:spacing w:after="0" w:line="20" w:lineRule="exact"/>
              <w:rPr>
                <w:sz w:val="1"/>
                <w:szCs w:val="1"/>
                <w:color w:val="auto"/>
              </w:rPr>
            </w:pPr>
          </w:p>
        </w:tc>
        <w:tc>
          <w:tcPr>
            <w:tcW w:w="900" w:type="dxa"/>
            <w:vAlign w:val="bottom"/>
            <w:tcBorders>
              <w:top w:val="single" w:sz="8" w:color="auto"/>
              <w:bottom w:val="single" w:sz="8" w:color="auto"/>
            </w:tcBorders>
            <w:gridSpan w:val="4"/>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900" w:type="dxa"/>
            <w:vAlign w:val="bottom"/>
            <w:tcBorders>
              <w:top w:val="single" w:sz="8" w:color="auto"/>
              <w:bottom w:val="single" w:sz="8" w:color="auto"/>
            </w:tcBorders>
            <w:gridSpan w:val="6"/>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960" w:type="dxa"/>
            <w:vAlign w:val="bottom"/>
            <w:tcBorders>
              <w:top w:val="single" w:sz="8" w:color="auto"/>
              <w:bottom w:val="single" w:sz="8" w:color="auto"/>
            </w:tcBorders>
            <w:gridSpan w:val="3"/>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15" w:lineRule="exact"/>
        <w:rPr>
          <w:sz w:val="20"/>
          <w:szCs w:val="20"/>
          <w:color w:val="auto"/>
        </w:rPr>
      </w:pPr>
    </w:p>
    <w:p>
      <w:pPr>
        <w:ind w:left="660" w:right="100" w:hanging="328"/>
        <w:spacing w:after="0" w:line="265" w:lineRule="auto"/>
        <w:tabs>
          <w:tab w:leader="none" w:pos="657" w:val="left"/>
        </w:tabs>
        <w:numPr>
          <w:ilvl w:val="0"/>
          <w:numId w:val="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 addition to the results provided in this earnings release in accordance with GAAP, the Company has provided adjusted, non-GAAP financial measurements that present COGS, gross profit, SG&amp;A, operating income, interest income, income tax, net income, and net income on a diluted share basis excluding the adjustments discussed above. The Company believes these adjustments provide a meaningful comparison of the Company’s results and afford investors a view of what management considers to be the Company's core performance. The adjusted, non-GAAP financial measurements included in this earnings release should not be considered as an alternative to net income or as any other measurement of performance derived in accordance with GAAP. The adjusted, non-GAAP financial measurements are presented for informational purposes only and are not necessarily indicative of the Company’s future condition or results of operations.</w:t>
      </w:r>
    </w:p>
    <w:p>
      <w:pPr>
        <w:spacing w:after="0" w:line="26" w:lineRule="exact"/>
        <w:rPr>
          <w:rFonts w:ascii="Times New Roman" w:cs="Times New Roman" w:eastAsia="Times New Roman" w:hAnsi="Times New Roman"/>
          <w:sz w:val="14"/>
          <w:szCs w:val="14"/>
          <w:color w:val="auto"/>
        </w:rPr>
      </w:pPr>
    </w:p>
    <w:p>
      <w:pPr>
        <w:ind w:left="640" w:hanging="308"/>
        <w:spacing w:after="0"/>
        <w:tabs>
          <w:tab w:leader="none" w:pos="640" w:val="left"/>
        </w:tabs>
        <w:numPr>
          <w:ilvl w:val="0"/>
          <w:numId w:val="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Related legal defense costs arising from intellectual property litigation not in the ordinary course of business.</w:t>
      </w:r>
    </w:p>
    <w:p>
      <w:pPr>
        <w:spacing w:after="0" w:line="68" w:lineRule="exact"/>
        <w:rPr>
          <w:rFonts w:ascii="Times New Roman" w:cs="Times New Roman" w:eastAsia="Times New Roman" w:hAnsi="Times New Roman"/>
          <w:sz w:val="14"/>
          <w:szCs w:val="14"/>
          <w:color w:val="auto"/>
        </w:rPr>
      </w:pPr>
    </w:p>
    <w:p>
      <w:pPr>
        <w:ind w:left="660" w:right="60" w:hanging="328"/>
        <w:spacing w:after="0" w:line="282" w:lineRule="auto"/>
        <w:tabs>
          <w:tab w:leader="none" w:pos="657" w:val="left"/>
        </w:tabs>
        <w:numPr>
          <w:ilvl w:val="0"/>
          <w:numId w:val="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Related to costs associated with the retirement of Michael D. Casey, the Company’s former Chief Executive Officer, in the first quarter of fiscal 2025 and costs related to the departure of Douglas C. Palladini, the Company’s former Chief Executive Officer, in the second quarter of fiscal 2026.</w:t>
      </w:r>
    </w:p>
    <w:p>
      <w:pPr>
        <w:spacing w:after="0" w:line="13" w:lineRule="exact"/>
        <w:rPr>
          <w:rFonts w:ascii="Times New Roman" w:cs="Times New Roman" w:eastAsia="Times New Roman" w:hAnsi="Times New Roman"/>
          <w:sz w:val="14"/>
          <w:szCs w:val="14"/>
          <w:color w:val="auto"/>
        </w:rPr>
      </w:pPr>
    </w:p>
    <w:p>
      <w:pPr>
        <w:ind w:left="640" w:hanging="308"/>
        <w:spacing w:after="0"/>
        <w:tabs>
          <w:tab w:leader="none" w:pos="640" w:val="left"/>
        </w:tabs>
        <w:numPr>
          <w:ilvl w:val="0"/>
          <w:numId w:val="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Related to $132 million of IEEPA tariff recoveries, including $4 million of interest received.</w:t>
      </w:r>
    </w:p>
    <w:p>
      <w:pPr>
        <w:spacing w:after="0" w:line="68" w:lineRule="exact"/>
        <w:rPr>
          <w:rFonts w:ascii="Times New Roman" w:cs="Times New Roman" w:eastAsia="Times New Roman" w:hAnsi="Times New Roman"/>
          <w:sz w:val="14"/>
          <w:szCs w:val="14"/>
          <w:color w:val="auto"/>
        </w:rPr>
      </w:pPr>
    </w:p>
    <w:p>
      <w:pPr>
        <w:ind w:left="660" w:hanging="328"/>
        <w:spacing w:after="0"/>
        <w:tabs>
          <w:tab w:leader="none" w:pos="660" w:val="left"/>
        </w:tabs>
        <w:numPr>
          <w:ilvl w:val="0"/>
          <w:numId w:val="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Related to charges for severance and other termination benefits as a result of organizational restructuring.</w:t>
      </w:r>
    </w:p>
    <w:p>
      <w:pPr>
        <w:spacing w:after="0" w:line="68" w:lineRule="exact"/>
        <w:rPr>
          <w:rFonts w:ascii="Times New Roman" w:cs="Times New Roman" w:eastAsia="Times New Roman" w:hAnsi="Times New Roman"/>
          <w:sz w:val="14"/>
          <w:szCs w:val="14"/>
          <w:color w:val="auto"/>
        </w:rPr>
      </w:pPr>
    </w:p>
    <w:p>
      <w:pPr>
        <w:ind w:left="660" w:hanging="328"/>
        <w:spacing w:after="0"/>
        <w:tabs>
          <w:tab w:leader="none" w:pos="660" w:val="left"/>
        </w:tabs>
        <w:numPr>
          <w:ilvl w:val="0"/>
          <w:numId w:val="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Primarily related to third-party consulting costs.</w:t>
      </w:r>
    </w:p>
    <w:p>
      <w:pPr>
        <w:spacing w:after="0" w:line="68" w:lineRule="exact"/>
        <w:rPr>
          <w:rFonts w:ascii="Times New Roman" w:cs="Times New Roman" w:eastAsia="Times New Roman" w:hAnsi="Times New Roman"/>
          <w:sz w:val="14"/>
          <w:szCs w:val="14"/>
          <w:color w:val="auto"/>
        </w:rPr>
      </w:pPr>
    </w:p>
    <w:p>
      <w:pPr>
        <w:ind w:left="640" w:hanging="308"/>
        <w:spacing w:after="0"/>
        <w:tabs>
          <w:tab w:leader="none" w:pos="640" w:val="left"/>
        </w:tabs>
        <w:numPr>
          <w:ilvl w:val="0"/>
          <w:numId w:val="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Non-cash charges for settlement of the OshKosh B’Gosh Pension Plan.</w:t>
      </w:r>
    </w:p>
    <w:p>
      <w:pPr>
        <w:spacing w:after="0" w:line="55" w:lineRule="exact"/>
        <w:rPr>
          <w:rFonts w:ascii="Times New Roman" w:cs="Times New Roman" w:eastAsia="Times New Roman" w:hAnsi="Times New Roman"/>
          <w:sz w:val="14"/>
          <w:szCs w:val="14"/>
          <w:color w:val="auto"/>
        </w:rPr>
      </w:pPr>
    </w:p>
    <w:p>
      <w:pPr>
        <w:ind w:left="640" w:hanging="308"/>
        <w:spacing w:after="0"/>
        <w:tabs>
          <w:tab w:leader="none" w:pos="640" w:val="left"/>
        </w:tabs>
        <w:numPr>
          <w:ilvl w:val="0"/>
          <w:numId w:val="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Incremental income tax impact resulting from the announced termination of the Company’s deferred compensation plan.</w:t>
      </w:r>
    </w:p>
    <w:p>
      <w:pPr>
        <w:spacing w:after="0" w:line="68" w:lineRule="exact"/>
        <w:rPr>
          <w:rFonts w:ascii="Times New Roman" w:cs="Times New Roman" w:eastAsia="Times New Roman" w:hAnsi="Times New Roman"/>
          <w:sz w:val="14"/>
          <w:szCs w:val="14"/>
          <w:color w:val="auto"/>
        </w:rPr>
      </w:pPr>
    </w:p>
    <w:p>
      <w:pPr>
        <w:ind w:left="640" w:hanging="308"/>
        <w:spacing w:after="0"/>
        <w:tabs>
          <w:tab w:leader="none" w:pos="640" w:val="left"/>
        </w:tabs>
        <w:numPr>
          <w:ilvl w:val="0"/>
          <w:numId w:val="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Related to redemption of the $500 million senior notes due 2027 and cash-flow based revolving credit facility.</w:t>
      </w:r>
    </w:p>
    <w:p>
      <w:pPr>
        <w:spacing w:after="0" w:line="31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Note: Results may not be additive due to rounding.</w:t>
      </w:r>
    </w:p>
    <w:p>
      <w:pPr>
        <w:sectPr>
          <w:pgSz w:w="11900" w:h="16838" w:orient="portrait"/>
          <w:cols w:equalWidth="0" w:num="1">
            <w:col w:w="11240"/>
          </w:cols>
          <w:pgMar w:left="320" w:top="934" w:right="339" w:bottom="1440" w:gutter="0" w:footer="0" w:header="0"/>
        </w:sectPr>
      </w:pPr>
    </w:p>
    <w:p>
      <w:pPr>
        <w:spacing w:after="0" w:line="200" w:lineRule="exact"/>
        <w:rPr>
          <w:sz w:val="20"/>
          <w:szCs w:val="20"/>
          <w:color w:val="auto"/>
        </w:rPr>
      </w:pPr>
    </w:p>
    <w:p>
      <w:pPr>
        <w:spacing w:after="0" w:line="37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14</w:t>
      </w:r>
    </w:p>
    <w:p>
      <w:pPr>
        <w:sectPr>
          <w:pgSz w:w="11900" w:h="16838" w:orient="portrait"/>
          <w:cols w:equalWidth="0" w:num="1">
            <w:col w:w="11240"/>
          </w:cols>
          <w:pgMar w:left="320" w:top="934" w:right="339" w:bottom="1440" w:gutter="0" w:footer="0" w:header="0"/>
          <w:type w:val="continuous"/>
        </w:sectPr>
      </w:pPr>
    </w:p>
    <w:bookmarkStart w:id="17" w:name="page18"/>
    <w:bookmarkEnd w:id="17"/>
    <w:p>
      <w:pPr>
        <w:jc w:val="center"/>
        <w:spacing w:after="0"/>
        <w:rPr>
          <w:sz w:val="20"/>
          <w:szCs w:val="20"/>
          <w:color w:val="auto"/>
        </w:rPr>
      </w:pPr>
      <w:r>
        <w:rPr>
          <w:rFonts w:ascii="Times New Roman" w:cs="Times New Roman" w:eastAsia="Times New Roman" w:hAnsi="Times New Roman"/>
          <w:sz w:val="22"/>
          <w:szCs w:val="22"/>
          <w:b w:val="1"/>
          <w:bCs w:val="1"/>
          <w:color w:val="auto"/>
        </w:rPr>
        <w:t>CARTER’S, INC.</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RECONCILIATION OF NET INCOME ALLOCABLE TO COMMON SHAREHOLDERS</w:t>
      </w:r>
    </w:p>
    <w:p>
      <w:pPr>
        <w:jc w:val="center"/>
        <w:spacing w:after="0"/>
        <w:rPr>
          <w:sz w:val="20"/>
          <w:szCs w:val="20"/>
          <w:color w:val="auto"/>
        </w:rPr>
      </w:pPr>
      <w:r>
        <w:rPr>
          <w:rFonts w:ascii="Times New Roman" w:cs="Times New Roman" w:eastAsia="Times New Roman" w:hAnsi="Times New Roman"/>
          <w:sz w:val="18"/>
          <w:szCs w:val="18"/>
          <w:color w:val="auto"/>
        </w:rPr>
        <w:t>(unaudited)</w:t>
      </w:r>
    </w:p>
    <w:p>
      <w:pPr>
        <w:spacing w:after="0" w:line="370"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3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760" w:type="dxa"/>
            <w:vAlign w:val="bottom"/>
            <w:gridSpan w:val="5"/>
          </w:tcPr>
          <w:p>
            <w:pPr>
              <w:ind w:left="460"/>
              <w:spacing w:after="0"/>
              <w:rPr>
                <w:sz w:val="20"/>
                <w:szCs w:val="20"/>
                <w:color w:val="auto"/>
              </w:rPr>
            </w:pPr>
            <w:r>
              <w:rPr>
                <w:rFonts w:ascii="Times New Roman" w:cs="Times New Roman" w:eastAsia="Times New Roman" w:hAnsi="Times New Roman"/>
                <w:sz w:val="16"/>
                <w:szCs w:val="16"/>
                <w:b w:val="1"/>
                <w:bCs w:val="1"/>
                <w:color w:val="auto"/>
              </w:rPr>
              <w:t>Fiscal Quarter Ended</w:t>
            </w:r>
          </w:p>
        </w:tc>
        <w:tc>
          <w:tcPr>
            <w:tcW w:w="220" w:type="dxa"/>
            <w:vAlign w:val="bottom"/>
          </w:tcPr>
          <w:p>
            <w:pPr>
              <w:spacing w:after="0"/>
              <w:rPr>
                <w:sz w:val="18"/>
                <w:szCs w:val="18"/>
                <w:color w:val="auto"/>
              </w:rPr>
            </w:pPr>
          </w:p>
        </w:tc>
        <w:tc>
          <w:tcPr>
            <w:tcW w:w="2700" w:type="dxa"/>
            <w:vAlign w:val="bottom"/>
            <w:gridSpan w:val="4"/>
          </w:tcPr>
          <w:p>
            <w:pPr>
              <w:jc w:val="right"/>
              <w:ind w:right="359"/>
              <w:spacing w:after="0"/>
              <w:rPr>
                <w:sz w:val="20"/>
                <w:szCs w:val="20"/>
                <w:color w:val="auto"/>
              </w:rPr>
            </w:pPr>
            <w:r>
              <w:rPr>
                <w:rFonts w:ascii="Times New Roman" w:cs="Times New Roman" w:eastAsia="Times New Roman" w:hAnsi="Times New Roman"/>
                <w:sz w:val="16"/>
                <w:szCs w:val="16"/>
                <w:b w:val="1"/>
                <w:bCs w:val="1"/>
                <w:color w:val="auto"/>
              </w:rPr>
              <w:t>Three Fiscal Quarters Ended</w:t>
            </w: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3200" w:type="dxa"/>
            <w:vAlign w:val="bottom"/>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1300" w:type="dxa"/>
            <w:vAlign w:val="bottom"/>
            <w:tcBorders>
              <w:top w:val="single" w:sz="8" w:color="auto"/>
            </w:tcBorders>
            <w:gridSpan w:val="2"/>
          </w:tcPr>
          <w:p>
            <w:pPr>
              <w:ind w:left="120"/>
              <w:spacing w:after="0" w:line="158" w:lineRule="exact"/>
              <w:rPr>
                <w:sz w:val="20"/>
                <w:szCs w:val="20"/>
                <w:color w:val="auto"/>
              </w:rPr>
            </w:pPr>
            <w:r>
              <w:rPr>
                <w:rFonts w:ascii="Times New Roman" w:cs="Times New Roman" w:eastAsia="Times New Roman" w:hAnsi="Times New Roman"/>
                <w:sz w:val="16"/>
                <w:szCs w:val="16"/>
                <w:b w:val="1"/>
                <w:bCs w:val="1"/>
                <w:color w:val="auto"/>
              </w:rPr>
              <w:t>October 3,</w:t>
            </w:r>
          </w:p>
        </w:tc>
        <w:tc>
          <w:tcPr>
            <w:tcW w:w="140" w:type="dxa"/>
            <w:vAlign w:val="bottom"/>
            <w:tcBorders>
              <w:top w:val="single" w:sz="8" w:color="auto"/>
            </w:tcBorders>
          </w:tcPr>
          <w:p>
            <w:pPr>
              <w:spacing w:after="0"/>
              <w:rPr>
                <w:sz w:val="13"/>
                <w:szCs w:val="13"/>
                <w:color w:val="auto"/>
              </w:rPr>
            </w:pPr>
          </w:p>
        </w:tc>
        <w:tc>
          <w:tcPr>
            <w:tcW w:w="1220" w:type="dxa"/>
            <w:vAlign w:val="bottom"/>
            <w:tcBorders>
              <w:top w:val="single" w:sz="8" w:color="auto"/>
            </w:tcBorders>
          </w:tcPr>
          <w:p>
            <w:pPr>
              <w:jc w:val="right"/>
              <w:ind w:right="119"/>
              <w:spacing w:after="0" w:line="158" w:lineRule="exact"/>
              <w:rPr>
                <w:sz w:val="20"/>
                <w:szCs w:val="20"/>
                <w:color w:val="auto"/>
              </w:rPr>
            </w:pPr>
            <w:r>
              <w:rPr>
                <w:rFonts w:ascii="Times New Roman" w:cs="Times New Roman" w:eastAsia="Times New Roman" w:hAnsi="Times New Roman"/>
                <w:sz w:val="16"/>
                <w:szCs w:val="16"/>
                <w:b w:val="1"/>
                <w:bCs w:val="1"/>
                <w:color w:val="auto"/>
              </w:rPr>
              <w:t>September 27,</w:t>
            </w:r>
          </w:p>
        </w:tc>
        <w:tc>
          <w:tcPr>
            <w:tcW w:w="100" w:type="dxa"/>
            <w:vAlign w:val="bottom"/>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1300" w:type="dxa"/>
            <w:vAlign w:val="bottom"/>
            <w:tcBorders>
              <w:top w:val="single" w:sz="8" w:color="auto"/>
            </w:tcBorders>
            <w:gridSpan w:val="2"/>
          </w:tcPr>
          <w:p>
            <w:pPr>
              <w:ind w:left="120"/>
              <w:spacing w:after="0" w:line="158" w:lineRule="exact"/>
              <w:rPr>
                <w:sz w:val="20"/>
                <w:szCs w:val="20"/>
                <w:color w:val="auto"/>
              </w:rPr>
            </w:pPr>
            <w:r>
              <w:rPr>
                <w:rFonts w:ascii="Times New Roman" w:cs="Times New Roman" w:eastAsia="Times New Roman" w:hAnsi="Times New Roman"/>
                <w:sz w:val="16"/>
                <w:szCs w:val="16"/>
                <w:b w:val="1"/>
                <w:bCs w:val="1"/>
                <w:color w:val="auto"/>
              </w:rPr>
              <w:t>October 3,</w:t>
            </w:r>
          </w:p>
        </w:tc>
        <w:tc>
          <w:tcPr>
            <w:tcW w:w="160" w:type="dxa"/>
            <w:vAlign w:val="bottom"/>
            <w:tcBorders>
              <w:top w:val="single" w:sz="8" w:color="auto"/>
            </w:tcBorders>
          </w:tcPr>
          <w:p>
            <w:pPr>
              <w:spacing w:after="0"/>
              <w:rPr>
                <w:sz w:val="13"/>
                <w:szCs w:val="13"/>
                <w:color w:val="auto"/>
              </w:rPr>
            </w:pPr>
          </w:p>
        </w:tc>
        <w:tc>
          <w:tcPr>
            <w:tcW w:w="1240" w:type="dxa"/>
            <w:vAlign w:val="bottom"/>
            <w:tcBorders>
              <w:top w:val="single" w:sz="8" w:color="auto"/>
            </w:tcBorders>
          </w:tcPr>
          <w:p>
            <w:pPr>
              <w:jc w:val="right"/>
              <w:ind w:right="119"/>
              <w:spacing w:after="0" w:line="158" w:lineRule="exact"/>
              <w:rPr>
                <w:sz w:val="20"/>
                <w:szCs w:val="20"/>
                <w:color w:val="auto"/>
              </w:rPr>
            </w:pPr>
            <w:r>
              <w:rPr>
                <w:rFonts w:ascii="Times New Roman" w:cs="Times New Roman" w:eastAsia="Times New Roman" w:hAnsi="Times New Roman"/>
                <w:sz w:val="16"/>
                <w:szCs w:val="16"/>
                <w:b w:val="1"/>
                <w:bCs w:val="1"/>
                <w:color w:val="auto"/>
              </w:rPr>
              <w:t>September 27,</w:t>
            </w:r>
          </w:p>
        </w:tc>
        <w:tc>
          <w:tcPr>
            <w:tcW w:w="0" w:type="dxa"/>
            <w:vAlign w:val="bottom"/>
          </w:tcPr>
          <w:p>
            <w:pPr>
              <w:spacing w:after="0"/>
              <w:rPr>
                <w:sz w:val="1"/>
                <w:szCs w:val="1"/>
                <w:color w:val="auto"/>
              </w:rPr>
            </w:pPr>
          </w:p>
        </w:tc>
      </w:tr>
      <w:tr>
        <w:trPr>
          <w:trHeight w:val="214"/>
        </w:trPr>
        <w:tc>
          <w:tcPr>
            <w:tcW w:w="20" w:type="dxa"/>
            <w:vAlign w:val="bottom"/>
            <w:tcBorders>
              <w:bottom w:val="single" w:sz="8" w:color="CCEEFF"/>
            </w:tcBorders>
          </w:tcPr>
          <w:p>
            <w:pPr>
              <w:spacing w:after="0"/>
              <w:rPr>
                <w:sz w:val="18"/>
                <w:szCs w:val="18"/>
                <w:color w:val="auto"/>
              </w:rPr>
            </w:pPr>
          </w:p>
        </w:tc>
        <w:tc>
          <w:tcPr>
            <w:tcW w:w="86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140" w:type="dxa"/>
            <w:vAlign w:val="bottom"/>
            <w:tcBorders>
              <w:bottom w:val="single" w:sz="8" w:color="CCEEFF"/>
            </w:tcBorders>
          </w:tcPr>
          <w:p>
            <w:pPr>
              <w:spacing w:after="0"/>
              <w:rPr>
                <w:sz w:val="18"/>
                <w:szCs w:val="18"/>
                <w:color w:val="auto"/>
              </w:rPr>
            </w:pPr>
          </w:p>
        </w:tc>
        <w:tc>
          <w:tcPr>
            <w:tcW w:w="32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459"/>
              <w:spacing w:after="0"/>
              <w:rPr>
                <w:sz w:val="20"/>
                <w:szCs w:val="20"/>
                <w:color w:val="auto"/>
              </w:rPr>
            </w:pPr>
            <w:r>
              <w:rPr>
                <w:rFonts w:ascii="Times New Roman" w:cs="Times New Roman" w:eastAsia="Times New Roman" w:hAnsi="Times New Roman"/>
                <w:sz w:val="16"/>
                <w:szCs w:val="16"/>
                <w:b w:val="1"/>
                <w:bCs w:val="1"/>
                <w:color w:val="auto"/>
              </w:rPr>
              <w:t>2026</w:t>
            </w:r>
          </w:p>
        </w:tc>
        <w:tc>
          <w:tcPr>
            <w:tcW w:w="12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ind w:right="439"/>
              <w:spacing w:after="0"/>
              <w:rPr>
                <w:sz w:val="20"/>
                <w:szCs w:val="20"/>
                <w:color w:val="auto"/>
              </w:rPr>
            </w:pPr>
            <w:r>
              <w:rPr>
                <w:rFonts w:ascii="Times New Roman" w:cs="Times New Roman" w:eastAsia="Times New Roman" w:hAnsi="Times New Roman"/>
                <w:sz w:val="16"/>
                <w:szCs w:val="16"/>
                <w:b w:val="1"/>
                <w:bCs w:val="1"/>
                <w:color w:val="auto"/>
              </w:rPr>
              <w:t>2025</w:t>
            </w:r>
          </w:p>
        </w:tc>
        <w:tc>
          <w:tcPr>
            <w:tcW w:w="1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459"/>
              <w:spacing w:after="0"/>
              <w:rPr>
                <w:sz w:val="20"/>
                <w:szCs w:val="20"/>
                <w:color w:val="auto"/>
              </w:rPr>
            </w:pPr>
            <w:r>
              <w:rPr>
                <w:rFonts w:ascii="Times New Roman" w:cs="Times New Roman" w:eastAsia="Times New Roman" w:hAnsi="Times New Roman"/>
                <w:sz w:val="16"/>
                <w:szCs w:val="16"/>
                <w:b w:val="1"/>
                <w:bCs w:val="1"/>
                <w:color w:val="auto"/>
              </w:rPr>
              <w:t>2026</w:t>
            </w:r>
          </w:p>
        </w:tc>
        <w:tc>
          <w:tcPr>
            <w:tcW w:w="12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459"/>
              <w:spacing w:after="0"/>
              <w:rPr>
                <w:sz w:val="20"/>
                <w:szCs w:val="20"/>
                <w:color w:val="auto"/>
              </w:rPr>
            </w:pPr>
            <w:r>
              <w:rPr>
                <w:rFonts w:ascii="Times New Roman" w:cs="Times New Roman" w:eastAsia="Times New Roman" w:hAnsi="Times New Roman"/>
                <w:sz w:val="16"/>
                <w:szCs w:val="16"/>
                <w:b w:val="1"/>
                <w:bCs w:val="1"/>
                <w:color w:val="auto"/>
              </w:rPr>
              <w:t>2025</w:t>
            </w:r>
          </w:p>
        </w:tc>
        <w:tc>
          <w:tcPr>
            <w:tcW w:w="0" w:type="dxa"/>
            <w:vAlign w:val="bottom"/>
          </w:tcPr>
          <w:p>
            <w:pPr>
              <w:spacing w:after="0"/>
              <w:rPr>
                <w:sz w:val="1"/>
                <w:szCs w:val="1"/>
                <w:color w:val="auto"/>
              </w:rPr>
            </w:pPr>
          </w:p>
        </w:tc>
      </w:tr>
      <w:tr>
        <w:trPr>
          <w:trHeight w:val="144"/>
        </w:trPr>
        <w:tc>
          <w:tcPr>
            <w:tcW w:w="20" w:type="dxa"/>
            <w:vAlign w:val="bottom"/>
            <w:shd w:val="clear" w:color="auto" w:fill="CCEEFF"/>
          </w:tcPr>
          <w:p>
            <w:pPr>
              <w:spacing w:after="0"/>
              <w:rPr>
                <w:sz w:val="12"/>
                <w:szCs w:val="12"/>
                <w:color w:val="auto"/>
              </w:rPr>
            </w:pPr>
          </w:p>
        </w:tc>
        <w:tc>
          <w:tcPr>
            <w:tcW w:w="5320" w:type="dxa"/>
            <w:vAlign w:val="bottom"/>
            <w:gridSpan w:val="4"/>
            <w:shd w:val="clear" w:color="auto" w:fill="CCEEFF"/>
          </w:tcPr>
          <w:p>
            <w:pPr>
              <w:spacing w:after="0" w:line="144" w:lineRule="exact"/>
              <w:rPr>
                <w:sz w:val="20"/>
                <w:szCs w:val="20"/>
                <w:color w:val="auto"/>
              </w:rPr>
            </w:pPr>
            <w:r>
              <w:rPr>
                <w:rFonts w:ascii="Times New Roman" w:cs="Times New Roman" w:eastAsia="Times New Roman" w:hAnsi="Times New Roman"/>
                <w:sz w:val="16"/>
                <w:szCs w:val="16"/>
                <w:color w:val="auto"/>
              </w:rPr>
              <w:t>Weighted-average number of common and common equivalent shares</w:t>
            </w:r>
          </w:p>
        </w:tc>
        <w:tc>
          <w:tcPr>
            <w:tcW w:w="220" w:type="dxa"/>
            <w:vAlign w:val="bottom"/>
            <w:shd w:val="clear" w:color="auto" w:fill="CCEEFF"/>
          </w:tcPr>
          <w:p>
            <w:pPr>
              <w:spacing w:after="0"/>
              <w:rPr>
                <w:sz w:val="12"/>
                <w:szCs w:val="12"/>
                <w:color w:val="auto"/>
              </w:rPr>
            </w:pPr>
          </w:p>
        </w:tc>
        <w:tc>
          <w:tcPr>
            <w:tcW w:w="11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2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1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2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shd w:val="clear" w:color="auto" w:fill="CCEEFF"/>
          </w:tcPr>
          <w:p>
            <w:pPr>
              <w:spacing w:after="0"/>
              <w:rPr>
                <w:sz w:val="18"/>
                <w:szCs w:val="18"/>
                <w:color w:val="auto"/>
              </w:rPr>
            </w:pPr>
          </w:p>
        </w:tc>
        <w:tc>
          <w:tcPr>
            <w:tcW w:w="532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6"/>
                <w:szCs w:val="16"/>
                <w:color w:val="auto"/>
              </w:rPr>
              <w:t>outstanding:</w:t>
            </w:r>
          </w:p>
        </w:tc>
        <w:tc>
          <w:tcPr>
            <w:tcW w:w="22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5320" w:type="dxa"/>
            <w:vAlign w:val="bottom"/>
            <w:gridSpan w:val="4"/>
          </w:tcPr>
          <w:p>
            <w:pPr>
              <w:ind w:left="200"/>
              <w:spacing w:after="0"/>
              <w:rPr>
                <w:sz w:val="20"/>
                <w:szCs w:val="20"/>
                <w:color w:val="auto"/>
              </w:rPr>
            </w:pPr>
            <w:r>
              <w:rPr>
                <w:rFonts w:ascii="Times New Roman" w:cs="Times New Roman" w:eastAsia="Times New Roman" w:hAnsi="Times New Roman"/>
                <w:sz w:val="16"/>
                <w:szCs w:val="16"/>
                <w:color w:val="auto"/>
              </w:rPr>
              <w:t>Basic number of common shares outstanding</w:t>
            </w:r>
          </w:p>
        </w:tc>
        <w:tc>
          <w:tcPr>
            <w:tcW w:w="22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35,623,722</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35,443,712</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35,569,482</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35,388,596</w:t>
            </w:r>
          </w:p>
        </w:tc>
        <w:tc>
          <w:tcPr>
            <w:tcW w:w="0" w:type="dxa"/>
            <w:vAlign w:val="bottom"/>
          </w:tcPr>
          <w:p>
            <w:pPr>
              <w:spacing w:after="0"/>
              <w:rPr>
                <w:sz w:val="1"/>
                <w:szCs w:val="1"/>
                <w:color w:val="auto"/>
              </w:rPr>
            </w:pPr>
          </w:p>
        </w:tc>
      </w:tr>
      <w:tr>
        <w:trPr>
          <w:trHeight w:val="216"/>
        </w:trPr>
        <w:tc>
          <w:tcPr>
            <w:tcW w:w="20" w:type="dxa"/>
            <w:vAlign w:val="bottom"/>
            <w:shd w:val="clear" w:color="auto" w:fill="CCEEFF"/>
          </w:tcPr>
          <w:p>
            <w:pPr>
              <w:spacing w:after="0"/>
              <w:rPr>
                <w:sz w:val="18"/>
                <w:szCs w:val="18"/>
                <w:color w:val="auto"/>
              </w:rPr>
            </w:pPr>
          </w:p>
        </w:tc>
        <w:tc>
          <w:tcPr>
            <w:tcW w:w="5320" w:type="dxa"/>
            <w:vAlign w:val="bottom"/>
            <w:gridSpan w:val="4"/>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Dilutive effect of equity awards</w:t>
            </w:r>
          </w:p>
        </w:tc>
        <w:tc>
          <w:tcPr>
            <w:tcW w:w="22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12,505</w:t>
            </w:r>
          </w:p>
        </w:tc>
        <w:tc>
          <w:tcPr>
            <w:tcW w:w="1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146</w:t>
            </w:r>
          </w:p>
        </w:tc>
        <w:tc>
          <w:tcPr>
            <w:tcW w:w="10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7,957</w:t>
            </w:r>
          </w:p>
        </w:tc>
        <w:tc>
          <w:tcPr>
            <w:tcW w:w="1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348</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5320" w:type="dxa"/>
            <w:vAlign w:val="bottom"/>
            <w:gridSpan w:val="4"/>
          </w:tcPr>
          <w:p>
            <w:pPr>
              <w:ind w:left="200"/>
              <w:spacing w:after="0"/>
              <w:rPr>
                <w:sz w:val="20"/>
                <w:szCs w:val="20"/>
                <w:color w:val="auto"/>
              </w:rPr>
            </w:pPr>
            <w:r>
              <w:rPr>
                <w:rFonts w:ascii="Times New Roman" w:cs="Times New Roman" w:eastAsia="Times New Roman" w:hAnsi="Times New Roman"/>
                <w:sz w:val="16"/>
                <w:szCs w:val="16"/>
                <w:color w:val="auto"/>
              </w:rPr>
              <w:t>Diluted number of common and common equivalent shares outstanding</w:t>
            </w:r>
          </w:p>
        </w:tc>
        <w:tc>
          <w:tcPr>
            <w:tcW w:w="22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35,636,227</w:t>
            </w:r>
          </w:p>
        </w:tc>
        <w:tc>
          <w:tcPr>
            <w:tcW w:w="12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35,443,858</w:t>
            </w:r>
          </w:p>
        </w:tc>
        <w:tc>
          <w:tcPr>
            <w:tcW w:w="10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35,577,439</w:t>
            </w:r>
          </w:p>
        </w:tc>
        <w:tc>
          <w:tcPr>
            <w:tcW w:w="12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35,388,944</w:t>
            </w: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86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140" w:type="dxa"/>
            <w:vAlign w:val="bottom"/>
            <w:tcBorders>
              <w:bottom w:val="single" w:sz="8" w:color="CCEEFF"/>
            </w:tcBorders>
          </w:tcPr>
          <w:p>
            <w:pPr>
              <w:spacing w:after="0" w:line="20" w:lineRule="exact"/>
              <w:rPr>
                <w:sz w:val="1"/>
                <w:szCs w:val="1"/>
                <w:color w:val="auto"/>
              </w:rPr>
            </w:pPr>
          </w:p>
        </w:tc>
        <w:tc>
          <w:tcPr>
            <w:tcW w:w="32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20" w:type="dxa"/>
            <w:vAlign w:val="bottom"/>
            <w:tcBorders>
              <w:bottom w:val="single" w:sz="8" w:color="CCEEFF"/>
            </w:tcBorders>
            <w:shd w:val="clear" w:color="auto" w:fill="CCEEFF"/>
          </w:tcPr>
          <w:p>
            <w:pPr>
              <w:spacing w:after="0"/>
              <w:rPr>
                <w:sz w:val="14"/>
                <w:szCs w:val="14"/>
                <w:color w:val="auto"/>
              </w:rPr>
            </w:pPr>
          </w:p>
        </w:tc>
        <w:tc>
          <w:tcPr>
            <w:tcW w:w="2120" w:type="dxa"/>
            <w:vAlign w:val="bottom"/>
            <w:tcBorders>
              <w:bottom w:val="single" w:sz="8" w:color="auto"/>
            </w:tcBorders>
            <w:gridSpan w:val="3"/>
            <w:shd w:val="clear" w:color="auto" w:fill="CCEEFF"/>
          </w:tcPr>
          <w:p>
            <w:pPr>
              <w:spacing w:after="0" w:line="142" w:lineRule="exact"/>
              <w:rPr>
                <w:sz w:val="20"/>
                <w:szCs w:val="20"/>
                <w:color w:val="auto"/>
              </w:rPr>
            </w:pPr>
            <w:r>
              <w:rPr>
                <w:rFonts w:ascii="Times New Roman" w:cs="Times New Roman" w:eastAsia="Times New Roman" w:hAnsi="Times New Roman"/>
                <w:sz w:val="16"/>
                <w:szCs w:val="16"/>
                <w:b w:val="1"/>
                <w:bCs w:val="1"/>
                <w:color w:val="auto"/>
              </w:rPr>
              <w:t>As reported on a GAAP Basis:</w:t>
            </w:r>
          </w:p>
        </w:tc>
        <w:tc>
          <w:tcPr>
            <w:tcW w:w="3200" w:type="dxa"/>
            <w:vAlign w:val="bottom"/>
            <w:tcBorders>
              <w:bottom w:val="single" w:sz="8" w:color="CCEEFF"/>
            </w:tcBorders>
            <w:shd w:val="clear" w:color="auto" w:fill="CCEEFF"/>
          </w:tcPr>
          <w:p>
            <w:pPr>
              <w:spacing w:after="0"/>
              <w:rPr>
                <w:sz w:val="14"/>
                <w:szCs w:val="14"/>
                <w:color w:val="auto"/>
              </w:rPr>
            </w:pPr>
          </w:p>
        </w:tc>
        <w:tc>
          <w:tcPr>
            <w:tcW w:w="220" w:type="dxa"/>
            <w:vAlign w:val="bottom"/>
            <w:tcBorders>
              <w:bottom w:val="single" w:sz="8" w:color="CCEEFF"/>
            </w:tcBorders>
            <w:shd w:val="clear" w:color="auto" w:fill="CCEEFF"/>
          </w:tcPr>
          <w:p>
            <w:pPr>
              <w:spacing w:after="0"/>
              <w:rPr>
                <w:sz w:val="14"/>
                <w:szCs w:val="14"/>
                <w:color w:val="auto"/>
              </w:rPr>
            </w:pPr>
          </w:p>
        </w:tc>
        <w:tc>
          <w:tcPr>
            <w:tcW w:w="118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CCEEFF"/>
            </w:tcBorders>
            <w:shd w:val="clear" w:color="auto" w:fill="CCEEFF"/>
          </w:tcPr>
          <w:p>
            <w:pPr>
              <w:spacing w:after="0"/>
              <w:rPr>
                <w:sz w:val="14"/>
                <w:szCs w:val="14"/>
                <w:color w:val="auto"/>
              </w:rPr>
            </w:pPr>
          </w:p>
        </w:tc>
        <w:tc>
          <w:tcPr>
            <w:tcW w:w="140" w:type="dxa"/>
            <w:vAlign w:val="bottom"/>
            <w:tcBorders>
              <w:bottom w:val="single" w:sz="8" w:color="CCEEFF"/>
            </w:tcBorders>
            <w:shd w:val="clear" w:color="auto" w:fill="CCEEFF"/>
          </w:tcPr>
          <w:p>
            <w:pPr>
              <w:spacing w:after="0"/>
              <w:rPr>
                <w:sz w:val="14"/>
                <w:szCs w:val="14"/>
                <w:color w:val="auto"/>
              </w:rPr>
            </w:pPr>
          </w:p>
        </w:tc>
        <w:tc>
          <w:tcPr>
            <w:tcW w:w="122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220" w:type="dxa"/>
            <w:vAlign w:val="bottom"/>
            <w:tcBorders>
              <w:bottom w:val="single" w:sz="8" w:color="CCEEFF"/>
            </w:tcBorders>
            <w:shd w:val="clear" w:color="auto" w:fill="CCEEFF"/>
          </w:tcPr>
          <w:p>
            <w:pPr>
              <w:spacing w:after="0"/>
              <w:rPr>
                <w:sz w:val="14"/>
                <w:szCs w:val="14"/>
                <w:color w:val="auto"/>
              </w:rPr>
            </w:pPr>
          </w:p>
        </w:tc>
        <w:tc>
          <w:tcPr>
            <w:tcW w:w="118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CCEEFF"/>
            </w:tcBorders>
            <w:shd w:val="clear" w:color="auto" w:fill="CCEEFF"/>
          </w:tcPr>
          <w:p>
            <w:pPr>
              <w:spacing w:after="0"/>
              <w:rPr>
                <w:sz w:val="14"/>
                <w:szCs w:val="14"/>
                <w:color w:val="auto"/>
              </w:rPr>
            </w:pPr>
          </w:p>
        </w:tc>
        <w:tc>
          <w:tcPr>
            <w:tcW w:w="160" w:type="dxa"/>
            <w:vAlign w:val="bottom"/>
            <w:tcBorders>
              <w:bottom w:val="single" w:sz="8" w:color="CCEEFF"/>
            </w:tcBorders>
            <w:shd w:val="clear" w:color="auto" w:fill="CCEEFF"/>
          </w:tcPr>
          <w:p>
            <w:pPr>
              <w:spacing w:after="0"/>
              <w:rPr>
                <w:sz w:val="14"/>
                <w:szCs w:val="14"/>
                <w:color w:val="auto"/>
              </w:rPr>
            </w:pPr>
          </w:p>
        </w:tc>
        <w:tc>
          <w:tcPr>
            <w:tcW w:w="1240" w:type="dxa"/>
            <w:vAlign w:val="bottom"/>
            <w:tcBorders>
              <w:bottom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5320" w:type="dxa"/>
            <w:vAlign w:val="bottom"/>
            <w:gridSpan w:val="4"/>
          </w:tcPr>
          <w:p>
            <w:pPr>
              <w:spacing w:after="0"/>
              <w:rPr>
                <w:sz w:val="20"/>
                <w:szCs w:val="20"/>
                <w:color w:val="auto"/>
              </w:rPr>
            </w:pPr>
            <w:r>
              <w:rPr>
                <w:rFonts w:ascii="Times New Roman" w:cs="Times New Roman" w:eastAsia="Times New Roman" w:hAnsi="Times New Roman"/>
                <w:sz w:val="16"/>
                <w:szCs w:val="16"/>
                <w:color w:val="auto"/>
              </w:rPr>
              <w:t>(dollars in thousands, except per share data)</w:t>
            </w:r>
          </w:p>
        </w:tc>
        <w:tc>
          <w:tcPr>
            <w:tcW w:w="2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0" w:type="dxa"/>
            <w:vAlign w:val="bottom"/>
            <w:shd w:val="clear" w:color="auto" w:fill="CCEEFF"/>
          </w:tcPr>
          <w:p>
            <w:pPr>
              <w:spacing w:after="0"/>
              <w:rPr>
                <w:sz w:val="19"/>
                <w:szCs w:val="19"/>
                <w:color w:val="auto"/>
              </w:rPr>
            </w:pPr>
          </w:p>
        </w:tc>
        <w:tc>
          <w:tcPr>
            <w:tcW w:w="532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6"/>
                <w:szCs w:val="16"/>
                <w:color w:val="auto"/>
              </w:rPr>
              <w:t>Basic net income per common share:</w:t>
            </w:r>
          </w:p>
        </w:tc>
        <w:tc>
          <w:tcPr>
            <w:tcW w:w="22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5320" w:type="dxa"/>
            <w:vAlign w:val="bottom"/>
            <w:gridSpan w:val="4"/>
          </w:tcPr>
          <w:p>
            <w:pPr>
              <w:ind w:left="200"/>
              <w:spacing w:after="0"/>
              <w:rPr>
                <w:sz w:val="20"/>
                <w:szCs w:val="20"/>
                <w:color w:val="auto"/>
              </w:rPr>
            </w:pPr>
            <w:r>
              <w:rPr>
                <w:rFonts w:ascii="Times New Roman" w:cs="Times New Roman" w:eastAsia="Times New Roman" w:hAnsi="Times New Roman"/>
                <w:sz w:val="16"/>
                <w:szCs w:val="16"/>
                <w:color w:val="auto"/>
              </w:rPr>
              <w:t>Net income</w:t>
            </w:r>
          </w:p>
        </w:tc>
        <w:tc>
          <w:tcPr>
            <w:tcW w:w="2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36,611</w:t>
            </w:r>
          </w:p>
        </w:tc>
        <w:tc>
          <w:tcPr>
            <w:tcW w:w="12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11,593</w:t>
            </w:r>
          </w:p>
        </w:tc>
        <w:tc>
          <w:tcPr>
            <w:tcW w:w="100" w:type="dxa"/>
            <w:vAlign w:val="bottom"/>
          </w:tcPr>
          <w:p>
            <w:pPr>
              <w:spacing w:after="0"/>
              <w:rPr>
                <w:sz w:val="18"/>
                <w:szCs w:val="18"/>
                <w:color w:val="auto"/>
              </w:rPr>
            </w:pPr>
          </w:p>
        </w:tc>
        <w:tc>
          <w:tcPr>
            <w:tcW w:w="2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155,905</w:t>
            </w:r>
          </w:p>
        </w:tc>
        <w:tc>
          <w:tcPr>
            <w:tcW w:w="12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27,578</w:t>
            </w:r>
          </w:p>
        </w:tc>
        <w:tc>
          <w:tcPr>
            <w:tcW w:w="0" w:type="dxa"/>
            <w:vAlign w:val="bottom"/>
          </w:tcPr>
          <w:p>
            <w:pPr>
              <w:spacing w:after="0"/>
              <w:rPr>
                <w:sz w:val="1"/>
                <w:szCs w:val="1"/>
                <w:color w:val="auto"/>
              </w:rPr>
            </w:pPr>
          </w:p>
        </w:tc>
      </w:tr>
      <w:tr>
        <w:trPr>
          <w:trHeight w:val="216"/>
        </w:trPr>
        <w:tc>
          <w:tcPr>
            <w:tcW w:w="20" w:type="dxa"/>
            <w:vAlign w:val="bottom"/>
            <w:shd w:val="clear" w:color="auto" w:fill="CCEEFF"/>
          </w:tcPr>
          <w:p>
            <w:pPr>
              <w:spacing w:after="0"/>
              <w:rPr>
                <w:sz w:val="18"/>
                <w:szCs w:val="18"/>
                <w:color w:val="auto"/>
              </w:rPr>
            </w:pPr>
          </w:p>
        </w:tc>
        <w:tc>
          <w:tcPr>
            <w:tcW w:w="5320" w:type="dxa"/>
            <w:vAlign w:val="bottom"/>
            <w:gridSpan w:val="4"/>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Income allocated to participating securities</w:t>
            </w:r>
          </w:p>
        </w:tc>
        <w:tc>
          <w:tcPr>
            <w:tcW w:w="22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(842)</w:t>
            </w:r>
          </w:p>
        </w:tc>
        <w:tc>
          <w:tcPr>
            <w:tcW w:w="1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(305)</w:t>
            </w:r>
          </w:p>
        </w:tc>
        <w:tc>
          <w:tcPr>
            <w:tcW w:w="10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(4,103)</w:t>
            </w:r>
          </w:p>
        </w:tc>
        <w:tc>
          <w:tcPr>
            <w:tcW w:w="1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(1,118)</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5320" w:type="dxa"/>
            <w:vAlign w:val="bottom"/>
            <w:gridSpan w:val="4"/>
          </w:tcPr>
          <w:p>
            <w:pPr>
              <w:ind w:left="200"/>
              <w:spacing w:after="0"/>
              <w:rPr>
                <w:sz w:val="20"/>
                <w:szCs w:val="20"/>
                <w:color w:val="auto"/>
              </w:rPr>
            </w:pPr>
            <w:r>
              <w:rPr>
                <w:rFonts w:ascii="Times New Roman" w:cs="Times New Roman" w:eastAsia="Times New Roman" w:hAnsi="Times New Roman"/>
                <w:sz w:val="16"/>
                <w:szCs w:val="16"/>
                <w:color w:val="auto"/>
              </w:rPr>
              <w:t>Net income available to common shareholders</w:t>
            </w:r>
          </w:p>
        </w:tc>
        <w:tc>
          <w:tcPr>
            <w:tcW w:w="22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35,769</w:t>
            </w:r>
          </w:p>
        </w:tc>
        <w:tc>
          <w:tcPr>
            <w:tcW w:w="12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11,288</w:t>
            </w:r>
          </w:p>
        </w:tc>
        <w:tc>
          <w:tcPr>
            <w:tcW w:w="100" w:type="dxa"/>
            <w:vAlign w:val="bottom"/>
          </w:tcPr>
          <w:p>
            <w:pPr>
              <w:spacing w:after="0"/>
              <w:rPr>
                <w:sz w:val="18"/>
                <w:szCs w:val="18"/>
                <w:color w:val="auto"/>
              </w:rPr>
            </w:pPr>
          </w:p>
        </w:tc>
        <w:tc>
          <w:tcPr>
            <w:tcW w:w="22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151,802</w:t>
            </w:r>
          </w:p>
        </w:tc>
        <w:tc>
          <w:tcPr>
            <w:tcW w:w="12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26,460</w:t>
            </w: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86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140" w:type="dxa"/>
            <w:vAlign w:val="bottom"/>
            <w:tcBorders>
              <w:bottom w:val="single" w:sz="8" w:color="CCEEFF"/>
            </w:tcBorders>
          </w:tcPr>
          <w:p>
            <w:pPr>
              <w:spacing w:after="0" w:line="20" w:lineRule="exact"/>
              <w:rPr>
                <w:sz w:val="1"/>
                <w:szCs w:val="1"/>
                <w:color w:val="auto"/>
              </w:rPr>
            </w:pPr>
          </w:p>
        </w:tc>
        <w:tc>
          <w:tcPr>
            <w:tcW w:w="32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shd w:val="clear" w:color="auto" w:fill="CCEEFF"/>
          </w:tcPr>
          <w:p>
            <w:pPr>
              <w:spacing w:after="0"/>
              <w:rPr>
                <w:sz w:val="18"/>
                <w:szCs w:val="18"/>
                <w:color w:val="auto"/>
              </w:rPr>
            </w:pPr>
          </w:p>
        </w:tc>
        <w:tc>
          <w:tcPr>
            <w:tcW w:w="5320" w:type="dxa"/>
            <w:vAlign w:val="bottom"/>
            <w:gridSpan w:val="4"/>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Basic net income per common share</w:t>
            </w:r>
          </w:p>
        </w:tc>
        <w:tc>
          <w:tcPr>
            <w:tcW w:w="22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0.32</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4.27</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0.75</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5320" w:type="dxa"/>
            <w:vAlign w:val="bottom"/>
            <w:gridSpan w:val="4"/>
          </w:tcPr>
          <w:p>
            <w:pPr>
              <w:spacing w:after="0"/>
              <w:rPr>
                <w:sz w:val="20"/>
                <w:szCs w:val="20"/>
                <w:color w:val="auto"/>
              </w:rPr>
            </w:pPr>
            <w:r>
              <w:rPr>
                <w:rFonts w:ascii="Times New Roman" w:cs="Times New Roman" w:eastAsia="Times New Roman" w:hAnsi="Times New Roman"/>
                <w:sz w:val="16"/>
                <w:szCs w:val="16"/>
                <w:color w:val="auto"/>
              </w:rPr>
              <w:t>Diluted net income per common share:</w:t>
            </w:r>
          </w:p>
        </w:tc>
        <w:tc>
          <w:tcPr>
            <w:tcW w:w="2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0" w:type="dxa"/>
            <w:vAlign w:val="bottom"/>
            <w:shd w:val="clear" w:color="auto" w:fill="CCEEFF"/>
          </w:tcPr>
          <w:p>
            <w:pPr>
              <w:spacing w:after="0"/>
              <w:rPr>
                <w:sz w:val="19"/>
                <w:szCs w:val="19"/>
                <w:color w:val="auto"/>
              </w:rPr>
            </w:pPr>
          </w:p>
        </w:tc>
        <w:tc>
          <w:tcPr>
            <w:tcW w:w="5320" w:type="dxa"/>
            <w:vAlign w:val="bottom"/>
            <w:gridSpan w:val="4"/>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Net income</w:t>
            </w:r>
          </w:p>
        </w:tc>
        <w:tc>
          <w:tcPr>
            <w:tcW w:w="22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36,611</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11,593</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155,905</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27,578</w:t>
            </w:r>
          </w:p>
        </w:tc>
        <w:tc>
          <w:tcPr>
            <w:tcW w:w="0" w:type="dxa"/>
            <w:vAlign w:val="bottom"/>
          </w:tcPr>
          <w:p>
            <w:pPr>
              <w:spacing w:after="0"/>
              <w:rPr>
                <w:sz w:val="1"/>
                <w:szCs w:val="1"/>
                <w:color w:val="auto"/>
              </w:rPr>
            </w:pPr>
          </w:p>
        </w:tc>
      </w:tr>
      <w:tr>
        <w:trPr>
          <w:trHeight w:val="213"/>
        </w:trPr>
        <w:tc>
          <w:tcPr>
            <w:tcW w:w="20" w:type="dxa"/>
            <w:vAlign w:val="bottom"/>
            <w:tcBorders>
              <w:bottom w:val="single" w:sz="8" w:color="CCEEFF"/>
            </w:tcBorders>
          </w:tcPr>
          <w:p>
            <w:pPr>
              <w:spacing w:after="0"/>
              <w:rPr>
                <w:sz w:val="18"/>
                <w:szCs w:val="18"/>
                <w:color w:val="auto"/>
              </w:rPr>
            </w:pPr>
          </w:p>
        </w:tc>
        <w:tc>
          <w:tcPr>
            <w:tcW w:w="5320" w:type="dxa"/>
            <w:vAlign w:val="bottom"/>
            <w:tcBorders>
              <w:bottom w:val="single" w:sz="8" w:color="CCEEFF"/>
            </w:tcBorders>
            <w:gridSpan w:val="4"/>
          </w:tcPr>
          <w:p>
            <w:pPr>
              <w:ind w:left="200"/>
              <w:spacing w:after="0"/>
              <w:rPr>
                <w:sz w:val="20"/>
                <w:szCs w:val="20"/>
                <w:color w:val="auto"/>
              </w:rPr>
            </w:pPr>
            <w:r>
              <w:rPr>
                <w:rFonts w:ascii="Times New Roman" w:cs="Times New Roman" w:eastAsia="Times New Roman" w:hAnsi="Times New Roman"/>
                <w:sz w:val="16"/>
                <w:szCs w:val="16"/>
                <w:color w:val="auto"/>
              </w:rPr>
              <w:t>Income allocated to participating securities</w:t>
            </w:r>
          </w:p>
        </w:tc>
        <w:tc>
          <w:tcPr>
            <w:tcW w:w="22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(842)</w:t>
            </w:r>
          </w:p>
        </w:tc>
        <w:tc>
          <w:tcPr>
            <w:tcW w:w="12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(305)</w:t>
            </w:r>
          </w:p>
        </w:tc>
        <w:tc>
          <w:tcPr>
            <w:tcW w:w="1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(4,102)</w:t>
            </w:r>
          </w:p>
        </w:tc>
        <w:tc>
          <w:tcPr>
            <w:tcW w:w="12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(1,118)</w:t>
            </w:r>
          </w:p>
        </w:tc>
        <w:tc>
          <w:tcPr>
            <w:tcW w:w="0" w:type="dxa"/>
            <w:vAlign w:val="bottom"/>
          </w:tcPr>
          <w:p>
            <w:pPr>
              <w:spacing w:after="0"/>
              <w:rPr>
                <w:sz w:val="1"/>
                <w:szCs w:val="1"/>
                <w:color w:val="auto"/>
              </w:rPr>
            </w:pPr>
          </w:p>
        </w:tc>
      </w:tr>
      <w:tr>
        <w:trPr>
          <w:trHeight w:val="237"/>
        </w:trPr>
        <w:tc>
          <w:tcPr>
            <w:tcW w:w="20" w:type="dxa"/>
            <w:vAlign w:val="bottom"/>
            <w:tcBorders>
              <w:bottom w:val="single" w:sz="8" w:color="CCEEFF"/>
            </w:tcBorders>
            <w:shd w:val="clear" w:color="auto" w:fill="CCEEFF"/>
          </w:tcPr>
          <w:p>
            <w:pPr>
              <w:spacing w:after="0"/>
              <w:rPr>
                <w:sz w:val="20"/>
                <w:szCs w:val="20"/>
                <w:color w:val="auto"/>
              </w:rPr>
            </w:pPr>
          </w:p>
        </w:tc>
        <w:tc>
          <w:tcPr>
            <w:tcW w:w="5320" w:type="dxa"/>
            <w:vAlign w:val="bottom"/>
            <w:tcBorders>
              <w:bottom w:val="single" w:sz="8" w:color="CCEEFF"/>
            </w:tcBorders>
            <w:gridSpan w:val="4"/>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Net income available to common shareholders</w:t>
            </w:r>
          </w:p>
        </w:tc>
        <w:tc>
          <w:tcPr>
            <w:tcW w:w="220" w:type="dxa"/>
            <w:vAlign w:val="bottom"/>
            <w:tcBorders>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35,769</w:t>
            </w: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11,288</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151,803</w:t>
            </w: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26,460</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5320" w:type="dxa"/>
            <w:vAlign w:val="bottom"/>
            <w:tcBorders>
              <w:top w:val="single" w:sz="8" w:color="CCEEFF"/>
              <w:bottom w:val="single" w:sz="8" w:color="CCEEFF"/>
            </w:tcBorders>
            <w:gridSpan w:val="4"/>
            <w:vMerge w:val="restart"/>
          </w:tcPr>
          <w:p>
            <w:pPr>
              <w:ind w:left="200"/>
              <w:spacing w:after="0"/>
              <w:rPr>
                <w:sz w:val="20"/>
                <w:szCs w:val="20"/>
                <w:color w:val="auto"/>
              </w:rPr>
            </w:pPr>
            <w:r>
              <w:rPr>
                <w:rFonts w:ascii="Times New Roman" w:cs="Times New Roman" w:eastAsia="Times New Roman" w:hAnsi="Times New Roman"/>
                <w:sz w:val="16"/>
                <w:szCs w:val="16"/>
                <w:color w:val="auto"/>
              </w:rPr>
              <w:t>Diluted net income per common share</w:t>
            </w: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7"/>
        </w:trPr>
        <w:tc>
          <w:tcPr>
            <w:tcW w:w="20" w:type="dxa"/>
            <w:vAlign w:val="bottom"/>
          </w:tcPr>
          <w:p>
            <w:pPr>
              <w:spacing w:after="0"/>
              <w:rPr>
                <w:sz w:val="16"/>
                <w:szCs w:val="16"/>
                <w:color w:val="auto"/>
              </w:rPr>
            </w:pPr>
          </w:p>
        </w:tc>
        <w:tc>
          <w:tcPr>
            <w:tcW w:w="5320" w:type="dxa"/>
            <w:vAlign w:val="bottom"/>
            <w:gridSpan w:val="4"/>
            <w:vMerge w:val="continue"/>
          </w:tcPr>
          <w:p>
            <w:pPr>
              <w:spacing w:after="0"/>
              <w:rPr>
                <w:sz w:val="16"/>
                <w:szCs w:val="16"/>
                <w:color w:val="auto"/>
              </w:rPr>
            </w:pPr>
          </w:p>
        </w:tc>
        <w:tc>
          <w:tcPr>
            <w:tcW w:w="2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1.00</w:t>
            </w:r>
          </w:p>
        </w:tc>
        <w:tc>
          <w:tcPr>
            <w:tcW w:w="120" w:type="dxa"/>
            <w:vAlign w:val="bottom"/>
          </w:tcPr>
          <w:p>
            <w:pPr>
              <w:spacing w:after="0"/>
              <w:rPr>
                <w:sz w:val="16"/>
                <w:szCs w:val="16"/>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0.32</w:t>
            </w:r>
          </w:p>
        </w:tc>
        <w:tc>
          <w:tcPr>
            <w:tcW w:w="100" w:type="dxa"/>
            <w:vAlign w:val="bottom"/>
          </w:tcPr>
          <w:p>
            <w:pPr>
              <w:spacing w:after="0"/>
              <w:rPr>
                <w:sz w:val="16"/>
                <w:szCs w:val="16"/>
                <w:color w:val="auto"/>
              </w:rPr>
            </w:pPr>
          </w:p>
        </w:tc>
        <w:tc>
          <w:tcPr>
            <w:tcW w:w="2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4.27</w:t>
            </w:r>
          </w:p>
        </w:tc>
        <w:tc>
          <w:tcPr>
            <w:tcW w:w="120" w:type="dxa"/>
            <w:vAlign w:val="bottom"/>
          </w:tcPr>
          <w:p>
            <w:pPr>
              <w:spacing w:after="0"/>
              <w:rPr>
                <w:sz w:val="16"/>
                <w:szCs w:val="16"/>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0.75</w:t>
            </w:r>
          </w:p>
        </w:tc>
        <w:tc>
          <w:tcPr>
            <w:tcW w:w="0" w:type="dxa"/>
            <w:vAlign w:val="bottom"/>
          </w:tcPr>
          <w:p>
            <w:pPr>
              <w:spacing w:after="0"/>
              <w:rPr>
                <w:sz w:val="1"/>
                <w:szCs w:val="1"/>
                <w:color w:val="auto"/>
              </w:rPr>
            </w:pPr>
          </w:p>
        </w:tc>
      </w:tr>
      <w:tr>
        <w:trPr>
          <w:trHeight w:val="124"/>
        </w:trPr>
        <w:tc>
          <w:tcPr>
            <w:tcW w:w="20" w:type="dxa"/>
            <w:vAlign w:val="bottom"/>
            <w:tcBorders>
              <w:bottom w:val="single" w:sz="8" w:color="CCEEFF"/>
            </w:tcBorders>
            <w:shd w:val="clear" w:color="auto" w:fill="CCEEFF"/>
          </w:tcPr>
          <w:p>
            <w:pPr>
              <w:spacing w:after="0"/>
              <w:rPr>
                <w:sz w:val="10"/>
                <w:szCs w:val="10"/>
                <w:color w:val="auto"/>
              </w:rPr>
            </w:pPr>
          </w:p>
        </w:tc>
        <w:tc>
          <w:tcPr>
            <w:tcW w:w="860" w:type="dxa"/>
            <w:vAlign w:val="bottom"/>
            <w:tcBorders>
              <w:bottom w:val="single" w:sz="8" w:color="CCEEFF"/>
            </w:tcBorders>
            <w:vMerge w:val="restart"/>
            <w:shd w:val="clear" w:color="auto" w:fill="CCEEFF"/>
          </w:tcPr>
          <w:p>
            <w:pPr>
              <w:spacing w:after="0" w:line="178" w:lineRule="exact"/>
              <w:rPr>
                <w:sz w:val="20"/>
                <w:szCs w:val="20"/>
                <w:color w:val="auto"/>
              </w:rPr>
            </w:pPr>
            <w:r>
              <w:rPr>
                <w:rFonts w:ascii="Times New Roman" w:cs="Times New Roman" w:eastAsia="Times New Roman" w:hAnsi="Times New Roman"/>
                <w:sz w:val="16"/>
                <w:szCs w:val="16"/>
                <w:b w:val="1"/>
                <w:bCs w:val="1"/>
                <w:color w:val="auto"/>
              </w:rPr>
              <w:t>As adjusted</w:t>
            </w:r>
          </w:p>
        </w:tc>
        <w:tc>
          <w:tcPr>
            <w:tcW w:w="120" w:type="dxa"/>
            <w:vAlign w:val="bottom"/>
            <w:tcBorders>
              <w:bottom w:val="single" w:sz="8" w:color="auto"/>
            </w:tcBorders>
            <w:shd w:val="clear" w:color="auto" w:fill="CCEEFF"/>
          </w:tcPr>
          <w:p>
            <w:pPr>
              <w:spacing w:after="0" w:line="104" w:lineRule="exact"/>
              <w:rPr>
                <w:sz w:val="20"/>
                <w:szCs w:val="20"/>
                <w:color w:val="auto"/>
              </w:rPr>
            </w:pPr>
            <w:r>
              <w:rPr>
                <w:rFonts w:ascii="Times New Roman" w:cs="Times New Roman" w:eastAsia="Times New Roman" w:hAnsi="Times New Roman"/>
                <w:sz w:val="11"/>
                <w:szCs w:val="11"/>
                <w:b w:val="1"/>
                <w:bCs w:val="1"/>
                <w:color w:val="auto"/>
                <w:w w:val="77"/>
              </w:rPr>
              <w:t>(a)</w:t>
            </w:r>
          </w:p>
        </w:tc>
        <w:tc>
          <w:tcPr>
            <w:tcW w:w="4340" w:type="dxa"/>
            <w:vAlign w:val="bottom"/>
            <w:tcBorders>
              <w:bottom w:val="single" w:sz="8" w:color="CCEEFF"/>
            </w:tcBorders>
            <w:gridSpan w:val="2"/>
            <w:vMerge w:val="restart"/>
            <w:shd w:val="clear" w:color="auto" w:fill="CCEEFF"/>
          </w:tcPr>
          <w:p>
            <w:pPr>
              <w:jc w:val="right"/>
              <w:ind w:right="4280"/>
              <w:spacing w:after="0" w:line="178" w:lineRule="exact"/>
              <w:rPr>
                <w:sz w:val="20"/>
                <w:szCs w:val="20"/>
                <w:color w:val="auto"/>
              </w:rPr>
            </w:pPr>
            <w:r>
              <w:rPr>
                <w:rFonts w:ascii="Times New Roman" w:cs="Times New Roman" w:eastAsia="Times New Roman" w:hAnsi="Times New Roman"/>
                <w:sz w:val="16"/>
                <w:szCs w:val="16"/>
                <w:b w:val="1"/>
                <w:bCs w:val="1"/>
                <w:u w:val="single" w:color="auto"/>
                <w:color w:val="auto"/>
                <w:w w:val="74"/>
              </w:rPr>
              <w:t>:</w:t>
            </w:r>
          </w:p>
        </w:tc>
        <w:tc>
          <w:tcPr>
            <w:tcW w:w="220" w:type="dxa"/>
            <w:vAlign w:val="bottom"/>
            <w:tcBorders>
              <w:bottom w:val="single" w:sz="8" w:color="CCEEFF"/>
            </w:tcBorders>
            <w:shd w:val="clear" w:color="auto" w:fill="CCEEFF"/>
          </w:tcPr>
          <w:p>
            <w:pPr>
              <w:spacing w:after="0"/>
              <w:rPr>
                <w:sz w:val="10"/>
                <w:szCs w:val="10"/>
                <w:color w:val="auto"/>
              </w:rPr>
            </w:pPr>
          </w:p>
        </w:tc>
        <w:tc>
          <w:tcPr>
            <w:tcW w:w="1180" w:type="dxa"/>
            <w:vAlign w:val="bottom"/>
            <w:tcBorders>
              <w:bottom w:val="single" w:sz="8" w:color="CCEEFF"/>
            </w:tcBorders>
            <w:shd w:val="clear" w:color="auto" w:fill="CCEEFF"/>
          </w:tcPr>
          <w:p>
            <w:pPr>
              <w:spacing w:after="0"/>
              <w:rPr>
                <w:sz w:val="10"/>
                <w:szCs w:val="10"/>
                <w:color w:val="auto"/>
              </w:rPr>
            </w:pPr>
          </w:p>
        </w:tc>
        <w:tc>
          <w:tcPr>
            <w:tcW w:w="120" w:type="dxa"/>
            <w:vAlign w:val="bottom"/>
            <w:tcBorders>
              <w:bottom w:val="single" w:sz="8" w:color="CCEEFF"/>
            </w:tcBorders>
            <w:shd w:val="clear" w:color="auto" w:fill="CCEEFF"/>
          </w:tcPr>
          <w:p>
            <w:pPr>
              <w:spacing w:after="0"/>
              <w:rPr>
                <w:sz w:val="10"/>
                <w:szCs w:val="10"/>
                <w:color w:val="auto"/>
              </w:rPr>
            </w:pPr>
          </w:p>
        </w:tc>
        <w:tc>
          <w:tcPr>
            <w:tcW w:w="140" w:type="dxa"/>
            <w:vAlign w:val="bottom"/>
            <w:tcBorders>
              <w:bottom w:val="single" w:sz="8" w:color="CCEEFF"/>
            </w:tcBorders>
            <w:shd w:val="clear" w:color="auto" w:fill="CCEEFF"/>
          </w:tcPr>
          <w:p>
            <w:pPr>
              <w:spacing w:after="0"/>
              <w:rPr>
                <w:sz w:val="10"/>
                <w:szCs w:val="10"/>
                <w:color w:val="auto"/>
              </w:rPr>
            </w:pPr>
          </w:p>
        </w:tc>
        <w:tc>
          <w:tcPr>
            <w:tcW w:w="1220" w:type="dxa"/>
            <w:vAlign w:val="bottom"/>
            <w:tcBorders>
              <w:bottom w:val="single" w:sz="8" w:color="CCEEFF"/>
            </w:tcBorders>
            <w:shd w:val="clear" w:color="auto" w:fill="CCEEFF"/>
          </w:tcPr>
          <w:p>
            <w:pPr>
              <w:spacing w:after="0"/>
              <w:rPr>
                <w:sz w:val="10"/>
                <w:szCs w:val="10"/>
                <w:color w:val="auto"/>
              </w:rPr>
            </w:pPr>
          </w:p>
        </w:tc>
        <w:tc>
          <w:tcPr>
            <w:tcW w:w="100" w:type="dxa"/>
            <w:vAlign w:val="bottom"/>
            <w:tcBorders>
              <w:bottom w:val="single" w:sz="8" w:color="CCEEFF"/>
            </w:tcBorders>
            <w:shd w:val="clear" w:color="auto" w:fill="CCEEFF"/>
          </w:tcPr>
          <w:p>
            <w:pPr>
              <w:spacing w:after="0"/>
              <w:rPr>
                <w:sz w:val="10"/>
                <w:szCs w:val="10"/>
                <w:color w:val="auto"/>
              </w:rPr>
            </w:pPr>
          </w:p>
        </w:tc>
        <w:tc>
          <w:tcPr>
            <w:tcW w:w="220" w:type="dxa"/>
            <w:vAlign w:val="bottom"/>
            <w:tcBorders>
              <w:bottom w:val="single" w:sz="8" w:color="CCEEFF"/>
            </w:tcBorders>
            <w:shd w:val="clear" w:color="auto" w:fill="CCEEFF"/>
          </w:tcPr>
          <w:p>
            <w:pPr>
              <w:spacing w:after="0"/>
              <w:rPr>
                <w:sz w:val="10"/>
                <w:szCs w:val="10"/>
                <w:color w:val="auto"/>
              </w:rPr>
            </w:pPr>
          </w:p>
        </w:tc>
        <w:tc>
          <w:tcPr>
            <w:tcW w:w="1180" w:type="dxa"/>
            <w:vAlign w:val="bottom"/>
            <w:tcBorders>
              <w:bottom w:val="single" w:sz="8" w:color="CCEEFF"/>
            </w:tcBorders>
            <w:shd w:val="clear" w:color="auto" w:fill="CCEEFF"/>
          </w:tcPr>
          <w:p>
            <w:pPr>
              <w:spacing w:after="0"/>
              <w:rPr>
                <w:sz w:val="10"/>
                <w:szCs w:val="10"/>
                <w:color w:val="auto"/>
              </w:rPr>
            </w:pPr>
          </w:p>
        </w:tc>
        <w:tc>
          <w:tcPr>
            <w:tcW w:w="120" w:type="dxa"/>
            <w:vAlign w:val="bottom"/>
            <w:tcBorders>
              <w:bottom w:val="single" w:sz="8" w:color="CCEEFF"/>
            </w:tcBorders>
            <w:shd w:val="clear" w:color="auto" w:fill="CCEEFF"/>
          </w:tcPr>
          <w:p>
            <w:pPr>
              <w:spacing w:after="0"/>
              <w:rPr>
                <w:sz w:val="10"/>
                <w:szCs w:val="10"/>
                <w:color w:val="auto"/>
              </w:rPr>
            </w:pPr>
          </w:p>
        </w:tc>
        <w:tc>
          <w:tcPr>
            <w:tcW w:w="160" w:type="dxa"/>
            <w:vAlign w:val="bottom"/>
            <w:tcBorders>
              <w:bottom w:val="single" w:sz="8" w:color="CCEEFF"/>
            </w:tcBorders>
            <w:shd w:val="clear" w:color="auto" w:fill="CCEEFF"/>
          </w:tcPr>
          <w:p>
            <w:pPr>
              <w:spacing w:after="0"/>
              <w:rPr>
                <w:sz w:val="10"/>
                <w:szCs w:val="10"/>
                <w:color w:val="auto"/>
              </w:rPr>
            </w:pPr>
          </w:p>
        </w:tc>
        <w:tc>
          <w:tcPr>
            <w:tcW w:w="1240" w:type="dxa"/>
            <w:vAlign w:val="bottom"/>
            <w:tcBorders>
              <w:bottom w:val="single" w:sz="8" w:color="CCEEFF"/>
            </w:tcBorders>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59"/>
        </w:trPr>
        <w:tc>
          <w:tcPr>
            <w:tcW w:w="20" w:type="dxa"/>
            <w:vAlign w:val="bottom"/>
            <w:tcBorders>
              <w:bottom w:val="single" w:sz="8" w:color="CCEEFF"/>
            </w:tcBorders>
            <w:shd w:val="clear" w:color="auto" w:fill="CCEEFF"/>
          </w:tcPr>
          <w:p>
            <w:pPr>
              <w:spacing w:after="0"/>
              <w:rPr>
                <w:sz w:val="4"/>
                <w:szCs w:val="4"/>
                <w:color w:val="auto"/>
              </w:rPr>
            </w:pPr>
          </w:p>
        </w:tc>
        <w:tc>
          <w:tcPr>
            <w:tcW w:w="860" w:type="dxa"/>
            <w:vAlign w:val="bottom"/>
            <w:tcBorders>
              <w:bottom w:val="single" w:sz="8" w:color="auto"/>
            </w:tcBorders>
            <w:vMerge w:val="continue"/>
            <w:shd w:val="clear" w:color="auto" w:fill="CCEEFF"/>
          </w:tcPr>
          <w:p>
            <w:pPr>
              <w:spacing w:after="0"/>
              <w:rPr>
                <w:sz w:val="4"/>
                <w:szCs w:val="4"/>
                <w:color w:val="auto"/>
              </w:rPr>
            </w:pPr>
          </w:p>
        </w:tc>
        <w:tc>
          <w:tcPr>
            <w:tcW w:w="120" w:type="dxa"/>
            <w:vAlign w:val="bottom"/>
            <w:tcBorders>
              <w:bottom w:val="single" w:sz="8" w:color="CCEEFF"/>
            </w:tcBorders>
            <w:shd w:val="clear" w:color="auto" w:fill="CCEEFF"/>
          </w:tcPr>
          <w:p>
            <w:pPr>
              <w:spacing w:after="0"/>
              <w:rPr>
                <w:sz w:val="4"/>
                <w:szCs w:val="4"/>
                <w:color w:val="auto"/>
              </w:rPr>
            </w:pPr>
          </w:p>
        </w:tc>
        <w:tc>
          <w:tcPr>
            <w:tcW w:w="4340" w:type="dxa"/>
            <w:vAlign w:val="bottom"/>
            <w:tcBorders>
              <w:bottom w:val="single" w:sz="8" w:color="CCEEFF"/>
            </w:tcBorders>
            <w:gridSpan w:val="2"/>
            <w:vMerge w:val="continue"/>
            <w:shd w:val="clear" w:color="auto" w:fill="CCEEFF"/>
          </w:tcPr>
          <w:p>
            <w:pPr>
              <w:spacing w:after="0"/>
              <w:rPr>
                <w:sz w:val="4"/>
                <w:szCs w:val="4"/>
                <w:color w:val="auto"/>
              </w:rPr>
            </w:pPr>
          </w:p>
        </w:tc>
        <w:tc>
          <w:tcPr>
            <w:tcW w:w="220" w:type="dxa"/>
            <w:vAlign w:val="bottom"/>
            <w:tcBorders>
              <w:bottom w:val="single" w:sz="8" w:color="CCEEFF"/>
            </w:tcBorders>
            <w:shd w:val="clear" w:color="auto" w:fill="CCEEFF"/>
          </w:tcPr>
          <w:p>
            <w:pPr>
              <w:spacing w:after="0"/>
              <w:rPr>
                <w:sz w:val="4"/>
                <w:szCs w:val="4"/>
                <w:color w:val="auto"/>
              </w:rPr>
            </w:pPr>
          </w:p>
        </w:tc>
        <w:tc>
          <w:tcPr>
            <w:tcW w:w="1180" w:type="dxa"/>
            <w:vAlign w:val="bottom"/>
            <w:tcBorders>
              <w:bottom w:val="single" w:sz="8" w:color="CCEEFF"/>
            </w:tcBorders>
            <w:shd w:val="clear" w:color="auto" w:fill="CCEEFF"/>
          </w:tcPr>
          <w:p>
            <w:pPr>
              <w:spacing w:after="0"/>
              <w:rPr>
                <w:sz w:val="4"/>
                <w:szCs w:val="4"/>
                <w:color w:val="auto"/>
              </w:rPr>
            </w:pPr>
          </w:p>
        </w:tc>
        <w:tc>
          <w:tcPr>
            <w:tcW w:w="120" w:type="dxa"/>
            <w:vAlign w:val="bottom"/>
            <w:tcBorders>
              <w:bottom w:val="single" w:sz="8" w:color="CCEEFF"/>
            </w:tcBorders>
            <w:shd w:val="clear" w:color="auto" w:fill="CCEEFF"/>
          </w:tcPr>
          <w:p>
            <w:pPr>
              <w:spacing w:after="0"/>
              <w:rPr>
                <w:sz w:val="4"/>
                <w:szCs w:val="4"/>
                <w:color w:val="auto"/>
              </w:rPr>
            </w:pPr>
          </w:p>
        </w:tc>
        <w:tc>
          <w:tcPr>
            <w:tcW w:w="140" w:type="dxa"/>
            <w:vAlign w:val="bottom"/>
            <w:tcBorders>
              <w:bottom w:val="single" w:sz="8" w:color="CCEEFF"/>
            </w:tcBorders>
            <w:shd w:val="clear" w:color="auto" w:fill="CCEEFF"/>
          </w:tcPr>
          <w:p>
            <w:pPr>
              <w:spacing w:after="0"/>
              <w:rPr>
                <w:sz w:val="4"/>
                <w:szCs w:val="4"/>
                <w:color w:val="auto"/>
              </w:rPr>
            </w:pPr>
          </w:p>
        </w:tc>
        <w:tc>
          <w:tcPr>
            <w:tcW w:w="1220" w:type="dxa"/>
            <w:vAlign w:val="bottom"/>
            <w:tcBorders>
              <w:bottom w:val="single" w:sz="8" w:color="CCEEFF"/>
            </w:tcBorders>
            <w:shd w:val="clear" w:color="auto" w:fill="CCEEFF"/>
          </w:tcPr>
          <w:p>
            <w:pPr>
              <w:spacing w:after="0"/>
              <w:rPr>
                <w:sz w:val="4"/>
                <w:szCs w:val="4"/>
                <w:color w:val="auto"/>
              </w:rPr>
            </w:pPr>
          </w:p>
        </w:tc>
        <w:tc>
          <w:tcPr>
            <w:tcW w:w="100" w:type="dxa"/>
            <w:vAlign w:val="bottom"/>
            <w:tcBorders>
              <w:bottom w:val="single" w:sz="8" w:color="CCEEFF"/>
            </w:tcBorders>
            <w:shd w:val="clear" w:color="auto" w:fill="CCEEFF"/>
          </w:tcPr>
          <w:p>
            <w:pPr>
              <w:spacing w:after="0"/>
              <w:rPr>
                <w:sz w:val="4"/>
                <w:szCs w:val="4"/>
                <w:color w:val="auto"/>
              </w:rPr>
            </w:pPr>
          </w:p>
        </w:tc>
        <w:tc>
          <w:tcPr>
            <w:tcW w:w="220" w:type="dxa"/>
            <w:vAlign w:val="bottom"/>
            <w:tcBorders>
              <w:bottom w:val="single" w:sz="8" w:color="CCEEFF"/>
            </w:tcBorders>
            <w:shd w:val="clear" w:color="auto" w:fill="CCEEFF"/>
          </w:tcPr>
          <w:p>
            <w:pPr>
              <w:spacing w:after="0"/>
              <w:rPr>
                <w:sz w:val="4"/>
                <w:szCs w:val="4"/>
                <w:color w:val="auto"/>
              </w:rPr>
            </w:pPr>
          </w:p>
        </w:tc>
        <w:tc>
          <w:tcPr>
            <w:tcW w:w="1180" w:type="dxa"/>
            <w:vAlign w:val="bottom"/>
            <w:tcBorders>
              <w:bottom w:val="single" w:sz="8" w:color="CCEEFF"/>
            </w:tcBorders>
            <w:shd w:val="clear" w:color="auto" w:fill="CCEEFF"/>
          </w:tcPr>
          <w:p>
            <w:pPr>
              <w:spacing w:after="0"/>
              <w:rPr>
                <w:sz w:val="4"/>
                <w:szCs w:val="4"/>
                <w:color w:val="auto"/>
              </w:rPr>
            </w:pPr>
          </w:p>
        </w:tc>
        <w:tc>
          <w:tcPr>
            <w:tcW w:w="120" w:type="dxa"/>
            <w:vAlign w:val="bottom"/>
            <w:tcBorders>
              <w:bottom w:val="single" w:sz="8" w:color="CCEEFF"/>
            </w:tcBorders>
            <w:shd w:val="clear" w:color="auto" w:fill="CCEEFF"/>
          </w:tcPr>
          <w:p>
            <w:pPr>
              <w:spacing w:after="0"/>
              <w:rPr>
                <w:sz w:val="4"/>
                <w:szCs w:val="4"/>
                <w:color w:val="auto"/>
              </w:rPr>
            </w:pPr>
          </w:p>
        </w:tc>
        <w:tc>
          <w:tcPr>
            <w:tcW w:w="160" w:type="dxa"/>
            <w:vAlign w:val="bottom"/>
            <w:tcBorders>
              <w:bottom w:val="single" w:sz="8" w:color="CCEEFF"/>
            </w:tcBorders>
            <w:shd w:val="clear" w:color="auto" w:fill="CCEEFF"/>
          </w:tcPr>
          <w:p>
            <w:pPr>
              <w:spacing w:after="0"/>
              <w:rPr>
                <w:sz w:val="4"/>
                <w:szCs w:val="4"/>
                <w:color w:val="auto"/>
              </w:rPr>
            </w:pPr>
          </w:p>
        </w:tc>
        <w:tc>
          <w:tcPr>
            <w:tcW w:w="1240" w:type="dxa"/>
            <w:vAlign w:val="bottom"/>
            <w:tcBorders>
              <w:bottom w:val="single" w:sz="8" w:color="CCEEFF"/>
            </w:tcBorders>
            <w:shd w:val="clear" w:color="auto" w:fill="CCEEFF"/>
          </w:tcPr>
          <w:p>
            <w:pPr>
              <w:spacing w:after="0"/>
              <w:rPr>
                <w:sz w:val="4"/>
                <w:szCs w:val="4"/>
                <w:color w:val="auto"/>
              </w:rPr>
            </w:pPr>
          </w:p>
        </w:tc>
        <w:tc>
          <w:tcPr>
            <w:tcW w:w="0" w:type="dxa"/>
            <w:vAlign w:val="bottom"/>
          </w:tcPr>
          <w:p>
            <w:pPr>
              <w:spacing w:after="0"/>
              <w:rPr>
                <w:sz w:val="1"/>
                <w:szCs w:val="1"/>
                <w:color w:val="auto"/>
              </w:rPr>
            </w:pPr>
          </w:p>
        </w:tc>
      </w:tr>
      <w:tr>
        <w:trPr>
          <w:trHeight w:val="213"/>
        </w:trPr>
        <w:tc>
          <w:tcPr>
            <w:tcW w:w="20" w:type="dxa"/>
            <w:vAlign w:val="bottom"/>
            <w:tcBorders>
              <w:top w:val="single" w:sz="8" w:color="CCEEFF"/>
            </w:tcBorders>
          </w:tcPr>
          <w:p>
            <w:pPr>
              <w:spacing w:after="0"/>
              <w:rPr>
                <w:sz w:val="18"/>
                <w:szCs w:val="18"/>
                <w:color w:val="auto"/>
              </w:rPr>
            </w:pPr>
          </w:p>
        </w:tc>
        <w:tc>
          <w:tcPr>
            <w:tcW w:w="5320" w:type="dxa"/>
            <w:vAlign w:val="bottom"/>
            <w:tcBorders>
              <w:top w:val="single" w:sz="8" w:color="CCEEFF"/>
            </w:tcBorders>
            <w:gridSpan w:val="4"/>
          </w:tcPr>
          <w:p>
            <w:pPr>
              <w:spacing w:after="0"/>
              <w:rPr>
                <w:sz w:val="20"/>
                <w:szCs w:val="20"/>
                <w:color w:val="auto"/>
              </w:rPr>
            </w:pPr>
            <w:r>
              <w:rPr>
                <w:rFonts w:ascii="Times New Roman" w:cs="Times New Roman" w:eastAsia="Times New Roman" w:hAnsi="Times New Roman"/>
                <w:sz w:val="16"/>
                <w:szCs w:val="16"/>
                <w:color w:val="auto"/>
              </w:rPr>
              <w:t>Basic net income per common share:</w:t>
            </w:r>
          </w:p>
        </w:tc>
        <w:tc>
          <w:tcPr>
            <w:tcW w:w="220" w:type="dxa"/>
            <w:vAlign w:val="bottom"/>
            <w:tcBorders>
              <w:top w:val="single" w:sz="8" w:color="CCEEFF"/>
            </w:tcBorders>
          </w:tcPr>
          <w:p>
            <w:pPr>
              <w:spacing w:after="0"/>
              <w:rPr>
                <w:sz w:val="18"/>
                <w:szCs w:val="18"/>
                <w:color w:val="auto"/>
              </w:rPr>
            </w:pPr>
          </w:p>
        </w:tc>
        <w:tc>
          <w:tcPr>
            <w:tcW w:w="118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12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18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124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0" w:type="dxa"/>
            <w:vAlign w:val="bottom"/>
            <w:shd w:val="clear" w:color="auto" w:fill="CCEEFF"/>
          </w:tcPr>
          <w:p>
            <w:pPr>
              <w:spacing w:after="0"/>
              <w:rPr>
                <w:sz w:val="19"/>
                <w:szCs w:val="19"/>
                <w:color w:val="auto"/>
              </w:rPr>
            </w:pPr>
          </w:p>
        </w:tc>
        <w:tc>
          <w:tcPr>
            <w:tcW w:w="5320" w:type="dxa"/>
            <w:vAlign w:val="bottom"/>
            <w:gridSpan w:val="4"/>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Net income</w:t>
            </w:r>
          </w:p>
        </w:tc>
        <w:tc>
          <w:tcPr>
            <w:tcW w:w="22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37,491</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26,846</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61,238</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56,898</w:t>
            </w:r>
          </w:p>
        </w:tc>
        <w:tc>
          <w:tcPr>
            <w:tcW w:w="0" w:type="dxa"/>
            <w:vAlign w:val="bottom"/>
          </w:tcPr>
          <w:p>
            <w:pPr>
              <w:spacing w:after="0"/>
              <w:rPr>
                <w:sz w:val="1"/>
                <w:szCs w:val="1"/>
                <w:color w:val="auto"/>
              </w:rPr>
            </w:pPr>
          </w:p>
        </w:tc>
      </w:tr>
      <w:tr>
        <w:trPr>
          <w:trHeight w:val="213"/>
        </w:trPr>
        <w:tc>
          <w:tcPr>
            <w:tcW w:w="20" w:type="dxa"/>
            <w:vAlign w:val="bottom"/>
            <w:tcBorders>
              <w:bottom w:val="single" w:sz="8" w:color="CCEEFF"/>
            </w:tcBorders>
          </w:tcPr>
          <w:p>
            <w:pPr>
              <w:spacing w:after="0"/>
              <w:rPr>
                <w:sz w:val="18"/>
                <w:szCs w:val="18"/>
                <w:color w:val="auto"/>
              </w:rPr>
            </w:pPr>
          </w:p>
        </w:tc>
        <w:tc>
          <w:tcPr>
            <w:tcW w:w="5320" w:type="dxa"/>
            <w:vAlign w:val="bottom"/>
            <w:tcBorders>
              <w:bottom w:val="single" w:sz="8" w:color="CCEEFF"/>
            </w:tcBorders>
            <w:gridSpan w:val="4"/>
          </w:tcPr>
          <w:p>
            <w:pPr>
              <w:ind w:left="200"/>
              <w:spacing w:after="0"/>
              <w:rPr>
                <w:sz w:val="20"/>
                <w:szCs w:val="20"/>
                <w:color w:val="auto"/>
              </w:rPr>
            </w:pPr>
            <w:r>
              <w:rPr>
                <w:rFonts w:ascii="Times New Roman" w:cs="Times New Roman" w:eastAsia="Times New Roman" w:hAnsi="Times New Roman"/>
                <w:sz w:val="16"/>
                <w:szCs w:val="16"/>
                <w:color w:val="auto"/>
              </w:rPr>
              <w:t>Income allocated to participating securities</w:t>
            </w:r>
          </w:p>
        </w:tc>
        <w:tc>
          <w:tcPr>
            <w:tcW w:w="22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(863)</w:t>
            </w:r>
          </w:p>
        </w:tc>
        <w:tc>
          <w:tcPr>
            <w:tcW w:w="12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(743)</w:t>
            </w:r>
          </w:p>
        </w:tc>
        <w:tc>
          <w:tcPr>
            <w:tcW w:w="1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(1,561)</w:t>
            </w:r>
          </w:p>
        </w:tc>
        <w:tc>
          <w:tcPr>
            <w:tcW w:w="12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(1,377)</w:t>
            </w:r>
          </w:p>
        </w:tc>
        <w:tc>
          <w:tcPr>
            <w:tcW w:w="0" w:type="dxa"/>
            <w:vAlign w:val="bottom"/>
          </w:tcPr>
          <w:p>
            <w:pPr>
              <w:spacing w:after="0"/>
              <w:rPr>
                <w:sz w:val="1"/>
                <w:szCs w:val="1"/>
                <w:color w:val="auto"/>
              </w:rPr>
            </w:pPr>
          </w:p>
        </w:tc>
      </w:tr>
      <w:tr>
        <w:trPr>
          <w:trHeight w:val="237"/>
        </w:trPr>
        <w:tc>
          <w:tcPr>
            <w:tcW w:w="20" w:type="dxa"/>
            <w:vAlign w:val="bottom"/>
            <w:tcBorders>
              <w:bottom w:val="single" w:sz="8" w:color="CCEEFF"/>
            </w:tcBorders>
            <w:shd w:val="clear" w:color="auto" w:fill="CCEEFF"/>
          </w:tcPr>
          <w:p>
            <w:pPr>
              <w:spacing w:after="0"/>
              <w:rPr>
                <w:sz w:val="20"/>
                <w:szCs w:val="20"/>
                <w:color w:val="auto"/>
              </w:rPr>
            </w:pPr>
          </w:p>
        </w:tc>
        <w:tc>
          <w:tcPr>
            <w:tcW w:w="5320" w:type="dxa"/>
            <w:vAlign w:val="bottom"/>
            <w:tcBorders>
              <w:bottom w:val="single" w:sz="8" w:color="CCEEFF"/>
            </w:tcBorders>
            <w:gridSpan w:val="4"/>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Net income available to common shareholders</w:t>
            </w:r>
          </w:p>
        </w:tc>
        <w:tc>
          <w:tcPr>
            <w:tcW w:w="220" w:type="dxa"/>
            <w:vAlign w:val="bottom"/>
            <w:tcBorders>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36,628</w:t>
            </w: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26,103</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59,677</w:t>
            </w: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55,521</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5320" w:type="dxa"/>
            <w:vAlign w:val="bottom"/>
            <w:tcBorders>
              <w:top w:val="single" w:sz="8" w:color="CCEEFF"/>
              <w:bottom w:val="single" w:sz="8" w:color="CCEEFF"/>
            </w:tcBorders>
            <w:gridSpan w:val="4"/>
            <w:vMerge w:val="restart"/>
          </w:tcPr>
          <w:p>
            <w:pPr>
              <w:ind w:left="200"/>
              <w:spacing w:after="0"/>
              <w:rPr>
                <w:sz w:val="20"/>
                <w:szCs w:val="20"/>
                <w:color w:val="auto"/>
              </w:rPr>
            </w:pPr>
            <w:r>
              <w:rPr>
                <w:rFonts w:ascii="Times New Roman" w:cs="Times New Roman" w:eastAsia="Times New Roman" w:hAnsi="Times New Roman"/>
                <w:sz w:val="16"/>
                <w:szCs w:val="16"/>
                <w:color w:val="auto"/>
              </w:rPr>
              <w:t>Basic net income per common share</w:t>
            </w: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7"/>
        </w:trPr>
        <w:tc>
          <w:tcPr>
            <w:tcW w:w="20" w:type="dxa"/>
            <w:vAlign w:val="bottom"/>
          </w:tcPr>
          <w:p>
            <w:pPr>
              <w:spacing w:after="0"/>
              <w:rPr>
                <w:sz w:val="16"/>
                <w:szCs w:val="16"/>
                <w:color w:val="auto"/>
              </w:rPr>
            </w:pPr>
          </w:p>
        </w:tc>
        <w:tc>
          <w:tcPr>
            <w:tcW w:w="5320" w:type="dxa"/>
            <w:vAlign w:val="bottom"/>
            <w:gridSpan w:val="4"/>
            <w:vMerge w:val="continue"/>
          </w:tcPr>
          <w:p>
            <w:pPr>
              <w:spacing w:after="0"/>
              <w:rPr>
                <w:sz w:val="16"/>
                <w:szCs w:val="16"/>
                <w:color w:val="auto"/>
              </w:rPr>
            </w:pPr>
          </w:p>
        </w:tc>
        <w:tc>
          <w:tcPr>
            <w:tcW w:w="2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1.03</w:t>
            </w:r>
          </w:p>
        </w:tc>
        <w:tc>
          <w:tcPr>
            <w:tcW w:w="120" w:type="dxa"/>
            <w:vAlign w:val="bottom"/>
          </w:tcPr>
          <w:p>
            <w:pPr>
              <w:spacing w:after="0"/>
              <w:rPr>
                <w:sz w:val="16"/>
                <w:szCs w:val="16"/>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0.74</w:t>
            </w:r>
          </w:p>
        </w:tc>
        <w:tc>
          <w:tcPr>
            <w:tcW w:w="100" w:type="dxa"/>
            <w:vAlign w:val="bottom"/>
          </w:tcPr>
          <w:p>
            <w:pPr>
              <w:spacing w:after="0"/>
              <w:rPr>
                <w:sz w:val="16"/>
                <w:szCs w:val="16"/>
                <w:color w:val="auto"/>
              </w:rPr>
            </w:pPr>
          </w:p>
        </w:tc>
        <w:tc>
          <w:tcPr>
            <w:tcW w:w="2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1.68</w:t>
            </w:r>
          </w:p>
        </w:tc>
        <w:tc>
          <w:tcPr>
            <w:tcW w:w="120" w:type="dxa"/>
            <w:vAlign w:val="bottom"/>
          </w:tcPr>
          <w:p>
            <w:pPr>
              <w:spacing w:after="0"/>
              <w:rPr>
                <w:sz w:val="16"/>
                <w:szCs w:val="16"/>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1.57</w:t>
            </w:r>
          </w:p>
        </w:tc>
        <w:tc>
          <w:tcPr>
            <w:tcW w:w="0" w:type="dxa"/>
            <w:vAlign w:val="bottom"/>
          </w:tcPr>
          <w:p>
            <w:pPr>
              <w:spacing w:after="0"/>
              <w:rPr>
                <w:sz w:val="1"/>
                <w:szCs w:val="1"/>
                <w:color w:val="auto"/>
              </w:rPr>
            </w:pPr>
          </w:p>
        </w:tc>
      </w:tr>
      <w:tr>
        <w:trPr>
          <w:trHeight w:val="219"/>
        </w:trPr>
        <w:tc>
          <w:tcPr>
            <w:tcW w:w="20" w:type="dxa"/>
            <w:vAlign w:val="bottom"/>
            <w:shd w:val="clear" w:color="auto" w:fill="CCEEFF"/>
          </w:tcPr>
          <w:p>
            <w:pPr>
              <w:spacing w:after="0"/>
              <w:rPr>
                <w:sz w:val="19"/>
                <w:szCs w:val="19"/>
                <w:color w:val="auto"/>
              </w:rPr>
            </w:pPr>
          </w:p>
        </w:tc>
        <w:tc>
          <w:tcPr>
            <w:tcW w:w="532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6"/>
                <w:szCs w:val="16"/>
                <w:color w:val="auto"/>
              </w:rPr>
              <w:t>Diluted net income per common share:</w:t>
            </w:r>
          </w:p>
        </w:tc>
        <w:tc>
          <w:tcPr>
            <w:tcW w:w="22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5320" w:type="dxa"/>
            <w:vAlign w:val="bottom"/>
            <w:gridSpan w:val="4"/>
          </w:tcPr>
          <w:p>
            <w:pPr>
              <w:ind w:left="200"/>
              <w:spacing w:after="0"/>
              <w:rPr>
                <w:sz w:val="20"/>
                <w:szCs w:val="20"/>
                <w:color w:val="auto"/>
              </w:rPr>
            </w:pPr>
            <w:r>
              <w:rPr>
                <w:rFonts w:ascii="Times New Roman" w:cs="Times New Roman" w:eastAsia="Times New Roman" w:hAnsi="Times New Roman"/>
                <w:sz w:val="16"/>
                <w:szCs w:val="16"/>
                <w:color w:val="auto"/>
              </w:rPr>
              <w:t>Net income</w:t>
            </w:r>
          </w:p>
        </w:tc>
        <w:tc>
          <w:tcPr>
            <w:tcW w:w="2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37,491</w:t>
            </w:r>
          </w:p>
        </w:tc>
        <w:tc>
          <w:tcPr>
            <w:tcW w:w="12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26,846</w:t>
            </w:r>
          </w:p>
        </w:tc>
        <w:tc>
          <w:tcPr>
            <w:tcW w:w="100" w:type="dxa"/>
            <w:vAlign w:val="bottom"/>
          </w:tcPr>
          <w:p>
            <w:pPr>
              <w:spacing w:after="0"/>
              <w:rPr>
                <w:sz w:val="18"/>
                <w:szCs w:val="18"/>
                <w:color w:val="auto"/>
              </w:rPr>
            </w:pPr>
          </w:p>
        </w:tc>
        <w:tc>
          <w:tcPr>
            <w:tcW w:w="2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61,238</w:t>
            </w:r>
          </w:p>
        </w:tc>
        <w:tc>
          <w:tcPr>
            <w:tcW w:w="12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56,898</w:t>
            </w:r>
          </w:p>
        </w:tc>
        <w:tc>
          <w:tcPr>
            <w:tcW w:w="0" w:type="dxa"/>
            <w:vAlign w:val="bottom"/>
          </w:tcPr>
          <w:p>
            <w:pPr>
              <w:spacing w:after="0"/>
              <w:rPr>
                <w:sz w:val="1"/>
                <w:szCs w:val="1"/>
                <w:color w:val="auto"/>
              </w:rPr>
            </w:pPr>
          </w:p>
        </w:tc>
      </w:tr>
      <w:tr>
        <w:trPr>
          <w:trHeight w:val="216"/>
        </w:trPr>
        <w:tc>
          <w:tcPr>
            <w:tcW w:w="20" w:type="dxa"/>
            <w:vAlign w:val="bottom"/>
            <w:shd w:val="clear" w:color="auto" w:fill="CCEEFF"/>
          </w:tcPr>
          <w:p>
            <w:pPr>
              <w:spacing w:after="0"/>
              <w:rPr>
                <w:sz w:val="18"/>
                <w:szCs w:val="18"/>
                <w:color w:val="auto"/>
              </w:rPr>
            </w:pPr>
          </w:p>
        </w:tc>
        <w:tc>
          <w:tcPr>
            <w:tcW w:w="5320" w:type="dxa"/>
            <w:vAlign w:val="bottom"/>
            <w:gridSpan w:val="4"/>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Income allocated to participating securities</w:t>
            </w:r>
          </w:p>
        </w:tc>
        <w:tc>
          <w:tcPr>
            <w:tcW w:w="22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(863)</w:t>
            </w:r>
          </w:p>
        </w:tc>
        <w:tc>
          <w:tcPr>
            <w:tcW w:w="1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(743)</w:t>
            </w:r>
          </w:p>
        </w:tc>
        <w:tc>
          <w:tcPr>
            <w:tcW w:w="10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(1,561)</w:t>
            </w:r>
          </w:p>
        </w:tc>
        <w:tc>
          <w:tcPr>
            <w:tcW w:w="1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(1,377)</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5320" w:type="dxa"/>
            <w:vAlign w:val="bottom"/>
            <w:gridSpan w:val="4"/>
          </w:tcPr>
          <w:p>
            <w:pPr>
              <w:ind w:left="200"/>
              <w:spacing w:after="0"/>
              <w:rPr>
                <w:sz w:val="20"/>
                <w:szCs w:val="20"/>
                <w:color w:val="auto"/>
              </w:rPr>
            </w:pPr>
            <w:r>
              <w:rPr>
                <w:rFonts w:ascii="Times New Roman" w:cs="Times New Roman" w:eastAsia="Times New Roman" w:hAnsi="Times New Roman"/>
                <w:sz w:val="16"/>
                <w:szCs w:val="16"/>
                <w:color w:val="auto"/>
              </w:rPr>
              <w:t>Net income available to common shareholders</w:t>
            </w:r>
          </w:p>
        </w:tc>
        <w:tc>
          <w:tcPr>
            <w:tcW w:w="22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36,628</w:t>
            </w:r>
          </w:p>
        </w:tc>
        <w:tc>
          <w:tcPr>
            <w:tcW w:w="12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26,103</w:t>
            </w:r>
          </w:p>
        </w:tc>
        <w:tc>
          <w:tcPr>
            <w:tcW w:w="100" w:type="dxa"/>
            <w:vAlign w:val="bottom"/>
          </w:tcPr>
          <w:p>
            <w:pPr>
              <w:spacing w:after="0"/>
              <w:rPr>
                <w:sz w:val="18"/>
                <w:szCs w:val="18"/>
                <w:color w:val="auto"/>
              </w:rPr>
            </w:pPr>
          </w:p>
        </w:tc>
        <w:tc>
          <w:tcPr>
            <w:tcW w:w="22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59,677</w:t>
            </w:r>
          </w:p>
        </w:tc>
        <w:tc>
          <w:tcPr>
            <w:tcW w:w="12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55,521</w:t>
            </w: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86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140" w:type="dxa"/>
            <w:vAlign w:val="bottom"/>
            <w:tcBorders>
              <w:bottom w:val="single" w:sz="8" w:color="CCEEFF"/>
            </w:tcBorders>
          </w:tcPr>
          <w:p>
            <w:pPr>
              <w:spacing w:after="0" w:line="20" w:lineRule="exact"/>
              <w:rPr>
                <w:sz w:val="1"/>
                <w:szCs w:val="1"/>
                <w:color w:val="auto"/>
              </w:rPr>
            </w:pPr>
          </w:p>
        </w:tc>
        <w:tc>
          <w:tcPr>
            <w:tcW w:w="32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shd w:val="clear" w:color="auto" w:fill="CCEEFF"/>
          </w:tcPr>
          <w:p>
            <w:pPr>
              <w:spacing w:after="0"/>
              <w:rPr>
                <w:sz w:val="18"/>
                <w:szCs w:val="18"/>
                <w:color w:val="auto"/>
              </w:rPr>
            </w:pPr>
          </w:p>
        </w:tc>
        <w:tc>
          <w:tcPr>
            <w:tcW w:w="5320" w:type="dxa"/>
            <w:vAlign w:val="bottom"/>
            <w:gridSpan w:val="4"/>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Diluted net income per common share</w:t>
            </w:r>
          </w:p>
        </w:tc>
        <w:tc>
          <w:tcPr>
            <w:tcW w:w="22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1.03</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0.74</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1.68</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1.57</w:t>
            </w:r>
          </w:p>
        </w:tc>
        <w:tc>
          <w:tcPr>
            <w:tcW w:w="0" w:type="dxa"/>
            <w:vAlign w:val="bottom"/>
          </w:tcPr>
          <w:p>
            <w:pPr>
              <w:spacing w:after="0"/>
              <w:rPr>
                <w:sz w:val="1"/>
                <w:szCs w:val="1"/>
                <w:color w:val="auto"/>
              </w:rPr>
            </w:pPr>
          </w:p>
        </w:tc>
      </w:tr>
    </w:tbl>
    <w:p>
      <w:pPr>
        <w:spacing w:after="0" w:line="324" w:lineRule="exact"/>
        <w:rPr>
          <w:sz w:val="20"/>
          <w:szCs w:val="20"/>
          <w:color w:val="auto"/>
        </w:rPr>
      </w:pPr>
    </w:p>
    <w:p>
      <w:pPr>
        <w:ind w:left="660" w:right="80" w:hanging="328"/>
        <w:spacing w:after="0" w:line="263" w:lineRule="auto"/>
        <w:tabs>
          <w:tab w:leader="none" w:pos="651" w:val="left"/>
        </w:tabs>
        <w:numPr>
          <w:ilvl w:val="0"/>
          <w:numId w:val="1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In addition to the results provided in this earnings release in accordance with GAAP, the Company has provided adjusted, non-GAAP financial measurements that present per share data excluding the adjustments discussed above. The Company has excluded $0.9 million in after-tax expenses from these results for the fiscal quarter ended October 3, 2026, and $94.7 million in after-tax benefits from these results for the three fiscal quarters ended October 3, 2026. Additionally, the Company has excluded $15.3 million and $29.3 million in after-tax expenses from these results for the fiscal quarter and three fiscal quarters ended </w:t>
      </w:r>
      <w:r>
        <w:rPr>
          <w:rFonts w:ascii="Times New Roman" w:cs="Times New Roman" w:eastAsia="Times New Roman" w:hAnsi="Times New Roman"/>
          <w:sz w:val="14"/>
          <w:szCs w:val="14"/>
          <w:color w:val="auto"/>
        </w:rPr>
        <w:t>September 27,</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4"/>
          <w:szCs w:val="14"/>
          <w:color w:val="auto"/>
        </w:rPr>
        <w:t>2025</w:t>
      </w:r>
      <w:r>
        <w:rPr>
          <w:rFonts w:ascii="Times New Roman" w:cs="Times New Roman" w:eastAsia="Times New Roman" w:hAnsi="Times New Roman"/>
          <w:sz w:val="16"/>
          <w:szCs w:val="16"/>
          <w:color w:val="auto"/>
        </w:rPr>
        <w:t>, respectively.</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Note: Results may not be additive due to rounding.</w:t>
      </w:r>
    </w:p>
    <w:p>
      <w:pPr>
        <w:spacing w:after="0" w:line="200" w:lineRule="exact"/>
        <w:rPr>
          <w:sz w:val="20"/>
          <w:szCs w:val="20"/>
          <w:color w:val="auto"/>
        </w:rPr>
      </w:pPr>
    </w:p>
    <w:p>
      <w:pPr>
        <w:spacing w:after="0" w:line="3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ectPr>
          <w:pgSz w:w="11900" w:h="16838" w:orient="portrait"/>
          <w:cols w:equalWidth="0" w:num="1">
            <w:col w:w="11240"/>
          </w:cols>
          <w:pgMar w:left="320" w:top="891" w:right="339" w:bottom="1440" w:gutter="0" w:footer="0" w:header="0"/>
        </w:sectPr>
      </w:pPr>
    </w:p>
    <w:bookmarkStart w:id="18" w:name="page19"/>
    <w:bookmarkEnd w:id="18"/>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RECONCILIATION OF U.S. GAAP AND NON-GAAP INFORMATION</w:t>
      </w:r>
    </w:p>
    <w:p>
      <w:pPr>
        <w:spacing w:after="0" w:line="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(dollars in millions)</w:t>
      </w:r>
    </w:p>
    <w:p>
      <w:pPr>
        <w:spacing w:after="0" w:line="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(unaudited)</w:t>
      </w:r>
    </w:p>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8120" w:type="dxa"/>
            <w:vAlign w:val="bottom"/>
            <w:gridSpan w:val="11"/>
          </w:tcPr>
          <w:p>
            <w:pPr>
              <w:spacing w:after="0"/>
              <w:rPr>
                <w:sz w:val="20"/>
                <w:szCs w:val="20"/>
                <w:color w:val="auto"/>
              </w:rPr>
            </w:pPr>
            <w:r>
              <w:rPr>
                <w:rFonts w:ascii="Times New Roman" w:cs="Times New Roman" w:eastAsia="Times New Roman" w:hAnsi="Times New Roman"/>
                <w:sz w:val="16"/>
                <w:szCs w:val="16"/>
                <w:color w:val="auto"/>
              </w:rPr>
              <w:t>The following table provides a reconciliation of net income to EBITDA and Adjusted EBITDA for the periods indicated:</w:t>
            </w:r>
          </w:p>
        </w:tc>
        <w:tc>
          <w:tcPr>
            <w:tcW w:w="10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6"/>
        </w:trPr>
        <w:tc>
          <w:tcPr>
            <w:tcW w:w="220" w:type="dxa"/>
            <w:vAlign w:val="bottom"/>
          </w:tcPr>
          <w:p>
            <w:pPr>
              <w:spacing w:after="0"/>
              <w:rPr>
                <w:sz w:val="24"/>
                <w:szCs w:val="24"/>
                <w:color w:val="auto"/>
              </w:rPr>
            </w:pPr>
          </w:p>
        </w:tc>
        <w:tc>
          <w:tcPr>
            <w:tcW w:w="3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320" w:type="dxa"/>
            <w:vAlign w:val="bottom"/>
            <w:gridSpan w:val="3"/>
            <w:vMerge w:val="restart"/>
          </w:tcPr>
          <w:p>
            <w:pPr>
              <w:jc w:val="right"/>
              <w:ind w:right="119"/>
              <w:spacing w:after="0"/>
              <w:rPr>
                <w:sz w:val="20"/>
                <w:szCs w:val="20"/>
                <w:color w:val="auto"/>
              </w:rPr>
            </w:pPr>
            <w:r>
              <w:rPr>
                <w:rFonts w:ascii="Times New Roman" w:cs="Times New Roman" w:eastAsia="Times New Roman" w:hAnsi="Times New Roman"/>
                <w:sz w:val="16"/>
                <w:szCs w:val="16"/>
                <w:b w:val="1"/>
                <w:bCs w:val="1"/>
                <w:color w:val="auto"/>
              </w:rPr>
              <w:t>Fiscal Quarter Ended</w:t>
            </w:r>
          </w:p>
        </w:tc>
        <w:tc>
          <w:tcPr>
            <w:tcW w:w="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20" w:type="dxa"/>
            <w:vAlign w:val="bottom"/>
            <w:gridSpan w:val="3"/>
            <w:vMerge w:val="restart"/>
          </w:tcPr>
          <w:p>
            <w:pPr>
              <w:jc w:val="right"/>
              <w:spacing w:after="0"/>
              <w:rPr>
                <w:sz w:val="20"/>
                <w:szCs w:val="20"/>
                <w:color w:val="auto"/>
              </w:rPr>
            </w:pPr>
            <w:r>
              <w:rPr>
                <w:rFonts w:ascii="Times New Roman" w:cs="Times New Roman" w:eastAsia="Times New Roman" w:hAnsi="Times New Roman"/>
                <w:sz w:val="16"/>
                <w:szCs w:val="16"/>
                <w:b w:val="1"/>
                <w:bCs w:val="1"/>
                <w:color w:val="auto"/>
              </w:rPr>
              <w:t>Three Fiscal Quarters Ended</w:t>
            </w:r>
          </w:p>
        </w:tc>
        <w:tc>
          <w:tcPr>
            <w:tcW w:w="4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0" w:type="dxa"/>
            <w:vAlign w:val="bottom"/>
          </w:tcPr>
          <w:p>
            <w:pPr>
              <w:jc w:val="center"/>
              <w:ind w:right="39"/>
              <w:spacing w:after="0"/>
              <w:rPr>
                <w:sz w:val="20"/>
                <w:szCs w:val="20"/>
                <w:color w:val="auto"/>
              </w:rPr>
            </w:pPr>
            <w:r>
              <w:rPr>
                <w:rFonts w:ascii="Times New Roman" w:cs="Times New Roman" w:eastAsia="Times New Roman" w:hAnsi="Times New Roman"/>
                <w:sz w:val="16"/>
                <w:szCs w:val="16"/>
                <w:b w:val="1"/>
                <w:bCs w:val="1"/>
                <w:color w:val="auto"/>
              </w:rPr>
              <w:t>Four Fiscal</w:t>
            </w:r>
          </w:p>
        </w:tc>
        <w:tc>
          <w:tcPr>
            <w:tcW w:w="0" w:type="dxa"/>
            <w:vAlign w:val="bottom"/>
          </w:tcPr>
          <w:p>
            <w:pPr>
              <w:spacing w:after="0"/>
              <w:rPr>
                <w:sz w:val="1"/>
                <w:szCs w:val="1"/>
                <w:color w:val="auto"/>
              </w:rPr>
            </w:pPr>
          </w:p>
        </w:tc>
      </w:tr>
      <w:tr>
        <w:trPr>
          <w:trHeight w:val="214"/>
        </w:trPr>
        <w:tc>
          <w:tcPr>
            <w:tcW w:w="220" w:type="dxa"/>
            <w:vAlign w:val="bottom"/>
          </w:tcPr>
          <w:p>
            <w:pPr>
              <w:spacing w:after="0"/>
              <w:rPr>
                <w:sz w:val="18"/>
                <w:szCs w:val="18"/>
                <w:color w:val="auto"/>
              </w:rPr>
            </w:pPr>
          </w:p>
        </w:tc>
        <w:tc>
          <w:tcPr>
            <w:tcW w:w="326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2320" w:type="dxa"/>
            <w:vAlign w:val="bottom"/>
            <w:tcBorders>
              <w:bottom w:val="single" w:sz="8" w:color="auto"/>
            </w:tcBorders>
            <w:gridSpan w:val="3"/>
            <w:vMerge w:val="continue"/>
          </w:tcPr>
          <w:p>
            <w:pPr>
              <w:spacing w:after="0"/>
              <w:rPr>
                <w:sz w:val="18"/>
                <w:szCs w:val="18"/>
                <w:color w:val="auto"/>
              </w:rPr>
            </w:pPr>
          </w:p>
        </w:tc>
        <w:tc>
          <w:tcPr>
            <w:tcW w:w="56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2420" w:type="dxa"/>
            <w:vAlign w:val="bottom"/>
            <w:tcBorders>
              <w:bottom w:val="single" w:sz="8" w:color="auto"/>
            </w:tcBorders>
            <w:gridSpan w:val="3"/>
            <w:vMerge w:val="continue"/>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6"/>
                <w:szCs w:val="16"/>
                <w:b w:val="1"/>
                <w:bCs w:val="1"/>
                <w:color w:val="auto"/>
              </w:rPr>
              <w:t>Quarters Ended</w:t>
            </w:r>
          </w:p>
        </w:tc>
        <w:tc>
          <w:tcPr>
            <w:tcW w:w="0" w:type="dxa"/>
            <w:vAlign w:val="bottom"/>
          </w:tcPr>
          <w:p>
            <w:pPr>
              <w:spacing w:after="0"/>
              <w:rPr>
                <w:sz w:val="1"/>
                <w:szCs w:val="1"/>
                <w:color w:val="auto"/>
              </w:rPr>
            </w:pPr>
          </w:p>
        </w:tc>
      </w:tr>
      <w:tr>
        <w:trPr>
          <w:trHeight w:val="210"/>
        </w:trPr>
        <w:tc>
          <w:tcPr>
            <w:tcW w:w="220" w:type="dxa"/>
            <w:vAlign w:val="bottom"/>
          </w:tcPr>
          <w:p>
            <w:pPr>
              <w:spacing w:after="0"/>
              <w:rPr>
                <w:sz w:val="18"/>
                <w:szCs w:val="18"/>
                <w:color w:val="auto"/>
              </w:rPr>
            </w:pPr>
          </w:p>
        </w:tc>
        <w:tc>
          <w:tcPr>
            <w:tcW w:w="3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October 3, 2026</w:t>
            </w:r>
          </w:p>
        </w:tc>
        <w:tc>
          <w:tcPr>
            <w:tcW w:w="1500" w:type="dxa"/>
            <w:vAlign w:val="bottom"/>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rPr>
              <w:t>September 27, 2025</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October 3, 2026</w:t>
            </w:r>
          </w:p>
        </w:tc>
        <w:tc>
          <w:tcPr>
            <w:tcW w:w="1480" w:type="dxa"/>
            <w:vAlign w:val="bottom"/>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rPr>
              <w:t>September 27, 2025</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tcPr>
          <w:p>
            <w:pPr>
              <w:jc w:val="center"/>
              <w:ind w:right="39"/>
              <w:spacing w:after="0"/>
              <w:rPr>
                <w:sz w:val="20"/>
                <w:szCs w:val="20"/>
                <w:color w:val="auto"/>
              </w:rPr>
            </w:pPr>
            <w:r>
              <w:rPr>
                <w:rFonts w:ascii="Times New Roman" w:cs="Times New Roman" w:eastAsia="Times New Roman" w:hAnsi="Times New Roman"/>
                <w:sz w:val="16"/>
                <w:szCs w:val="16"/>
                <w:b w:val="1"/>
                <w:bCs w:val="1"/>
                <w:color w:val="auto"/>
                <w:w w:val="99"/>
              </w:rPr>
              <w:t>October 3, 2026</w:t>
            </w:r>
          </w:p>
        </w:tc>
        <w:tc>
          <w:tcPr>
            <w:tcW w:w="0" w:type="dxa"/>
            <w:vAlign w:val="bottom"/>
          </w:tcPr>
          <w:p>
            <w:pPr>
              <w:spacing w:after="0"/>
              <w:rPr>
                <w:sz w:val="1"/>
                <w:szCs w:val="1"/>
                <w:color w:val="auto"/>
              </w:rPr>
            </w:pPr>
          </w:p>
        </w:tc>
      </w:tr>
      <w:tr>
        <w:trPr>
          <w:trHeight w:val="211"/>
        </w:trPr>
        <w:tc>
          <w:tcPr>
            <w:tcW w:w="220" w:type="dxa"/>
            <w:vAlign w:val="bottom"/>
          </w:tcPr>
          <w:p>
            <w:pPr>
              <w:spacing w:after="0"/>
              <w:rPr>
                <w:sz w:val="18"/>
                <w:szCs w:val="18"/>
                <w:color w:val="auto"/>
              </w:rPr>
            </w:pPr>
          </w:p>
        </w:tc>
        <w:tc>
          <w:tcPr>
            <w:tcW w:w="32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income</w:t>
            </w: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2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36.6</w:t>
            </w:r>
          </w:p>
        </w:tc>
        <w:tc>
          <w:tcPr>
            <w:tcW w:w="100" w:type="dxa"/>
            <w:vAlign w:val="bottom"/>
            <w:tcBorders>
              <w:top w:val="single" w:sz="8" w:color="CCEEFF"/>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jc w:val="right"/>
              <w:ind w:right="759"/>
              <w:spacing w:after="0"/>
              <w:rPr>
                <w:sz w:val="20"/>
                <w:szCs w:val="20"/>
                <w:color w:val="auto"/>
              </w:rPr>
            </w:pPr>
            <w:r>
              <w:rPr>
                <w:rFonts w:ascii="Times New Roman" w:cs="Times New Roman" w:eastAsia="Times New Roman" w:hAnsi="Times New Roman"/>
                <w:sz w:val="16"/>
                <w:szCs w:val="16"/>
                <w:color w:val="auto"/>
                <w:w w:val="99"/>
              </w:rPr>
              <w:t>$</w:t>
            </w:r>
          </w:p>
        </w:tc>
        <w:tc>
          <w:tcPr>
            <w:tcW w:w="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11.6</w:t>
            </w: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155.9</w:t>
            </w:r>
          </w:p>
        </w:tc>
        <w:tc>
          <w:tcPr>
            <w:tcW w:w="140" w:type="dxa"/>
            <w:vAlign w:val="bottom"/>
            <w:tcBorders>
              <w:top w:val="single" w:sz="8" w:color="CCEEFF"/>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jc w:val="right"/>
              <w:ind w:right="839"/>
              <w:spacing w:after="0"/>
              <w:rPr>
                <w:sz w:val="20"/>
                <w:szCs w:val="20"/>
                <w:color w:val="auto"/>
              </w:rPr>
            </w:pPr>
            <w:r>
              <w:rPr>
                <w:rFonts w:ascii="Times New Roman" w:cs="Times New Roman" w:eastAsia="Times New Roman" w:hAnsi="Times New Roman"/>
                <w:sz w:val="16"/>
                <w:szCs w:val="16"/>
                <w:color w:val="auto"/>
                <w:w w:val="99"/>
              </w:rPr>
              <w:t>$</w:t>
            </w:r>
          </w:p>
        </w:tc>
        <w:tc>
          <w:tcPr>
            <w:tcW w:w="4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27.6</w:t>
            </w:r>
          </w:p>
        </w:tc>
        <w:tc>
          <w:tcPr>
            <w:tcW w:w="1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220.1</w:t>
            </w:r>
          </w:p>
        </w:tc>
        <w:tc>
          <w:tcPr>
            <w:tcW w:w="0" w:type="dxa"/>
            <w:vAlign w:val="bottom"/>
          </w:tcPr>
          <w:p>
            <w:pPr>
              <w:spacing w:after="0"/>
              <w:rPr>
                <w:sz w:val="1"/>
                <w:szCs w:val="1"/>
                <w:color w:val="auto"/>
              </w:rPr>
            </w:pPr>
          </w:p>
        </w:tc>
      </w:tr>
      <w:tr>
        <w:trPr>
          <w:trHeight w:val="213"/>
        </w:trPr>
        <w:tc>
          <w:tcPr>
            <w:tcW w:w="220" w:type="dxa"/>
            <w:vAlign w:val="bottom"/>
          </w:tcPr>
          <w:p>
            <w:pPr>
              <w:spacing w:after="0"/>
              <w:rPr>
                <w:sz w:val="18"/>
                <w:szCs w:val="18"/>
                <w:color w:val="auto"/>
              </w:rPr>
            </w:pPr>
          </w:p>
        </w:tc>
        <w:tc>
          <w:tcPr>
            <w:tcW w:w="32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Interest expense</w:t>
            </w:r>
          </w:p>
        </w:tc>
        <w:tc>
          <w:tcPr>
            <w:tcW w:w="12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11.8</w:t>
            </w: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7.2</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34.9</w:t>
            </w: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22.8</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46.3</w:t>
            </w:r>
          </w:p>
        </w:tc>
        <w:tc>
          <w:tcPr>
            <w:tcW w:w="0" w:type="dxa"/>
            <w:vAlign w:val="bottom"/>
          </w:tcPr>
          <w:p>
            <w:pPr>
              <w:spacing w:after="0"/>
              <w:rPr>
                <w:sz w:val="1"/>
                <w:szCs w:val="1"/>
                <w:color w:val="auto"/>
              </w:rPr>
            </w:pPr>
          </w:p>
        </w:tc>
      </w:tr>
      <w:tr>
        <w:trPr>
          <w:trHeight w:val="219"/>
        </w:trPr>
        <w:tc>
          <w:tcPr>
            <w:tcW w:w="220" w:type="dxa"/>
            <w:vAlign w:val="bottom"/>
          </w:tcPr>
          <w:p>
            <w:pPr>
              <w:spacing w:after="0"/>
              <w:rPr>
                <w:sz w:val="19"/>
                <w:szCs w:val="19"/>
                <w:color w:val="auto"/>
              </w:rPr>
            </w:pPr>
          </w:p>
        </w:tc>
        <w:tc>
          <w:tcPr>
            <w:tcW w:w="3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Interest income</w:t>
            </w:r>
          </w:p>
        </w:tc>
        <w:tc>
          <w:tcPr>
            <w:tcW w:w="12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w:t>
            </w:r>
          </w:p>
        </w:tc>
        <w:tc>
          <w:tcPr>
            <w:tcW w:w="10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(16.5)</w:t>
            </w:r>
          </w:p>
        </w:tc>
        <w:tc>
          <w:tcPr>
            <w:tcW w:w="14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w:t>
            </w:r>
          </w:p>
        </w:tc>
        <w:tc>
          <w:tcPr>
            <w:tcW w:w="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(20.0)</w:t>
            </w:r>
          </w:p>
        </w:tc>
        <w:tc>
          <w:tcPr>
            <w:tcW w:w="0" w:type="dxa"/>
            <w:vAlign w:val="bottom"/>
          </w:tcPr>
          <w:p>
            <w:pPr>
              <w:spacing w:after="0"/>
              <w:rPr>
                <w:sz w:val="1"/>
                <w:szCs w:val="1"/>
                <w:color w:val="auto"/>
              </w:rPr>
            </w:pPr>
          </w:p>
        </w:tc>
      </w:tr>
      <w:tr>
        <w:trPr>
          <w:trHeight w:val="213"/>
        </w:trPr>
        <w:tc>
          <w:tcPr>
            <w:tcW w:w="220" w:type="dxa"/>
            <w:vAlign w:val="bottom"/>
          </w:tcPr>
          <w:p>
            <w:pPr>
              <w:spacing w:after="0"/>
              <w:rPr>
                <w:sz w:val="18"/>
                <w:szCs w:val="18"/>
                <w:color w:val="auto"/>
              </w:rPr>
            </w:pPr>
          </w:p>
        </w:tc>
        <w:tc>
          <w:tcPr>
            <w:tcW w:w="32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Income tax expense</w:t>
            </w:r>
          </w:p>
        </w:tc>
        <w:tc>
          <w:tcPr>
            <w:tcW w:w="12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11.8</w:t>
            </w: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49.0</w:t>
            </w: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10.3</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60.7</w:t>
            </w:r>
          </w:p>
        </w:tc>
        <w:tc>
          <w:tcPr>
            <w:tcW w:w="0" w:type="dxa"/>
            <w:vAlign w:val="bottom"/>
          </w:tcPr>
          <w:p>
            <w:pPr>
              <w:spacing w:after="0"/>
              <w:rPr>
                <w:sz w:val="1"/>
                <w:szCs w:val="1"/>
                <w:color w:val="auto"/>
              </w:rPr>
            </w:pPr>
          </w:p>
        </w:tc>
      </w:tr>
      <w:tr>
        <w:trPr>
          <w:trHeight w:val="216"/>
        </w:trPr>
        <w:tc>
          <w:tcPr>
            <w:tcW w:w="220" w:type="dxa"/>
            <w:vAlign w:val="bottom"/>
          </w:tcPr>
          <w:p>
            <w:pPr>
              <w:spacing w:after="0"/>
              <w:rPr>
                <w:sz w:val="18"/>
                <w:szCs w:val="18"/>
                <w:color w:val="auto"/>
              </w:rPr>
            </w:pPr>
          </w:p>
        </w:tc>
        <w:tc>
          <w:tcPr>
            <w:tcW w:w="3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Depreciation and amortization</w:t>
            </w:r>
          </w:p>
        </w:tc>
        <w:tc>
          <w:tcPr>
            <w:tcW w:w="120" w:type="dxa"/>
            <w:vAlign w:val="bottom"/>
            <w:tcBorders>
              <w:bottom w:val="single" w:sz="8" w:color="auto"/>
            </w:tcBorders>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12.9</w:t>
            </w:r>
          </w:p>
        </w:tc>
        <w:tc>
          <w:tcPr>
            <w:tcW w:w="100" w:type="dxa"/>
            <w:vAlign w:val="bottom"/>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13.8</w:t>
            </w:r>
          </w:p>
        </w:tc>
        <w:tc>
          <w:tcPr>
            <w:tcW w:w="1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39.5</w:t>
            </w:r>
          </w:p>
        </w:tc>
        <w:tc>
          <w:tcPr>
            <w:tcW w:w="140" w:type="dxa"/>
            <w:vAlign w:val="bottom"/>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40.6</w:t>
            </w:r>
          </w:p>
        </w:tc>
        <w:tc>
          <w:tcPr>
            <w:tcW w:w="1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54.2</w:t>
            </w:r>
          </w:p>
        </w:tc>
        <w:tc>
          <w:tcPr>
            <w:tcW w:w="0" w:type="dxa"/>
            <w:vAlign w:val="bottom"/>
          </w:tcPr>
          <w:p>
            <w:pPr>
              <w:spacing w:after="0"/>
              <w:rPr>
                <w:sz w:val="1"/>
                <w:szCs w:val="1"/>
                <w:color w:val="auto"/>
              </w:rPr>
            </w:pPr>
          </w:p>
        </w:tc>
      </w:tr>
      <w:tr>
        <w:trPr>
          <w:trHeight w:val="212"/>
        </w:trPr>
        <w:tc>
          <w:tcPr>
            <w:tcW w:w="220" w:type="dxa"/>
            <w:vAlign w:val="bottom"/>
          </w:tcPr>
          <w:p>
            <w:pPr>
              <w:spacing w:after="0"/>
              <w:rPr>
                <w:sz w:val="18"/>
                <w:szCs w:val="18"/>
                <w:color w:val="auto"/>
              </w:rPr>
            </w:pPr>
          </w:p>
        </w:tc>
        <w:tc>
          <w:tcPr>
            <w:tcW w:w="32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EBITDA</w:t>
            </w: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68.3</w:t>
            </w:r>
          </w:p>
        </w:tc>
        <w:tc>
          <w:tcPr>
            <w:tcW w:w="100" w:type="dxa"/>
            <w:vAlign w:val="bottom"/>
          </w:tcPr>
          <w:p>
            <w:pPr>
              <w:spacing w:after="0"/>
              <w:rPr>
                <w:sz w:val="18"/>
                <w:szCs w:val="18"/>
                <w:color w:val="auto"/>
              </w:rPr>
            </w:pPr>
          </w:p>
        </w:tc>
        <w:tc>
          <w:tcPr>
            <w:tcW w:w="940" w:type="dxa"/>
            <w:vAlign w:val="bottom"/>
            <w:tcBorders>
              <w:bottom w:val="single" w:sz="8" w:color="auto"/>
            </w:tcBorders>
          </w:tcPr>
          <w:p>
            <w:pPr>
              <w:jc w:val="right"/>
              <w:ind w:right="759"/>
              <w:spacing w:after="0"/>
              <w:rPr>
                <w:sz w:val="20"/>
                <w:szCs w:val="20"/>
                <w:color w:val="auto"/>
              </w:rPr>
            </w:pPr>
            <w:r>
              <w:rPr>
                <w:rFonts w:ascii="Times New Roman" w:cs="Times New Roman" w:eastAsia="Times New Roman" w:hAnsi="Times New Roman"/>
                <w:sz w:val="16"/>
                <w:szCs w:val="16"/>
                <w:color w:val="auto"/>
                <w:w w:val="99"/>
              </w:rPr>
              <w:t>$</w:t>
            </w: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33.2</w:t>
            </w:r>
          </w:p>
        </w:tc>
        <w:tc>
          <w:tcPr>
            <w:tcW w:w="12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262.8</w:t>
            </w:r>
          </w:p>
        </w:tc>
        <w:tc>
          <w:tcPr>
            <w:tcW w:w="140" w:type="dxa"/>
            <w:vAlign w:val="bottom"/>
          </w:tcPr>
          <w:p>
            <w:pPr>
              <w:spacing w:after="0"/>
              <w:rPr>
                <w:sz w:val="18"/>
                <w:szCs w:val="18"/>
                <w:color w:val="auto"/>
              </w:rPr>
            </w:pPr>
          </w:p>
        </w:tc>
        <w:tc>
          <w:tcPr>
            <w:tcW w:w="1020" w:type="dxa"/>
            <w:vAlign w:val="bottom"/>
            <w:tcBorders>
              <w:bottom w:val="single" w:sz="8" w:color="auto"/>
            </w:tcBorders>
          </w:tcPr>
          <w:p>
            <w:pPr>
              <w:jc w:val="right"/>
              <w:ind w:right="839"/>
              <w:spacing w:after="0"/>
              <w:rPr>
                <w:sz w:val="20"/>
                <w:szCs w:val="20"/>
                <w:color w:val="auto"/>
              </w:rPr>
            </w:pPr>
            <w:r>
              <w:rPr>
                <w:rFonts w:ascii="Times New Roman" w:cs="Times New Roman" w:eastAsia="Times New Roman" w:hAnsi="Times New Roman"/>
                <w:sz w:val="16"/>
                <w:szCs w:val="16"/>
                <w:color w:val="auto"/>
                <w:w w:val="99"/>
              </w:rPr>
              <w:t>$</w:t>
            </w: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91.3</w:t>
            </w:r>
          </w:p>
        </w:tc>
        <w:tc>
          <w:tcPr>
            <w:tcW w:w="14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361.3</w:t>
            </w:r>
          </w:p>
        </w:tc>
        <w:tc>
          <w:tcPr>
            <w:tcW w:w="0" w:type="dxa"/>
            <w:vAlign w:val="bottom"/>
          </w:tcPr>
          <w:p>
            <w:pPr>
              <w:spacing w:after="0"/>
              <w:rPr>
                <w:sz w:val="1"/>
                <w:szCs w:val="1"/>
                <w:color w:val="auto"/>
              </w:rPr>
            </w:pPr>
          </w:p>
        </w:tc>
      </w:tr>
      <w:tr>
        <w:trPr>
          <w:trHeight w:val="20"/>
        </w:trPr>
        <w:tc>
          <w:tcPr>
            <w:tcW w:w="220" w:type="dxa"/>
            <w:vAlign w:val="bottom"/>
          </w:tcPr>
          <w:p>
            <w:pPr>
              <w:spacing w:after="0" w:line="20" w:lineRule="exact"/>
              <w:rPr>
                <w:sz w:val="1"/>
                <w:szCs w:val="1"/>
                <w:color w:val="auto"/>
              </w:rPr>
            </w:pPr>
          </w:p>
        </w:tc>
        <w:tc>
          <w:tcPr>
            <w:tcW w:w="326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220" w:type="dxa"/>
            <w:vAlign w:val="bottom"/>
          </w:tcPr>
          <w:p>
            <w:pPr>
              <w:spacing w:after="0"/>
              <w:rPr>
                <w:sz w:val="20"/>
                <w:szCs w:val="20"/>
                <w:color w:val="auto"/>
              </w:rPr>
            </w:pPr>
          </w:p>
        </w:tc>
        <w:tc>
          <w:tcPr>
            <w:tcW w:w="32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2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40" w:type="dxa"/>
            <w:vAlign w:val="bottom"/>
            <w:shd w:val="clear" w:color="auto" w:fill="CCEEFF"/>
          </w:tcPr>
          <w:p>
            <w:pPr>
              <w:spacing w:after="0"/>
              <w:rPr>
                <w:sz w:val="20"/>
                <w:szCs w:val="20"/>
                <w:color w:val="auto"/>
              </w:rPr>
            </w:pPr>
          </w:p>
        </w:tc>
        <w:tc>
          <w:tcPr>
            <w:tcW w:w="5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26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020" w:type="dxa"/>
            <w:vAlign w:val="bottom"/>
            <w:shd w:val="clear" w:color="auto" w:fill="CCEEFF"/>
          </w:tcPr>
          <w:p>
            <w:pPr>
              <w:spacing w:after="0"/>
              <w:rPr>
                <w:sz w:val="20"/>
                <w:szCs w:val="20"/>
                <w:color w:val="auto"/>
              </w:rPr>
            </w:pPr>
          </w:p>
        </w:tc>
        <w:tc>
          <w:tcPr>
            <w:tcW w:w="46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4"/>
        </w:trPr>
        <w:tc>
          <w:tcPr>
            <w:tcW w:w="220" w:type="dxa"/>
            <w:vAlign w:val="bottom"/>
          </w:tcPr>
          <w:p>
            <w:pPr>
              <w:spacing w:after="0"/>
              <w:rPr>
                <w:sz w:val="18"/>
                <w:szCs w:val="18"/>
                <w:color w:val="auto"/>
              </w:rPr>
            </w:pPr>
          </w:p>
        </w:tc>
        <w:tc>
          <w:tcPr>
            <w:tcW w:w="326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Adjustments to EBITDA</w:t>
            </w:r>
          </w:p>
        </w:tc>
        <w:tc>
          <w:tcPr>
            <w:tcW w:w="1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220" w:type="dxa"/>
            <w:vAlign w:val="bottom"/>
          </w:tcPr>
          <w:p>
            <w:pPr>
              <w:spacing w:after="0"/>
              <w:rPr>
                <w:sz w:val="18"/>
                <w:szCs w:val="18"/>
                <w:color w:val="auto"/>
              </w:rPr>
            </w:pPr>
          </w:p>
        </w:tc>
        <w:tc>
          <w:tcPr>
            <w:tcW w:w="3260" w:type="dxa"/>
            <w:vAlign w:val="bottom"/>
            <w:shd w:val="clear" w:color="auto" w:fill="CCEEFF"/>
          </w:tcPr>
          <w:p>
            <w:pPr>
              <w:ind w:left="20"/>
              <w:spacing w:after="0" w:line="218" w:lineRule="exact"/>
              <w:rPr>
                <w:sz w:val="20"/>
                <w:szCs w:val="20"/>
                <w:color w:val="auto"/>
              </w:rPr>
            </w:pPr>
            <w:r>
              <w:rPr>
                <w:rFonts w:ascii="Times New Roman" w:cs="Times New Roman" w:eastAsia="Times New Roman" w:hAnsi="Times New Roman"/>
                <w:sz w:val="16"/>
                <w:szCs w:val="16"/>
                <w:color w:val="auto"/>
              </w:rPr>
              <w:t xml:space="preserve">Tariff refund recovery </w:t>
            </w:r>
            <w:r>
              <w:rPr>
                <w:rFonts w:ascii="Times New Roman" w:cs="Times New Roman" w:eastAsia="Times New Roman" w:hAnsi="Times New Roman"/>
                <w:sz w:val="21"/>
                <w:szCs w:val="21"/>
                <w:color w:val="auto"/>
                <w:vertAlign w:val="superscript"/>
              </w:rPr>
              <w:t>(a)</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3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shd w:val="clear" w:color="auto" w:fill="CCEEFF"/>
          </w:tcPr>
          <w:p>
            <w:pPr>
              <w:jc w:val="right"/>
              <w:ind w:right="759"/>
              <w:spacing w:after="0"/>
              <w:rPr>
                <w:sz w:val="20"/>
                <w:szCs w:val="20"/>
                <w:color w:val="auto"/>
              </w:rPr>
            </w:pPr>
            <w:r>
              <w:rPr>
                <w:rFonts w:ascii="Times New Roman" w:cs="Times New Roman" w:eastAsia="Times New Roman" w:hAnsi="Times New Roman"/>
                <w:sz w:val="16"/>
                <w:szCs w:val="16"/>
                <w:color w:val="auto"/>
                <w:w w:val="99"/>
              </w:rPr>
              <w:t>$</w:t>
            </w:r>
          </w:p>
        </w:tc>
        <w:tc>
          <w:tcPr>
            <w:tcW w:w="6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(127.7)</w:t>
            </w: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839"/>
              <w:spacing w:after="0"/>
              <w:rPr>
                <w:sz w:val="20"/>
                <w:szCs w:val="20"/>
                <w:color w:val="auto"/>
              </w:rPr>
            </w:pPr>
            <w:r>
              <w:rPr>
                <w:rFonts w:ascii="Times New Roman" w:cs="Times New Roman" w:eastAsia="Times New Roman" w:hAnsi="Times New Roman"/>
                <w:sz w:val="16"/>
                <w:szCs w:val="16"/>
                <w:color w:val="auto"/>
                <w:w w:val="99"/>
              </w:rPr>
              <w:t>$</w:t>
            </w:r>
          </w:p>
        </w:tc>
        <w:tc>
          <w:tcPr>
            <w:tcW w:w="6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(127.7)</w:t>
            </w:r>
          </w:p>
        </w:tc>
        <w:tc>
          <w:tcPr>
            <w:tcW w:w="0" w:type="dxa"/>
            <w:vAlign w:val="bottom"/>
          </w:tcPr>
          <w:p>
            <w:pPr>
              <w:spacing w:after="0"/>
              <w:rPr>
                <w:sz w:val="1"/>
                <w:szCs w:val="1"/>
                <w:color w:val="auto"/>
              </w:rPr>
            </w:pPr>
          </w:p>
        </w:tc>
      </w:tr>
      <w:tr>
        <w:trPr>
          <w:trHeight w:val="216"/>
        </w:trPr>
        <w:tc>
          <w:tcPr>
            <w:tcW w:w="220" w:type="dxa"/>
            <w:vAlign w:val="bottom"/>
          </w:tcPr>
          <w:p>
            <w:pPr>
              <w:spacing w:after="0"/>
              <w:rPr>
                <w:sz w:val="18"/>
                <w:szCs w:val="18"/>
                <w:color w:val="auto"/>
              </w:rPr>
            </w:pPr>
          </w:p>
        </w:tc>
        <w:tc>
          <w:tcPr>
            <w:tcW w:w="3260" w:type="dxa"/>
            <w:vAlign w:val="bottom"/>
          </w:tcPr>
          <w:p>
            <w:pPr>
              <w:ind w:left="20"/>
              <w:spacing w:after="0" w:line="216" w:lineRule="exact"/>
              <w:rPr>
                <w:sz w:val="20"/>
                <w:szCs w:val="20"/>
                <w:color w:val="auto"/>
              </w:rPr>
            </w:pPr>
            <w:r>
              <w:rPr>
                <w:rFonts w:ascii="Times New Roman" w:cs="Times New Roman" w:eastAsia="Times New Roman" w:hAnsi="Times New Roman"/>
                <w:sz w:val="16"/>
                <w:szCs w:val="16"/>
                <w:color w:val="auto"/>
              </w:rPr>
              <w:t xml:space="preserve">IP litigation </w:t>
            </w:r>
            <w:r>
              <w:rPr>
                <w:rFonts w:ascii="Times New Roman" w:cs="Times New Roman" w:eastAsia="Times New Roman" w:hAnsi="Times New Roman"/>
                <w:sz w:val="21"/>
                <w:szCs w:val="21"/>
                <w:color w:val="auto"/>
                <w:vertAlign w:val="superscript"/>
              </w:rPr>
              <w:t>(b)</w:t>
            </w:r>
          </w:p>
        </w:tc>
        <w:tc>
          <w:tcPr>
            <w:tcW w:w="12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w:t>
            </w: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68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w:t>
            </w: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60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w:t>
            </w:r>
          </w:p>
        </w:tc>
        <w:tc>
          <w:tcPr>
            <w:tcW w:w="0" w:type="dxa"/>
            <w:vAlign w:val="bottom"/>
          </w:tcPr>
          <w:p>
            <w:pPr>
              <w:spacing w:after="0"/>
              <w:rPr>
                <w:sz w:val="1"/>
                <w:szCs w:val="1"/>
                <w:color w:val="auto"/>
              </w:rPr>
            </w:pPr>
          </w:p>
        </w:tc>
      </w:tr>
      <w:tr>
        <w:trPr>
          <w:trHeight w:val="216"/>
        </w:trPr>
        <w:tc>
          <w:tcPr>
            <w:tcW w:w="220" w:type="dxa"/>
            <w:vAlign w:val="bottom"/>
          </w:tcPr>
          <w:p>
            <w:pPr>
              <w:spacing w:after="0"/>
              <w:rPr>
                <w:sz w:val="18"/>
                <w:szCs w:val="18"/>
                <w:color w:val="auto"/>
              </w:rPr>
            </w:pPr>
          </w:p>
        </w:tc>
        <w:tc>
          <w:tcPr>
            <w:tcW w:w="3260" w:type="dxa"/>
            <w:vAlign w:val="bottom"/>
            <w:shd w:val="clear" w:color="auto" w:fill="CCEEFF"/>
          </w:tcPr>
          <w:p>
            <w:pPr>
              <w:ind w:left="20"/>
              <w:spacing w:after="0" w:line="216" w:lineRule="exact"/>
              <w:rPr>
                <w:sz w:val="20"/>
                <w:szCs w:val="20"/>
                <w:color w:val="auto"/>
              </w:rPr>
            </w:pPr>
            <w:r>
              <w:rPr>
                <w:rFonts w:ascii="Times New Roman" w:cs="Times New Roman" w:eastAsia="Times New Roman" w:hAnsi="Times New Roman"/>
                <w:sz w:val="16"/>
                <w:szCs w:val="16"/>
                <w:color w:val="auto"/>
              </w:rPr>
              <w:t xml:space="preserve">Leadership transition costs </w:t>
            </w:r>
            <w:r>
              <w:rPr>
                <w:rFonts w:ascii="Times New Roman" w:cs="Times New Roman" w:eastAsia="Times New Roman" w:hAnsi="Times New Roman"/>
                <w:sz w:val="21"/>
                <w:szCs w:val="21"/>
                <w:color w:val="auto"/>
                <w:vertAlign w:val="superscript"/>
              </w:rPr>
              <w:t>(c)</w:t>
            </w:r>
          </w:p>
        </w:tc>
        <w:tc>
          <w:tcPr>
            <w:tcW w:w="12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0.5</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4.7</w:t>
            </w: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7.7</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5.1</w:t>
            </w:r>
          </w:p>
        </w:tc>
        <w:tc>
          <w:tcPr>
            <w:tcW w:w="0" w:type="dxa"/>
            <w:vAlign w:val="bottom"/>
          </w:tcPr>
          <w:p>
            <w:pPr>
              <w:spacing w:after="0"/>
              <w:rPr>
                <w:sz w:val="1"/>
                <w:szCs w:val="1"/>
                <w:color w:val="auto"/>
              </w:rPr>
            </w:pPr>
          </w:p>
        </w:tc>
      </w:tr>
      <w:tr>
        <w:trPr>
          <w:trHeight w:val="216"/>
        </w:trPr>
        <w:tc>
          <w:tcPr>
            <w:tcW w:w="220" w:type="dxa"/>
            <w:vAlign w:val="bottom"/>
          </w:tcPr>
          <w:p>
            <w:pPr>
              <w:spacing w:after="0"/>
              <w:rPr>
                <w:sz w:val="18"/>
                <w:szCs w:val="18"/>
                <w:color w:val="auto"/>
              </w:rPr>
            </w:pPr>
          </w:p>
        </w:tc>
        <w:tc>
          <w:tcPr>
            <w:tcW w:w="3260" w:type="dxa"/>
            <w:vAlign w:val="bottom"/>
          </w:tcPr>
          <w:p>
            <w:pPr>
              <w:ind w:left="20"/>
              <w:spacing w:after="0" w:line="216" w:lineRule="exact"/>
              <w:rPr>
                <w:sz w:val="20"/>
                <w:szCs w:val="20"/>
                <w:color w:val="auto"/>
              </w:rPr>
            </w:pPr>
            <w:r>
              <w:rPr>
                <w:rFonts w:ascii="Times New Roman" w:cs="Times New Roman" w:eastAsia="Times New Roman" w:hAnsi="Times New Roman"/>
                <w:sz w:val="16"/>
                <w:szCs w:val="16"/>
                <w:color w:val="auto"/>
              </w:rPr>
              <w:t xml:space="preserve">Operating model improvement costs </w:t>
            </w:r>
            <w:r>
              <w:rPr>
                <w:rFonts w:ascii="Times New Roman" w:cs="Times New Roman" w:eastAsia="Times New Roman" w:hAnsi="Times New Roman"/>
                <w:sz w:val="21"/>
                <w:szCs w:val="21"/>
                <w:color w:val="auto"/>
                <w:vertAlign w:val="superscript"/>
              </w:rPr>
              <w:t>(d)</w:t>
            </w:r>
          </w:p>
        </w:tc>
        <w:tc>
          <w:tcPr>
            <w:tcW w:w="120" w:type="dxa"/>
            <w:vAlign w:val="bottom"/>
          </w:tcPr>
          <w:p>
            <w:pPr>
              <w:spacing w:after="0"/>
              <w:rPr>
                <w:sz w:val="18"/>
                <w:szCs w:val="18"/>
                <w:color w:val="auto"/>
              </w:rPr>
            </w:pPr>
          </w:p>
        </w:tc>
        <w:tc>
          <w:tcPr>
            <w:tcW w:w="138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02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13.5</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0.7</w:t>
            </w:r>
          </w:p>
        </w:tc>
        <w:tc>
          <w:tcPr>
            <w:tcW w:w="0" w:type="dxa"/>
            <w:vAlign w:val="bottom"/>
          </w:tcPr>
          <w:p>
            <w:pPr>
              <w:spacing w:after="0"/>
              <w:rPr>
                <w:sz w:val="1"/>
                <w:szCs w:val="1"/>
                <w:color w:val="auto"/>
              </w:rPr>
            </w:pPr>
          </w:p>
        </w:tc>
      </w:tr>
      <w:tr>
        <w:trPr>
          <w:trHeight w:val="216"/>
        </w:trPr>
        <w:tc>
          <w:tcPr>
            <w:tcW w:w="220" w:type="dxa"/>
            <w:vAlign w:val="bottom"/>
          </w:tcPr>
          <w:p>
            <w:pPr>
              <w:spacing w:after="0"/>
              <w:rPr>
                <w:sz w:val="18"/>
                <w:szCs w:val="18"/>
                <w:color w:val="auto"/>
              </w:rPr>
            </w:pPr>
          </w:p>
        </w:tc>
        <w:tc>
          <w:tcPr>
            <w:tcW w:w="3260" w:type="dxa"/>
            <w:vAlign w:val="bottom"/>
            <w:shd w:val="clear" w:color="auto" w:fill="CCEEFF"/>
          </w:tcPr>
          <w:p>
            <w:pPr>
              <w:ind w:left="20"/>
              <w:spacing w:after="0" w:line="216" w:lineRule="exact"/>
              <w:rPr>
                <w:sz w:val="20"/>
                <w:szCs w:val="20"/>
                <w:color w:val="auto"/>
              </w:rPr>
            </w:pPr>
            <w:r>
              <w:rPr>
                <w:rFonts w:ascii="Times New Roman" w:cs="Times New Roman" w:eastAsia="Times New Roman" w:hAnsi="Times New Roman"/>
                <w:sz w:val="16"/>
                <w:szCs w:val="16"/>
                <w:color w:val="auto"/>
              </w:rPr>
              <w:t xml:space="preserve">Organizational restructuring </w:t>
            </w:r>
            <w:r>
              <w:rPr>
                <w:rFonts w:ascii="Times New Roman" w:cs="Times New Roman" w:eastAsia="Times New Roman" w:hAnsi="Times New Roman"/>
                <w:sz w:val="21"/>
                <w:szCs w:val="21"/>
                <w:color w:val="auto"/>
                <w:vertAlign w:val="superscript"/>
              </w:rPr>
              <w:t>(e)</w:t>
            </w:r>
          </w:p>
        </w:tc>
        <w:tc>
          <w:tcPr>
            <w:tcW w:w="12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6.1</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02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6.1</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w:t>
            </w:r>
          </w:p>
        </w:tc>
        <w:tc>
          <w:tcPr>
            <w:tcW w:w="0" w:type="dxa"/>
            <w:vAlign w:val="bottom"/>
          </w:tcPr>
          <w:p>
            <w:pPr>
              <w:spacing w:after="0"/>
              <w:rPr>
                <w:sz w:val="1"/>
                <w:szCs w:val="1"/>
                <w:color w:val="auto"/>
              </w:rPr>
            </w:pPr>
          </w:p>
        </w:tc>
      </w:tr>
      <w:tr>
        <w:trPr>
          <w:trHeight w:val="216"/>
        </w:trPr>
        <w:tc>
          <w:tcPr>
            <w:tcW w:w="220" w:type="dxa"/>
            <w:vAlign w:val="bottom"/>
          </w:tcPr>
          <w:p>
            <w:pPr>
              <w:spacing w:after="0"/>
              <w:rPr>
                <w:sz w:val="18"/>
                <w:szCs w:val="18"/>
                <w:color w:val="auto"/>
              </w:rPr>
            </w:pPr>
          </w:p>
        </w:tc>
        <w:tc>
          <w:tcPr>
            <w:tcW w:w="3260" w:type="dxa"/>
            <w:vAlign w:val="bottom"/>
          </w:tcPr>
          <w:p>
            <w:pPr>
              <w:ind w:left="20"/>
              <w:spacing w:after="0" w:line="216" w:lineRule="exact"/>
              <w:rPr>
                <w:sz w:val="20"/>
                <w:szCs w:val="20"/>
                <w:color w:val="auto"/>
              </w:rPr>
            </w:pPr>
            <w:r>
              <w:rPr>
                <w:rFonts w:ascii="Times New Roman" w:cs="Times New Roman" w:eastAsia="Times New Roman" w:hAnsi="Times New Roman"/>
                <w:sz w:val="16"/>
                <w:szCs w:val="16"/>
                <w:color w:val="auto"/>
              </w:rPr>
              <w:t xml:space="preserve">Loss on extinguishment of debt </w:t>
            </w:r>
            <w:r>
              <w:rPr>
                <w:rFonts w:ascii="Times New Roman" w:cs="Times New Roman" w:eastAsia="Times New Roman" w:hAnsi="Times New Roman"/>
                <w:sz w:val="21"/>
                <w:szCs w:val="21"/>
                <w:color w:val="auto"/>
                <w:vertAlign w:val="superscript"/>
              </w:rPr>
              <w:t>(f)</w:t>
            </w:r>
          </w:p>
        </w:tc>
        <w:tc>
          <w:tcPr>
            <w:tcW w:w="120" w:type="dxa"/>
            <w:vAlign w:val="bottom"/>
          </w:tcPr>
          <w:p>
            <w:pPr>
              <w:spacing w:after="0"/>
              <w:rPr>
                <w:sz w:val="18"/>
                <w:szCs w:val="18"/>
                <w:color w:val="auto"/>
              </w:rPr>
            </w:pPr>
          </w:p>
        </w:tc>
        <w:tc>
          <w:tcPr>
            <w:tcW w:w="138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tcPr>
          <w:p>
            <w:pPr>
              <w:spacing w:after="0"/>
              <w:rPr>
                <w:sz w:val="18"/>
                <w:szCs w:val="18"/>
                <w:color w:val="auto"/>
              </w:rPr>
            </w:pPr>
          </w:p>
        </w:tc>
        <w:tc>
          <w:tcPr>
            <w:tcW w:w="68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140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020" w:type="dxa"/>
            <w:vAlign w:val="bottom"/>
          </w:tcPr>
          <w:p>
            <w:pPr>
              <w:spacing w:after="0"/>
              <w:rPr>
                <w:sz w:val="18"/>
                <w:szCs w:val="18"/>
                <w:color w:val="auto"/>
              </w:rPr>
            </w:pPr>
          </w:p>
        </w:tc>
        <w:tc>
          <w:tcPr>
            <w:tcW w:w="60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w:t>
            </w:r>
          </w:p>
        </w:tc>
        <w:tc>
          <w:tcPr>
            <w:tcW w:w="0" w:type="dxa"/>
            <w:vAlign w:val="bottom"/>
          </w:tcPr>
          <w:p>
            <w:pPr>
              <w:spacing w:after="0"/>
              <w:rPr>
                <w:sz w:val="1"/>
                <w:szCs w:val="1"/>
                <w:color w:val="auto"/>
              </w:rPr>
            </w:pPr>
          </w:p>
        </w:tc>
      </w:tr>
      <w:tr>
        <w:trPr>
          <w:trHeight w:val="216"/>
        </w:trPr>
        <w:tc>
          <w:tcPr>
            <w:tcW w:w="220" w:type="dxa"/>
            <w:vAlign w:val="bottom"/>
          </w:tcPr>
          <w:p>
            <w:pPr>
              <w:spacing w:after="0"/>
              <w:rPr>
                <w:sz w:val="18"/>
                <w:szCs w:val="18"/>
                <w:color w:val="auto"/>
              </w:rPr>
            </w:pPr>
          </w:p>
        </w:tc>
        <w:tc>
          <w:tcPr>
            <w:tcW w:w="3260" w:type="dxa"/>
            <w:vAlign w:val="bottom"/>
            <w:shd w:val="clear" w:color="auto" w:fill="CCEEFF"/>
          </w:tcPr>
          <w:p>
            <w:pPr>
              <w:ind w:left="20"/>
              <w:spacing w:after="0" w:line="216" w:lineRule="exact"/>
              <w:rPr>
                <w:sz w:val="20"/>
                <w:szCs w:val="20"/>
                <w:color w:val="auto"/>
              </w:rPr>
            </w:pPr>
            <w:r>
              <w:rPr>
                <w:rFonts w:ascii="Times New Roman" w:cs="Times New Roman" w:eastAsia="Times New Roman" w:hAnsi="Times New Roman"/>
                <w:sz w:val="16"/>
                <w:szCs w:val="16"/>
                <w:color w:val="auto"/>
              </w:rPr>
              <w:t xml:space="preserve">Pension plan settlement </w:t>
            </w:r>
            <w:r>
              <w:rPr>
                <w:rFonts w:ascii="Times New Roman" w:cs="Times New Roman" w:eastAsia="Times New Roman" w:hAnsi="Times New Roman"/>
                <w:sz w:val="21"/>
                <w:szCs w:val="21"/>
                <w:color w:val="auto"/>
                <w:vertAlign w:val="superscript"/>
              </w:rPr>
              <w:t>(g)</w:t>
            </w:r>
          </w:p>
        </w:tc>
        <w:tc>
          <w:tcPr>
            <w:tcW w:w="12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8.8</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02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8.8</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7"/>
        </w:trPr>
        <w:tc>
          <w:tcPr>
            <w:tcW w:w="220" w:type="dxa"/>
            <w:vAlign w:val="bottom"/>
          </w:tcPr>
          <w:p>
            <w:pPr>
              <w:spacing w:after="0"/>
              <w:rPr>
                <w:sz w:val="17"/>
                <w:szCs w:val="17"/>
                <w:color w:val="auto"/>
              </w:rPr>
            </w:pPr>
          </w:p>
        </w:tc>
        <w:tc>
          <w:tcPr>
            <w:tcW w:w="3260" w:type="dxa"/>
            <w:vAlign w:val="bottom"/>
            <w:tcBorders>
              <w:bottom w:val="single" w:sz="8" w:color="CCEEFF"/>
            </w:tcBorders>
          </w:tcPr>
          <w:p>
            <w:pPr>
              <w:ind w:left="100"/>
              <w:spacing w:after="0"/>
              <w:rPr>
                <w:sz w:val="20"/>
                <w:szCs w:val="20"/>
                <w:color w:val="auto"/>
              </w:rPr>
            </w:pPr>
            <w:r>
              <w:rPr>
                <w:rFonts w:ascii="Times New Roman" w:cs="Times New Roman" w:eastAsia="Times New Roman" w:hAnsi="Times New Roman"/>
                <w:sz w:val="16"/>
                <w:szCs w:val="16"/>
                <w:color w:val="auto"/>
              </w:rPr>
              <w:t>Total adjustments</w:t>
            </w:r>
          </w:p>
        </w:tc>
        <w:tc>
          <w:tcPr>
            <w:tcW w:w="120" w:type="dxa"/>
            <w:vAlign w:val="bottom"/>
            <w:tcBorders>
              <w:top w:val="single" w:sz="8" w:color="auto"/>
              <w:bottom w:val="single" w:sz="8" w:color="auto"/>
            </w:tcBorders>
          </w:tcPr>
          <w:p>
            <w:pPr>
              <w:spacing w:after="0"/>
              <w:rPr>
                <w:sz w:val="17"/>
                <w:szCs w:val="17"/>
                <w:color w:val="auto"/>
              </w:rPr>
            </w:pPr>
          </w:p>
        </w:tc>
        <w:tc>
          <w:tcPr>
            <w:tcW w:w="12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w:t>
            </w:r>
          </w:p>
        </w:tc>
        <w:tc>
          <w:tcPr>
            <w:tcW w:w="100" w:type="dxa"/>
            <w:vAlign w:val="bottom"/>
            <w:tcBorders>
              <w:bottom w:val="single" w:sz="8" w:color="CCEEFF"/>
            </w:tcBorders>
          </w:tcPr>
          <w:p>
            <w:pPr>
              <w:spacing w:after="0"/>
              <w:rPr>
                <w:sz w:val="17"/>
                <w:szCs w:val="17"/>
                <w:color w:val="auto"/>
              </w:rPr>
            </w:pPr>
          </w:p>
        </w:tc>
        <w:tc>
          <w:tcPr>
            <w:tcW w:w="940" w:type="dxa"/>
            <w:vAlign w:val="bottom"/>
            <w:tcBorders>
              <w:top w:val="single" w:sz="8" w:color="auto"/>
              <w:bottom w:val="single" w:sz="8" w:color="auto"/>
            </w:tcBorders>
          </w:tcPr>
          <w:p>
            <w:pPr>
              <w:spacing w:after="0"/>
              <w:rPr>
                <w:sz w:val="17"/>
                <w:szCs w:val="17"/>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19.1</w:t>
            </w:r>
          </w:p>
        </w:tc>
        <w:tc>
          <w:tcPr>
            <w:tcW w:w="120" w:type="dxa"/>
            <w:vAlign w:val="bottom"/>
            <w:tcBorders>
              <w:bottom w:val="single" w:sz="8" w:color="CCEEFF"/>
            </w:tcBorders>
          </w:tcPr>
          <w:p>
            <w:pPr>
              <w:spacing w:after="0"/>
              <w:rPr>
                <w:sz w:val="17"/>
                <w:szCs w:val="17"/>
                <w:color w:val="auto"/>
              </w:rPr>
            </w:pPr>
          </w:p>
        </w:tc>
        <w:tc>
          <w:tcPr>
            <w:tcW w:w="120" w:type="dxa"/>
            <w:vAlign w:val="bottom"/>
            <w:tcBorders>
              <w:top w:val="single" w:sz="8" w:color="auto"/>
              <w:bottom w:val="single" w:sz="8" w:color="auto"/>
            </w:tcBorders>
          </w:tcPr>
          <w:p>
            <w:pPr>
              <w:spacing w:after="0"/>
              <w:rPr>
                <w:sz w:val="17"/>
                <w:szCs w:val="17"/>
                <w:color w:val="auto"/>
              </w:rPr>
            </w:pPr>
          </w:p>
        </w:tc>
        <w:tc>
          <w:tcPr>
            <w:tcW w:w="12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(120.6)</w:t>
            </w:r>
          </w:p>
        </w:tc>
        <w:tc>
          <w:tcPr>
            <w:tcW w:w="140" w:type="dxa"/>
            <w:vAlign w:val="bottom"/>
            <w:tcBorders>
              <w:bottom w:val="single" w:sz="8" w:color="CCEEFF"/>
            </w:tcBorders>
          </w:tcPr>
          <w:p>
            <w:pPr>
              <w:spacing w:after="0"/>
              <w:rPr>
                <w:sz w:val="17"/>
                <w:szCs w:val="17"/>
                <w:color w:val="auto"/>
              </w:rPr>
            </w:pPr>
          </w:p>
        </w:tc>
        <w:tc>
          <w:tcPr>
            <w:tcW w:w="1020" w:type="dxa"/>
            <w:vAlign w:val="bottom"/>
            <w:tcBorders>
              <w:top w:val="single" w:sz="8" w:color="auto"/>
              <w:bottom w:val="single" w:sz="8" w:color="auto"/>
            </w:tcBorders>
          </w:tcPr>
          <w:p>
            <w:pPr>
              <w:spacing w:after="0"/>
              <w:rPr>
                <w:sz w:val="17"/>
                <w:szCs w:val="17"/>
                <w:color w:val="auto"/>
              </w:rPr>
            </w:pPr>
          </w:p>
        </w:tc>
        <w:tc>
          <w:tcPr>
            <w:tcW w:w="4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36.1</w:t>
            </w:r>
          </w:p>
        </w:tc>
        <w:tc>
          <w:tcPr>
            <w:tcW w:w="140" w:type="dxa"/>
            <w:vAlign w:val="bottom"/>
            <w:tcBorders>
              <w:bottom w:val="single" w:sz="8" w:color="CCEEFF"/>
            </w:tcBorders>
          </w:tcPr>
          <w:p>
            <w:pPr>
              <w:spacing w:after="0"/>
              <w:rPr>
                <w:sz w:val="17"/>
                <w:szCs w:val="17"/>
                <w:color w:val="auto"/>
              </w:rPr>
            </w:pPr>
          </w:p>
        </w:tc>
        <w:tc>
          <w:tcPr>
            <w:tcW w:w="100" w:type="dxa"/>
            <w:vAlign w:val="bottom"/>
            <w:tcBorders>
              <w:top w:val="single" w:sz="8" w:color="auto"/>
              <w:bottom w:val="single" w:sz="8" w:color="auto"/>
            </w:tcBorders>
          </w:tcPr>
          <w:p>
            <w:pPr>
              <w:spacing w:after="0"/>
              <w:rPr>
                <w:sz w:val="17"/>
                <w:szCs w:val="17"/>
                <w:color w:val="auto"/>
              </w:rPr>
            </w:pP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(114.1)</w:t>
            </w:r>
          </w:p>
        </w:tc>
        <w:tc>
          <w:tcPr>
            <w:tcW w:w="0" w:type="dxa"/>
            <w:vAlign w:val="bottom"/>
          </w:tcPr>
          <w:p>
            <w:pPr>
              <w:spacing w:after="0"/>
              <w:rPr>
                <w:sz w:val="1"/>
                <w:szCs w:val="1"/>
                <w:color w:val="auto"/>
              </w:rPr>
            </w:pPr>
          </w:p>
        </w:tc>
      </w:tr>
      <w:tr>
        <w:trPr>
          <w:trHeight w:val="237"/>
        </w:trPr>
        <w:tc>
          <w:tcPr>
            <w:tcW w:w="220" w:type="dxa"/>
            <w:vAlign w:val="bottom"/>
          </w:tcPr>
          <w:p>
            <w:pPr>
              <w:spacing w:after="0"/>
              <w:rPr>
                <w:sz w:val="20"/>
                <w:szCs w:val="20"/>
                <w:color w:val="auto"/>
              </w:rPr>
            </w:pPr>
          </w:p>
        </w:tc>
        <w:tc>
          <w:tcPr>
            <w:tcW w:w="32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Adjusted EBITDA</w:t>
            </w: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69.5</w:t>
            </w:r>
          </w:p>
        </w:tc>
        <w:tc>
          <w:tcPr>
            <w:tcW w:w="10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auto"/>
            </w:tcBorders>
            <w:shd w:val="clear" w:color="auto" w:fill="CCEEFF"/>
          </w:tcPr>
          <w:p>
            <w:pPr>
              <w:jc w:val="right"/>
              <w:ind w:right="759"/>
              <w:spacing w:after="0"/>
              <w:rPr>
                <w:sz w:val="20"/>
                <w:szCs w:val="20"/>
                <w:color w:val="auto"/>
              </w:rPr>
            </w:pPr>
            <w:r>
              <w:rPr>
                <w:rFonts w:ascii="Times New Roman" w:cs="Times New Roman" w:eastAsia="Times New Roman" w:hAnsi="Times New Roman"/>
                <w:sz w:val="16"/>
                <w:szCs w:val="16"/>
                <w:color w:val="auto"/>
                <w:w w:val="99"/>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52.3</w:t>
            </w: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142.2</w:t>
            </w:r>
          </w:p>
        </w:tc>
        <w:tc>
          <w:tcPr>
            <w:tcW w:w="14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auto"/>
            </w:tcBorders>
            <w:shd w:val="clear" w:color="auto" w:fill="CCEEFF"/>
          </w:tcPr>
          <w:p>
            <w:pPr>
              <w:jc w:val="right"/>
              <w:ind w:right="839"/>
              <w:spacing w:after="0"/>
              <w:rPr>
                <w:sz w:val="20"/>
                <w:szCs w:val="20"/>
                <w:color w:val="auto"/>
              </w:rPr>
            </w:pPr>
            <w:r>
              <w:rPr>
                <w:rFonts w:ascii="Times New Roman" w:cs="Times New Roman" w:eastAsia="Times New Roman" w:hAnsi="Times New Roman"/>
                <w:sz w:val="16"/>
                <w:szCs w:val="16"/>
                <w:color w:val="auto"/>
                <w:w w:val="99"/>
              </w:rPr>
              <w:t>$</w:t>
            </w:r>
          </w:p>
        </w:tc>
        <w:tc>
          <w:tcPr>
            <w:tcW w:w="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127.4</w:t>
            </w:r>
          </w:p>
        </w:tc>
        <w:tc>
          <w:tcPr>
            <w:tcW w:w="1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247.2</w:t>
            </w:r>
          </w:p>
        </w:tc>
        <w:tc>
          <w:tcPr>
            <w:tcW w:w="0" w:type="dxa"/>
            <w:vAlign w:val="bottom"/>
          </w:tcPr>
          <w:p>
            <w:pPr>
              <w:spacing w:after="0"/>
              <w:rPr>
                <w:sz w:val="1"/>
                <w:szCs w:val="1"/>
                <w:color w:val="auto"/>
              </w:rPr>
            </w:pPr>
          </w:p>
        </w:tc>
      </w:tr>
      <w:tr>
        <w:trPr>
          <w:trHeight w:val="20"/>
        </w:trPr>
        <w:tc>
          <w:tcPr>
            <w:tcW w:w="220" w:type="dxa"/>
            <w:vAlign w:val="bottom"/>
          </w:tcPr>
          <w:p>
            <w:pPr>
              <w:spacing w:after="0" w:line="20" w:lineRule="exact"/>
              <w:rPr>
                <w:sz w:val="1"/>
                <w:szCs w:val="1"/>
                <w:color w:val="auto"/>
              </w:rPr>
            </w:pPr>
          </w:p>
        </w:tc>
        <w:tc>
          <w:tcPr>
            <w:tcW w:w="32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58" w:lineRule="exact"/>
        <w:rPr>
          <w:sz w:val="20"/>
          <w:szCs w:val="20"/>
          <w:color w:val="auto"/>
        </w:rPr>
      </w:pPr>
    </w:p>
    <w:p>
      <w:pPr>
        <w:ind w:left="660" w:hanging="328"/>
        <w:spacing w:after="0"/>
        <w:tabs>
          <w:tab w:leader="none" w:pos="660" w:val="left"/>
        </w:tabs>
        <w:numPr>
          <w:ilvl w:val="0"/>
          <w:numId w:val="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Related to $128 million of IEEPA tariff recoveries, excluding $4 million of interest received in the first three quarters of fiscal 2026.</w:t>
      </w:r>
    </w:p>
    <w:p>
      <w:pPr>
        <w:spacing w:after="0" w:line="68" w:lineRule="exact"/>
        <w:rPr>
          <w:rFonts w:ascii="Times New Roman" w:cs="Times New Roman" w:eastAsia="Times New Roman" w:hAnsi="Times New Roman"/>
          <w:sz w:val="14"/>
          <w:szCs w:val="14"/>
          <w:color w:val="auto"/>
        </w:rPr>
      </w:pPr>
    </w:p>
    <w:p>
      <w:pPr>
        <w:ind w:left="640" w:hanging="308"/>
        <w:spacing w:after="0"/>
        <w:tabs>
          <w:tab w:leader="none" w:pos="640" w:val="left"/>
        </w:tabs>
        <w:numPr>
          <w:ilvl w:val="0"/>
          <w:numId w:val="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Related legal defense costs arising from intellectual property litigation not in the ordinary course of business.</w:t>
      </w:r>
    </w:p>
    <w:p>
      <w:pPr>
        <w:spacing w:after="0" w:line="55" w:lineRule="exact"/>
        <w:rPr>
          <w:rFonts w:ascii="Times New Roman" w:cs="Times New Roman" w:eastAsia="Times New Roman" w:hAnsi="Times New Roman"/>
          <w:sz w:val="14"/>
          <w:szCs w:val="14"/>
          <w:color w:val="auto"/>
        </w:rPr>
      </w:pPr>
    </w:p>
    <w:p>
      <w:pPr>
        <w:ind w:left="660" w:right="60" w:hanging="328"/>
        <w:spacing w:after="0" w:line="301" w:lineRule="auto"/>
        <w:tabs>
          <w:tab w:leader="none" w:pos="657" w:val="left"/>
        </w:tabs>
        <w:numPr>
          <w:ilvl w:val="0"/>
          <w:numId w:val="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Related to costs associated with the retirement of Michael D. Casey, the Company’s former Chief Executive Officer, in the first quarter of fiscal 2025 and costs related to the departure of Douglas C. Palladini, the Company’s former Chief Executive Officer, in the second quarter of fiscal 2026.</w:t>
      </w:r>
    </w:p>
    <w:p>
      <w:pPr>
        <w:spacing w:after="0" w:line="1" w:lineRule="exact"/>
        <w:rPr>
          <w:rFonts w:ascii="Times New Roman" w:cs="Times New Roman" w:eastAsia="Times New Roman" w:hAnsi="Times New Roman"/>
          <w:sz w:val="14"/>
          <w:szCs w:val="14"/>
          <w:color w:val="auto"/>
        </w:rPr>
      </w:pPr>
    </w:p>
    <w:p>
      <w:pPr>
        <w:ind w:left="640" w:hanging="308"/>
        <w:spacing w:after="0"/>
        <w:tabs>
          <w:tab w:leader="none" w:pos="640" w:val="left"/>
        </w:tabs>
        <w:numPr>
          <w:ilvl w:val="0"/>
          <w:numId w:val="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Primarily related to third-party consulting costs.</w:t>
      </w:r>
    </w:p>
    <w:p>
      <w:pPr>
        <w:spacing w:after="0" w:line="68" w:lineRule="exact"/>
        <w:rPr>
          <w:rFonts w:ascii="Times New Roman" w:cs="Times New Roman" w:eastAsia="Times New Roman" w:hAnsi="Times New Roman"/>
          <w:sz w:val="14"/>
          <w:szCs w:val="14"/>
          <w:color w:val="auto"/>
        </w:rPr>
      </w:pPr>
    </w:p>
    <w:p>
      <w:pPr>
        <w:ind w:left="660" w:hanging="328"/>
        <w:spacing w:after="0"/>
        <w:tabs>
          <w:tab w:leader="none" w:pos="660" w:val="left"/>
        </w:tabs>
        <w:numPr>
          <w:ilvl w:val="0"/>
          <w:numId w:val="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Related to charges for severance and other termination benefits as a result of organizational restructuring.</w:t>
      </w:r>
    </w:p>
    <w:p>
      <w:pPr>
        <w:spacing w:after="0" w:line="68" w:lineRule="exact"/>
        <w:rPr>
          <w:rFonts w:ascii="Times New Roman" w:cs="Times New Roman" w:eastAsia="Times New Roman" w:hAnsi="Times New Roman"/>
          <w:sz w:val="14"/>
          <w:szCs w:val="14"/>
          <w:color w:val="auto"/>
        </w:rPr>
      </w:pPr>
    </w:p>
    <w:p>
      <w:pPr>
        <w:ind w:left="660" w:hanging="328"/>
        <w:spacing w:after="0"/>
        <w:tabs>
          <w:tab w:leader="none" w:pos="660" w:val="left"/>
        </w:tabs>
        <w:numPr>
          <w:ilvl w:val="0"/>
          <w:numId w:val="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Related to redemption of the $500 million senior notes due 2027 and cash-flow based revolving credit facility.</w:t>
      </w:r>
    </w:p>
    <w:p>
      <w:pPr>
        <w:spacing w:after="0" w:line="55" w:lineRule="exact"/>
        <w:rPr>
          <w:rFonts w:ascii="Times New Roman" w:cs="Times New Roman" w:eastAsia="Times New Roman" w:hAnsi="Times New Roman"/>
          <w:sz w:val="14"/>
          <w:szCs w:val="14"/>
          <w:color w:val="auto"/>
        </w:rPr>
      </w:pPr>
    </w:p>
    <w:p>
      <w:pPr>
        <w:ind w:left="640" w:hanging="308"/>
        <w:spacing w:after="0"/>
        <w:tabs>
          <w:tab w:leader="none" w:pos="640" w:val="left"/>
        </w:tabs>
        <w:numPr>
          <w:ilvl w:val="0"/>
          <w:numId w:val="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Non-cash charges for settlement of the OshKosh B’Gosh Pension Plan.</w:t>
      </w:r>
    </w:p>
    <w:p>
      <w:pPr>
        <w:spacing w:after="0" w:line="31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Note: Results may not be additive due to rounding.</w:t>
      </w:r>
    </w:p>
    <w:p>
      <w:pPr>
        <w:spacing w:after="0" w:line="268" w:lineRule="exact"/>
        <w:rPr>
          <w:sz w:val="20"/>
          <w:szCs w:val="20"/>
          <w:color w:val="auto"/>
        </w:rPr>
      </w:pPr>
    </w:p>
    <w:p>
      <w:pPr>
        <w:jc w:val="both"/>
        <w:ind w:right="260"/>
        <w:spacing w:after="0" w:line="272" w:lineRule="auto"/>
        <w:rPr>
          <w:sz w:val="20"/>
          <w:szCs w:val="20"/>
          <w:color w:val="auto"/>
        </w:rPr>
      </w:pPr>
      <w:r>
        <w:rPr>
          <w:rFonts w:ascii="Times New Roman" w:cs="Times New Roman" w:eastAsia="Times New Roman" w:hAnsi="Times New Roman"/>
          <w:sz w:val="16"/>
          <w:szCs w:val="16"/>
          <w:color w:val="auto"/>
        </w:rPr>
        <w:t>EBITDA and Adjusted EBITDA are supplemental financial measures that are not defined or prepared in accordance with GAAP. The Company defines EBITDA as net income before interest, income taxes, and depreciation and amortization. Adjusted EBITDA is EBITDA adjusted for the items described in footnotes (a) - (g) to the table above.</w:t>
      </w:r>
    </w:p>
    <w:p>
      <w:pPr>
        <w:spacing w:after="0" w:line="198" w:lineRule="exact"/>
        <w:rPr>
          <w:sz w:val="20"/>
          <w:szCs w:val="20"/>
          <w:color w:val="auto"/>
        </w:rPr>
      </w:pPr>
    </w:p>
    <w:p>
      <w:pPr>
        <w:jc w:val="both"/>
        <w:spacing w:after="0" w:line="272" w:lineRule="auto"/>
        <w:rPr>
          <w:sz w:val="20"/>
          <w:szCs w:val="20"/>
          <w:color w:val="auto"/>
        </w:rPr>
      </w:pPr>
      <w:r>
        <w:rPr>
          <w:rFonts w:ascii="Times New Roman" w:cs="Times New Roman" w:eastAsia="Times New Roman" w:hAnsi="Times New Roman"/>
          <w:sz w:val="16"/>
          <w:szCs w:val="16"/>
          <w:color w:val="auto"/>
        </w:rPr>
        <w:t>The Company presents EBITDA and Adjusted EBITDA because it considers them important supplemental measures of its performance and believe they are frequently used by securities analysts, investors, and other interested parties in the evaluation of companies in our industry. These measures also afford investors a view of what management considers to be the Company's core performance.</w:t>
      </w:r>
    </w:p>
    <w:p>
      <w:pPr>
        <w:spacing w:after="0" w:line="198"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6"/>
          <w:szCs w:val="16"/>
          <w:color w:val="auto"/>
        </w:rPr>
        <w:t>The use of EBITDA and Adjusted EBITDA instead of net income or cash flows from operations has limitations as an analytical tool, and should not be considered in isolation, or as a substitute for analysis of the Company’s results as reported under GAAP. EBITDA and Adjusted EBITDA do not represent net income or cash flow from operations as those terms are defined by GAAP and do not necessarily indicate whether cash flows will be sufficient to fund cash needs. While EBITDA, Adjusted EBITDA and similar measures are frequently used as measures of operations and the ability to meet debt service requirements, these terms are not necessarily comparable to other similarly titled captions of other companies due to the potential inconsistencies in the method of calculation. EBITDA and Adjusted EBITDA do not reflect the impact of earnings or charges resulting from matters that the Company considers not to be indicative of its ongoing operations. Because of these limitations, EBITDA and Adjusted EBITDA should not be considered as discretionary cash available to the Company for working capital, debt service and other purposes.</w:t>
      </w:r>
    </w:p>
    <w:p>
      <w:pPr>
        <w:sectPr>
          <w:pgSz w:w="11900" w:h="16838" w:orient="portrait"/>
          <w:cols w:equalWidth="0" w:num="1">
            <w:col w:w="11240"/>
          </w:cols>
          <w:pgMar w:left="320" w:top="1134" w:right="339" w:bottom="1440" w:gutter="0" w:footer="0" w:header="0"/>
        </w:sectPr>
      </w:pPr>
    </w:p>
    <w:p>
      <w:pPr>
        <w:spacing w:after="0" w:line="200" w:lineRule="exact"/>
        <w:rPr>
          <w:sz w:val="20"/>
          <w:szCs w:val="20"/>
          <w:color w:val="auto"/>
        </w:rPr>
      </w:pPr>
    </w:p>
    <w:p>
      <w:pPr>
        <w:spacing w:after="0" w:line="3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16</w:t>
      </w:r>
    </w:p>
    <w:p>
      <w:pPr>
        <w:sectPr>
          <w:pgSz w:w="11900" w:h="16838" w:orient="portrait"/>
          <w:cols w:equalWidth="0" w:num="1">
            <w:col w:w="11240"/>
          </w:cols>
          <w:pgMar w:left="320" w:top="1134" w:right="339" w:bottom="1440" w:gutter="0" w:footer="0" w:header="0"/>
          <w:type w:val="continuous"/>
        </w:sectPr>
      </w:pPr>
    </w:p>
    <w:bookmarkStart w:id="19" w:name="page20"/>
    <w:bookmarkEnd w:id="19"/>
    <w:p>
      <w:pPr>
        <w:jc w:val="center"/>
        <w:spacing w:after="0"/>
        <w:rPr>
          <w:sz w:val="20"/>
          <w:szCs w:val="20"/>
          <w:color w:val="auto"/>
        </w:rPr>
      </w:pPr>
      <w:r>
        <w:rPr>
          <w:rFonts w:ascii="Times New Roman" w:cs="Times New Roman" w:eastAsia="Times New Roman" w:hAnsi="Times New Roman"/>
          <w:sz w:val="22"/>
          <w:szCs w:val="22"/>
          <w:b w:val="1"/>
          <w:bCs w:val="1"/>
          <w:color w:val="auto"/>
        </w:rPr>
        <w:t>RECONCILIATION OF U.S. GAAP AND NON-GAAP INFORMATION</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(dollars in millions)</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(unaudited)</w:t>
      </w:r>
    </w:p>
    <w:p>
      <w:pPr>
        <w:spacing w:after="0" w:line="200" w:lineRule="exact"/>
        <w:rPr>
          <w:sz w:val="20"/>
          <w:szCs w:val="20"/>
          <w:color w:val="auto"/>
        </w:rPr>
      </w:pPr>
    </w:p>
    <w:p>
      <w:pPr>
        <w:spacing w:after="0" w:line="227" w:lineRule="exact"/>
        <w:rPr>
          <w:sz w:val="20"/>
          <w:szCs w:val="20"/>
          <w:color w:val="auto"/>
        </w:rPr>
      </w:pPr>
    </w:p>
    <w:p>
      <w:pPr>
        <w:ind w:right="200"/>
        <w:spacing w:after="0" w:line="280" w:lineRule="auto"/>
        <w:rPr>
          <w:sz w:val="20"/>
          <w:szCs w:val="20"/>
          <w:color w:val="auto"/>
        </w:rPr>
      </w:pPr>
      <w:r>
        <w:rPr>
          <w:rFonts w:ascii="Times New Roman" w:cs="Times New Roman" w:eastAsia="Times New Roman" w:hAnsi="Times New Roman"/>
          <w:sz w:val="16"/>
          <w:szCs w:val="16"/>
          <w:color w:val="auto"/>
        </w:rPr>
        <w:t>The table below reflects the calculation of constant currency net sales on a consolidated and International segment basis for the fiscal quarter and first three fiscal quarters ended October 3, 2026:</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40" w:type="dxa"/>
            <w:vAlign w:val="bottom"/>
          </w:tcPr>
          <w:p>
            <w:pPr>
              <w:spacing w:after="0"/>
              <w:rPr>
                <w:sz w:val="18"/>
                <w:szCs w:val="18"/>
                <w:color w:val="auto"/>
              </w:rPr>
            </w:pPr>
          </w:p>
        </w:tc>
        <w:tc>
          <w:tcPr>
            <w:tcW w:w="25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2800" w:type="dxa"/>
            <w:vAlign w:val="bottom"/>
            <w:tcBorders>
              <w:bottom w:val="single" w:sz="8" w:color="auto"/>
            </w:tcBorders>
            <w:gridSpan w:val="8"/>
          </w:tcPr>
          <w:p>
            <w:pPr>
              <w:ind w:left="780"/>
              <w:spacing w:after="0"/>
              <w:rPr>
                <w:sz w:val="20"/>
                <w:szCs w:val="20"/>
                <w:color w:val="auto"/>
              </w:rPr>
            </w:pPr>
            <w:r>
              <w:rPr>
                <w:rFonts w:ascii="Times New Roman" w:cs="Times New Roman" w:eastAsia="Times New Roman" w:hAnsi="Times New Roman"/>
                <w:sz w:val="16"/>
                <w:szCs w:val="16"/>
                <w:b w:val="1"/>
                <w:bCs w:val="1"/>
                <w:color w:val="auto"/>
              </w:rPr>
              <w:t>Fiscal Quarter Ended</w:t>
            </w:r>
          </w:p>
        </w:tc>
        <w:tc>
          <w:tcPr>
            <w:tcW w:w="140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58"/>
        </w:trPr>
        <w:tc>
          <w:tcPr>
            <w:tcW w:w="40" w:type="dxa"/>
            <w:vAlign w:val="bottom"/>
          </w:tcPr>
          <w:p>
            <w:pPr>
              <w:spacing w:after="0"/>
              <w:rPr>
                <w:sz w:val="13"/>
                <w:szCs w:val="13"/>
                <w:color w:val="auto"/>
              </w:rPr>
            </w:pPr>
          </w:p>
        </w:tc>
        <w:tc>
          <w:tcPr>
            <w:tcW w:w="25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2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rPr>
              <w:t>Reported Net</w:t>
            </w: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0" w:type="dxa"/>
            <w:vAlign w:val="bottom"/>
            <w:gridSpan w:val="2"/>
          </w:tcPr>
          <w:p>
            <w:pPr>
              <w:jc w:val="center"/>
              <w:ind w:right="140"/>
              <w:spacing w:after="0" w:line="158" w:lineRule="exact"/>
              <w:rPr>
                <w:sz w:val="20"/>
                <w:szCs w:val="20"/>
                <w:color w:val="auto"/>
              </w:rPr>
            </w:pPr>
            <w:r>
              <w:rPr>
                <w:rFonts w:ascii="Times New Roman" w:cs="Times New Roman" w:eastAsia="Times New Roman" w:hAnsi="Times New Roman"/>
                <w:sz w:val="16"/>
                <w:szCs w:val="16"/>
                <w:b w:val="1"/>
                <w:bCs w:val="1"/>
                <w:color w:val="auto"/>
                <w:w w:val="99"/>
              </w:rPr>
              <w:t>Impact of</w:t>
            </w: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40" w:type="dxa"/>
            <w:vAlign w:val="bottom"/>
            <w:gridSpan w:val="2"/>
          </w:tcPr>
          <w:p>
            <w:pPr>
              <w:jc w:val="center"/>
              <w:ind w:right="120"/>
              <w:spacing w:after="0" w:line="158" w:lineRule="exact"/>
              <w:rPr>
                <w:sz w:val="20"/>
                <w:szCs w:val="20"/>
                <w:color w:val="auto"/>
              </w:rPr>
            </w:pPr>
            <w:r>
              <w:rPr>
                <w:rFonts w:ascii="Times New Roman" w:cs="Times New Roman" w:eastAsia="Times New Roman" w:hAnsi="Times New Roman"/>
                <w:sz w:val="16"/>
                <w:szCs w:val="16"/>
                <w:b w:val="1"/>
                <w:bCs w:val="1"/>
                <w:color w:val="auto"/>
              </w:rPr>
              <w:t>Constant-</w:t>
            </w: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20" w:type="dxa"/>
            <w:vAlign w:val="bottom"/>
            <w:gridSpan w:val="3"/>
          </w:tcPr>
          <w:p>
            <w:pPr>
              <w:jc w:val="center"/>
              <w:ind w:right="220"/>
              <w:spacing w:after="0" w:line="158" w:lineRule="exact"/>
              <w:rPr>
                <w:sz w:val="20"/>
                <w:szCs w:val="20"/>
                <w:color w:val="auto"/>
              </w:rPr>
            </w:pPr>
            <w:r>
              <w:rPr>
                <w:rFonts w:ascii="Times New Roman" w:cs="Times New Roman" w:eastAsia="Times New Roman" w:hAnsi="Times New Roman"/>
                <w:sz w:val="16"/>
                <w:szCs w:val="16"/>
                <w:b w:val="1"/>
                <w:bCs w:val="1"/>
                <w:color w:val="auto"/>
              </w:rPr>
              <w:t>Reported Net</w:t>
            </w:r>
          </w:p>
        </w:tc>
        <w:tc>
          <w:tcPr>
            <w:tcW w:w="14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40" w:type="dxa"/>
            <w:vAlign w:val="bottom"/>
          </w:tcPr>
          <w:p>
            <w:pPr>
              <w:spacing w:after="0"/>
              <w:rPr>
                <w:sz w:val="14"/>
                <w:szCs w:val="14"/>
                <w:color w:val="auto"/>
              </w:rPr>
            </w:pPr>
          </w:p>
        </w:tc>
        <w:tc>
          <w:tcPr>
            <w:tcW w:w="25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20" w:type="dxa"/>
            <w:vAlign w:val="bottom"/>
            <w:gridSpan w:val="2"/>
            <w:vMerge w:val="continue"/>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gridSpan w:val="2"/>
          </w:tcPr>
          <w:p>
            <w:pPr>
              <w:jc w:val="center"/>
              <w:ind w:right="140"/>
              <w:spacing w:after="0" w:line="162" w:lineRule="exact"/>
              <w:rPr>
                <w:sz w:val="20"/>
                <w:szCs w:val="20"/>
                <w:color w:val="auto"/>
              </w:rPr>
            </w:pPr>
            <w:r>
              <w:rPr>
                <w:rFonts w:ascii="Times New Roman" w:cs="Times New Roman" w:eastAsia="Times New Roman" w:hAnsi="Times New Roman"/>
                <w:sz w:val="16"/>
                <w:szCs w:val="16"/>
                <w:b w:val="1"/>
                <w:bCs w:val="1"/>
                <w:color w:val="auto"/>
              </w:rPr>
              <w:t>Foreign</w:t>
            </w: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40" w:type="dxa"/>
            <w:vAlign w:val="bottom"/>
            <w:gridSpan w:val="2"/>
          </w:tcPr>
          <w:p>
            <w:pPr>
              <w:jc w:val="center"/>
              <w:ind w:right="120"/>
              <w:spacing w:after="0" w:line="162" w:lineRule="exact"/>
              <w:rPr>
                <w:sz w:val="20"/>
                <w:szCs w:val="20"/>
                <w:color w:val="auto"/>
              </w:rPr>
            </w:pPr>
            <w:r>
              <w:rPr>
                <w:rFonts w:ascii="Times New Roman" w:cs="Times New Roman" w:eastAsia="Times New Roman" w:hAnsi="Times New Roman"/>
                <w:sz w:val="16"/>
                <w:szCs w:val="16"/>
                <w:b w:val="1"/>
                <w:bCs w:val="1"/>
                <w:color w:val="auto"/>
              </w:rPr>
              <w:t>Currency Net</w:t>
            </w: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20" w:type="dxa"/>
            <w:vAlign w:val="bottom"/>
            <w:gridSpan w:val="3"/>
          </w:tcPr>
          <w:p>
            <w:pPr>
              <w:jc w:val="center"/>
              <w:ind w:right="260"/>
              <w:spacing w:after="0" w:line="162" w:lineRule="exact"/>
              <w:rPr>
                <w:sz w:val="20"/>
                <w:szCs w:val="20"/>
                <w:color w:val="auto"/>
              </w:rPr>
            </w:pPr>
            <w:r>
              <w:rPr>
                <w:rFonts w:ascii="Times New Roman" w:cs="Times New Roman" w:eastAsia="Times New Roman" w:hAnsi="Times New Roman"/>
                <w:sz w:val="16"/>
                <w:szCs w:val="16"/>
                <w:b w:val="1"/>
                <w:bCs w:val="1"/>
                <w:color w:val="auto"/>
                <w:w w:val="97"/>
              </w:rPr>
              <w:t>Sales</w:t>
            </w:r>
          </w:p>
        </w:tc>
        <w:tc>
          <w:tcPr>
            <w:tcW w:w="1500" w:type="dxa"/>
            <w:vAlign w:val="bottom"/>
            <w:gridSpan w:val="3"/>
            <w:vMerge w:val="restart"/>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Reported Net Sales</w:t>
            </w:r>
          </w:p>
        </w:tc>
        <w:tc>
          <w:tcPr>
            <w:tcW w:w="80" w:type="dxa"/>
            <w:vAlign w:val="bottom"/>
          </w:tcPr>
          <w:p>
            <w:pPr>
              <w:spacing w:after="0"/>
              <w:rPr>
                <w:sz w:val="14"/>
                <w:szCs w:val="14"/>
                <w:color w:val="auto"/>
              </w:rPr>
            </w:pPr>
          </w:p>
        </w:tc>
        <w:tc>
          <w:tcPr>
            <w:tcW w:w="1480" w:type="dxa"/>
            <w:vAlign w:val="bottom"/>
            <w:gridSpan w:val="2"/>
            <w:vMerge w:val="restart"/>
          </w:tcPr>
          <w:p>
            <w:pPr>
              <w:jc w:val="center"/>
              <w:ind w:right="60"/>
              <w:spacing w:after="0"/>
              <w:rPr>
                <w:sz w:val="20"/>
                <w:szCs w:val="20"/>
                <w:color w:val="auto"/>
              </w:rPr>
            </w:pPr>
            <w:r>
              <w:rPr>
                <w:rFonts w:ascii="Times New Roman" w:cs="Times New Roman" w:eastAsia="Times New Roman" w:hAnsi="Times New Roman"/>
                <w:sz w:val="16"/>
                <w:szCs w:val="16"/>
                <w:b w:val="1"/>
                <w:bCs w:val="1"/>
                <w:color w:val="auto"/>
              </w:rPr>
              <w:t>Constant-Currency</w:t>
            </w:r>
          </w:p>
        </w:tc>
        <w:tc>
          <w:tcPr>
            <w:tcW w:w="0" w:type="dxa"/>
            <w:vAlign w:val="bottom"/>
          </w:tcPr>
          <w:p>
            <w:pPr>
              <w:spacing w:after="0"/>
              <w:rPr>
                <w:sz w:val="1"/>
                <w:szCs w:val="1"/>
                <w:color w:val="auto"/>
              </w:rPr>
            </w:pPr>
          </w:p>
        </w:tc>
      </w:tr>
      <w:tr>
        <w:trPr>
          <w:trHeight w:val="162"/>
        </w:trPr>
        <w:tc>
          <w:tcPr>
            <w:tcW w:w="40" w:type="dxa"/>
            <w:vAlign w:val="bottom"/>
          </w:tcPr>
          <w:p>
            <w:pPr>
              <w:spacing w:after="0"/>
              <w:rPr>
                <w:sz w:val="14"/>
                <w:szCs w:val="14"/>
                <w:color w:val="auto"/>
              </w:rPr>
            </w:pPr>
          </w:p>
        </w:tc>
        <w:tc>
          <w:tcPr>
            <w:tcW w:w="25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20" w:type="dxa"/>
            <w:vAlign w:val="bottom"/>
            <w:gridSpan w:val="2"/>
          </w:tcPr>
          <w:p>
            <w:pPr>
              <w:jc w:val="center"/>
              <w:ind w:right="140"/>
              <w:spacing w:after="0" w:line="162" w:lineRule="exact"/>
              <w:rPr>
                <w:sz w:val="20"/>
                <w:szCs w:val="20"/>
                <w:color w:val="auto"/>
              </w:rPr>
            </w:pPr>
            <w:r>
              <w:rPr>
                <w:rFonts w:ascii="Times New Roman" w:cs="Times New Roman" w:eastAsia="Times New Roman" w:hAnsi="Times New Roman"/>
                <w:sz w:val="16"/>
                <w:szCs w:val="16"/>
                <w:b w:val="1"/>
                <w:bCs w:val="1"/>
                <w:color w:val="auto"/>
              </w:rPr>
              <w:t>Sales</w:t>
            </w: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gridSpan w:val="2"/>
          </w:tcPr>
          <w:p>
            <w:pPr>
              <w:jc w:val="center"/>
              <w:ind w:right="140"/>
              <w:spacing w:after="0" w:line="162" w:lineRule="exact"/>
              <w:rPr>
                <w:sz w:val="20"/>
                <w:szCs w:val="20"/>
                <w:color w:val="auto"/>
              </w:rPr>
            </w:pPr>
            <w:r>
              <w:rPr>
                <w:rFonts w:ascii="Times New Roman" w:cs="Times New Roman" w:eastAsia="Times New Roman" w:hAnsi="Times New Roman"/>
                <w:sz w:val="16"/>
                <w:szCs w:val="16"/>
                <w:b w:val="1"/>
                <w:bCs w:val="1"/>
                <w:color w:val="auto"/>
              </w:rPr>
              <w:t>Currency</w:t>
            </w: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40" w:type="dxa"/>
            <w:vAlign w:val="bottom"/>
            <w:gridSpan w:val="2"/>
          </w:tcPr>
          <w:p>
            <w:pPr>
              <w:jc w:val="center"/>
              <w:ind w:right="160"/>
              <w:spacing w:after="0" w:line="162" w:lineRule="exact"/>
              <w:rPr>
                <w:sz w:val="20"/>
                <w:szCs w:val="20"/>
                <w:color w:val="auto"/>
              </w:rPr>
            </w:pPr>
            <w:r>
              <w:rPr>
                <w:rFonts w:ascii="Times New Roman" w:cs="Times New Roman" w:eastAsia="Times New Roman" w:hAnsi="Times New Roman"/>
                <w:sz w:val="16"/>
                <w:szCs w:val="16"/>
                <w:b w:val="1"/>
                <w:bCs w:val="1"/>
                <w:color w:val="auto"/>
              </w:rPr>
              <w:t>Sales</w:t>
            </w: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20" w:type="dxa"/>
            <w:vAlign w:val="bottom"/>
            <w:gridSpan w:val="3"/>
          </w:tcPr>
          <w:p>
            <w:pPr>
              <w:jc w:val="center"/>
              <w:ind w:right="220"/>
              <w:spacing w:after="0" w:line="162" w:lineRule="exact"/>
              <w:rPr>
                <w:sz w:val="20"/>
                <w:szCs w:val="20"/>
                <w:color w:val="auto"/>
              </w:rPr>
            </w:pPr>
            <w:r>
              <w:rPr>
                <w:rFonts w:ascii="Times New Roman" w:cs="Times New Roman" w:eastAsia="Times New Roman" w:hAnsi="Times New Roman"/>
                <w:sz w:val="16"/>
                <w:szCs w:val="16"/>
                <w:b w:val="1"/>
                <w:bCs w:val="1"/>
                <w:color w:val="auto"/>
              </w:rPr>
              <w:t>September 27,</w:t>
            </w:r>
          </w:p>
        </w:tc>
        <w:tc>
          <w:tcPr>
            <w:tcW w:w="1500" w:type="dxa"/>
            <w:vAlign w:val="bottom"/>
            <w:gridSpan w:val="3"/>
            <w:vMerge w:val="continue"/>
          </w:tcPr>
          <w:p>
            <w:pPr>
              <w:spacing w:after="0"/>
              <w:rPr>
                <w:sz w:val="14"/>
                <w:szCs w:val="14"/>
                <w:color w:val="auto"/>
              </w:rPr>
            </w:pPr>
          </w:p>
        </w:tc>
        <w:tc>
          <w:tcPr>
            <w:tcW w:w="80" w:type="dxa"/>
            <w:vAlign w:val="bottom"/>
          </w:tcPr>
          <w:p>
            <w:pPr>
              <w:spacing w:after="0"/>
              <w:rPr>
                <w:sz w:val="14"/>
                <w:szCs w:val="14"/>
                <w:color w:val="auto"/>
              </w:rPr>
            </w:pPr>
          </w:p>
        </w:tc>
        <w:tc>
          <w:tcPr>
            <w:tcW w:w="148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4"/>
        </w:trPr>
        <w:tc>
          <w:tcPr>
            <w:tcW w:w="40" w:type="dxa"/>
            <w:vAlign w:val="bottom"/>
          </w:tcPr>
          <w:p>
            <w:pPr>
              <w:spacing w:after="0"/>
              <w:rPr>
                <w:sz w:val="18"/>
                <w:szCs w:val="18"/>
                <w:color w:val="auto"/>
              </w:rPr>
            </w:pPr>
          </w:p>
        </w:tc>
        <w:tc>
          <w:tcPr>
            <w:tcW w:w="25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rPr>
              <w:t>October 3, 2026</w:t>
            </w: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w w:val="99"/>
              </w:rPr>
              <w:t>Translation</w:t>
            </w: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w w:val="99"/>
              </w:rPr>
              <w:t>October 3, 2026</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tcPr>
          <w:p>
            <w:pPr>
              <w:jc w:val="center"/>
              <w:ind w:right="39"/>
              <w:spacing w:after="0"/>
              <w:rPr>
                <w:sz w:val="20"/>
                <w:szCs w:val="20"/>
                <w:color w:val="auto"/>
              </w:rPr>
            </w:pPr>
            <w:r>
              <w:rPr>
                <w:rFonts w:ascii="Times New Roman" w:cs="Times New Roman" w:eastAsia="Times New Roman" w:hAnsi="Times New Roman"/>
                <w:sz w:val="16"/>
                <w:szCs w:val="16"/>
                <w:b w:val="1"/>
                <w:bCs w:val="1"/>
                <w:color w:val="auto"/>
                <w:w w:val="99"/>
              </w:rPr>
              <w:t>2025</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00" w:type="dxa"/>
            <w:vAlign w:val="bottom"/>
            <w:gridSpan w:val="3"/>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rPr>
              <w:t>% Change</w:t>
            </w:r>
          </w:p>
        </w:tc>
        <w:tc>
          <w:tcPr>
            <w:tcW w:w="80" w:type="dxa"/>
            <w:vAlign w:val="bottom"/>
          </w:tcPr>
          <w:p>
            <w:pPr>
              <w:spacing w:after="0"/>
              <w:rPr>
                <w:sz w:val="18"/>
                <w:szCs w:val="18"/>
                <w:color w:val="auto"/>
              </w:rPr>
            </w:pPr>
          </w:p>
        </w:tc>
        <w:tc>
          <w:tcPr>
            <w:tcW w:w="1480" w:type="dxa"/>
            <w:vAlign w:val="bottom"/>
            <w:gridSpan w:val="2"/>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rPr>
              <w:t>Net Sales % Change</w:t>
            </w:r>
          </w:p>
        </w:tc>
        <w:tc>
          <w:tcPr>
            <w:tcW w:w="0" w:type="dxa"/>
            <w:vAlign w:val="bottom"/>
          </w:tcPr>
          <w:p>
            <w:pPr>
              <w:spacing w:after="0"/>
              <w:rPr>
                <w:sz w:val="1"/>
                <w:szCs w:val="1"/>
                <w:color w:val="auto"/>
              </w:rPr>
            </w:pPr>
          </w:p>
        </w:tc>
      </w:tr>
      <w:tr>
        <w:trPr>
          <w:trHeight w:val="90"/>
        </w:trPr>
        <w:tc>
          <w:tcPr>
            <w:tcW w:w="40" w:type="dxa"/>
            <w:vAlign w:val="bottom"/>
          </w:tcPr>
          <w:p>
            <w:pPr>
              <w:spacing w:after="0"/>
              <w:rPr>
                <w:sz w:val="7"/>
                <w:szCs w:val="7"/>
                <w:color w:val="auto"/>
              </w:rPr>
            </w:pPr>
          </w:p>
        </w:tc>
        <w:tc>
          <w:tcPr>
            <w:tcW w:w="2500" w:type="dxa"/>
            <w:vAlign w:val="bottom"/>
          </w:tcPr>
          <w:p>
            <w:pPr>
              <w:spacing w:after="0"/>
              <w:rPr>
                <w:sz w:val="7"/>
                <w:szCs w:val="7"/>
                <w:color w:val="auto"/>
              </w:rPr>
            </w:pPr>
          </w:p>
        </w:tc>
        <w:tc>
          <w:tcPr>
            <w:tcW w:w="40" w:type="dxa"/>
            <w:vAlign w:val="bottom"/>
          </w:tcPr>
          <w:p>
            <w:pPr>
              <w:spacing w:after="0"/>
              <w:rPr>
                <w:sz w:val="7"/>
                <w:szCs w:val="7"/>
                <w:color w:val="auto"/>
              </w:rPr>
            </w:pPr>
          </w:p>
        </w:tc>
        <w:tc>
          <w:tcPr>
            <w:tcW w:w="120" w:type="dxa"/>
            <w:vAlign w:val="bottom"/>
            <w:tcBorders>
              <w:top w:val="single" w:sz="8" w:color="auto"/>
            </w:tcBorders>
          </w:tcPr>
          <w:p>
            <w:pPr>
              <w:spacing w:after="0"/>
              <w:rPr>
                <w:sz w:val="7"/>
                <w:szCs w:val="7"/>
                <w:color w:val="auto"/>
              </w:rPr>
            </w:pPr>
          </w:p>
        </w:tc>
        <w:tc>
          <w:tcPr>
            <w:tcW w:w="1160" w:type="dxa"/>
            <w:vAlign w:val="bottom"/>
            <w:tcBorders>
              <w:top w:val="single" w:sz="8" w:color="auto"/>
            </w:tcBorders>
          </w:tcPr>
          <w:p>
            <w:pPr>
              <w:spacing w:after="0"/>
              <w:rPr>
                <w:sz w:val="7"/>
                <w:szCs w:val="7"/>
                <w:color w:val="auto"/>
              </w:rPr>
            </w:pPr>
          </w:p>
        </w:tc>
        <w:tc>
          <w:tcPr>
            <w:tcW w:w="60" w:type="dxa"/>
            <w:vAlign w:val="bottom"/>
            <w:tcBorders>
              <w:top w:val="single" w:sz="8" w:color="auto"/>
            </w:tcBorders>
          </w:tcPr>
          <w:p>
            <w:pPr>
              <w:spacing w:after="0"/>
              <w:rPr>
                <w:sz w:val="7"/>
                <w:szCs w:val="7"/>
                <w:color w:val="auto"/>
              </w:rPr>
            </w:pPr>
          </w:p>
        </w:tc>
        <w:tc>
          <w:tcPr>
            <w:tcW w:w="60" w:type="dxa"/>
            <w:vAlign w:val="bottom"/>
          </w:tcPr>
          <w:p>
            <w:pPr>
              <w:spacing w:after="0"/>
              <w:rPr>
                <w:sz w:val="7"/>
                <w:szCs w:val="7"/>
                <w:color w:val="auto"/>
              </w:rPr>
            </w:pPr>
          </w:p>
        </w:tc>
        <w:tc>
          <w:tcPr>
            <w:tcW w:w="60" w:type="dxa"/>
            <w:vAlign w:val="bottom"/>
          </w:tcPr>
          <w:p>
            <w:pPr>
              <w:spacing w:after="0"/>
              <w:rPr>
                <w:sz w:val="7"/>
                <w:szCs w:val="7"/>
                <w:color w:val="auto"/>
              </w:rPr>
            </w:pPr>
          </w:p>
        </w:tc>
        <w:tc>
          <w:tcPr>
            <w:tcW w:w="120" w:type="dxa"/>
            <w:vAlign w:val="bottom"/>
            <w:tcBorders>
              <w:top w:val="single" w:sz="8" w:color="auto"/>
            </w:tcBorders>
          </w:tcPr>
          <w:p>
            <w:pPr>
              <w:spacing w:after="0"/>
              <w:rPr>
                <w:sz w:val="7"/>
                <w:szCs w:val="7"/>
                <w:color w:val="auto"/>
              </w:rPr>
            </w:pPr>
          </w:p>
        </w:tc>
        <w:tc>
          <w:tcPr>
            <w:tcW w:w="920" w:type="dxa"/>
            <w:vAlign w:val="bottom"/>
            <w:tcBorders>
              <w:top w:val="single" w:sz="8" w:color="auto"/>
            </w:tcBorders>
          </w:tcPr>
          <w:p>
            <w:pPr>
              <w:spacing w:after="0"/>
              <w:rPr>
                <w:sz w:val="7"/>
                <w:szCs w:val="7"/>
                <w:color w:val="auto"/>
              </w:rPr>
            </w:pPr>
          </w:p>
        </w:tc>
        <w:tc>
          <w:tcPr>
            <w:tcW w:w="80" w:type="dxa"/>
            <w:vAlign w:val="bottom"/>
            <w:tcBorders>
              <w:top w:val="single" w:sz="8" w:color="auto"/>
            </w:tcBorders>
          </w:tcPr>
          <w:p>
            <w:pPr>
              <w:spacing w:after="0"/>
              <w:rPr>
                <w:sz w:val="7"/>
                <w:szCs w:val="7"/>
                <w:color w:val="auto"/>
              </w:rPr>
            </w:pPr>
          </w:p>
        </w:tc>
        <w:tc>
          <w:tcPr>
            <w:tcW w:w="40" w:type="dxa"/>
            <w:vAlign w:val="bottom"/>
          </w:tcPr>
          <w:p>
            <w:pPr>
              <w:spacing w:after="0"/>
              <w:rPr>
                <w:sz w:val="7"/>
                <w:szCs w:val="7"/>
                <w:color w:val="auto"/>
              </w:rPr>
            </w:pPr>
          </w:p>
        </w:tc>
        <w:tc>
          <w:tcPr>
            <w:tcW w:w="60" w:type="dxa"/>
            <w:vAlign w:val="bottom"/>
          </w:tcPr>
          <w:p>
            <w:pPr>
              <w:spacing w:after="0"/>
              <w:rPr>
                <w:sz w:val="7"/>
                <w:szCs w:val="7"/>
                <w:color w:val="auto"/>
              </w:rPr>
            </w:pPr>
          </w:p>
        </w:tc>
        <w:tc>
          <w:tcPr>
            <w:tcW w:w="120" w:type="dxa"/>
            <w:vAlign w:val="bottom"/>
            <w:tcBorders>
              <w:top w:val="single" w:sz="8" w:color="auto"/>
            </w:tcBorders>
          </w:tcPr>
          <w:p>
            <w:pPr>
              <w:spacing w:after="0"/>
              <w:rPr>
                <w:sz w:val="7"/>
                <w:szCs w:val="7"/>
                <w:color w:val="auto"/>
              </w:rPr>
            </w:pPr>
          </w:p>
        </w:tc>
        <w:tc>
          <w:tcPr>
            <w:tcW w:w="1220" w:type="dxa"/>
            <w:vAlign w:val="bottom"/>
            <w:tcBorders>
              <w:top w:val="single" w:sz="8" w:color="auto"/>
            </w:tcBorders>
          </w:tcPr>
          <w:p>
            <w:pPr>
              <w:spacing w:after="0"/>
              <w:rPr>
                <w:sz w:val="7"/>
                <w:szCs w:val="7"/>
                <w:color w:val="auto"/>
              </w:rPr>
            </w:pPr>
          </w:p>
        </w:tc>
        <w:tc>
          <w:tcPr>
            <w:tcW w:w="20" w:type="dxa"/>
            <w:vAlign w:val="bottom"/>
            <w:tcBorders>
              <w:top w:val="single" w:sz="8" w:color="auto"/>
            </w:tcBorders>
          </w:tcPr>
          <w:p>
            <w:pPr>
              <w:spacing w:after="0"/>
              <w:rPr>
                <w:sz w:val="7"/>
                <w:szCs w:val="7"/>
                <w:color w:val="auto"/>
              </w:rPr>
            </w:pPr>
          </w:p>
        </w:tc>
        <w:tc>
          <w:tcPr>
            <w:tcW w:w="100" w:type="dxa"/>
            <w:vAlign w:val="bottom"/>
          </w:tcPr>
          <w:p>
            <w:pPr>
              <w:spacing w:after="0"/>
              <w:rPr>
                <w:sz w:val="7"/>
                <w:szCs w:val="7"/>
                <w:color w:val="auto"/>
              </w:rPr>
            </w:pPr>
          </w:p>
        </w:tc>
        <w:tc>
          <w:tcPr>
            <w:tcW w:w="20" w:type="dxa"/>
            <w:vAlign w:val="bottom"/>
          </w:tcPr>
          <w:p>
            <w:pPr>
              <w:spacing w:after="0"/>
              <w:rPr>
                <w:sz w:val="7"/>
                <w:szCs w:val="7"/>
                <w:color w:val="auto"/>
              </w:rPr>
            </w:pPr>
          </w:p>
        </w:tc>
        <w:tc>
          <w:tcPr>
            <w:tcW w:w="120" w:type="dxa"/>
            <w:vAlign w:val="bottom"/>
            <w:tcBorders>
              <w:top w:val="single" w:sz="8" w:color="auto"/>
            </w:tcBorders>
          </w:tcPr>
          <w:p>
            <w:pPr>
              <w:spacing w:after="0"/>
              <w:rPr>
                <w:sz w:val="7"/>
                <w:szCs w:val="7"/>
                <w:color w:val="auto"/>
              </w:rPr>
            </w:pPr>
          </w:p>
        </w:tc>
        <w:tc>
          <w:tcPr>
            <w:tcW w:w="1200" w:type="dxa"/>
            <w:vAlign w:val="bottom"/>
            <w:tcBorders>
              <w:top w:val="single" w:sz="8" w:color="auto"/>
            </w:tcBorders>
          </w:tcPr>
          <w:p>
            <w:pPr>
              <w:spacing w:after="0"/>
              <w:rPr>
                <w:sz w:val="7"/>
                <w:szCs w:val="7"/>
                <w:color w:val="auto"/>
              </w:rPr>
            </w:pPr>
          </w:p>
        </w:tc>
        <w:tc>
          <w:tcPr>
            <w:tcW w:w="20" w:type="dxa"/>
            <w:vAlign w:val="bottom"/>
            <w:tcBorders>
              <w:top w:val="single" w:sz="8" w:color="auto"/>
            </w:tcBorders>
          </w:tcPr>
          <w:p>
            <w:pPr>
              <w:spacing w:after="0"/>
              <w:rPr>
                <w:sz w:val="7"/>
                <w:szCs w:val="7"/>
                <w:color w:val="auto"/>
              </w:rPr>
            </w:pPr>
          </w:p>
        </w:tc>
        <w:tc>
          <w:tcPr>
            <w:tcW w:w="100" w:type="dxa"/>
            <w:vAlign w:val="bottom"/>
          </w:tcPr>
          <w:p>
            <w:pPr>
              <w:spacing w:after="0"/>
              <w:rPr>
                <w:sz w:val="7"/>
                <w:szCs w:val="7"/>
                <w:color w:val="auto"/>
              </w:rPr>
            </w:pPr>
          </w:p>
        </w:tc>
        <w:tc>
          <w:tcPr>
            <w:tcW w:w="1400" w:type="dxa"/>
            <w:vAlign w:val="bottom"/>
            <w:tcBorders>
              <w:top w:val="single" w:sz="8" w:color="auto"/>
            </w:tcBorders>
          </w:tcPr>
          <w:p>
            <w:pPr>
              <w:spacing w:after="0"/>
              <w:rPr>
                <w:sz w:val="7"/>
                <w:szCs w:val="7"/>
                <w:color w:val="auto"/>
              </w:rPr>
            </w:pPr>
          </w:p>
        </w:tc>
        <w:tc>
          <w:tcPr>
            <w:tcW w:w="60" w:type="dxa"/>
            <w:vAlign w:val="bottom"/>
          </w:tcPr>
          <w:p>
            <w:pPr>
              <w:spacing w:after="0"/>
              <w:rPr>
                <w:sz w:val="7"/>
                <w:szCs w:val="7"/>
                <w:color w:val="auto"/>
              </w:rPr>
            </w:pPr>
          </w:p>
        </w:tc>
        <w:tc>
          <w:tcPr>
            <w:tcW w:w="40" w:type="dxa"/>
            <w:vAlign w:val="bottom"/>
          </w:tcPr>
          <w:p>
            <w:pPr>
              <w:spacing w:after="0"/>
              <w:rPr>
                <w:sz w:val="7"/>
                <w:szCs w:val="7"/>
                <w:color w:val="auto"/>
              </w:rPr>
            </w:pPr>
          </w:p>
        </w:tc>
        <w:tc>
          <w:tcPr>
            <w:tcW w:w="80" w:type="dxa"/>
            <w:vAlign w:val="bottom"/>
            <w:tcBorders>
              <w:top w:val="single" w:sz="8" w:color="auto"/>
            </w:tcBorders>
          </w:tcPr>
          <w:p>
            <w:pPr>
              <w:spacing w:after="0"/>
              <w:rPr>
                <w:sz w:val="7"/>
                <w:szCs w:val="7"/>
                <w:color w:val="auto"/>
              </w:rPr>
            </w:pPr>
          </w:p>
        </w:tc>
        <w:tc>
          <w:tcPr>
            <w:tcW w:w="1460" w:type="dxa"/>
            <w:vAlign w:val="bottom"/>
            <w:tcBorders>
              <w:top w:val="single" w:sz="8" w:color="auto"/>
            </w:tcBorders>
          </w:tcPr>
          <w:p>
            <w:pPr>
              <w:spacing w:after="0"/>
              <w:rPr>
                <w:sz w:val="7"/>
                <w:szCs w:val="7"/>
                <w:color w:val="auto"/>
              </w:rPr>
            </w:pPr>
          </w:p>
        </w:tc>
        <w:tc>
          <w:tcPr>
            <w:tcW w:w="2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16"/>
        </w:trPr>
        <w:tc>
          <w:tcPr>
            <w:tcW w:w="25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Consolidated net sales</w:t>
            </w:r>
          </w:p>
        </w:tc>
        <w:tc>
          <w:tcPr>
            <w:tcW w:w="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752.5</w:t>
            </w:r>
          </w:p>
        </w:tc>
        <w:tc>
          <w:tcPr>
            <w:tcW w:w="60" w:type="dxa"/>
            <w:vAlign w:val="bottom"/>
            <w:shd w:val="clear" w:color="auto" w:fill="CCEEFF"/>
          </w:tcPr>
          <w:p>
            <w:pPr>
              <w:spacing w:after="0"/>
              <w:rPr>
                <w:sz w:val="18"/>
                <w:szCs w:val="18"/>
                <w:color w:val="auto"/>
              </w:rPr>
            </w:pPr>
          </w:p>
        </w:tc>
        <w:tc>
          <w:tcPr>
            <w:tcW w:w="2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0.9</w:t>
            </w:r>
          </w:p>
        </w:tc>
        <w:tc>
          <w:tcPr>
            <w:tcW w:w="2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751.5</w:t>
            </w:r>
          </w:p>
        </w:tc>
        <w:tc>
          <w:tcPr>
            <w:tcW w:w="20" w:type="dxa"/>
            <w:vAlign w:val="bottom"/>
            <w:shd w:val="clear" w:color="auto" w:fill="CCEEFF"/>
          </w:tcPr>
          <w:p>
            <w:pPr>
              <w:spacing w:after="0"/>
              <w:rPr>
                <w:sz w:val="18"/>
                <w:szCs w:val="18"/>
                <w:color w:val="auto"/>
              </w:rPr>
            </w:pPr>
          </w:p>
        </w:tc>
        <w:tc>
          <w:tcPr>
            <w:tcW w:w="24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757.8</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(0.7)%</w:t>
            </w: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560" w:type="dxa"/>
            <w:vAlign w:val="bottom"/>
            <w:gridSpan w:val="3"/>
            <w:shd w:val="clear" w:color="auto" w:fill="CCEEFF"/>
          </w:tcPr>
          <w:p>
            <w:pPr>
              <w:jc w:val="center"/>
              <w:ind w:left="979"/>
              <w:spacing w:after="0"/>
              <w:rPr>
                <w:sz w:val="20"/>
                <w:szCs w:val="20"/>
                <w:color w:val="auto"/>
              </w:rPr>
            </w:pPr>
            <w:r>
              <w:rPr>
                <w:rFonts w:ascii="Times New Roman" w:cs="Times New Roman" w:eastAsia="Times New Roman" w:hAnsi="Times New Roman"/>
                <w:sz w:val="16"/>
                <w:szCs w:val="16"/>
                <w:color w:val="auto"/>
              </w:rPr>
              <w:t>(0.8)%</w:t>
            </w:r>
          </w:p>
        </w:tc>
        <w:tc>
          <w:tcPr>
            <w:tcW w:w="0" w:type="dxa"/>
            <w:vAlign w:val="bottom"/>
          </w:tcPr>
          <w:p>
            <w:pPr>
              <w:spacing w:after="0"/>
              <w:rPr>
                <w:sz w:val="1"/>
                <w:szCs w:val="1"/>
                <w:color w:val="auto"/>
              </w:rPr>
            </w:pPr>
          </w:p>
        </w:tc>
      </w:tr>
      <w:tr>
        <w:trPr>
          <w:trHeight w:val="210"/>
        </w:trPr>
        <w:tc>
          <w:tcPr>
            <w:tcW w:w="254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International segment net sales</w:t>
            </w:r>
          </w:p>
        </w:tc>
        <w:tc>
          <w:tcPr>
            <w:tcW w:w="1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116.7</w:t>
            </w:r>
          </w:p>
        </w:tc>
        <w:tc>
          <w:tcPr>
            <w:tcW w:w="60" w:type="dxa"/>
            <w:vAlign w:val="bottom"/>
          </w:tcPr>
          <w:p>
            <w:pPr>
              <w:spacing w:after="0"/>
              <w:rPr>
                <w:sz w:val="18"/>
                <w:szCs w:val="18"/>
                <w:color w:val="auto"/>
              </w:rPr>
            </w:pPr>
          </w:p>
        </w:tc>
        <w:tc>
          <w:tcPr>
            <w:tcW w:w="24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0.9</w:t>
            </w:r>
          </w:p>
        </w:tc>
        <w:tc>
          <w:tcPr>
            <w:tcW w:w="22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115.8</w:t>
            </w:r>
          </w:p>
        </w:tc>
        <w:tc>
          <w:tcPr>
            <w:tcW w:w="20" w:type="dxa"/>
            <w:vAlign w:val="bottom"/>
          </w:tcPr>
          <w:p>
            <w:pPr>
              <w:spacing w:after="0"/>
              <w:rPr>
                <w:sz w:val="18"/>
                <w:szCs w:val="18"/>
                <w:color w:val="auto"/>
              </w:rPr>
            </w:pPr>
          </w:p>
        </w:tc>
        <w:tc>
          <w:tcPr>
            <w:tcW w:w="240" w:type="dxa"/>
            <w:vAlign w:val="bottom"/>
            <w:gridSpan w:val="3"/>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111.7</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4.5 %</w:t>
            </w: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560" w:type="dxa"/>
            <w:vAlign w:val="bottom"/>
            <w:gridSpan w:val="3"/>
          </w:tcPr>
          <w:p>
            <w:pPr>
              <w:jc w:val="right"/>
              <w:ind w:right="20"/>
              <w:spacing w:after="0"/>
              <w:rPr>
                <w:sz w:val="20"/>
                <w:szCs w:val="20"/>
                <w:color w:val="auto"/>
              </w:rPr>
            </w:pPr>
            <w:r>
              <w:rPr>
                <w:rFonts w:ascii="Times New Roman" w:cs="Times New Roman" w:eastAsia="Times New Roman" w:hAnsi="Times New Roman"/>
                <w:sz w:val="16"/>
                <w:szCs w:val="16"/>
                <w:color w:val="auto"/>
              </w:rPr>
              <w:t>3.6 %</w:t>
            </w:r>
          </w:p>
        </w:tc>
        <w:tc>
          <w:tcPr>
            <w:tcW w:w="0" w:type="dxa"/>
            <w:vAlign w:val="bottom"/>
          </w:tcPr>
          <w:p>
            <w:pPr>
              <w:spacing w:after="0"/>
              <w:rPr>
                <w:sz w:val="1"/>
                <w:szCs w:val="1"/>
                <w:color w:val="auto"/>
              </w:rPr>
            </w:pPr>
          </w:p>
        </w:tc>
      </w:tr>
      <w:tr>
        <w:trPr>
          <w:trHeight w:val="327"/>
        </w:trPr>
        <w:tc>
          <w:tcPr>
            <w:tcW w:w="40" w:type="dxa"/>
            <w:vAlign w:val="bottom"/>
          </w:tcPr>
          <w:p>
            <w:pPr>
              <w:spacing w:after="0"/>
              <w:rPr>
                <w:sz w:val="24"/>
                <w:szCs w:val="24"/>
                <w:color w:val="auto"/>
              </w:rPr>
            </w:pPr>
          </w:p>
        </w:tc>
        <w:tc>
          <w:tcPr>
            <w:tcW w:w="2500" w:type="dxa"/>
            <w:vAlign w:val="bottom"/>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800" w:type="dxa"/>
            <w:vAlign w:val="bottom"/>
            <w:tcBorders>
              <w:bottom w:val="single" w:sz="8" w:color="auto"/>
            </w:tcBorders>
            <w:gridSpan w:val="8"/>
          </w:tcPr>
          <w:p>
            <w:pPr>
              <w:ind w:left="480"/>
              <w:spacing w:after="0"/>
              <w:rPr>
                <w:sz w:val="20"/>
                <w:szCs w:val="20"/>
                <w:color w:val="auto"/>
              </w:rPr>
            </w:pPr>
            <w:r>
              <w:rPr>
                <w:rFonts w:ascii="Times New Roman" w:cs="Times New Roman" w:eastAsia="Times New Roman" w:hAnsi="Times New Roman"/>
                <w:sz w:val="16"/>
                <w:szCs w:val="16"/>
                <w:b w:val="1"/>
                <w:bCs w:val="1"/>
                <w:color w:val="auto"/>
              </w:rPr>
              <w:t>Three Fiscal Quarters Ended</w:t>
            </w:r>
          </w:p>
        </w:tc>
        <w:tc>
          <w:tcPr>
            <w:tcW w:w="140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46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8"/>
        </w:trPr>
        <w:tc>
          <w:tcPr>
            <w:tcW w:w="40" w:type="dxa"/>
            <w:vAlign w:val="bottom"/>
          </w:tcPr>
          <w:p>
            <w:pPr>
              <w:spacing w:after="0"/>
              <w:rPr>
                <w:sz w:val="13"/>
                <w:szCs w:val="13"/>
                <w:color w:val="auto"/>
              </w:rPr>
            </w:pPr>
          </w:p>
        </w:tc>
        <w:tc>
          <w:tcPr>
            <w:tcW w:w="25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2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rPr>
              <w:t>Reported Net</w:t>
            </w: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0" w:type="dxa"/>
            <w:vAlign w:val="bottom"/>
            <w:gridSpan w:val="2"/>
          </w:tcPr>
          <w:p>
            <w:pPr>
              <w:jc w:val="center"/>
              <w:ind w:right="280"/>
              <w:spacing w:after="0" w:line="158" w:lineRule="exact"/>
              <w:rPr>
                <w:sz w:val="20"/>
                <w:szCs w:val="20"/>
                <w:color w:val="auto"/>
              </w:rPr>
            </w:pPr>
            <w:r>
              <w:rPr>
                <w:rFonts w:ascii="Times New Roman" w:cs="Times New Roman" w:eastAsia="Times New Roman" w:hAnsi="Times New Roman"/>
                <w:sz w:val="16"/>
                <w:szCs w:val="16"/>
                <w:b w:val="1"/>
                <w:bCs w:val="1"/>
                <w:color w:val="auto"/>
              </w:rPr>
              <w:t>Impact of</w:t>
            </w:r>
          </w:p>
        </w:tc>
        <w:tc>
          <w:tcPr>
            <w:tcW w:w="40" w:type="dxa"/>
            <w:vAlign w:val="bottom"/>
          </w:tcPr>
          <w:p>
            <w:pPr>
              <w:spacing w:after="0"/>
              <w:rPr>
                <w:sz w:val="13"/>
                <w:szCs w:val="13"/>
                <w:color w:val="auto"/>
              </w:rPr>
            </w:pPr>
          </w:p>
        </w:tc>
        <w:tc>
          <w:tcPr>
            <w:tcW w:w="1420" w:type="dxa"/>
            <w:vAlign w:val="bottom"/>
            <w:gridSpan w:val="4"/>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Constant-Currency</w:t>
            </w: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20" w:type="dxa"/>
            <w:vAlign w:val="bottom"/>
            <w:gridSpan w:val="3"/>
          </w:tcPr>
          <w:p>
            <w:pPr>
              <w:jc w:val="center"/>
              <w:ind w:right="260"/>
              <w:spacing w:after="0" w:line="158" w:lineRule="exact"/>
              <w:rPr>
                <w:sz w:val="20"/>
                <w:szCs w:val="20"/>
                <w:color w:val="auto"/>
              </w:rPr>
            </w:pPr>
            <w:r>
              <w:rPr>
                <w:rFonts w:ascii="Times New Roman" w:cs="Times New Roman" w:eastAsia="Times New Roman" w:hAnsi="Times New Roman"/>
                <w:sz w:val="16"/>
                <w:szCs w:val="16"/>
                <w:b w:val="1"/>
                <w:bCs w:val="1"/>
                <w:color w:val="auto"/>
              </w:rPr>
              <w:t>Reported Net</w:t>
            </w:r>
          </w:p>
        </w:tc>
        <w:tc>
          <w:tcPr>
            <w:tcW w:w="14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40" w:type="dxa"/>
            <w:vAlign w:val="bottom"/>
          </w:tcPr>
          <w:p>
            <w:pPr>
              <w:spacing w:after="0"/>
              <w:rPr>
                <w:sz w:val="14"/>
                <w:szCs w:val="14"/>
                <w:color w:val="auto"/>
              </w:rPr>
            </w:pPr>
          </w:p>
        </w:tc>
        <w:tc>
          <w:tcPr>
            <w:tcW w:w="25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20" w:type="dxa"/>
            <w:vAlign w:val="bottom"/>
            <w:gridSpan w:val="2"/>
            <w:vMerge w:val="continue"/>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gridSpan w:val="2"/>
          </w:tcPr>
          <w:p>
            <w:pPr>
              <w:jc w:val="center"/>
              <w:ind w:right="260"/>
              <w:spacing w:after="0" w:line="162" w:lineRule="exact"/>
              <w:rPr>
                <w:sz w:val="20"/>
                <w:szCs w:val="20"/>
                <w:color w:val="auto"/>
              </w:rPr>
            </w:pPr>
            <w:r>
              <w:rPr>
                <w:rFonts w:ascii="Times New Roman" w:cs="Times New Roman" w:eastAsia="Times New Roman" w:hAnsi="Times New Roman"/>
                <w:sz w:val="16"/>
                <w:szCs w:val="16"/>
                <w:b w:val="1"/>
                <w:bCs w:val="1"/>
                <w:color w:val="auto"/>
              </w:rPr>
              <w:t>Foreign</w:t>
            </w:r>
          </w:p>
        </w:tc>
        <w:tc>
          <w:tcPr>
            <w:tcW w:w="40" w:type="dxa"/>
            <w:vAlign w:val="bottom"/>
          </w:tcPr>
          <w:p>
            <w:pPr>
              <w:spacing w:after="0"/>
              <w:rPr>
                <w:sz w:val="14"/>
                <w:szCs w:val="14"/>
                <w:color w:val="auto"/>
              </w:rPr>
            </w:pPr>
          </w:p>
        </w:tc>
        <w:tc>
          <w:tcPr>
            <w:tcW w:w="1420" w:type="dxa"/>
            <w:vAlign w:val="bottom"/>
            <w:gridSpan w:val="4"/>
            <w:vMerge w:val="continue"/>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20" w:type="dxa"/>
            <w:vAlign w:val="bottom"/>
            <w:gridSpan w:val="3"/>
          </w:tcPr>
          <w:p>
            <w:pPr>
              <w:ind w:left="340"/>
              <w:spacing w:after="0" w:line="162" w:lineRule="exact"/>
              <w:rPr>
                <w:sz w:val="20"/>
                <w:szCs w:val="20"/>
                <w:color w:val="auto"/>
              </w:rPr>
            </w:pPr>
            <w:r>
              <w:rPr>
                <w:rFonts w:ascii="Times New Roman" w:cs="Times New Roman" w:eastAsia="Times New Roman" w:hAnsi="Times New Roman"/>
                <w:sz w:val="16"/>
                <w:szCs w:val="16"/>
                <w:b w:val="1"/>
                <w:bCs w:val="1"/>
                <w:color w:val="auto"/>
              </w:rPr>
              <w:t>Sales</w:t>
            </w:r>
          </w:p>
        </w:tc>
        <w:tc>
          <w:tcPr>
            <w:tcW w:w="1500" w:type="dxa"/>
            <w:vAlign w:val="bottom"/>
            <w:gridSpan w:val="3"/>
            <w:vMerge w:val="restart"/>
          </w:tcPr>
          <w:p>
            <w:pPr>
              <w:jc w:val="center"/>
              <w:ind w:right="60"/>
              <w:spacing w:after="0"/>
              <w:rPr>
                <w:sz w:val="20"/>
                <w:szCs w:val="20"/>
                <w:color w:val="auto"/>
              </w:rPr>
            </w:pPr>
            <w:r>
              <w:rPr>
                <w:rFonts w:ascii="Times New Roman" w:cs="Times New Roman" w:eastAsia="Times New Roman" w:hAnsi="Times New Roman"/>
                <w:sz w:val="16"/>
                <w:szCs w:val="16"/>
                <w:b w:val="1"/>
                <w:bCs w:val="1"/>
                <w:color w:val="auto"/>
              </w:rPr>
              <w:t>Reported Net Sales</w:t>
            </w:r>
          </w:p>
        </w:tc>
        <w:tc>
          <w:tcPr>
            <w:tcW w:w="80" w:type="dxa"/>
            <w:vAlign w:val="bottom"/>
          </w:tcPr>
          <w:p>
            <w:pPr>
              <w:spacing w:after="0"/>
              <w:rPr>
                <w:sz w:val="14"/>
                <w:szCs w:val="14"/>
                <w:color w:val="auto"/>
              </w:rPr>
            </w:pPr>
          </w:p>
        </w:tc>
        <w:tc>
          <w:tcPr>
            <w:tcW w:w="1480" w:type="dxa"/>
            <w:vAlign w:val="bottom"/>
            <w:gridSpan w:val="2"/>
            <w:vMerge w:val="restart"/>
          </w:tcPr>
          <w:p>
            <w:pPr>
              <w:jc w:val="center"/>
              <w:ind w:right="40"/>
              <w:spacing w:after="0"/>
              <w:rPr>
                <w:sz w:val="20"/>
                <w:szCs w:val="20"/>
                <w:color w:val="auto"/>
              </w:rPr>
            </w:pPr>
            <w:r>
              <w:rPr>
                <w:rFonts w:ascii="Times New Roman" w:cs="Times New Roman" w:eastAsia="Times New Roman" w:hAnsi="Times New Roman"/>
                <w:sz w:val="16"/>
                <w:szCs w:val="16"/>
                <w:b w:val="1"/>
                <w:bCs w:val="1"/>
                <w:color w:val="auto"/>
              </w:rPr>
              <w:t>Constant-Currency</w:t>
            </w:r>
          </w:p>
        </w:tc>
        <w:tc>
          <w:tcPr>
            <w:tcW w:w="0" w:type="dxa"/>
            <w:vAlign w:val="bottom"/>
          </w:tcPr>
          <w:p>
            <w:pPr>
              <w:spacing w:after="0"/>
              <w:rPr>
                <w:sz w:val="1"/>
                <w:szCs w:val="1"/>
                <w:color w:val="auto"/>
              </w:rPr>
            </w:pPr>
          </w:p>
        </w:tc>
      </w:tr>
      <w:tr>
        <w:trPr>
          <w:trHeight w:val="162"/>
        </w:trPr>
        <w:tc>
          <w:tcPr>
            <w:tcW w:w="40" w:type="dxa"/>
            <w:vAlign w:val="bottom"/>
          </w:tcPr>
          <w:p>
            <w:pPr>
              <w:spacing w:after="0"/>
              <w:rPr>
                <w:sz w:val="14"/>
                <w:szCs w:val="14"/>
                <w:color w:val="auto"/>
              </w:rPr>
            </w:pPr>
          </w:p>
        </w:tc>
        <w:tc>
          <w:tcPr>
            <w:tcW w:w="25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20" w:type="dxa"/>
            <w:vAlign w:val="bottom"/>
            <w:gridSpan w:val="2"/>
          </w:tcPr>
          <w:p>
            <w:pPr>
              <w:jc w:val="center"/>
              <w:ind w:right="280"/>
              <w:spacing w:after="0" w:line="162" w:lineRule="exact"/>
              <w:rPr>
                <w:sz w:val="20"/>
                <w:szCs w:val="20"/>
                <w:color w:val="auto"/>
              </w:rPr>
            </w:pPr>
            <w:r>
              <w:rPr>
                <w:rFonts w:ascii="Times New Roman" w:cs="Times New Roman" w:eastAsia="Times New Roman" w:hAnsi="Times New Roman"/>
                <w:sz w:val="16"/>
                <w:szCs w:val="16"/>
                <w:b w:val="1"/>
                <w:bCs w:val="1"/>
                <w:color w:val="auto"/>
                <w:w w:val="97"/>
              </w:rPr>
              <w:t>Sales</w:t>
            </w: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gridSpan w:val="2"/>
          </w:tcPr>
          <w:p>
            <w:pPr>
              <w:jc w:val="center"/>
              <w:ind w:right="260"/>
              <w:spacing w:after="0" w:line="162" w:lineRule="exact"/>
              <w:rPr>
                <w:sz w:val="20"/>
                <w:szCs w:val="20"/>
                <w:color w:val="auto"/>
              </w:rPr>
            </w:pPr>
            <w:r>
              <w:rPr>
                <w:rFonts w:ascii="Times New Roman" w:cs="Times New Roman" w:eastAsia="Times New Roman" w:hAnsi="Times New Roman"/>
                <w:sz w:val="16"/>
                <w:szCs w:val="16"/>
                <w:b w:val="1"/>
                <w:bCs w:val="1"/>
                <w:color w:val="auto"/>
              </w:rPr>
              <w:t>Currency</w:t>
            </w: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40" w:type="dxa"/>
            <w:vAlign w:val="bottom"/>
            <w:gridSpan w:val="2"/>
          </w:tcPr>
          <w:p>
            <w:pPr>
              <w:jc w:val="center"/>
              <w:ind w:right="240"/>
              <w:spacing w:after="0" w:line="162" w:lineRule="exact"/>
              <w:rPr>
                <w:sz w:val="20"/>
                <w:szCs w:val="20"/>
                <w:color w:val="auto"/>
              </w:rPr>
            </w:pPr>
            <w:r>
              <w:rPr>
                <w:rFonts w:ascii="Times New Roman" w:cs="Times New Roman" w:eastAsia="Times New Roman" w:hAnsi="Times New Roman"/>
                <w:sz w:val="16"/>
                <w:szCs w:val="16"/>
                <w:b w:val="1"/>
                <w:bCs w:val="1"/>
                <w:color w:val="auto"/>
              </w:rPr>
              <w:t>Net Sales</w:t>
            </w: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20" w:type="dxa"/>
            <w:vAlign w:val="bottom"/>
            <w:gridSpan w:val="3"/>
          </w:tcPr>
          <w:p>
            <w:pPr>
              <w:jc w:val="center"/>
              <w:ind w:right="260"/>
              <w:spacing w:after="0" w:line="162" w:lineRule="exact"/>
              <w:rPr>
                <w:sz w:val="20"/>
                <w:szCs w:val="20"/>
                <w:color w:val="auto"/>
              </w:rPr>
            </w:pPr>
            <w:r>
              <w:rPr>
                <w:rFonts w:ascii="Times New Roman" w:cs="Times New Roman" w:eastAsia="Times New Roman" w:hAnsi="Times New Roman"/>
                <w:sz w:val="16"/>
                <w:szCs w:val="16"/>
                <w:b w:val="1"/>
                <w:bCs w:val="1"/>
                <w:color w:val="auto"/>
              </w:rPr>
              <w:t>September 27,</w:t>
            </w:r>
          </w:p>
        </w:tc>
        <w:tc>
          <w:tcPr>
            <w:tcW w:w="1500" w:type="dxa"/>
            <w:vAlign w:val="bottom"/>
            <w:gridSpan w:val="3"/>
            <w:vMerge w:val="continue"/>
          </w:tcPr>
          <w:p>
            <w:pPr>
              <w:spacing w:after="0"/>
              <w:rPr>
                <w:sz w:val="14"/>
                <w:szCs w:val="14"/>
                <w:color w:val="auto"/>
              </w:rPr>
            </w:pPr>
          </w:p>
        </w:tc>
        <w:tc>
          <w:tcPr>
            <w:tcW w:w="80" w:type="dxa"/>
            <w:vAlign w:val="bottom"/>
          </w:tcPr>
          <w:p>
            <w:pPr>
              <w:spacing w:after="0"/>
              <w:rPr>
                <w:sz w:val="14"/>
                <w:szCs w:val="14"/>
                <w:color w:val="auto"/>
              </w:rPr>
            </w:pPr>
          </w:p>
        </w:tc>
        <w:tc>
          <w:tcPr>
            <w:tcW w:w="148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4"/>
        </w:trPr>
        <w:tc>
          <w:tcPr>
            <w:tcW w:w="40" w:type="dxa"/>
            <w:vAlign w:val="bottom"/>
          </w:tcPr>
          <w:p>
            <w:pPr>
              <w:spacing w:after="0"/>
              <w:rPr>
                <w:sz w:val="18"/>
                <w:szCs w:val="18"/>
                <w:color w:val="auto"/>
              </w:rPr>
            </w:pPr>
          </w:p>
        </w:tc>
        <w:tc>
          <w:tcPr>
            <w:tcW w:w="25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340" w:type="dxa"/>
            <w:vAlign w:val="bottom"/>
            <w:gridSpan w:val="3"/>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rPr>
              <w:t>October 3, 2026</w:t>
            </w: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120" w:type="dxa"/>
            <w:vAlign w:val="bottom"/>
            <w:gridSpan w:val="3"/>
          </w:tcPr>
          <w:p>
            <w:pPr>
              <w:jc w:val="center"/>
              <w:ind w:right="160"/>
              <w:spacing w:after="0"/>
              <w:rPr>
                <w:sz w:val="20"/>
                <w:szCs w:val="20"/>
                <w:color w:val="auto"/>
              </w:rPr>
            </w:pPr>
            <w:r>
              <w:rPr>
                <w:rFonts w:ascii="Times New Roman" w:cs="Times New Roman" w:eastAsia="Times New Roman" w:hAnsi="Times New Roman"/>
                <w:sz w:val="16"/>
                <w:szCs w:val="16"/>
                <w:b w:val="1"/>
                <w:bCs w:val="1"/>
                <w:color w:val="auto"/>
                <w:w w:val="99"/>
              </w:rPr>
              <w:t>Translation</w:t>
            </w: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360" w:type="dxa"/>
            <w:vAlign w:val="bottom"/>
            <w:gridSpan w:val="3"/>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October 3, 2026</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tcPr>
          <w:p>
            <w:pPr>
              <w:jc w:val="center"/>
              <w:ind w:right="79"/>
              <w:spacing w:after="0"/>
              <w:rPr>
                <w:sz w:val="20"/>
                <w:szCs w:val="20"/>
                <w:color w:val="auto"/>
              </w:rPr>
            </w:pPr>
            <w:r>
              <w:rPr>
                <w:rFonts w:ascii="Times New Roman" w:cs="Times New Roman" w:eastAsia="Times New Roman" w:hAnsi="Times New Roman"/>
                <w:sz w:val="16"/>
                <w:szCs w:val="16"/>
                <w:b w:val="1"/>
                <w:bCs w:val="1"/>
                <w:color w:val="auto"/>
                <w:w w:val="99"/>
              </w:rPr>
              <w:t>2025</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00" w:type="dxa"/>
            <w:vAlign w:val="bottom"/>
            <w:gridSpan w:val="3"/>
          </w:tcPr>
          <w:p>
            <w:pPr>
              <w:jc w:val="center"/>
              <w:ind w:right="40"/>
              <w:spacing w:after="0"/>
              <w:rPr>
                <w:sz w:val="20"/>
                <w:szCs w:val="20"/>
                <w:color w:val="auto"/>
              </w:rPr>
            </w:pPr>
            <w:r>
              <w:rPr>
                <w:rFonts w:ascii="Times New Roman" w:cs="Times New Roman" w:eastAsia="Times New Roman" w:hAnsi="Times New Roman"/>
                <w:sz w:val="16"/>
                <w:szCs w:val="16"/>
                <w:b w:val="1"/>
                <w:bCs w:val="1"/>
                <w:color w:val="auto"/>
              </w:rPr>
              <w:t>% Change</w:t>
            </w:r>
          </w:p>
        </w:tc>
        <w:tc>
          <w:tcPr>
            <w:tcW w:w="80" w:type="dxa"/>
            <w:vAlign w:val="bottom"/>
          </w:tcPr>
          <w:p>
            <w:pPr>
              <w:spacing w:after="0"/>
              <w:rPr>
                <w:sz w:val="18"/>
                <w:szCs w:val="18"/>
                <w:color w:val="auto"/>
              </w:rPr>
            </w:pPr>
          </w:p>
        </w:tc>
        <w:tc>
          <w:tcPr>
            <w:tcW w:w="1480" w:type="dxa"/>
            <w:vAlign w:val="bottom"/>
            <w:gridSpan w:val="2"/>
          </w:tcPr>
          <w:p>
            <w:pPr>
              <w:jc w:val="center"/>
              <w:ind w:right="40"/>
              <w:spacing w:after="0"/>
              <w:rPr>
                <w:sz w:val="20"/>
                <w:szCs w:val="20"/>
                <w:color w:val="auto"/>
              </w:rPr>
            </w:pPr>
            <w:r>
              <w:rPr>
                <w:rFonts w:ascii="Times New Roman" w:cs="Times New Roman" w:eastAsia="Times New Roman" w:hAnsi="Times New Roman"/>
                <w:sz w:val="16"/>
                <w:szCs w:val="16"/>
                <w:b w:val="1"/>
                <w:bCs w:val="1"/>
                <w:color w:val="auto"/>
              </w:rPr>
              <w:t>Net Sales % Change</w:t>
            </w:r>
          </w:p>
        </w:tc>
        <w:tc>
          <w:tcPr>
            <w:tcW w:w="0" w:type="dxa"/>
            <w:vAlign w:val="bottom"/>
          </w:tcPr>
          <w:p>
            <w:pPr>
              <w:spacing w:after="0"/>
              <w:rPr>
                <w:sz w:val="1"/>
                <w:szCs w:val="1"/>
                <w:color w:val="auto"/>
              </w:rPr>
            </w:pPr>
          </w:p>
        </w:tc>
      </w:tr>
      <w:tr>
        <w:trPr>
          <w:trHeight w:val="90"/>
        </w:trPr>
        <w:tc>
          <w:tcPr>
            <w:tcW w:w="40" w:type="dxa"/>
            <w:vAlign w:val="bottom"/>
          </w:tcPr>
          <w:p>
            <w:pPr>
              <w:spacing w:after="0"/>
              <w:rPr>
                <w:sz w:val="7"/>
                <w:szCs w:val="7"/>
                <w:color w:val="auto"/>
              </w:rPr>
            </w:pPr>
          </w:p>
        </w:tc>
        <w:tc>
          <w:tcPr>
            <w:tcW w:w="2500" w:type="dxa"/>
            <w:vAlign w:val="bottom"/>
          </w:tcPr>
          <w:p>
            <w:pPr>
              <w:spacing w:after="0"/>
              <w:rPr>
                <w:sz w:val="7"/>
                <w:szCs w:val="7"/>
                <w:color w:val="auto"/>
              </w:rPr>
            </w:pPr>
          </w:p>
        </w:tc>
        <w:tc>
          <w:tcPr>
            <w:tcW w:w="40" w:type="dxa"/>
            <w:vAlign w:val="bottom"/>
            <w:tcBorders>
              <w:top w:val="single" w:sz="8" w:color="auto"/>
            </w:tcBorders>
          </w:tcPr>
          <w:p>
            <w:pPr>
              <w:spacing w:after="0"/>
              <w:rPr>
                <w:sz w:val="7"/>
                <w:szCs w:val="7"/>
                <w:color w:val="auto"/>
              </w:rPr>
            </w:pPr>
          </w:p>
        </w:tc>
        <w:tc>
          <w:tcPr>
            <w:tcW w:w="120" w:type="dxa"/>
            <w:vAlign w:val="bottom"/>
            <w:tcBorders>
              <w:top w:val="single" w:sz="8" w:color="auto"/>
            </w:tcBorders>
          </w:tcPr>
          <w:p>
            <w:pPr>
              <w:spacing w:after="0"/>
              <w:rPr>
                <w:sz w:val="7"/>
                <w:szCs w:val="7"/>
                <w:color w:val="auto"/>
              </w:rPr>
            </w:pPr>
          </w:p>
        </w:tc>
        <w:tc>
          <w:tcPr>
            <w:tcW w:w="1160" w:type="dxa"/>
            <w:vAlign w:val="bottom"/>
            <w:tcBorders>
              <w:top w:val="single" w:sz="8" w:color="auto"/>
            </w:tcBorders>
          </w:tcPr>
          <w:p>
            <w:pPr>
              <w:spacing w:after="0"/>
              <w:rPr>
                <w:sz w:val="7"/>
                <w:szCs w:val="7"/>
                <w:color w:val="auto"/>
              </w:rPr>
            </w:pPr>
          </w:p>
        </w:tc>
        <w:tc>
          <w:tcPr>
            <w:tcW w:w="60" w:type="dxa"/>
            <w:vAlign w:val="bottom"/>
          </w:tcPr>
          <w:p>
            <w:pPr>
              <w:spacing w:after="0"/>
              <w:rPr>
                <w:sz w:val="7"/>
                <w:szCs w:val="7"/>
                <w:color w:val="auto"/>
              </w:rPr>
            </w:pPr>
          </w:p>
        </w:tc>
        <w:tc>
          <w:tcPr>
            <w:tcW w:w="60" w:type="dxa"/>
            <w:vAlign w:val="bottom"/>
          </w:tcPr>
          <w:p>
            <w:pPr>
              <w:spacing w:after="0"/>
              <w:rPr>
                <w:sz w:val="7"/>
                <w:szCs w:val="7"/>
                <w:color w:val="auto"/>
              </w:rPr>
            </w:pPr>
          </w:p>
        </w:tc>
        <w:tc>
          <w:tcPr>
            <w:tcW w:w="60" w:type="dxa"/>
            <w:vAlign w:val="bottom"/>
            <w:tcBorders>
              <w:top w:val="single" w:sz="8" w:color="auto"/>
            </w:tcBorders>
          </w:tcPr>
          <w:p>
            <w:pPr>
              <w:spacing w:after="0"/>
              <w:rPr>
                <w:sz w:val="7"/>
                <w:szCs w:val="7"/>
                <w:color w:val="auto"/>
              </w:rPr>
            </w:pPr>
          </w:p>
        </w:tc>
        <w:tc>
          <w:tcPr>
            <w:tcW w:w="120" w:type="dxa"/>
            <w:vAlign w:val="bottom"/>
            <w:tcBorders>
              <w:top w:val="single" w:sz="8" w:color="auto"/>
            </w:tcBorders>
          </w:tcPr>
          <w:p>
            <w:pPr>
              <w:spacing w:after="0"/>
              <w:rPr>
                <w:sz w:val="7"/>
                <w:szCs w:val="7"/>
                <w:color w:val="auto"/>
              </w:rPr>
            </w:pPr>
          </w:p>
        </w:tc>
        <w:tc>
          <w:tcPr>
            <w:tcW w:w="920" w:type="dxa"/>
            <w:vAlign w:val="bottom"/>
            <w:tcBorders>
              <w:top w:val="single" w:sz="8" w:color="auto"/>
            </w:tcBorders>
          </w:tcPr>
          <w:p>
            <w:pPr>
              <w:spacing w:after="0"/>
              <w:rPr>
                <w:sz w:val="7"/>
                <w:szCs w:val="7"/>
                <w:color w:val="auto"/>
              </w:rPr>
            </w:pPr>
          </w:p>
        </w:tc>
        <w:tc>
          <w:tcPr>
            <w:tcW w:w="80" w:type="dxa"/>
            <w:vAlign w:val="bottom"/>
          </w:tcPr>
          <w:p>
            <w:pPr>
              <w:spacing w:after="0"/>
              <w:rPr>
                <w:sz w:val="7"/>
                <w:szCs w:val="7"/>
                <w:color w:val="auto"/>
              </w:rPr>
            </w:pPr>
          </w:p>
        </w:tc>
        <w:tc>
          <w:tcPr>
            <w:tcW w:w="40" w:type="dxa"/>
            <w:vAlign w:val="bottom"/>
          </w:tcPr>
          <w:p>
            <w:pPr>
              <w:spacing w:after="0"/>
              <w:rPr>
                <w:sz w:val="7"/>
                <w:szCs w:val="7"/>
                <w:color w:val="auto"/>
              </w:rPr>
            </w:pPr>
          </w:p>
        </w:tc>
        <w:tc>
          <w:tcPr>
            <w:tcW w:w="60" w:type="dxa"/>
            <w:vAlign w:val="bottom"/>
            <w:tcBorders>
              <w:top w:val="single" w:sz="8" w:color="auto"/>
            </w:tcBorders>
          </w:tcPr>
          <w:p>
            <w:pPr>
              <w:spacing w:after="0"/>
              <w:rPr>
                <w:sz w:val="7"/>
                <w:szCs w:val="7"/>
                <w:color w:val="auto"/>
              </w:rPr>
            </w:pPr>
          </w:p>
        </w:tc>
        <w:tc>
          <w:tcPr>
            <w:tcW w:w="120" w:type="dxa"/>
            <w:vAlign w:val="bottom"/>
            <w:tcBorders>
              <w:top w:val="single" w:sz="8" w:color="auto"/>
            </w:tcBorders>
          </w:tcPr>
          <w:p>
            <w:pPr>
              <w:spacing w:after="0"/>
              <w:rPr>
                <w:sz w:val="7"/>
                <w:szCs w:val="7"/>
                <w:color w:val="auto"/>
              </w:rPr>
            </w:pPr>
          </w:p>
        </w:tc>
        <w:tc>
          <w:tcPr>
            <w:tcW w:w="1220" w:type="dxa"/>
            <w:vAlign w:val="bottom"/>
            <w:tcBorders>
              <w:top w:val="single" w:sz="8" w:color="auto"/>
            </w:tcBorders>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20" w:type="dxa"/>
            <w:vAlign w:val="bottom"/>
            <w:tcBorders>
              <w:top w:val="single" w:sz="8" w:color="auto"/>
            </w:tcBorders>
          </w:tcPr>
          <w:p>
            <w:pPr>
              <w:spacing w:after="0"/>
              <w:rPr>
                <w:sz w:val="7"/>
                <w:szCs w:val="7"/>
                <w:color w:val="auto"/>
              </w:rPr>
            </w:pPr>
          </w:p>
        </w:tc>
        <w:tc>
          <w:tcPr>
            <w:tcW w:w="120" w:type="dxa"/>
            <w:vAlign w:val="bottom"/>
            <w:tcBorders>
              <w:top w:val="single" w:sz="8" w:color="auto"/>
            </w:tcBorders>
          </w:tcPr>
          <w:p>
            <w:pPr>
              <w:spacing w:after="0"/>
              <w:rPr>
                <w:sz w:val="7"/>
                <w:szCs w:val="7"/>
                <w:color w:val="auto"/>
              </w:rPr>
            </w:pPr>
          </w:p>
        </w:tc>
        <w:tc>
          <w:tcPr>
            <w:tcW w:w="1200" w:type="dxa"/>
            <w:vAlign w:val="bottom"/>
            <w:tcBorders>
              <w:top w:val="single" w:sz="8" w:color="auto"/>
            </w:tcBorders>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1400" w:type="dxa"/>
            <w:vAlign w:val="bottom"/>
            <w:tcBorders>
              <w:top w:val="single" w:sz="8" w:color="auto"/>
            </w:tcBorders>
          </w:tcPr>
          <w:p>
            <w:pPr>
              <w:spacing w:after="0"/>
              <w:rPr>
                <w:sz w:val="7"/>
                <w:szCs w:val="7"/>
                <w:color w:val="auto"/>
              </w:rPr>
            </w:pPr>
          </w:p>
        </w:tc>
        <w:tc>
          <w:tcPr>
            <w:tcW w:w="60" w:type="dxa"/>
            <w:vAlign w:val="bottom"/>
            <w:tcBorders>
              <w:top w:val="single" w:sz="8" w:color="auto"/>
            </w:tcBorders>
          </w:tcPr>
          <w:p>
            <w:pPr>
              <w:spacing w:after="0"/>
              <w:rPr>
                <w:sz w:val="7"/>
                <w:szCs w:val="7"/>
                <w:color w:val="auto"/>
              </w:rPr>
            </w:pPr>
          </w:p>
        </w:tc>
        <w:tc>
          <w:tcPr>
            <w:tcW w:w="40" w:type="dxa"/>
            <w:vAlign w:val="bottom"/>
          </w:tcPr>
          <w:p>
            <w:pPr>
              <w:spacing w:after="0"/>
              <w:rPr>
                <w:sz w:val="7"/>
                <w:szCs w:val="7"/>
                <w:color w:val="auto"/>
              </w:rPr>
            </w:pPr>
          </w:p>
        </w:tc>
        <w:tc>
          <w:tcPr>
            <w:tcW w:w="80" w:type="dxa"/>
            <w:vAlign w:val="bottom"/>
          </w:tcPr>
          <w:p>
            <w:pPr>
              <w:spacing w:after="0"/>
              <w:rPr>
                <w:sz w:val="7"/>
                <w:szCs w:val="7"/>
                <w:color w:val="auto"/>
              </w:rPr>
            </w:pPr>
          </w:p>
        </w:tc>
        <w:tc>
          <w:tcPr>
            <w:tcW w:w="1460" w:type="dxa"/>
            <w:vAlign w:val="bottom"/>
            <w:tcBorders>
              <w:top w:val="single" w:sz="8" w:color="auto"/>
            </w:tcBorders>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6"/>
        </w:trPr>
        <w:tc>
          <w:tcPr>
            <w:tcW w:w="40" w:type="dxa"/>
            <w:vAlign w:val="bottom"/>
          </w:tcPr>
          <w:p>
            <w:pPr>
              <w:spacing w:after="0"/>
              <w:rPr>
                <w:sz w:val="18"/>
                <w:szCs w:val="18"/>
                <w:color w:val="auto"/>
              </w:rPr>
            </w:pPr>
          </w:p>
        </w:tc>
        <w:tc>
          <w:tcPr>
            <w:tcW w:w="2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Consolidated net sales</w:t>
            </w:r>
          </w:p>
        </w:tc>
        <w:tc>
          <w:tcPr>
            <w:tcW w:w="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2,049.1</w:t>
            </w:r>
          </w:p>
        </w:tc>
        <w:tc>
          <w:tcPr>
            <w:tcW w:w="60" w:type="dxa"/>
            <w:vAlign w:val="bottom"/>
            <w:shd w:val="clear" w:color="auto" w:fill="CCEEFF"/>
          </w:tcPr>
          <w:p>
            <w:pPr>
              <w:spacing w:after="0"/>
              <w:rPr>
                <w:sz w:val="18"/>
                <w:szCs w:val="18"/>
                <w:color w:val="auto"/>
              </w:rPr>
            </w:pPr>
          </w:p>
        </w:tc>
        <w:tc>
          <w:tcPr>
            <w:tcW w:w="240" w:type="dxa"/>
            <w:vAlign w:val="bottom"/>
            <w:gridSpan w:val="3"/>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8.9</w:t>
            </w:r>
          </w:p>
        </w:tc>
        <w:tc>
          <w:tcPr>
            <w:tcW w:w="80" w:type="dxa"/>
            <w:vAlign w:val="bottom"/>
            <w:shd w:val="clear" w:color="auto" w:fill="CCEEFF"/>
          </w:tcPr>
          <w:p>
            <w:pPr>
              <w:spacing w:after="0"/>
              <w:rPr>
                <w:sz w:val="18"/>
                <w:szCs w:val="18"/>
                <w:color w:val="auto"/>
              </w:rPr>
            </w:pPr>
          </w:p>
        </w:tc>
        <w:tc>
          <w:tcPr>
            <w:tcW w:w="220" w:type="dxa"/>
            <w:vAlign w:val="bottom"/>
            <w:gridSpan w:val="3"/>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2,040.2</w:t>
            </w:r>
          </w:p>
        </w:tc>
        <w:tc>
          <w:tcPr>
            <w:tcW w:w="20" w:type="dxa"/>
            <w:vAlign w:val="bottom"/>
            <w:shd w:val="clear" w:color="auto" w:fill="CCEEFF"/>
          </w:tcPr>
          <w:p>
            <w:pPr>
              <w:spacing w:after="0"/>
              <w:rPr>
                <w:sz w:val="18"/>
                <w:szCs w:val="18"/>
                <w:color w:val="auto"/>
              </w:rPr>
            </w:pPr>
          </w:p>
        </w:tc>
        <w:tc>
          <w:tcPr>
            <w:tcW w:w="24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1,973.0</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3.9 %</w:t>
            </w:r>
          </w:p>
        </w:tc>
        <w:tc>
          <w:tcPr>
            <w:tcW w:w="4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center"/>
              <w:ind w:left="999"/>
              <w:spacing w:after="0"/>
              <w:rPr>
                <w:sz w:val="20"/>
                <w:szCs w:val="20"/>
                <w:color w:val="auto"/>
              </w:rPr>
            </w:pPr>
            <w:r>
              <w:rPr>
                <w:rFonts w:ascii="Times New Roman" w:cs="Times New Roman" w:eastAsia="Times New Roman" w:hAnsi="Times New Roman"/>
                <w:sz w:val="16"/>
                <w:szCs w:val="16"/>
                <w:color w:val="auto"/>
              </w:rPr>
              <w:t>3.4 %</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0" w:type="dxa"/>
            <w:vAlign w:val="bottom"/>
          </w:tcPr>
          <w:p>
            <w:pPr>
              <w:spacing w:after="0"/>
              <w:rPr>
                <w:sz w:val="18"/>
                <w:szCs w:val="18"/>
                <w:color w:val="auto"/>
              </w:rPr>
            </w:pPr>
          </w:p>
        </w:tc>
        <w:tc>
          <w:tcPr>
            <w:tcW w:w="25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International segment net sales</w:t>
            </w:r>
          </w:p>
        </w:tc>
        <w:tc>
          <w:tcPr>
            <w:tcW w:w="1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309.4</w:t>
            </w:r>
          </w:p>
        </w:tc>
        <w:tc>
          <w:tcPr>
            <w:tcW w:w="60" w:type="dxa"/>
            <w:vAlign w:val="bottom"/>
          </w:tcPr>
          <w:p>
            <w:pPr>
              <w:spacing w:after="0"/>
              <w:rPr>
                <w:sz w:val="18"/>
                <w:szCs w:val="18"/>
                <w:color w:val="auto"/>
              </w:rPr>
            </w:pPr>
          </w:p>
        </w:tc>
        <w:tc>
          <w:tcPr>
            <w:tcW w:w="240" w:type="dxa"/>
            <w:vAlign w:val="bottom"/>
            <w:gridSpan w:val="3"/>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8.9</w:t>
            </w:r>
          </w:p>
        </w:tc>
        <w:tc>
          <w:tcPr>
            <w:tcW w:w="80" w:type="dxa"/>
            <w:vAlign w:val="bottom"/>
          </w:tcPr>
          <w:p>
            <w:pPr>
              <w:spacing w:after="0"/>
              <w:rPr>
                <w:sz w:val="18"/>
                <w:szCs w:val="18"/>
                <w:color w:val="auto"/>
              </w:rPr>
            </w:pPr>
          </w:p>
        </w:tc>
        <w:tc>
          <w:tcPr>
            <w:tcW w:w="220" w:type="dxa"/>
            <w:vAlign w:val="bottom"/>
            <w:gridSpan w:val="3"/>
          </w:tcPr>
          <w:p>
            <w:pPr>
              <w:ind w:left="40"/>
              <w:spacing w:after="0"/>
              <w:rPr>
                <w:sz w:val="20"/>
                <w:szCs w:val="20"/>
                <w:color w:val="auto"/>
              </w:rPr>
            </w:pPr>
            <w:r>
              <w:rPr>
                <w:rFonts w:ascii="Times New Roman" w:cs="Times New Roman" w:eastAsia="Times New Roman" w:hAnsi="Times New Roman"/>
                <w:sz w:val="16"/>
                <w:szCs w:val="16"/>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300.5</w:t>
            </w:r>
          </w:p>
        </w:tc>
        <w:tc>
          <w:tcPr>
            <w:tcW w:w="20" w:type="dxa"/>
            <w:vAlign w:val="bottom"/>
          </w:tcPr>
          <w:p>
            <w:pPr>
              <w:spacing w:after="0"/>
              <w:rPr>
                <w:sz w:val="18"/>
                <w:szCs w:val="18"/>
                <w:color w:val="auto"/>
              </w:rPr>
            </w:pPr>
          </w:p>
        </w:tc>
        <w:tc>
          <w:tcPr>
            <w:tcW w:w="240" w:type="dxa"/>
            <w:vAlign w:val="bottom"/>
            <w:gridSpan w:val="3"/>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289.8</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6.8 %</w:t>
            </w:r>
          </w:p>
        </w:tc>
        <w:tc>
          <w:tcPr>
            <w:tcW w:w="40" w:type="dxa"/>
            <w:vAlign w:val="bottom"/>
          </w:tcPr>
          <w:p>
            <w:pPr>
              <w:spacing w:after="0"/>
              <w:rPr>
                <w:sz w:val="18"/>
                <w:szCs w:val="18"/>
                <w:color w:val="auto"/>
              </w:rPr>
            </w:pPr>
          </w:p>
        </w:tc>
        <w:tc>
          <w:tcPr>
            <w:tcW w:w="1540" w:type="dxa"/>
            <w:vAlign w:val="bottom"/>
            <w:gridSpan w:val="2"/>
          </w:tcPr>
          <w:p>
            <w:pPr>
              <w:jc w:val="center"/>
              <w:ind w:left="999"/>
              <w:spacing w:after="0"/>
              <w:rPr>
                <w:sz w:val="20"/>
                <w:szCs w:val="20"/>
                <w:color w:val="auto"/>
              </w:rPr>
            </w:pPr>
            <w:r>
              <w:rPr>
                <w:rFonts w:ascii="Times New Roman" w:cs="Times New Roman" w:eastAsia="Times New Roman" w:hAnsi="Times New Roman"/>
                <w:sz w:val="16"/>
                <w:szCs w:val="16"/>
                <w:color w:val="auto"/>
              </w:rPr>
              <w:t>3.7 %</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Note: Results may not be additive due to rounding.</w:t>
      </w: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The Company evaluates its net sales on both an “as reported” and a “constant currency” basis. The constant currency presentation, which is a non-GAAP measure,</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excludes the impact of fluctuations in foreign currency exchange rates that occurred between the comparative periods. Constant currency net sales results are</w:t>
      </w:r>
    </w:p>
    <w:p>
      <w:pPr>
        <w:spacing w:after="0" w:line="1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calculated by translating current period net sales in local currency to the U.S. dollar amount by using the currency conversion rate for the prior comparative</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period. The Company consistently applies this approach to net sales for all countries where the functional currency is not the U.S. dollar. The Company believes that</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the presentation of net sales on a constant currency basis provides useful supplemental information regarding changes in its net sales that were not due to fluctuations</w:t>
      </w:r>
    </w:p>
    <w:p>
      <w:pPr>
        <w:spacing w:after="0" w:line="1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in currency exchange rates and such information is consistent with how the Company assesses changes in its net sales between comparative periods.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ectPr>
          <w:pgSz w:w="11900" w:h="16838" w:orient="portrait"/>
          <w:cols w:equalWidth="0" w:num="1">
            <w:col w:w="11240"/>
          </w:cols>
          <w:pgMar w:left="320" w:top="1134" w:right="339" w:bottom="1440" w:gutter="0" w:footer="0" w:header="0"/>
        </w:sectPr>
      </w:pPr>
    </w:p>
    <w:bookmarkStart w:id="20" w:name="page21"/>
    <w:bookmarkEnd w:id="20"/>
    <w:p>
      <w:pPr>
        <w:jc w:val="right"/>
        <w:spacing w:after="0"/>
        <w:rPr>
          <w:sz w:val="20"/>
          <w:szCs w:val="20"/>
          <w:color w:val="auto"/>
        </w:rPr>
      </w:pPr>
      <w:r>
        <w:rPr>
          <w:rFonts w:ascii="Times New Roman" w:cs="Times New Roman" w:eastAsia="Times New Roman" w:hAnsi="Times New Roman"/>
          <w:sz w:val="18"/>
          <w:szCs w:val="18"/>
          <w:color w:val="auto"/>
        </w:rPr>
        <w:t>EXHIBIT 99.2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51435</wp:posOffset>
            </wp:positionV>
            <wp:extent cx="1997075" cy="30861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997075" cy="3086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ind w:left="7400"/>
        <w:spacing w:after="0"/>
        <w:rPr>
          <w:sz w:val="20"/>
          <w:szCs w:val="20"/>
          <w:color w:val="auto"/>
        </w:rPr>
      </w:pPr>
      <w:r>
        <w:rPr>
          <w:rFonts w:ascii="Times New Roman" w:cs="Times New Roman" w:eastAsia="Times New Roman" w:hAnsi="Times New Roman"/>
          <w:sz w:val="22"/>
          <w:szCs w:val="22"/>
          <w:b w:val="1"/>
          <w:bCs w:val="1"/>
          <w:color w:val="auto"/>
        </w:rPr>
        <w:t>Contact:</w:t>
      </w:r>
    </w:p>
    <w:p>
      <w:pPr>
        <w:spacing w:after="0" w:line="33" w:lineRule="exact"/>
        <w:rPr>
          <w:sz w:val="20"/>
          <w:szCs w:val="20"/>
          <w:color w:val="auto"/>
        </w:rPr>
      </w:pPr>
    </w:p>
    <w:p>
      <w:pPr>
        <w:ind w:left="7400"/>
        <w:spacing w:after="0"/>
        <w:rPr>
          <w:sz w:val="20"/>
          <w:szCs w:val="20"/>
          <w:color w:val="auto"/>
        </w:rPr>
      </w:pPr>
      <w:r>
        <w:rPr>
          <w:rFonts w:ascii="Times New Roman" w:cs="Times New Roman" w:eastAsia="Times New Roman" w:hAnsi="Times New Roman"/>
          <w:sz w:val="22"/>
          <w:szCs w:val="22"/>
          <w:color w:val="auto"/>
        </w:rPr>
        <w:t>T.C. Robillard</w:t>
      </w:r>
    </w:p>
    <w:p>
      <w:pPr>
        <w:spacing w:after="0" w:line="17" w:lineRule="exact"/>
        <w:rPr>
          <w:sz w:val="20"/>
          <w:szCs w:val="20"/>
          <w:color w:val="auto"/>
        </w:rPr>
      </w:pPr>
    </w:p>
    <w:p>
      <w:pPr>
        <w:ind w:left="7400"/>
        <w:spacing w:after="0"/>
        <w:rPr>
          <w:sz w:val="20"/>
          <w:szCs w:val="20"/>
          <w:color w:val="auto"/>
        </w:rPr>
      </w:pPr>
      <w:r>
        <w:rPr>
          <w:rFonts w:ascii="Times New Roman" w:cs="Times New Roman" w:eastAsia="Times New Roman" w:hAnsi="Times New Roman"/>
          <w:sz w:val="22"/>
          <w:szCs w:val="22"/>
          <w:color w:val="auto"/>
        </w:rPr>
        <w:t>Vice President, Investor Relations</w:t>
      </w:r>
    </w:p>
    <w:p>
      <w:pPr>
        <w:spacing w:after="0" w:line="17" w:lineRule="exact"/>
        <w:rPr>
          <w:sz w:val="20"/>
          <w:szCs w:val="20"/>
          <w:color w:val="auto"/>
        </w:rPr>
      </w:pPr>
    </w:p>
    <w:p>
      <w:pPr>
        <w:ind w:left="7380"/>
        <w:spacing w:after="0"/>
        <w:rPr>
          <w:sz w:val="20"/>
          <w:szCs w:val="20"/>
          <w:color w:val="auto"/>
        </w:rPr>
      </w:pPr>
      <w:r>
        <w:rPr>
          <w:rFonts w:ascii="Times New Roman" w:cs="Times New Roman" w:eastAsia="Times New Roman" w:hAnsi="Times New Roman"/>
          <w:sz w:val="22"/>
          <w:szCs w:val="22"/>
          <w:color w:val="auto"/>
        </w:rPr>
        <w:t>tc.robillard@carters.com</w:t>
      </w:r>
    </w:p>
    <w:p>
      <w:pPr>
        <w:spacing w:after="0" w:line="200" w:lineRule="exact"/>
        <w:rPr>
          <w:sz w:val="20"/>
          <w:szCs w:val="20"/>
          <w:color w:val="auto"/>
        </w:rPr>
      </w:pPr>
    </w:p>
    <w:p>
      <w:pPr>
        <w:spacing w:after="0" w:line="3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Carter’s, Inc. Evolves Leadership Structure to Advance Growth Strategy by</w:t>
      </w:r>
    </w:p>
    <w:p>
      <w:pPr>
        <w:spacing w:after="0" w:line="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Driving Improved Alignment Across Product, Sales, Brand, Operations</w:t>
      </w: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i w:val="1"/>
          <w:iCs w:val="1"/>
          <w:color w:val="auto"/>
        </w:rPr>
        <w:t>Announces new Chief Product Officer after thorough search</w:t>
      </w:r>
    </w:p>
    <w:p>
      <w:pPr>
        <w:spacing w:after="0" w:line="1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i w:val="1"/>
          <w:iCs w:val="1"/>
          <w:color w:val="auto"/>
        </w:rPr>
        <w:t>Creates Chief Commercial Officer role, combining management of retail and wholesale businesses</w:t>
      </w:r>
    </w:p>
    <w:p>
      <w:pPr>
        <w:spacing w:after="0" w:line="2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i w:val="1"/>
          <w:iCs w:val="1"/>
          <w:color w:val="auto"/>
        </w:rPr>
        <w:t>Forms standalone Chief Operating Officer role to strengthen and streamline operational execution</w:t>
      </w:r>
    </w:p>
    <w:p>
      <w:pPr>
        <w:spacing w:after="0" w:line="2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i w:val="1"/>
          <w:iCs w:val="1"/>
          <w:color w:val="auto"/>
        </w:rPr>
        <w:t>Elevates roles and expands responsibilities of Brand and Strategy leaders</w:t>
      </w:r>
    </w:p>
    <w:p>
      <w:pPr>
        <w:spacing w:after="0" w:line="318" w:lineRule="exact"/>
        <w:rPr>
          <w:sz w:val="20"/>
          <w:szCs w:val="20"/>
          <w:color w:val="auto"/>
        </w:rPr>
      </w:pPr>
    </w:p>
    <w:p>
      <w:pPr>
        <w:ind w:right="20"/>
        <w:spacing w:after="0" w:line="358" w:lineRule="auto"/>
        <w:rPr>
          <w:sz w:val="20"/>
          <w:szCs w:val="20"/>
          <w:color w:val="auto"/>
        </w:rPr>
      </w:pPr>
      <w:r>
        <w:rPr>
          <w:rFonts w:ascii="Times New Roman" w:cs="Times New Roman" w:eastAsia="Times New Roman" w:hAnsi="Times New Roman"/>
          <w:sz w:val="22"/>
          <w:szCs w:val="22"/>
          <w:color w:val="auto"/>
        </w:rPr>
        <w:t>ATLANTA, October 30, 2026 – Carter’s, Inc. (NYSE:CRI), the market share leader and the most iconic and enduring children’s apparel company, today announced the strategic evolution of its corporate leadership structure designed to advance its growth strategy. In addition to securing a new Chief Product Officer, changes include new and expanded roles for several executives, including the creation of a Chief Commercial Officer role, as well as a standalone Chief Operating Officer role. These positions will report to Chief Executive Officer &amp; President Sharon Price John, who joined Carter’s, Inc. in June, and are designed to better align the business functions with its strategy to accelerate profitable growth by leveraging Carter’s core competencies and assets to harness the power of its iconic brands, further engage and elevate its trusted relationship with consumers and more synergistically execute with an innovative, data-driven lens.</w:t>
      </w:r>
    </w:p>
    <w:p>
      <w:pPr>
        <w:spacing w:after="0" w:line="86" w:lineRule="exact"/>
        <w:rPr>
          <w:sz w:val="20"/>
          <w:szCs w:val="20"/>
          <w:color w:val="auto"/>
        </w:rPr>
      </w:pPr>
    </w:p>
    <w:p>
      <w:pPr>
        <w:ind w:right="120"/>
        <w:spacing w:after="0" w:line="361" w:lineRule="auto"/>
        <w:rPr>
          <w:sz w:val="20"/>
          <w:szCs w:val="20"/>
          <w:color w:val="auto"/>
        </w:rPr>
      </w:pPr>
      <w:r>
        <w:rPr>
          <w:rFonts w:ascii="Times New Roman" w:cs="Times New Roman" w:eastAsia="Times New Roman" w:hAnsi="Times New Roman"/>
          <w:sz w:val="22"/>
          <w:szCs w:val="22"/>
          <w:color w:val="auto"/>
        </w:rPr>
        <w:t>“Carter’s is a diversified company with a rich history spanning over 160 years, with brands that families have trusted for generations. However, to meet today’s consumers where they are and better serve them, we need to evolve,” said Ms. John. “Today we announced key changes to our leadership structure to better connect our businesses, strengthen accountability, and advance our growth strategy. Aligning our structure with our go-forward strategy is an important step toward becoming a more consumer-centric, brand-building, data-driven company that is positioned to consistently deliver profitable growth and increased value to our stakeholders.”</w:t>
      </w:r>
    </w:p>
    <w:p>
      <w:pPr>
        <w:sectPr>
          <w:pgSz w:w="11900" w:h="16838" w:orient="portrait"/>
          <w:cols w:equalWidth="0" w:num="1">
            <w:col w:w="11240"/>
          </w:cols>
          <w:pgMar w:left="320" w:top="945" w:right="339" w:bottom="1440" w:gutter="0" w:footer="0" w:header="0"/>
        </w:sectPr>
      </w:pPr>
    </w:p>
    <w:bookmarkStart w:id="21" w:name="page22"/>
    <w:bookmarkEnd w:id="21"/>
    <w:p>
      <w:pPr>
        <w:ind w:right="380"/>
        <w:spacing w:after="0" w:line="386" w:lineRule="auto"/>
        <w:rPr>
          <w:sz w:val="20"/>
          <w:szCs w:val="20"/>
          <w:color w:val="auto"/>
        </w:rPr>
      </w:pPr>
      <w:r>
        <w:rPr>
          <w:rFonts w:ascii="Times New Roman" w:cs="Times New Roman" w:eastAsia="Times New Roman" w:hAnsi="Times New Roman"/>
          <w:sz w:val="22"/>
          <w:szCs w:val="22"/>
          <w:color w:val="auto"/>
        </w:rPr>
        <w:t>The new structure organizes Carter’s leadership across product, commercial operations, strategy and consumer insights, and brand under the following executives:</w:t>
      </w:r>
    </w:p>
    <w:p>
      <w:pPr>
        <w:spacing w:after="0" w:line="50" w:lineRule="exact"/>
        <w:rPr>
          <w:sz w:val="20"/>
          <w:szCs w:val="20"/>
          <w:color w:val="auto"/>
        </w:rPr>
      </w:pPr>
    </w:p>
    <w:p>
      <w:pPr>
        <w:ind w:left="660" w:hanging="328"/>
        <w:spacing w:after="0"/>
        <w:tabs>
          <w:tab w:leader="none" w:pos="660" w:val="left"/>
        </w:tabs>
        <w:numPr>
          <w:ilvl w:val="0"/>
          <w:numId w:val="1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Chief Product Officer</w:t>
      </w:r>
      <w:r>
        <w:rPr>
          <w:rFonts w:ascii="Times New Roman" w:cs="Times New Roman" w:eastAsia="Times New Roman" w:hAnsi="Times New Roman"/>
          <w:sz w:val="22"/>
          <w:szCs w:val="22"/>
          <w:color w:val="auto"/>
        </w:rPr>
        <w:t>: Maria Gemzell</w:t>
      </w:r>
    </w:p>
    <w:p>
      <w:pPr>
        <w:spacing w:after="0" w:line="233" w:lineRule="exact"/>
        <w:rPr>
          <w:rFonts w:ascii="Times New Roman" w:cs="Times New Roman" w:eastAsia="Times New Roman" w:hAnsi="Times New Roman"/>
          <w:sz w:val="22"/>
          <w:szCs w:val="22"/>
          <w:color w:val="auto"/>
        </w:rPr>
      </w:pPr>
    </w:p>
    <w:p>
      <w:pPr>
        <w:ind w:left="660" w:hanging="328"/>
        <w:spacing w:after="0"/>
        <w:tabs>
          <w:tab w:leader="none" w:pos="660" w:val="left"/>
        </w:tabs>
        <w:numPr>
          <w:ilvl w:val="0"/>
          <w:numId w:val="1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Chief Commercial Officer</w:t>
      </w:r>
      <w:r>
        <w:rPr>
          <w:rFonts w:ascii="Times New Roman" w:cs="Times New Roman" w:eastAsia="Times New Roman" w:hAnsi="Times New Roman"/>
          <w:sz w:val="22"/>
          <w:szCs w:val="22"/>
          <w:color w:val="auto"/>
          <w:highlight w:val="white"/>
        </w:rPr>
        <w:t>: Allison Peterson</w:t>
      </w:r>
    </w:p>
    <w:p>
      <w:pPr>
        <w:spacing w:after="0" w:line="233" w:lineRule="exact"/>
        <w:rPr>
          <w:rFonts w:ascii="Times New Roman" w:cs="Times New Roman" w:eastAsia="Times New Roman" w:hAnsi="Times New Roman"/>
          <w:sz w:val="22"/>
          <w:szCs w:val="22"/>
          <w:color w:val="auto"/>
        </w:rPr>
      </w:pPr>
    </w:p>
    <w:p>
      <w:pPr>
        <w:ind w:left="660" w:hanging="328"/>
        <w:spacing w:after="0"/>
        <w:tabs>
          <w:tab w:leader="none" w:pos="660" w:val="left"/>
        </w:tabs>
        <w:numPr>
          <w:ilvl w:val="0"/>
          <w:numId w:val="1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Chief Strategy and Business Development Officer</w:t>
      </w:r>
      <w:r>
        <w:rPr>
          <w:rFonts w:ascii="Times New Roman" w:cs="Times New Roman" w:eastAsia="Times New Roman" w:hAnsi="Times New Roman"/>
          <w:sz w:val="22"/>
          <w:szCs w:val="22"/>
          <w:color w:val="auto"/>
        </w:rPr>
        <w:t>: Emily Evert</w:t>
      </w:r>
    </w:p>
    <w:p>
      <w:pPr>
        <w:spacing w:after="0" w:line="219" w:lineRule="exact"/>
        <w:rPr>
          <w:rFonts w:ascii="Times New Roman" w:cs="Times New Roman" w:eastAsia="Times New Roman" w:hAnsi="Times New Roman"/>
          <w:sz w:val="22"/>
          <w:szCs w:val="22"/>
          <w:color w:val="auto"/>
        </w:rPr>
      </w:pPr>
    </w:p>
    <w:p>
      <w:pPr>
        <w:ind w:left="660" w:hanging="328"/>
        <w:spacing w:after="0"/>
        <w:tabs>
          <w:tab w:leader="none" w:pos="660" w:val="left"/>
        </w:tabs>
        <w:numPr>
          <w:ilvl w:val="0"/>
          <w:numId w:val="1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Chief Brand Officer</w:t>
      </w:r>
      <w:r>
        <w:rPr>
          <w:rFonts w:ascii="Times New Roman" w:cs="Times New Roman" w:eastAsia="Times New Roman" w:hAnsi="Times New Roman"/>
          <w:sz w:val="22"/>
          <w:szCs w:val="22"/>
          <w:color w:val="auto"/>
          <w:highlight w:val="white"/>
        </w:rPr>
        <w:t>: Sarah Crockett</w:t>
      </w:r>
    </w:p>
    <w:p>
      <w:pPr>
        <w:spacing w:after="0" w:line="233" w:lineRule="exact"/>
        <w:rPr>
          <w:sz w:val="20"/>
          <w:szCs w:val="20"/>
          <w:color w:val="auto"/>
        </w:rPr>
      </w:pPr>
    </w:p>
    <w:p>
      <w:pPr>
        <w:ind w:right="240"/>
        <w:spacing w:after="0" w:line="367" w:lineRule="auto"/>
        <w:rPr>
          <w:sz w:val="20"/>
          <w:szCs w:val="20"/>
          <w:color w:val="auto"/>
        </w:rPr>
      </w:pPr>
      <w:r>
        <w:rPr>
          <w:rFonts w:ascii="Times New Roman" w:cs="Times New Roman" w:eastAsia="Times New Roman" w:hAnsi="Times New Roman"/>
          <w:sz w:val="22"/>
          <w:szCs w:val="22"/>
          <w:color w:val="auto"/>
        </w:rPr>
        <w:t>In addition, Carter’s is commencing a search for a standalone Chief Operating Officer. Richard Westenberger, currently Chief Financial Officer and Chief Operating Officer, will continue to serve as Chief Financial Officer, and together with Antonio Robinson, Chief Administrative and Compliance Officer, Corporate Secretary, these executives comprise Carter’s go-forward leadership team.</w:t>
      </w:r>
    </w:p>
    <w:p>
      <w:pPr>
        <w:spacing w:after="0" w:line="6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Elevating Product</w:t>
      </w:r>
    </w:p>
    <w:p>
      <w:pPr>
        <w:spacing w:after="0" w:line="224" w:lineRule="exact"/>
        <w:rPr>
          <w:sz w:val="20"/>
          <w:szCs w:val="20"/>
          <w:color w:val="auto"/>
        </w:rPr>
      </w:pPr>
    </w:p>
    <w:p>
      <w:pPr>
        <w:spacing w:after="0" w:line="383" w:lineRule="auto"/>
        <w:rPr>
          <w:sz w:val="20"/>
          <w:szCs w:val="20"/>
          <w:color w:val="auto"/>
        </w:rPr>
      </w:pPr>
      <w:r>
        <w:rPr>
          <w:rFonts w:ascii="Times New Roman" w:cs="Times New Roman" w:eastAsia="Times New Roman" w:hAnsi="Times New Roman"/>
          <w:sz w:val="21"/>
          <w:szCs w:val="21"/>
          <w:color w:val="auto"/>
        </w:rPr>
        <w:t>Product is at the heart of the trust families place in Carter’s. Given the varied needs of its customers and the consistently shifting landscape, the Company is evolving its product organization and its processes. Maria Gemzell is expected to join Carter’s as Chief Product Officer in early 2027, leading design, merchandising, licensing, and product development. Gemzell joins Carter’s from H&amp;M’s headquarters in Stockholm, Sweden, one of the world’s leading fashion retailers, where she oversaw strategic and new product initiatives. She brings valuable experience and a global perspective to the Company that will help develop products that appeal to today’s consumers and meet the needs of both its Wholesale and Direct-to-Consumer businesses.</w:t>
      </w:r>
    </w:p>
    <w:p>
      <w:pPr>
        <w:spacing w:after="0" w:line="4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Coordinating the North American Commercial Organization</w:t>
      </w:r>
    </w:p>
    <w:p>
      <w:pPr>
        <w:spacing w:after="0" w:line="237" w:lineRule="exact"/>
        <w:rPr>
          <w:sz w:val="20"/>
          <w:szCs w:val="20"/>
          <w:color w:val="auto"/>
        </w:rPr>
      </w:pPr>
    </w:p>
    <w:p>
      <w:pPr>
        <w:ind w:right="140"/>
        <w:spacing w:after="0" w:line="361" w:lineRule="auto"/>
        <w:rPr>
          <w:sz w:val="20"/>
          <w:szCs w:val="20"/>
          <w:color w:val="auto"/>
        </w:rPr>
      </w:pPr>
      <w:r>
        <w:rPr>
          <w:rFonts w:ascii="Times New Roman" w:cs="Times New Roman" w:eastAsia="Times New Roman" w:hAnsi="Times New Roman"/>
          <w:sz w:val="22"/>
          <w:szCs w:val="22"/>
          <w:color w:val="auto"/>
        </w:rPr>
        <w:t>As consumers have become more channel agnostic, the Company is evolving its commercial organization to ensure a seamless shopping experience. Allison Peterson, who joined Carter’s in 2024, has been appointed to the newly created role of Chief Commercial Officer, where she will oversee the North American Retail and Wholesale businesses. By consolidating its commercial operations under Peterson, Carter’s is simplifying its commercial structure across the U.S., Canada, and Mexico, strengthening its go-to-market approach through improved channel coordination, better leveraging its scale and cross-market insights, and creating clearer accountability for business performance.</w:t>
      </w:r>
    </w:p>
    <w:p>
      <w:pPr>
        <w:spacing w:after="0" w:line="79" w:lineRule="exact"/>
        <w:rPr>
          <w:sz w:val="20"/>
          <w:szCs w:val="20"/>
          <w:color w:val="auto"/>
        </w:rPr>
      </w:pPr>
    </w:p>
    <w:p>
      <w:pPr>
        <w:ind w:right="220"/>
        <w:spacing w:after="0" w:line="386" w:lineRule="auto"/>
        <w:rPr>
          <w:sz w:val="20"/>
          <w:szCs w:val="20"/>
          <w:color w:val="auto"/>
        </w:rPr>
      </w:pPr>
      <w:r>
        <w:rPr>
          <w:rFonts w:ascii="Times New Roman" w:cs="Times New Roman" w:eastAsia="Times New Roman" w:hAnsi="Times New Roman"/>
          <w:sz w:val="22"/>
          <w:szCs w:val="22"/>
          <w:color w:val="auto"/>
        </w:rPr>
        <w:t>In connection with this new commercial structure, Julie D’Emilio, currently Carter’s Chief Sales Officer, has decided to retire from the Company and will serve as an advisor through year-end to ensure a seamless transition.</w:t>
      </w:r>
    </w:p>
    <w:p>
      <w:pPr>
        <w:spacing w:after="0" w:line="10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22"/>
          <w:szCs w:val="22"/>
          <w:color w:val="auto"/>
        </w:rPr>
        <w:t>2</w:t>
      </w:r>
    </w:p>
    <w:p>
      <w:pPr>
        <w:sectPr>
          <w:pgSz w:w="11900" w:h="16838" w:orient="portrait"/>
          <w:cols w:equalWidth="0" w:num="1">
            <w:col w:w="11100"/>
          </w:cols>
          <w:pgMar w:left="320" w:top="1314" w:right="47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22"/>
          <w:szCs w:val="22"/>
          <w:b w:val="1"/>
          <w:bCs w:val="1"/>
          <w:color w:val="auto"/>
        </w:rPr>
        <w:t>Connecting Strategy, Insights and Growth</w:t>
      </w:r>
    </w:p>
    <w:p>
      <w:pPr>
        <w:spacing w:after="0" w:line="237" w:lineRule="exact"/>
        <w:rPr>
          <w:sz w:val="20"/>
          <w:szCs w:val="20"/>
          <w:color w:val="auto"/>
        </w:rPr>
      </w:pPr>
    </w:p>
    <w:p>
      <w:pPr>
        <w:ind w:right="300"/>
        <w:spacing w:after="0" w:line="362" w:lineRule="auto"/>
        <w:rPr>
          <w:sz w:val="20"/>
          <w:szCs w:val="20"/>
          <w:color w:val="auto"/>
        </w:rPr>
      </w:pPr>
      <w:r>
        <w:rPr>
          <w:rFonts w:ascii="Times New Roman" w:cs="Times New Roman" w:eastAsia="Times New Roman" w:hAnsi="Times New Roman"/>
          <w:sz w:val="22"/>
          <w:szCs w:val="22"/>
          <w:color w:val="auto"/>
        </w:rPr>
        <w:t>Emily Evert, Chief Strategy and Business Development Officer, will have expanded responsibility to lead a unified global consumer insights function as well as new responsibility for the Company’s International business. A coordinated strategy and global consumer-insights function positions the Company to translate strategy into better results by providing a deeper understanding of the consumer, more informed decision-making capabilities, and the ability to more quickly identify growth opportunities, including international expansion.</w:t>
      </w:r>
    </w:p>
    <w:p>
      <w:pPr>
        <w:spacing w:after="0" w:line="7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Strengthening the Brand Organization</w:t>
      </w:r>
    </w:p>
    <w:p>
      <w:pPr>
        <w:spacing w:after="0" w:line="237" w:lineRule="exact"/>
        <w:rPr>
          <w:sz w:val="20"/>
          <w:szCs w:val="20"/>
          <w:color w:val="auto"/>
        </w:rPr>
      </w:pPr>
    </w:p>
    <w:p>
      <w:pPr>
        <w:ind w:right="40"/>
        <w:spacing w:after="0" w:line="372" w:lineRule="auto"/>
        <w:rPr>
          <w:sz w:val="20"/>
          <w:szCs w:val="20"/>
          <w:color w:val="auto"/>
        </w:rPr>
      </w:pPr>
      <w:r>
        <w:rPr>
          <w:rFonts w:ascii="Times New Roman" w:cs="Times New Roman" w:eastAsia="Times New Roman" w:hAnsi="Times New Roman"/>
          <w:sz w:val="22"/>
          <w:szCs w:val="22"/>
          <w:color w:val="auto"/>
        </w:rPr>
        <w:t>Sarah Crockett, who joined Carter’s in 2025, has been appointed to the role of Chief Brand Officer. With brand-building as a core tenet of its growth strategy, the Company is evolving its Brand organization to better connect brand strategy, marketing and consumer engagement with its product and go-to-market capabilities to drive consistent profitable growth.</w:t>
      </w:r>
    </w:p>
    <w:p>
      <w:pPr>
        <w:spacing w:after="0" w:line="6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Advancing Operational Execution</w:t>
      </w:r>
    </w:p>
    <w:p>
      <w:pPr>
        <w:spacing w:after="0" w:line="224" w:lineRule="exact"/>
        <w:rPr>
          <w:sz w:val="20"/>
          <w:szCs w:val="20"/>
          <w:color w:val="auto"/>
        </w:rPr>
      </w:pPr>
    </w:p>
    <w:p>
      <w:pPr>
        <w:spacing w:after="0" w:line="367" w:lineRule="auto"/>
        <w:rPr>
          <w:sz w:val="20"/>
          <w:szCs w:val="20"/>
          <w:color w:val="auto"/>
        </w:rPr>
      </w:pPr>
      <w:r>
        <w:rPr>
          <w:rFonts w:ascii="Times New Roman" w:cs="Times New Roman" w:eastAsia="Times New Roman" w:hAnsi="Times New Roman"/>
          <w:sz w:val="22"/>
          <w:szCs w:val="22"/>
          <w:color w:val="auto"/>
        </w:rPr>
        <w:t>Carter’s is creating a standalone Chief Operating Officer role to provide dedicated leadership and clear accountability for the operations that bring its products to the families it serves. The role will focus on strategically leveraging technology and data with the goal of modernizing Carter’s operations, improving efficiency, and building a scalable foundation for profitable growth. The Company has commenced a search for the role.</w:t>
      </w:r>
    </w:p>
    <w:p>
      <w:pPr>
        <w:spacing w:after="0" w:line="73" w:lineRule="exact"/>
        <w:rPr>
          <w:sz w:val="20"/>
          <w:szCs w:val="20"/>
          <w:color w:val="auto"/>
        </w:rPr>
      </w:pPr>
    </w:p>
    <w:p>
      <w:pPr>
        <w:ind w:right="40"/>
        <w:spacing w:after="0" w:line="366" w:lineRule="auto"/>
        <w:rPr>
          <w:sz w:val="20"/>
          <w:szCs w:val="20"/>
          <w:color w:val="auto"/>
        </w:rPr>
      </w:pPr>
      <w:r>
        <w:rPr>
          <w:rFonts w:ascii="Times New Roman" w:cs="Times New Roman" w:eastAsia="Times New Roman" w:hAnsi="Times New Roman"/>
          <w:sz w:val="22"/>
          <w:szCs w:val="22"/>
          <w:color w:val="auto"/>
        </w:rPr>
        <w:t>Karen Smith, Carter’s Chief Supply Chain Officer, will retire in March 2027 after serving Carter’s for almost five years and more than 35 years in the apparel industry. Ms. Smith informed the Company of her decision to retire in February 2026 and will continue to serve in her role through her retirement date to ensure a seamless transition.</w:t>
      </w:r>
    </w:p>
    <w:p>
      <w:pPr>
        <w:spacing w:after="0" w:line="71" w:lineRule="exact"/>
        <w:rPr>
          <w:sz w:val="20"/>
          <w:szCs w:val="20"/>
          <w:color w:val="auto"/>
        </w:rPr>
      </w:pPr>
    </w:p>
    <w:p>
      <w:pPr>
        <w:ind w:right="240"/>
        <w:spacing w:after="0" w:line="389" w:lineRule="auto"/>
        <w:rPr>
          <w:sz w:val="20"/>
          <w:szCs w:val="20"/>
          <w:color w:val="auto"/>
        </w:rPr>
      </w:pPr>
      <w:r>
        <w:rPr>
          <w:rFonts w:ascii="Times New Roman" w:cs="Times New Roman" w:eastAsia="Times New Roman" w:hAnsi="Times New Roman"/>
          <w:sz w:val="21"/>
          <w:szCs w:val="21"/>
          <w:color w:val="auto"/>
        </w:rPr>
        <w:t>Ms. John commented: “I would like to welcome Maria to Carter’s as well as congratulate Allison, Emily and Sarah on their expanded roles. I would also like to acknowledge and thank Julie for the lasting impact she has made on our sales organization and customer relationships over her 20 years with the Company as well as Karen for her leadership of our supply chain and her deep commitment to the families we serve. We wish Julie and Karen the very best in their retirements from Carter’s.”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3</w:t>
      </w:r>
    </w:p>
    <w:p>
      <w:pPr>
        <w:sectPr>
          <w:pgSz w:w="11900" w:h="16838" w:orient="portrait"/>
          <w:cols w:equalWidth="0" w:num="1">
            <w:col w:w="11240"/>
          </w:cols>
          <w:pgMar w:left="320" w:top="1310" w:right="33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22"/>
          <w:szCs w:val="22"/>
          <w:b w:val="1"/>
          <w:bCs w:val="1"/>
          <w:color w:val="auto"/>
        </w:rPr>
        <w:t>About Carter’s, Inc.</w:t>
      </w:r>
    </w:p>
    <w:p>
      <w:pPr>
        <w:spacing w:after="0" w:line="237" w:lineRule="exact"/>
        <w:rPr>
          <w:sz w:val="20"/>
          <w:szCs w:val="20"/>
          <w:color w:val="auto"/>
        </w:rPr>
      </w:pPr>
    </w:p>
    <w:p>
      <w:pPr>
        <w:spacing w:after="0" w:line="360" w:lineRule="auto"/>
        <w:rPr>
          <w:sz w:val="20"/>
          <w:szCs w:val="20"/>
          <w:color w:val="auto"/>
        </w:rPr>
      </w:pPr>
      <w:r>
        <w:rPr>
          <w:rFonts w:ascii="Times New Roman" w:cs="Times New Roman" w:eastAsia="Times New Roman" w:hAnsi="Times New Roman"/>
          <w:sz w:val="22"/>
          <w:szCs w:val="22"/>
          <w:color w:val="auto"/>
        </w:rPr>
        <w:t xml:space="preserve">Carter’s, Inc. is North America’s largest and most-enduring apparel company exclusively for babies and young children. The Company’s core brands are </w:t>
      </w:r>
      <w:r>
        <w:rPr>
          <w:rFonts w:ascii="Times New Roman" w:cs="Times New Roman" w:eastAsia="Times New Roman" w:hAnsi="Times New Roman"/>
          <w:sz w:val="22"/>
          <w:szCs w:val="22"/>
          <w:i w:val="1"/>
          <w:iCs w:val="1"/>
          <w:color w:val="auto"/>
        </w:rPr>
        <w:t>Carter’s</w:t>
      </w:r>
      <w:r>
        <w:rPr>
          <w:rFonts w:ascii="Times New Roman" w:cs="Times New Roman" w:eastAsia="Times New Roman" w:hAnsi="Times New Roman"/>
          <w:sz w:val="22"/>
          <w:szCs w:val="22"/>
          <w:color w:val="auto"/>
        </w:rPr>
        <w:t xml:space="preserve"> and </w:t>
      </w:r>
      <w:r>
        <w:rPr>
          <w:rFonts w:ascii="Times New Roman" w:cs="Times New Roman" w:eastAsia="Times New Roman" w:hAnsi="Times New Roman"/>
          <w:sz w:val="22"/>
          <w:szCs w:val="22"/>
          <w:i w:val="1"/>
          <w:iCs w:val="1"/>
          <w:color w:val="auto"/>
        </w:rPr>
        <w:t>OshKosh B’gosh</w:t>
      </w:r>
      <w:r>
        <w:rPr>
          <w:rFonts w:ascii="Times New Roman" w:cs="Times New Roman" w:eastAsia="Times New Roman" w:hAnsi="Times New Roman"/>
          <w:sz w:val="22"/>
          <w:szCs w:val="22"/>
          <w:color w:val="auto"/>
        </w:rPr>
        <w:t xml:space="preserve">, iconic and among the sector’s most trusted names. These brands are sold through more than 1,000 Company-operated stores in the United States, Canada, and Mexico, and online at </w:t>
      </w:r>
      <w:r>
        <w:rPr>
          <w:rFonts w:ascii="Times New Roman" w:cs="Times New Roman" w:eastAsia="Times New Roman" w:hAnsi="Times New Roman"/>
          <w:sz w:val="22"/>
          <w:szCs w:val="22"/>
          <w:color w:val="0000FF"/>
        </w:rPr>
        <w:t>www.carters.com</w:t>
      </w:r>
      <w:r>
        <w:rPr>
          <w:rFonts w:ascii="Times New Roman" w:cs="Times New Roman" w:eastAsia="Times New Roman" w:hAnsi="Times New Roman"/>
          <w:sz w:val="22"/>
          <w:szCs w:val="22"/>
          <w:color w:val="000000"/>
        </w:rPr>
        <w:t>,</w:t>
      </w:r>
      <w:r>
        <w:rPr>
          <w:rFonts w:ascii="Times New Roman" w:cs="Times New Roman" w:eastAsia="Times New Roman" w:hAnsi="Times New Roman"/>
          <w:sz w:val="22"/>
          <w:szCs w:val="22"/>
          <w:color w:val="0000FF"/>
        </w:rPr>
        <w:t xml:space="preserve"> www.oshkosh.com</w:t>
      </w:r>
      <w:r>
        <w:rPr>
          <w:rFonts w:ascii="Times New Roman" w:cs="Times New Roman" w:eastAsia="Times New Roman" w:hAnsi="Times New Roman"/>
          <w:sz w:val="22"/>
          <w:szCs w:val="22"/>
          <w:color w:val="000000"/>
        </w:rPr>
        <w:t>,</w:t>
      </w:r>
      <w:r>
        <w:rPr>
          <w:rFonts w:ascii="Times New Roman" w:cs="Times New Roman" w:eastAsia="Times New Roman" w:hAnsi="Times New Roman"/>
          <w:sz w:val="22"/>
          <w:szCs w:val="22"/>
          <w:color w:val="0000FF"/>
        </w:rPr>
        <w:t xml:space="preserve"> www.cartersoshkosh.ca</w:t>
      </w:r>
      <w:r>
        <w:rPr>
          <w:rFonts w:ascii="Times New Roman" w:cs="Times New Roman" w:eastAsia="Times New Roman" w:hAnsi="Times New Roman"/>
          <w:sz w:val="22"/>
          <w:szCs w:val="22"/>
          <w:color w:val="000000"/>
        </w:rPr>
        <w:t>, and</w:t>
      </w:r>
      <w:r>
        <w:rPr>
          <w:rFonts w:ascii="Times New Roman" w:cs="Times New Roman" w:eastAsia="Times New Roman" w:hAnsi="Times New Roman"/>
          <w:sz w:val="22"/>
          <w:szCs w:val="22"/>
          <w:color w:val="0000FF"/>
        </w:rPr>
        <w:t xml:space="preserve"> www.carters.com.mx</w:t>
      </w:r>
      <w:r>
        <w:rPr>
          <w:rFonts w:ascii="Times New Roman" w:cs="Times New Roman" w:eastAsia="Times New Roman" w:hAnsi="Times New Roman"/>
          <w:sz w:val="22"/>
          <w:szCs w:val="22"/>
          <w:color w:val="000000"/>
        </w:rPr>
        <w:t>. Carter’s also is the largest supplier of</w:t>
      </w:r>
      <w:r>
        <w:rPr>
          <w:rFonts w:ascii="Times New Roman" w:cs="Times New Roman" w:eastAsia="Times New Roman" w:hAnsi="Times New Roman"/>
          <w:sz w:val="22"/>
          <w:szCs w:val="22"/>
          <w:color w:val="0000FF"/>
        </w:rPr>
        <w:t xml:space="preserve"> </w:t>
      </w:r>
      <w:r>
        <w:rPr>
          <w:rFonts w:ascii="Times New Roman" w:cs="Times New Roman" w:eastAsia="Times New Roman" w:hAnsi="Times New Roman"/>
          <w:sz w:val="22"/>
          <w:szCs w:val="22"/>
          <w:color w:val="000000"/>
        </w:rPr>
        <w:t xml:space="preserve">baby and young children’s apparel to North America’s biggest retailers. The Company’s </w:t>
      </w:r>
      <w:r>
        <w:rPr>
          <w:rFonts w:ascii="Times New Roman" w:cs="Times New Roman" w:eastAsia="Times New Roman" w:hAnsi="Times New Roman"/>
          <w:sz w:val="22"/>
          <w:szCs w:val="22"/>
          <w:i w:val="1"/>
          <w:iCs w:val="1"/>
          <w:color w:val="000000"/>
        </w:rPr>
        <w:t>Child of Mine</w:t>
      </w:r>
      <w:r>
        <w:rPr>
          <w:rFonts w:ascii="Times New Roman" w:cs="Times New Roman" w:eastAsia="Times New Roman" w:hAnsi="Times New Roman"/>
          <w:sz w:val="22"/>
          <w:szCs w:val="22"/>
          <w:color w:val="000000"/>
        </w:rPr>
        <w:t xml:space="preserve"> brand is available exclusively at Walmart, its </w:t>
      </w:r>
      <w:r>
        <w:rPr>
          <w:rFonts w:ascii="Times New Roman" w:cs="Times New Roman" w:eastAsia="Times New Roman" w:hAnsi="Times New Roman"/>
          <w:sz w:val="22"/>
          <w:szCs w:val="22"/>
          <w:i w:val="1"/>
          <w:iCs w:val="1"/>
          <w:color w:val="000000"/>
        </w:rPr>
        <w:t>Just One You</w:t>
      </w:r>
      <w:r>
        <w:rPr>
          <w:rFonts w:ascii="Times New Roman" w:cs="Times New Roman" w:eastAsia="Times New Roman" w:hAnsi="Times New Roman"/>
          <w:sz w:val="22"/>
          <w:szCs w:val="22"/>
          <w:color w:val="000000"/>
        </w:rPr>
        <w:t xml:space="preserve"> brand is available at Target, and its </w:t>
      </w:r>
      <w:r>
        <w:rPr>
          <w:rFonts w:ascii="Times New Roman" w:cs="Times New Roman" w:eastAsia="Times New Roman" w:hAnsi="Times New Roman"/>
          <w:sz w:val="22"/>
          <w:szCs w:val="22"/>
          <w:i w:val="1"/>
          <w:iCs w:val="1"/>
          <w:color w:val="000000"/>
        </w:rPr>
        <w:t>Simple Joys</w:t>
      </w:r>
      <w:r>
        <w:rPr>
          <w:rFonts w:ascii="Times New Roman" w:cs="Times New Roman" w:eastAsia="Times New Roman" w:hAnsi="Times New Roman"/>
          <w:sz w:val="22"/>
          <w:szCs w:val="22"/>
          <w:color w:val="000000"/>
        </w:rPr>
        <w:t xml:space="preserve"> brand is available on Amazon.com. The Company’s emerging brands include </w:t>
      </w:r>
      <w:r>
        <w:rPr>
          <w:rFonts w:ascii="Times New Roman" w:cs="Times New Roman" w:eastAsia="Times New Roman" w:hAnsi="Times New Roman"/>
          <w:sz w:val="22"/>
          <w:szCs w:val="22"/>
          <w:i w:val="1"/>
          <w:iCs w:val="1"/>
          <w:color w:val="000000"/>
        </w:rPr>
        <w:t>Little Planet</w:t>
      </w:r>
      <w:r>
        <w:rPr>
          <w:rFonts w:ascii="Times New Roman" w:cs="Times New Roman" w:eastAsia="Times New Roman" w:hAnsi="Times New Roman"/>
          <w:sz w:val="22"/>
          <w:szCs w:val="22"/>
          <w:color w:val="000000"/>
        </w:rPr>
        <w:t xml:space="preserve">, crafted with organic fabrics, </w:t>
      </w:r>
      <w:r>
        <w:rPr>
          <w:rFonts w:ascii="Times New Roman" w:cs="Times New Roman" w:eastAsia="Times New Roman" w:hAnsi="Times New Roman"/>
          <w:sz w:val="22"/>
          <w:szCs w:val="22"/>
          <w:i w:val="1"/>
          <w:iCs w:val="1"/>
          <w:color w:val="000000"/>
        </w:rPr>
        <w:t>Otter Avenue</w:t>
      </w:r>
      <w:r>
        <w:rPr>
          <w:rFonts w:ascii="Times New Roman" w:cs="Times New Roman" w:eastAsia="Times New Roman" w:hAnsi="Times New Roman"/>
          <w:sz w:val="22"/>
          <w:szCs w:val="22"/>
          <w:color w:val="000000"/>
        </w:rPr>
        <w:t xml:space="preserve">, a toddler-focused apparel brand, and sustainable materials and </w:t>
      </w:r>
      <w:r>
        <w:rPr>
          <w:rFonts w:ascii="Times New Roman" w:cs="Times New Roman" w:eastAsia="Times New Roman" w:hAnsi="Times New Roman"/>
          <w:sz w:val="22"/>
          <w:szCs w:val="22"/>
          <w:i w:val="1"/>
          <w:iCs w:val="1"/>
          <w:color w:val="000000"/>
        </w:rPr>
        <w:t>Skip Hop</w:t>
      </w:r>
      <w:r>
        <w:rPr>
          <w:rFonts w:ascii="Times New Roman" w:cs="Times New Roman" w:eastAsia="Times New Roman" w:hAnsi="Times New Roman"/>
          <w:sz w:val="22"/>
          <w:szCs w:val="22"/>
          <w:color w:val="000000"/>
        </w:rPr>
        <w:t xml:space="preserve">, baby essentials from tubs to toys. Carter’s is headquartered in Atlanta, Georgia. Additional information may be found at </w:t>
      </w:r>
      <w:r>
        <w:rPr>
          <w:rFonts w:ascii="Times New Roman" w:cs="Times New Roman" w:eastAsia="Times New Roman" w:hAnsi="Times New Roman"/>
          <w:sz w:val="22"/>
          <w:szCs w:val="22"/>
          <w:color w:val="0000FF"/>
        </w:rPr>
        <w:t>www.carters.com</w:t>
      </w:r>
      <w:r>
        <w:rPr>
          <w:rFonts w:ascii="Times New Roman" w:cs="Times New Roman" w:eastAsia="Times New Roman" w:hAnsi="Times New Roman"/>
          <w:sz w:val="22"/>
          <w:szCs w:val="22"/>
          <w:color w:val="000000"/>
        </w:rPr>
        <w:t>.</w:t>
      </w:r>
    </w:p>
    <w:p>
      <w:pPr>
        <w:spacing w:after="0" w:line="378"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22"/>
          <w:szCs w:val="22"/>
          <w:color w:val="auto"/>
        </w:rPr>
        <w:t>4</w:t>
      </w:r>
    </w:p>
    <w:sectPr>
      <w:pgSz w:w="11900" w:h="16838" w:orient="portrait"/>
      <w:cols w:equalWidth="0" w:num="1">
        <w:col w:w="11140"/>
      </w:cols>
      <w:pgMar w:left="320" w:top="1310" w:right="4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EB141F2"/>
    <w:multiLevelType w:val="hybridMultilevel"/>
    <w:lvl w:ilvl="0">
      <w:lvlJc w:val="left"/>
      <w:lvlText w:val="☐"/>
      <w:numFmt w:val="bullet"/>
      <w:start w:val="1"/>
    </w:lvl>
  </w:abstractNum>
  <w:abstractNum w:abstractNumId="1">
    <w:nsid w:val="41B71EFB"/>
    <w:multiLevelType w:val="hybridMultilevel"/>
    <w:lvl w:ilvl="0">
      <w:lvlJc w:val="left"/>
      <w:lvlText w:val="•"/>
      <w:numFmt w:val="bullet"/>
      <w:start w:val="1"/>
    </w:lvl>
  </w:abstractNum>
  <w:abstractNum w:abstractNumId="2">
    <w:nsid w:val="79E2A9E3"/>
    <w:multiLevelType w:val="hybridMultilevel"/>
    <w:lvl w:ilvl="0">
      <w:lvlJc w:val="left"/>
      <w:lvlText w:val="•"/>
      <w:numFmt w:val="bullet"/>
      <w:start w:val="1"/>
    </w:lvl>
  </w:abstractNum>
  <w:abstractNum w:abstractNumId="3">
    <w:nsid w:val="7545E146"/>
    <w:multiLevelType w:val="hybridMultilevel"/>
    <w:lvl w:ilvl="0">
      <w:lvlJc w:val="left"/>
      <w:lvlText w:val="•"/>
      <w:numFmt w:val="bullet"/>
      <w:start w:val="1"/>
    </w:lvl>
  </w:abstractNum>
  <w:abstractNum w:abstractNumId="4">
    <w:nsid w:val="515F007C"/>
    <w:multiLevelType w:val="hybridMultilevel"/>
    <w:lvl w:ilvl="0">
      <w:lvlJc w:val="left"/>
      <w:lvlText w:val="•"/>
      <w:numFmt w:val="bullet"/>
      <w:start w:val="1"/>
    </w:lvl>
  </w:abstractNum>
  <w:abstractNum w:abstractNumId="5">
    <w:nsid w:val="5BD062C2"/>
    <w:multiLevelType w:val="hybridMultilevel"/>
    <w:lvl w:ilvl="0">
      <w:lvlJc w:val="left"/>
      <w:lvlText w:val="•"/>
      <w:numFmt w:val="bullet"/>
      <w:start w:val="1"/>
    </w:lvl>
  </w:abstractNum>
  <w:abstractNum w:abstractNumId="6">
    <w:nsid w:val="12200854"/>
    <w:multiLevelType w:val="hybridMultilevel"/>
    <w:lvl w:ilvl="0">
      <w:lvlJc w:val="left"/>
      <w:lvlText w:val="•"/>
      <w:numFmt w:val="bullet"/>
      <w:start w:val="1"/>
    </w:lvl>
  </w:abstractNum>
  <w:abstractNum w:abstractNumId="7">
    <w:nsid w:val="4DB127F8"/>
    <w:multiLevelType w:val="hybridMultilevel"/>
    <w:lvl w:ilvl="0">
      <w:lvlJc w:val="left"/>
      <w:lvlText w:val="(%1)"/>
      <w:numFmt w:val="lowerLetter"/>
      <w:start w:val="1"/>
    </w:lvl>
  </w:abstractNum>
  <w:abstractNum w:abstractNumId="8">
    <w:nsid w:val="216231B"/>
    <w:multiLevelType w:val="hybridMultilevel"/>
    <w:lvl w:ilvl="0">
      <w:lvlJc w:val="left"/>
      <w:lvlText w:val="(%1)"/>
      <w:numFmt w:val="lowerLetter"/>
      <w:start w:val="1"/>
    </w:lvl>
  </w:abstractNum>
  <w:abstractNum w:abstractNumId="9">
    <w:nsid w:val="1F16E9E8"/>
    <w:multiLevelType w:val="hybridMultilevel"/>
    <w:lvl w:ilvl="0">
      <w:lvlJc w:val="left"/>
      <w:lvlText w:val="(%1)"/>
      <w:numFmt w:val="lowerLetter"/>
      <w:start w:val="1"/>
    </w:lvl>
  </w:abstractNum>
  <w:abstractNum w:abstractNumId="10">
    <w:nsid w:val="1190CDE7"/>
    <w:multiLevelType w:val="hybridMultilevel"/>
    <w:lvl w:ilvl="0">
      <w:lvlJc w:val="left"/>
      <w:lvlText w:val="(%1)"/>
      <w:numFmt w:val="lowerLetter"/>
      <w:start w:val="1"/>
    </w:lvl>
  </w:abstractNum>
  <w:abstractNum w:abstractNumId="11">
    <w:nsid w:val="66EF438D"/>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jpeg"/><Relationship Id="rId21" Type="http://schemas.openxmlformats.org/officeDocument/2006/relationships/image" Target="media/image14.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2026-10-30T06:04:46Z</dcterms:created>
  <dcterms:modified xsi:type="dcterms:W3CDTF">2026-10-30T06:04:46Z</dcterms:modified>
</cp:coreProperties>
</file>