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247" w:lineRule="exact"/>
        <w:rPr>
          <w:sz w:val="24"/>
          <w:szCs w:val="24"/>
          <w:color w:val="auto"/>
        </w:rPr>
      </w:pPr>
    </w:p>
    <w:p>
      <w:pPr>
        <w:ind w:left="4060" w:right="3320" w:hanging="4052"/>
        <w:spacing w:after="0" w:line="257" w:lineRule="auto"/>
        <w:tabs>
          <w:tab w:leader="none" w:pos="19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8"/>
          <w:szCs w:val="18"/>
          <w:b w:val="1"/>
          <w:bCs w:val="1"/>
          <w:color w:val="auto"/>
        </w:rPr>
        <w:t>December 28, 2019</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 w:lineRule="exact"/>
        <w:rPr>
          <w:sz w:val="24"/>
          <w:szCs w:val="24"/>
          <w:color w:val="auto"/>
        </w:rPr>
      </w:pPr>
    </w:p>
    <w:p>
      <w:pPr>
        <w:ind w:left="4080" w:right="3000" w:hanging="4072"/>
        <w:spacing w:after="0" w:line="250" w:lineRule="auto"/>
        <w:tabs>
          <w:tab w:leader="none" w:pos="20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______to ______</w:t>
      </w:r>
    </w:p>
    <w:p>
      <w:pPr>
        <w:ind w:left="44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001-31829</w:t>
      </w:r>
    </w:p>
    <w:tbl>
      <w:tblPr>
        <w:tblLayout w:type="fixed"/>
        <w:tblInd w:w="1340" w:type="dxa"/>
        <w:tblCellMar>
          <w:top w:w="0" w:type="dxa"/>
          <w:left w:w="0" w:type="dxa"/>
          <w:bottom w:w="0" w:type="dxa"/>
          <w:right w:w="0" w:type="dxa"/>
        </w:tblCellMar>
      </w:tblPr>
      <w:tr>
        <w:trPr>
          <w:trHeight w:val="324"/>
        </w:trPr>
        <w:tc>
          <w:tcPr>
            <w:tcW w:w="2200" w:type="dxa"/>
            <w:vAlign w:val="bottom"/>
          </w:tcPr>
          <w:p>
            <w:pPr>
              <w:spacing w:after="0"/>
              <w:rPr>
                <w:sz w:val="24"/>
                <w:szCs w:val="24"/>
                <w:color w:val="auto"/>
              </w:rPr>
            </w:pPr>
          </w:p>
        </w:tc>
        <w:tc>
          <w:tcPr>
            <w:tcW w:w="6540" w:type="dxa"/>
            <w:vAlign w:val="bottom"/>
          </w:tcPr>
          <w:p>
            <w:pPr>
              <w:jc w:val="center"/>
              <w:ind w:right="2105"/>
              <w:spacing w:after="0" w:line="324" w:lineRule="exact"/>
              <w:rPr>
                <w:sz w:val="20"/>
                <w:szCs w:val="20"/>
                <w:color w:val="auto"/>
              </w:rPr>
            </w:pPr>
            <w:r>
              <w:rPr>
                <w:rFonts w:ascii="Arial" w:cs="Arial" w:eastAsia="Arial" w:hAnsi="Arial"/>
                <w:sz w:val="29"/>
                <w:szCs w:val="29"/>
                <w:b w:val="1"/>
                <w:bCs w:val="1"/>
                <w:color w:val="auto"/>
                <w:w w:val="98"/>
              </w:rPr>
              <w:t>CARTER'S, INC.</w:t>
            </w:r>
          </w:p>
        </w:tc>
      </w:tr>
      <w:tr>
        <w:trPr>
          <w:trHeight w:val="230"/>
        </w:trPr>
        <w:tc>
          <w:tcPr>
            <w:tcW w:w="2200" w:type="dxa"/>
            <w:vAlign w:val="bottom"/>
          </w:tcPr>
          <w:p>
            <w:pPr>
              <w:spacing w:after="0"/>
              <w:rPr>
                <w:sz w:val="20"/>
                <w:szCs w:val="20"/>
                <w:color w:val="auto"/>
              </w:rPr>
            </w:pPr>
          </w:p>
        </w:tc>
        <w:tc>
          <w:tcPr>
            <w:tcW w:w="6540" w:type="dxa"/>
            <w:vAlign w:val="bottom"/>
          </w:tcPr>
          <w:p>
            <w:pPr>
              <w:jc w:val="center"/>
              <w:ind w:right="208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9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540" w:type="dxa"/>
            <w:vAlign w:val="bottom"/>
          </w:tcPr>
          <w:p>
            <w:pPr>
              <w:jc w:val="right"/>
              <w:ind w:right="785"/>
              <w:spacing w:after="0"/>
              <w:rPr>
                <w:sz w:val="20"/>
                <w:szCs w:val="20"/>
                <w:color w:val="auto"/>
              </w:rPr>
            </w:pPr>
            <w:r>
              <w:rPr>
                <w:rFonts w:ascii="Arial" w:cs="Arial" w:eastAsia="Arial" w:hAnsi="Arial"/>
                <w:sz w:val="18"/>
                <w:szCs w:val="18"/>
                <w:b w:val="1"/>
                <w:bCs w:val="1"/>
                <w:color w:val="auto"/>
              </w:rPr>
              <w:t>13-3912933</w:t>
            </w:r>
          </w:p>
        </w:tc>
      </w:tr>
      <w:tr>
        <w:trPr>
          <w:trHeight w:val="270"/>
        </w:trPr>
        <w:tc>
          <w:tcPr>
            <w:tcW w:w="22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6540" w:type="dxa"/>
            <w:vAlign w:val="bottom"/>
          </w:tcPr>
          <w:p>
            <w:pPr>
              <w:jc w:val="center"/>
              <w:ind w:left="3825"/>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22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6540" w:type="dxa"/>
            <w:vAlign w:val="bottom"/>
          </w:tcPr>
          <w:p>
            <w:pPr>
              <w:spacing w:after="0"/>
              <w:rPr>
                <w:sz w:val="23"/>
                <w:szCs w:val="23"/>
                <w:color w:val="auto"/>
              </w:rPr>
            </w:pPr>
          </w:p>
        </w:tc>
      </w:tr>
      <w:tr>
        <w:trPr>
          <w:trHeight w:val="441"/>
        </w:trPr>
        <w:tc>
          <w:tcPr>
            <w:tcW w:w="2200" w:type="dxa"/>
            <w:vAlign w:val="bottom"/>
          </w:tcPr>
          <w:p>
            <w:pPr>
              <w:spacing w:after="0"/>
              <w:rPr>
                <w:sz w:val="24"/>
                <w:szCs w:val="24"/>
                <w:color w:val="auto"/>
              </w:rPr>
            </w:pPr>
          </w:p>
        </w:tc>
        <w:tc>
          <w:tcPr>
            <w:tcW w:w="6540" w:type="dxa"/>
            <w:vAlign w:val="bottom"/>
          </w:tcPr>
          <w:p>
            <w:pPr>
              <w:jc w:val="center"/>
              <w:ind w:right="2105"/>
              <w:spacing w:after="0"/>
              <w:rPr>
                <w:sz w:val="20"/>
                <w:szCs w:val="20"/>
                <w:color w:val="auto"/>
              </w:rPr>
            </w:pPr>
            <w:r>
              <w:rPr>
                <w:rFonts w:ascii="Arial" w:cs="Arial" w:eastAsia="Arial" w:hAnsi="Arial"/>
                <w:sz w:val="18"/>
                <w:szCs w:val="18"/>
                <w:b w:val="1"/>
                <w:bCs w:val="1"/>
                <w:color w:val="auto"/>
                <w:w w:val="89"/>
              </w:rPr>
              <w:t>Phipps Tower</w:t>
            </w:r>
          </w:p>
        </w:tc>
      </w:tr>
      <w:tr>
        <w:trPr>
          <w:trHeight w:val="216"/>
        </w:trPr>
        <w:tc>
          <w:tcPr>
            <w:tcW w:w="2200" w:type="dxa"/>
            <w:vAlign w:val="bottom"/>
          </w:tcPr>
          <w:p>
            <w:pPr>
              <w:spacing w:after="0"/>
              <w:rPr>
                <w:sz w:val="18"/>
                <w:szCs w:val="18"/>
                <w:color w:val="auto"/>
              </w:rPr>
            </w:pPr>
          </w:p>
        </w:tc>
        <w:tc>
          <w:tcPr>
            <w:tcW w:w="6540" w:type="dxa"/>
            <w:vAlign w:val="bottom"/>
          </w:tcPr>
          <w:p>
            <w:pPr>
              <w:jc w:val="center"/>
              <w:ind w:right="2085"/>
              <w:spacing w:after="0"/>
              <w:rPr>
                <w:sz w:val="20"/>
                <w:szCs w:val="20"/>
                <w:color w:val="auto"/>
              </w:rPr>
            </w:pPr>
            <w:r>
              <w:rPr>
                <w:rFonts w:ascii="Arial" w:cs="Arial" w:eastAsia="Arial" w:hAnsi="Arial"/>
                <w:sz w:val="18"/>
                <w:szCs w:val="18"/>
                <w:b w:val="1"/>
                <w:bCs w:val="1"/>
                <w:color w:val="auto"/>
                <w:w w:val="90"/>
              </w:rPr>
              <w:t>3438 Peachtree Road NE, Suite 1800</w:t>
            </w:r>
          </w:p>
        </w:tc>
      </w:tr>
      <w:tr>
        <w:trPr>
          <w:trHeight w:val="220"/>
        </w:trPr>
        <w:tc>
          <w:tcPr>
            <w:tcW w:w="2200" w:type="dxa"/>
            <w:vAlign w:val="bottom"/>
          </w:tcPr>
          <w:p>
            <w:pPr>
              <w:spacing w:after="0"/>
              <w:rPr>
                <w:sz w:val="19"/>
                <w:szCs w:val="19"/>
                <w:color w:val="auto"/>
              </w:rPr>
            </w:pPr>
          </w:p>
        </w:tc>
        <w:tc>
          <w:tcPr>
            <w:tcW w:w="6540" w:type="dxa"/>
            <w:vAlign w:val="bottom"/>
          </w:tcPr>
          <w:p>
            <w:pPr>
              <w:jc w:val="center"/>
              <w:ind w:right="2105"/>
              <w:spacing w:after="0"/>
              <w:rPr>
                <w:sz w:val="20"/>
                <w:szCs w:val="20"/>
                <w:color w:val="auto"/>
              </w:rPr>
            </w:pPr>
            <w:r>
              <w:rPr>
                <w:rFonts w:ascii="Arial" w:cs="Arial" w:eastAsia="Arial" w:hAnsi="Arial"/>
                <w:sz w:val="18"/>
                <w:szCs w:val="18"/>
                <w:b w:val="1"/>
                <w:bCs w:val="1"/>
                <w:color w:val="auto"/>
                <w:w w:val="91"/>
              </w:rPr>
              <w:t>Atlanta, Georgia 30326</w:t>
            </w:r>
          </w:p>
        </w:tc>
      </w:tr>
      <w:tr>
        <w:trPr>
          <w:trHeight w:val="212"/>
        </w:trPr>
        <w:tc>
          <w:tcPr>
            <w:tcW w:w="2200" w:type="dxa"/>
            <w:vAlign w:val="bottom"/>
          </w:tcPr>
          <w:p>
            <w:pPr>
              <w:spacing w:after="0"/>
              <w:rPr>
                <w:sz w:val="18"/>
                <w:szCs w:val="18"/>
                <w:color w:val="auto"/>
              </w:rPr>
            </w:pPr>
          </w:p>
        </w:tc>
        <w:tc>
          <w:tcPr>
            <w:tcW w:w="6540" w:type="dxa"/>
            <w:vAlign w:val="bottom"/>
          </w:tcPr>
          <w:p>
            <w:pPr>
              <w:jc w:val="center"/>
              <w:ind w:right="2085"/>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220"/>
        </w:trPr>
        <w:tc>
          <w:tcPr>
            <w:tcW w:w="2200" w:type="dxa"/>
            <w:vAlign w:val="bottom"/>
          </w:tcPr>
          <w:p>
            <w:pPr>
              <w:spacing w:after="0"/>
              <w:rPr>
                <w:sz w:val="19"/>
                <w:szCs w:val="19"/>
                <w:color w:val="auto"/>
              </w:rPr>
            </w:pPr>
          </w:p>
        </w:tc>
        <w:tc>
          <w:tcPr>
            <w:tcW w:w="6540" w:type="dxa"/>
            <w:vAlign w:val="bottom"/>
          </w:tcPr>
          <w:p>
            <w:pPr>
              <w:jc w:val="right"/>
              <w:ind w:right="3705"/>
              <w:spacing w:after="0"/>
              <w:rPr>
                <w:sz w:val="20"/>
                <w:szCs w:val="20"/>
                <w:color w:val="auto"/>
              </w:rPr>
            </w:pPr>
            <w:r>
              <w:rPr>
                <w:rFonts w:ascii="Arial" w:cs="Arial" w:eastAsia="Arial" w:hAnsi="Arial"/>
                <w:sz w:val="18"/>
                <w:szCs w:val="18"/>
                <w:b w:val="1"/>
                <w:bCs w:val="1"/>
                <w:color w:val="auto"/>
              </w:rPr>
              <w:t>(678) 791-1000</w:t>
            </w:r>
          </w:p>
        </w:tc>
      </w:tr>
      <w:tr>
        <w:trPr>
          <w:trHeight w:val="216"/>
        </w:trPr>
        <w:tc>
          <w:tcPr>
            <w:tcW w:w="2200" w:type="dxa"/>
            <w:vAlign w:val="bottom"/>
          </w:tcPr>
          <w:p>
            <w:pPr>
              <w:spacing w:after="0"/>
              <w:rPr>
                <w:sz w:val="18"/>
                <w:szCs w:val="18"/>
                <w:color w:val="auto"/>
              </w:rPr>
            </w:pPr>
          </w:p>
        </w:tc>
        <w:tc>
          <w:tcPr>
            <w:tcW w:w="6540" w:type="dxa"/>
            <w:vAlign w:val="bottom"/>
          </w:tcPr>
          <w:p>
            <w:pPr>
              <w:jc w:val="center"/>
              <w:ind w:right="2085"/>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30"/>
        </w:trPr>
        <w:tc>
          <w:tcPr>
            <w:tcW w:w="2200" w:type="dxa"/>
            <w:vAlign w:val="bottom"/>
          </w:tcPr>
          <w:p>
            <w:pPr>
              <w:spacing w:after="0"/>
              <w:rPr>
                <w:sz w:val="20"/>
                <w:szCs w:val="20"/>
                <w:color w:val="auto"/>
              </w:rPr>
            </w:pPr>
          </w:p>
        </w:tc>
        <w:tc>
          <w:tcPr>
            <w:tcW w:w="6540" w:type="dxa"/>
            <w:vAlign w:val="bottom"/>
          </w:tcPr>
          <w:p>
            <w:pPr>
              <w:jc w:val="right"/>
              <w:ind w:right="2165"/>
              <w:spacing w:after="0"/>
              <w:rPr>
                <w:sz w:val="20"/>
                <w:szCs w:val="20"/>
                <w:color w:val="auto"/>
              </w:rPr>
            </w:pPr>
            <w:r>
              <w:rPr>
                <w:rFonts w:ascii="Arial" w:cs="Arial" w:eastAsia="Arial" w:hAnsi="Arial"/>
                <w:sz w:val="18"/>
                <w:szCs w:val="18"/>
                <w:color w:val="auto"/>
                <w:w w:val="90"/>
              </w:rPr>
              <w:t>_______________________________________________</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4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CRI</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7" w:lineRule="exact"/>
        <w:rPr>
          <w:sz w:val="24"/>
          <w:szCs w:val="24"/>
          <w:color w:val="auto"/>
        </w:rPr>
      </w:pPr>
    </w:p>
    <w:p>
      <w:pPr>
        <w:ind w:right="184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jc w:val="center"/>
        <w:ind w:right="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ectPr>
          <w:pgSz w:w="11900" w:h="16838" w:orient="portrait"/>
          <w:cols w:equalWidth="0" w:num="1">
            <w:col w:w="11440"/>
          </w:cols>
          <w:pgMar w:left="240" w:top="234" w:right="219" w:bottom="1440" w:gutter="0" w:footer="0" w:header="0"/>
        </w:sectPr>
      </w:pPr>
    </w:p>
    <w:bookmarkStart w:id="1" w:name="page2"/>
    <w:bookmarkEnd w:id="1"/>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approximate aggregate market value of the voting stock held by non-affiliates of the registrant as of the last business day of the registrant's most recently completed second fiscal quarter, based upon the closing sale price of the registrant's common stock on June 29, 2019 as reported on the New York Stock Exchange was $3,735,935,821. As of February 18, 2020, there were 43,928,505 shares of the registrant's Common Stock outstanding.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Annual Meeting of shareholders of Carter's, Inc., scheduled to be held on May 14, 2020, will be incorporated by reference in Part III of this Form 10-K. Carter's, Inc. intends to file such proxy statement with the Securities and Exchange Commission not later than 120 days after its fiscal year ended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CARTER'S,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ANNUAL REPORT ON FORM 10-K</w:t>
      </w:r>
    </w:p>
    <w:p>
      <w:pPr>
        <w:jc w:val="center"/>
        <w:spacing w:after="0"/>
        <w:rPr>
          <w:sz w:val="20"/>
          <w:szCs w:val="20"/>
          <w:color w:val="auto"/>
        </w:rPr>
      </w:pPr>
      <w:r>
        <w:rPr>
          <w:rFonts w:ascii="Arial" w:cs="Arial" w:eastAsia="Arial" w:hAnsi="Arial"/>
          <w:sz w:val="20"/>
          <w:szCs w:val="20"/>
          <w:b w:val="1"/>
          <w:bCs w:val="1"/>
          <w:color w:val="auto"/>
        </w:rPr>
        <w:t>FOR FISCAL YEAR ENDED DECEMBER 28,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60" w:type="dxa"/>
            <w:vAlign w:val="bottom"/>
            <w:tcBorders>
              <w:bottom w:val="single" w:sz="8" w:color="auto"/>
            </w:tcBorders>
            <w:gridSpan w:val="4"/>
            <w:shd w:val="clear" w:color="auto" w:fill="CCEEFF"/>
          </w:tcPr>
          <w:p>
            <w:pPr>
              <w:ind w:left="440"/>
              <w:spacing w:after="0"/>
              <w:rPr>
                <w:sz w:val="20"/>
                <w:szCs w:val="20"/>
                <w:color w:val="auto"/>
              </w:rPr>
            </w:pPr>
            <w:r>
              <w:rPr>
                <w:rFonts w:ascii="Arial" w:cs="Arial" w:eastAsia="Arial" w:hAnsi="Arial"/>
                <w:sz w:val="20"/>
                <w:szCs w:val="20"/>
                <w:b w:val="1"/>
                <w:bCs w:val="1"/>
                <w:color w:val="auto"/>
              </w:rPr>
              <w:t>Page</w:t>
            </w:r>
          </w:p>
        </w:tc>
      </w:tr>
      <w:tr>
        <w:trPr>
          <w:trHeight w:val="196"/>
        </w:trPr>
        <w:tc>
          <w:tcPr>
            <w:tcW w:w="2200" w:type="dxa"/>
            <w:vAlign w:val="bottom"/>
            <w:gridSpan w:val="10"/>
          </w:tcPr>
          <w:p>
            <w:pPr>
              <w:ind w:left="40"/>
              <w:spacing w:after="0" w:line="196"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Part I</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1</w:t>
              </w:r>
            </w:hyperlink>
          </w:p>
        </w:tc>
        <w:tc>
          <w:tcPr>
            <w:tcW w:w="660" w:type="dxa"/>
            <w:vAlign w:val="bottom"/>
            <w:gridSpan w:val="3"/>
            <w:shd w:val="clear" w:color="auto" w:fill="CCEEFF"/>
          </w:tcPr>
          <w:p>
            <w:pPr>
              <w:spacing w:after="0"/>
              <w:rPr>
                <w:sz w:val="17"/>
                <w:szCs w:val="17"/>
                <w:color w:val="auto"/>
              </w:rPr>
            </w:pPr>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Item 1A</w:t>
              </w:r>
            </w:hyperlink>
          </w:p>
        </w:tc>
        <w:tc>
          <w:tcPr>
            <w:tcW w:w="7860" w:type="dxa"/>
            <w:vAlign w:val="bottom"/>
            <w:gridSpan w:val="22"/>
          </w:tcPr>
          <w:p>
            <w:pPr>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gridSpan w:val="4"/>
            <w:shd w:val="clear" w:color="auto" w:fill="CCEEFF"/>
          </w:tcPr>
          <w:p>
            <w:pPr>
              <w:spacing w:after="0" w:line="202"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1B</w:t>
              </w:r>
            </w:hyperlink>
          </w:p>
        </w:tc>
        <w:tc>
          <w:tcPr>
            <w:tcW w:w="540" w:type="dxa"/>
            <w:vAlign w:val="bottom"/>
            <w:shd w:val="clear" w:color="auto" w:fill="CCEEFF"/>
          </w:tcPr>
          <w:p>
            <w:pPr>
              <w:spacing w:after="0"/>
              <w:rPr>
                <w:sz w:val="17"/>
                <w:szCs w:val="17"/>
                <w:color w:val="auto"/>
              </w:rPr>
            </w:pPr>
          </w:p>
        </w:tc>
        <w:tc>
          <w:tcPr>
            <w:tcW w:w="2060" w:type="dxa"/>
            <w:vAlign w:val="bottom"/>
            <w:gridSpan w:val="11"/>
            <w:shd w:val="clear" w:color="auto" w:fill="CCEEFF"/>
          </w:tcPr>
          <w:p>
            <w:pPr>
              <w:spacing w:after="0" w:line="202" w:lineRule="exact"/>
              <w:rPr>
                <w:rFonts w:ascii="Arial" w:cs="Arial" w:eastAsia="Arial" w:hAnsi="Arial"/>
                <w:sz w:val="18"/>
                <w:szCs w:val="18"/>
                <w:color w:val="0000FF"/>
                <w:w w:val="90"/>
              </w:rPr>
            </w:pPr>
            <w:hyperlink w:anchor="page21">
              <w:r>
                <w:rPr>
                  <w:rFonts w:ascii="Arial" w:cs="Arial" w:eastAsia="Arial" w:hAnsi="Arial"/>
                  <w:sz w:val="18"/>
                  <w:szCs w:val="18"/>
                  <w:color w:val="0000FF"/>
                  <w:w w:val="90"/>
                </w:rPr>
                <w:t>Unresolved Staff Comments</w:t>
              </w:r>
            </w:hyperlink>
          </w:p>
        </w:tc>
        <w:tc>
          <w:tcPr>
            <w:tcW w:w="5800" w:type="dxa"/>
            <w:vAlign w:val="bottom"/>
            <w:gridSpan w:val="11"/>
            <w:shd w:val="clear" w:color="auto" w:fill="CCEEFF"/>
          </w:tcPr>
          <w:p>
            <w:pPr>
              <w:spacing w:after="0"/>
              <w:rPr>
                <w:sz w:val="17"/>
                <w:szCs w:val="17"/>
                <w:color w:val="auto"/>
              </w:rPr>
            </w:pPr>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gridSpan w:val="4"/>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540" w:type="dxa"/>
            <w:vAlign w:val="bottom"/>
          </w:tcPr>
          <w:p>
            <w:pPr>
              <w:spacing w:after="0"/>
              <w:rPr>
                <w:sz w:val="17"/>
                <w:szCs w:val="17"/>
                <w:color w:val="auto"/>
              </w:rPr>
            </w:pPr>
          </w:p>
        </w:tc>
        <w:tc>
          <w:tcPr>
            <w:tcW w:w="2060" w:type="dxa"/>
            <w:vAlign w:val="bottom"/>
            <w:gridSpan w:val="11"/>
          </w:tcPr>
          <w:p>
            <w:pPr>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Properties</w:t>
              </w:r>
            </w:hyperlink>
          </w:p>
        </w:tc>
        <w:tc>
          <w:tcPr>
            <w:tcW w:w="5800" w:type="dxa"/>
            <w:vAlign w:val="bottom"/>
            <w:gridSpan w:val="11"/>
          </w:tcPr>
          <w:p>
            <w:pPr>
              <w:spacing w:after="0"/>
              <w:rPr>
                <w:sz w:val="17"/>
                <w:szCs w:val="17"/>
                <w:color w:val="auto"/>
              </w:rPr>
            </w:pPr>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3</w:t>
              </w:r>
            </w:hyperlink>
          </w:p>
        </w:tc>
        <w:tc>
          <w:tcPr>
            <w:tcW w:w="660" w:type="dxa"/>
            <w:vAlign w:val="bottom"/>
            <w:gridSpan w:val="3"/>
            <w:shd w:val="clear" w:color="auto" w:fill="CCEEFF"/>
          </w:tcPr>
          <w:p>
            <w:pPr>
              <w:spacing w:after="0"/>
              <w:rPr>
                <w:sz w:val="17"/>
                <w:szCs w:val="17"/>
                <w:color w:val="auto"/>
              </w:rPr>
            </w:pPr>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Legal Proceedings</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2"/>
          </w:tcPr>
          <w:p>
            <w:pPr>
              <w:spacing w:after="0" w:line="202"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4</w:t>
              </w:r>
            </w:hyperlink>
          </w:p>
        </w:tc>
        <w:tc>
          <w:tcPr>
            <w:tcW w:w="660" w:type="dxa"/>
            <w:vAlign w:val="bottom"/>
            <w:gridSpan w:val="3"/>
          </w:tcPr>
          <w:p>
            <w:pPr>
              <w:spacing w:after="0"/>
              <w:rPr>
                <w:sz w:val="17"/>
                <w:szCs w:val="17"/>
                <w:color w:val="auto"/>
              </w:rPr>
            </w:pPr>
          </w:p>
        </w:tc>
        <w:tc>
          <w:tcPr>
            <w:tcW w:w="7860" w:type="dxa"/>
            <w:vAlign w:val="bottom"/>
            <w:gridSpan w:val="22"/>
          </w:tcPr>
          <w:p>
            <w:pPr>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Mine Safety Disclosures</w:t>
              </w:r>
            </w:hyperlink>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200" w:type="dxa"/>
            <w:vAlign w:val="bottom"/>
            <w:gridSpan w:val="10"/>
            <w:shd w:val="clear" w:color="auto" w:fill="CCEEFF"/>
          </w:tcPr>
          <w:p>
            <w:pPr>
              <w:ind w:left="40"/>
              <w:spacing w:after="0" w:line="202"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Part II</w:t>
              </w:r>
            </w:hyperlink>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60" w:type="dxa"/>
            <w:vAlign w:val="bottom"/>
            <w:tcBorders>
              <w:top w:val="single" w:sz="8" w:color="CCEEFF"/>
              <w:bottom w:val="single" w:sz="8" w:color="0000EE"/>
            </w:tcBorders>
            <w:gridSpan w:val="2"/>
          </w:tcPr>
          <w:p>
            <w:pPr>
              <w:spacing w:after="0" w:line="202"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5</w:t>
              </w:r>
            </w:hyperlink>
          </w:p>
        </w:tc>
        <w:tc>
          <w:tcPr>
            <w:tcW w:w="660" w:type="dxa"/>
            <w:vAlign w:val="bottom"/>
            <w:tcBorders>
              <w:top w:val="single" w:sz="8" w:color="CCEEFF"/>
            </w:tcBorders>
            <w:gridSpan w:val="3"/>
          </w:tcPr>
          <w:p>
            <w:pPr>
              <w:spacing w:after="0"/>
              <w:rPr>
                <w:sz w:val="17"/>
                <w:szCs w:val="17"/>
                <w:color w:val="auto"/>
              </w:rPr>
            </w:pPr>
          </w:p>
        </w:tc>
        <w:tc>
          <w:tcPr>
            <w:tcW w:w="7360" w:type="dxa"/>
            <w:vAlign w:val="bottom"/>
            <w:tcBorders>
              <w:top w:val="single" w:sz="8" w:color="CCEEFF"/>
              <w:bottom w:val="single" w:sz="8" w:color="0000FF"/>
            </w:tcBorders>
            <w:gridSpan w:val="21"/>
          </w:tcPr>
          <w:p>
            <w:pPr>
              <w:spacing w:after="0" w:line="202" w:lineRule="exact"/>
              <w:rPr>
                <w:rFonts w:ascii="Arial" w:cs="Arial" w:eastAsia="Arial" w:hAnsi="Arial"/>
                <w:sz w:val="18"/>
                <w:szCs w:val="18"/>
                <w:color w:val="0000FF"/>
                <w:w w:val="90"/>
              </w:rPr>
            </w:pPr>
            <w:hyperlink w:anchor="page22">
              <w:r>
                <w:rPr>
                  <w:rFonts w:ascii="Arial" w:cs="Arial" w:eastAsia="Arial" w:hAnsi="Arial"/>
                  <w:sz w:val="18"/>
                  <w:szCs w:val="18"/>
                  <w:color w:val="0000FF"/>
                  <w:w w:val="90"/>
                </w:rPr>
                <w:t>Market for Registrant's Common Equity, Related Stockholder Matters, and Issuer Purchases of Equity</w:t>
              </w:r>
            </w:hyperlink>
          </w:p>
        </w:tc>
        <w:tc>
          <w:tcPr>
            <w:tcW w:w="5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FF"/>
              </w:rPr>
            </w:pPr>
            <w:hyperlink w:anchor="page22">
              <w:r>
                <w:rPr>
                  <w:rFonts w:ascii="Arial" w:cs="Arial" w:eastAsia="Arial" w:hAnsi="Arial"/>
                  <w:sz w:val="18"/>
                  <w:szCs w:val="18"/>
                  <w:color w:val="0000FF"/>
                </w:rPr>
                <w:t>Securities</w:t>
              </w:r>
            </w:hyperlink>
          </w:p>
        </w:tc>
        <w:tc>
          <w:tcPr>
            <w:tcW w:w="1360" w:type="dxa"/>
            <w:vAlign w:val="bottom"/>
            <w:gridSpan w:val="4"/>
          </w:tcPr>
          <w:p>
            <w:pPr>
              <w:jc w:val="right"/>
              <w:ind w:right="20"/>
              <w:spacing w:after="0" w:line="196"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6</w:t>
              </w:r>
            </w:hyperlink>
          </w:p>
        </w:tc>
        <w:tc>
          <w:tcPr>
            <w:tcW w:w="660" w:type="dxa"/>
            <w:vAlign w:val="bottom"/>
            <w:gridSpan w:val="3"/>
            <w:shd w:val="clear" w:color="auto" w:fill="CCEEFF"/>
          </w:tcPr>
          <w:p>
            <w:pPr>
              <w:spacing w:after="0"/>
              <w:rPr>
                <w:sz w:val="17"/>
                <w:szCs w:val="17"/>
                <w:color w:val="auto"/>
              </w:rPr>
            </w:pPr>
          </w:p>
        </w:tc>
        <w:tc>
          <w:tcPr>
            <w:tcW w:w="1720" w:type="dxa"/>
            <w:vAlign w:val="bottom"/>
            <w:gridSpan w:val="8"/>
            <w:shd w:val="clear" w:color="auto" w:fill="CCEEFF"/>
          </w:tcPr>
          <w:p>
            <w:pPr>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Selected Financial Data</w:t>
              </w:r>
            </w:hyperlink>
          </w:p>
        </w:tc>
        <w:tc>
          <w:tcPr>
            <w:tcW w:w="6140" w:type="dxa"/>
            <w:vAlign w:val="bottom"/>
            <w:gridSpan w:val="14"/>
            <w:shd w:val="clear" w:color="auto" w:fill="CCEEFF"/>
          </w:tcPr>
          <w:p>
            <w:pPr>
              <w:spacing w:after="0"/>
              <w:rPr>
                <w:sz w:val="17"/>
                <w:szCs w:val="17"/>
                <w:color w:val="auto"/>
              </w:rPr>
            </w:pPr>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2"/>
          </w:tcPr>
          <w:p>
            <w:pPr>
              <w:spacing w:after="0" w:line="202"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7</w:t>
              </w:r>
            </w:hyperlink>
          </w:p>
        </w:tc>
        <w:tc>
          <w:tcPr>
            <w:tcW w:w="660" w:type="dxa"/>
            <w:vAlign w:val="bottom"/>
            <w:gridSpan w:val="3"/>
          </w:tcPr>
          <w:p>
            <w:pPr>
              <w:spacing w:after="0"/>
              <w:rPr>
                <w:sz w:val="17"/>
                <w:szCs w:val="17"/>
                <w:color w:val="auto"/>
              </w:rPr>
            </w:pPr>
          </w:p>
        </w:tc>
        <w:tc>
          <w:tcPr>
            <w:tcW w:w="7860" w:type="dxa"/>
            <w:vAlign w:val="bottom"/>
            <w:gridSpan w:val="22"/>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7A</w:t>
              </w:r>
            </w:hyperlink>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gridSpan w:val="4"/>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8</w:t>
              </w:r>
            </w:hyperlink>
          </w:p>
        </w:tc>
        <w:tc>
          <w:tcPr>
            <w:tcW w:w="540" w:type="dxa"/>
            <w:vAlign w:val="bottom"/>
          </w:tcPr>
          <w:p>
            <w:pPr>
              <w:spacing w:after="0"/>
              <w:rPr>
                <w:sz w:val="17"/>
                <w:szCs w:val="17"/>
                <w:color w:val="auto"/>
              </w:rPr>
            </w:pPr>
          </w:p>
        </w:tc>
        <w:tc>
          <w:tcPr>
            <w:tcW w:w="4320" w:type="dxa"/>
            <w:vAlign w:val="bottom"/>
            <w:gridSpan w:val="17"/>
          </w:tcPr>
          <w:p>
            <w:pPr>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Financial Statements and Supplementary Data</w:t>
              </w:r>
            </w:hyperlink>
          </w:p>
        </w:tc>
        <w:tc>
          <w:tcPr>
            <w:tcW w:w="3540" w:type="dxa"/>
            <w:vAlign w:val="bottom"/>
            <w:gridSpan w:val="5"/>
          </w:tcPr>
          <w:p>
            <w:pPr>
              <w:spacing w:after="0"/>
              <w:rPr>
                <w:sz w:val="17"/>
                <w:szCs w:val="17"/>
                <w:color w:val="auto"/>
              </w:rPr>
            </w:pPr>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Item 9</w:t>
              </w:r>
            </w:hyperlink>
          </w:p>
        </w:tc>
        <w:tc>
          <w:tcPr>
            <w:tcW w:w="660" w:type="dxa"/>
            <w:vAlign w:val="bottom"/>
            <w:gridSpan w:val="3"/>
            <w:shd w:val="clear" w:color="auto" w:fill="CCEEFF"/>
          </w:tcPr>
          <w:p>
            <w:pPr>
              <w:spacing w:after="0"/>
              <w:rPr>
                <w:sz w:val="17"/>
                <w:szCs w:val="17"/>
                <w:color w:val="auto"/>
              </w:rPr>
            </w:pPr>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Changes in and Disagreements with Accountants on Accounting and Financial Disclosure</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80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Item 9A</w:t>
              </w:r>
            </w:hyperlink>
          </w:p>
        </w:tc>
        <w:tc>
          <w:tcPr>
            <w:tcW w:w="7860" w:type="dxa"/>
            <w:vAlign w:val="bottom"/>
            <w:gridSpan w:val="22"/>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80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gridSpan w:val="4"/>
            <w:shd w:val="clear" w:color="auto" w:fill="CCEEFF"/>
          </w:tcPr>
          <w:p>
            <w:pPr>
              <w:spacing w:after="0" w:line="202"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9B</w:t>
              </w:r>
            </w:hyperlink>
          </w:p>
        </w:tc>
        <w:tc>
          <w:tcPr>
            <w:tcW w:w="540" w:type="dxa"/>
            <w:vAlign w:val="bottom"/>
            <w:shd w:val="clear" w:color="auto" w:fill="CCEEFF"/>
          </w:tcPr>
          <w:p>
            <w:pPr>
              <w:spacing w:after="0"/>
              <w:rPr>
                <w:sz w:val="17"/>
                <w:szCs w:val="17"/>
                <w:color w:val="auto"/>
              </w:rPr>
            </w:pPr>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Other Information</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80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Part III</w:t>
              </w:r>
            </w:hyperlink>
          </w:p>
        </w:tc>
        <w:tc>
          <w:tcPr>
            <w:tcW w:w="5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81</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10</w:t>
              </w:r>
            </w:hyperlink>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Directors and Executive Officers of the Registrant</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81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11</w:t>
              </w:r>
            </w:hyperlink>
          </w:p>
        </w:tc>
        <w:tc>
          <w:tcPr>
            <w:tcW w:w="7860" w:type="dxa"/>
            <w:vAlign w:val="bottom"/>
            <w:gridSpan w:val="22"/>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Executive Compensation</w:t>
              </w:r>
            </w:hyperlink>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81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12</w:t>
              </w:r>
            </w:hyperlink>
          </w:p>
        </w:tc>
        <w:tc>
          <w:tcPr>
            <w:tcW w:w="7860" w:type="dxa"/>
            <w:vAlign w:val="bottom"/>
            <w:gridSpan w:val="22"/>
            <w:shd w:val="clear" w:color="auto" w:fill="CCEEFF"/>
          </w:tcPr>
          <w:p>
            <w:pPr>
              <w:spacing w:after="0" w:line="202" w:lineRule="exact"/>
              <w:rPr>
                <w:rFonts w:ascii="Arial" w:cs="Arial" w:eastAsia="Arial" w:hAnsi="Arial"/>
                <w:sz w:val="18"/>
                <w:szCs w:val="18"/>
                <w:color w:val="0000FF"/>
                <w:w w:val="97"/>
              </w:rPr>
            </w:pPr>
            <w:hyperlink w:anchor="page84">
              <w:r>
                <w:rPr>
                  <w:rFonts w:ascii="Arial" w:cs="Arial" w:eastAsia="Arial" w:hAnsi="Arial"/>
                  <w:sz w:val="18"/>
                  <w:szCs w:val="18"/>
                  <w:color w:val="0000FF"/>
                  <w:w w:val="97"/>
                </w:rPr>
                <w:t>Security Ownership of Certain Beneficial Owners and Management and Related Stockholder Matters</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81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13</w:t>
              </w:r>
            </w:hyperlink>
          </w:p>
        </w:tc>
        <w:tc>
          <w:tcPr>
            <w:tcW w:w="7860" w:type="dxa"/>
            <w:vAlign w:val="bottom"/>
            <w:gridSpan w:val="22"/>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Certain Relationships and Related Transactions</w:t>
              </w:r>
            </w:hyperlink>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81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14</w:t>
              </w:r>
            </w:hyperlink>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Principal Accountant Fees and Services</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81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FF"/>
              </w:rPr>
            </w:pPr>
            <w:hyperlink w:anchor="page85">
              <w:r>
                <w:rPr>
                  <w:rFonts w:ascii="Arial" w:cs="Arial" w:eastAsia="Arial" w:hAnsi="Arial"/>
                  <w:sz w:val="18"/>
                  <w:szCs w:val="18"/>
                  <w:b w:val="1"/>
                  <w:bCs w:val="1"/>
                  <w:color w:val="0000FF"/>
                </w:rPr>
                <w:t>Part IV</w:t>
              </w:r>
            </w:hyperlink>
          </w:p>
        </w:tc>
        <w:tc>
          <w:tcPr>
            <w:tcW w:w="540" w:type="dxa"/>
            <w:vAlign w:val="bottom"/>
            <w:gridSpan w:val="3"/>
          </w:tcPr>
          <w:p>
            <w:pPr>
              <w:spacing w:after="0"/>
              <w:rPr>
                <w:sz w:val="17"/>
                <w:szCs w:val="17"/>
                <w:color w:val="auto"/>
              </w:rPr>
            </w:pPr>
          </w:p>
        </w:tc>
        <w:tc>
          <w:tcPr>
            <w:tcW w:w="5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gridSpan w:val="4"/>
          </w:tcPr>
          <w:p>
            <w:pPr>
              <w:jc w:val="right"/>
              <w:ind w:right="2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82</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Item 15</w:t>
              </w:r>
            </w:hyperlink>
          </w:p>
        </w:tc>
        <w:tc>
          <w:tcPr>
            <w:tcW w:w="7860" w:type="dxa"/>
            <w:vAlign w:val="bottom"/>
            <w:gridSpan w:val="22"/>
            <w:shd w:val="clear" w:color="auto" w:fill="CCEEFF"/>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Exhibits and Financial Statement Schedules</w:t>
              </w:r>
            </w:hyperlink>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82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Item 16</w:t>
              </w:r>
            </w:hyperlink>
          </w:p>
        </w:tc>
        <w:tc>
          <w:tcPr>
            <w:tcW w:w="7860" w:type="dxa"/>
            <w:vAlign w:val="bottom"/>
            <w:gridSpan w:val="22"/>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Form 10-K Summary</w:t>
              </w:r>
            </w:hyperlink>
          </w:p>
        </w:tc>
        <w:tc>
          <w:tcPr>
            <w:tcW w:w="1360" w:type="dxa"/>
            <w:vAlign w:val="bottom"/>
            <w:gridSpan w:val="4"/>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200" w:type="dxa"/>
            <w:vAlign w:val="bottom"/>
            <w:gridSpan w:val="10"/>
            <w:shd w:val="clear" w:color="auto" w:fill="CCEEFF"/>
          </w:tcPr>
          <w:p>
            <w:pPr>
              <w:ind w:left="40"/>
              <w:spacing w:after="0" w:line="202" w:lineRule="exact"/>
              <w:rPr>
                <w:rFonts w:ascii="Arial" w:cs="Arial" w:eastAsia="Arial" w:hAnsi="Arial"/>
                <w:sz w:val="18"/>
                <w:szCs w:val="18"/>
                <w:b w:val="1"/>
                <w:bCs w:val="1"/>
                <w:color w:val="0000FF"/>
              </w:rPr>
            </w:pPr>
            <w:hyperlink w:anchor="page88">
              <w:r>
                <w:rPr>
                  <w:rFonts w:ascii="Arial" w:cs="Arial" w:eastAsia="Arial" w:hAnsi="Arial"/>
                  <w:sz w:val="18"/>
                  <w:szCs w:val="18"/>
                  <w:b w:val="1"/>
                  <w:bCs w:val="1"/>
                  <w:color w:val="0000FF"/>
                </w:rPr>
                <w:t>SIGNATURES</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33" w:right="239" w:bottom="1440" w:gutter="0" w:footer="0" w:header="0"/>
        </w:sectPr>
      </w:pPr>
    </w:p>
    <w:bookmarkStart w:id="3" w:name="page4"/>
    <w:bookmarkEnd w:id="3"/>
    <w:p>
      <w:pPr>
        <w:spacing w:after="0" w:line="287" w:lineRule="auto"/>
        <w:rPr>
          <w:sz w:val="20"/>
          <w:szCs w:val="20"/>
          <w:color w:val="auto"/>
        </w:rPr>
      </w:pPr>
      <w:r>
        <w:rPr>
          <w:rFonts w:ascii="Arial" w:cs="Arial" w:eastAsia="Arial" w:hAnsi="Arial"/>
          <w:sz w:val="16"/>
          <w:szCs w:val="16"/>
          <w:color w:val="auto"/>
        </w:rPr>
        <w:t>This Annual Report on Form 10-K contains certain forward-looking statements within the meaning of the federal securities laws relating to our future performance.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current expectations and assumptions of the Company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Our market share data is based on information provided by the NPD Group, Inc. ("NPD"). NPD data is based upon Consumer Panel Track</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(consumer-reported sales) calibrated with selected retailers' point of sale data for children's apparel in the United States ("U.S.") and represents the twelve month period through the end of December 2019.</w:t>
      </w:r>
    </w:p>
    <w:p>
      <w:pPr>
        <w:spacing w:after="0" w:line="16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Unless otherwise indicated, references to market share in this Annual Report on Form 10-K are expressed as a percentage of total retail sales of the stated market. Some NPD market share data is presented based on age segments. The baby and young children's apparel market in which we compete includes apparel products for ages zero to 10, and is divided into the zero to two-year-old baby market, the three- to four-year-old toddler market, and the five- to 10-year-old kids market. Note that Carter’s defines its product offerings by sizes: baby (sizes newborn to 24 months), toddlers (sizes 2T to 5T), and kids (sizes 4-14). In addition, other NPD market share data is presented based on NPD's definition of the baby and playclothes categories, which are different from Carter’</w:t>
      </w:r>
    </w:p>
    <w:p>
      <w:pPr>
        <w:spacing w:after="0" w:line="1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NPD data cited in prior Annual Reports on Form 10-K were based on an alternate methodology no longer employed by NPD and are not comparable to the current year presentation.</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Unless the context indicates otherwise, in this filing on Form 10-K, "Carter's," the "Company," "we," "us," "its," and "our" refers to Carter's, Inc. and its wholly owned subsidiaries.</w:t>
      </w:r>
    </w:p>
    <w:p>
      <w:pPr>
        <w:spacing w:after="0" w:line="13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 xml:space="preserve">Our trademarks and copyrights that are referred to in this Annual Report on Form 10-K, including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Baby B'gosh</w:t>
      </w:r>
      <w:r>
        <w:rPr>
          <w:rFonts w:ascii="Arial" w:cs="Arial" w:eastAsia="Arial" w:hAnsi="Arial"/>
          <w:sz w:val="18"/>
          <w:szCs w:val="18"/>
          <w:color w:val="auto"/>
        </w:rPr>
        <w:t xml:space="preserve">,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Hop</w:t>
      </w:r>
      <w:r>
        <w:rPr>
          <w:rFonts w:ascii="Arial" w:cs="Arial" w:eastAsia="Arial" w:hAnsi="Arial"/>
          <w:sz w:val="18"/>
          <w:szCs w:val="18"/>
          <w:color w:val="auto"/>
        </w:rPr>
        <w:t>,</w:t>
      </w:r>
      <w:r>
        <w:rPr>
          <w:rFonts w:ascii="Arial" w:cs="Arial" w:eastAsia="Arial" w:hAnsi="Arial"/>
          <w:sz w:val="18"/>
          <w:szCs w:val="18"/>
          <w:i w:val="1"/>
          <w:iCs w:val="1"/>
          <w:color w:val="auto"/>
        </w:rPr>
        <w:t xml:space="preserve">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Precious Firsts, Precious Baby, Little Collections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little baby basics</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KID</w:t>
      </w:r>
      <w:r>
        <w:rPr>
          <w:rFonts w:ascii="Arial" w:cs="Arial" w:eastAsia="Arial" w:hAnsi="Arial"/>
          <w:sz w:val="18"/>
          <w:szCs w:val="18"/>
          <w:color w:val="auto"/>
        </w:rPr>
        <w:t>,</w:t>
      </w:r>
      <w:r>
        <w:rPr>
          <w:rFonts w:ascii="Arial" w:cs="Arial" w:eastAsia="Arial" w:hAnsi="Arial"/>
          <w:sz w:val="18"/>
          <w:szCs w:val="18"/>
          <w:i w:val="1"/>
          <w:iCs w:val="1"/>
          <w:color w:val="auto"/>
        </w:rPr>
        <w:t xml:space="preserve"> Rewarding Moments</w:t>
      </w:r>
      <w:r>
        <w:rPr>
          <w:rFonts w:ascii="Arial" w:cs="Arial" w:eastAsia="Arial" w:hAnsi="Arial"/>
          <w:sz w:val="18"/>
          <w:szCs w:val="18"/>
          <w:color w:val="auto"/>
        </w:rPr>
        <w:t>, and</w:t>
      </w:r>
      <w:r>
        <w:rPr>
          <w:rFonts w:ascii="Arial" w:cs="Arial" w:eastAsia="Arial" w:hAnsi="Arial"/>
          <w:sz w:val="18"/>
          <w:szCs w:val="18"/>
          <w:i w:val="1"/>
          <w:iCs w:val="1"/>
          <w:color w:val="auto"/>
        </w:rPr>
        <w:t xml:space="preserve"> Count on Carter's</w:t>
      </w:r>
      <w:r>
        <w:rPr>
          <w:rFonts w:ascii="Arial" w:cs="Arial" w:eastAsia="Arial" w:hAnsi="Arial"/>
          <w:sz w:val="18"/>
          <w:szCs w:val="18"/>
          <w:color w:val="auto"/>
        </w:rPr>
        <w:t>, many of which are registered in the United States and in over 100 other countries and territories, are each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of one or more subsidiaries of Carter's, Inc.</w:t>
      </w:r>
    </w:p>
    <w:p>
      <w:pPr>
        <w:spacing w:after="0" w:line="146"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The Company's fiscal year ends on the Saturday in December or January nearest December 31. Every five or six years, our fiscal year includes an additional, or 53</w:t>
      </w:r>
      <w:r>
        <w:rPr>
          <w:rFonts w:ascii="Arial" w:cs="Arial" w:eastAsia="Arial" w:hAnsi="Arial"/>
          <w:sz w:val="25"/>
          <w:szCs w:val="25"/>
          <w:color w:val="auto"/>
          <w:vertAlign w:val="superscript"/>
        </w:rPr>
        <w:t>rd</w:t>
      </w:r>
      <w:r>
        <w:rPr>
          <w:rFonts w:ascii="Arial" w:cs="Arial" w:eastAsia="Arial" w:hAnsi="Arial"/>
          <w:sz w:val="18"/>
          <w:szCs w:val="18"/>
          <w:color w:val="auto"/>
        </w:rPr>
        <w:t>, week of results. Fiscal 2019 ended on December 28, 2019, fiscal 2018 ended on December 29, 2018, and fiscal 2017 ended on December 30, 2017. All three fiscal years contained 52 calendar weeks.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and accessories for children in sizes newborn to 14, with a focus on playclothes for toddlers and young children.</w:t>
      </w:r>
    </w:p>
    <w:p>
      <w:pPr>
        <w:spacing w:after="0" w:line="13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Established in 2003,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re-thinks, re-energizes, and re-imagines durable necessities such as diaper bags to create higher value, superior quality, and top-performing products for parents, babies, and toddlers. We acquired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in February 2017.</w:t>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The baby and young children's apparel market ages zero to 10 in the U.S. is approximately $27 billion. In that market, our </w:t>
      </w:r>
      <w:r>
        <w:rPr>
          <w:rFonts w:ascii="Arial" w:cs="Arial" w:eastAsia="Arial" w:hAnsi="Arial"/>
          <w:sz w:val="18"/>
          <w:szCs w:val="18"/>
          <w:i w:val="1"/>
          <w:iCs w:val="1"/>
          <w:color w:val="auto"/>
        </w:rPr>
        <w:t xml:space="preserve">Carter's </w:t>
      </w:r>
      <w:r>
        <w:rPr>
          <w:rFonts w:ascii="Arial" w:cs="Arial" w:eastAsia="Arial" w:hAnsi="Arial"/>
          <w:sz w:val="18"/>
          <w:szCs w:val="18"/>
          <w:color w:val="auto"/>
        </w:rPr>
        <w:t>brands, including our exclusive brands, have the #1 position with approximately 12% market share and our</w:t>
      </w:r>
      <w:r>
        <w:rPr>
          <w:rFonts w:ascii="Arial" w:cs="Arial" w:eastAsia="Arial" w:hAnsi="Arial"/>
          <w:sz w:val="18"/>
          <w:szCs w:val="18"/>
          <w:i w:val="1"/>
          <w:iCs w:val="1"/>
          <w:color w:val="auto"/>
        </w:rPr>
        <w:t xml:space="preserve"> OshKosh </w:t>
      </w:r>
      <w:r>
        <w:rPr>
          <w:rFonts w:ascii="Arial" w:cs="Arial" w:eastAsia="Arial" w:hAnsi="Arial"/>
          <w:sz w:val="18"/>
          <w:szCs w:val="18"/>
          <w:color w:val="auto"/>
        </w:rPr>
        <w:t>brand has approximately 2%</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share.</w:t>
      </w:r>
    </w:p>
    <w:p>
      <w:pPr>
        <w:spacing w:after="0" w:line="1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multi-channel global business model, which includes retail store, eCommerce, and wholesale sales channels, enables us to reach a broad range of consumers around the world. As of December 28, 2019, our channels included 1,109 retail stores, approximately 18,000 wholesale locations, and eCommerce websites in North America, as well as our international wholesale accounts and licensees who operate in over 90 countries.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extensive experience in the young children's apparel and accessories market and focus on delivering products that satisfy our consumers' needs. Our long-term growth strategy focuses on:</w:t>
      </w:r>
    </w:p>
    <w:p>
      <w:pPr>
        <w:spacing w:after="0" w:line="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the best value and experience in apparel and related products for young children;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extending the reach of our brands;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profitability.</w:t>
      </w:r>
    </w:p>
    <w:p>
      <w:pPr>
        <w:spacing w:after="0" w:line="18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Additional financial and geographical information about our segments is contained in Item 8 "Financial Statements and Supplementary Data" under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Carter's </w:t>
      </w:r>
      <w:r>
        <w:rPr>
          <w:rFonts w:ascii="Arial" w:cs="Arial" w:eastAsia="Arial" w:hAnsi="Arial"/>
          <w:sz w:val="18"/>
          <w:szCs w:val="18"/>
          <w:b w:val="1"/>
          <w:bCs w:val="1"/>
          <w:color w:val="auto"/>
        </w:rPr>
        <w:t>&amp;</w:t>
      </w:r>
      <w:r>
        <w:rPr>
          <w:rFonts w:ascii="Arial" w:cs="Arial" w:eastAsia="Arial" w:hAnsi="Arial"/>
          <w:sz w:val="18"/>
          <w:szCs w:val="18"/>
          <w:b w:val="1"/>
          <w:bCs w:val="1"/>
          <w:i w:val="1"/>
          <w:iCs w:val="1"/>
          <w:color w:val="auto"/>
        </w:rPr>
        <w:t xml:space="preserve"> OshKosh B'gosh</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product offerings include apparel and accessories for babies (sizes newborn to 24 months), toddlers (sizes 2T to 5T), and kids (sizes 4-14).</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For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 our focus is on essential, high-volume apparel products for babies and young children, including bodysuits, pants, dresses, multi-piece knit sets, blankets, layette essentials, bibs, booties, sleep and play, rompers, and jumpers. We attribute our leading market position to our strong value proposition, brand strength, unique colors, distinctive prints, and commitment to quality, as well as our broad wholesale distribution channel that includes successful and long-standing relationships with leading national retailers. Our marketing programs are targeted toward first-time mothers, experienced mothers, and gift-givers. Our </w:t>
      </w:r>
      <w:r>
        <w:rPr>
          <w:rFonts w:ascii="Arial" w:cs="Arial" w:eastAsia="Arial" w:hAnsi="Arial"/>
          <w:sz w:val="17"/>
          <w:szCs w:val="17"/>
          <w:i w:val="1"/>
          <w:iCs w:val="1"/>
          <w:color w:val="auto"/>
        </w:rPr>
        <w:t>Carter's little baby basics</w:t>
      </w:r>
      <w:r>
        <w:rPr>
          <w:rFonts w:ascii="Arial" w:cs="Arial" w:eastAsia="Arial" w:hAnsi="Arial"/>
          <w:sz w:val="17"/>
          <w:szCs w:val="17"/>
          <w:color w:val="auto"/>
        </w:rPr>
        <w:t xml:space="preserve"> product line, the largest component of our baby business, provides families with essential products and accessories, including value-focused multi-piece sets. We also have three exclusive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i w:val="1"/>
          <w:iCs w:val="1"/>
          <w:color w:val="auto"/>
        </w:rPr>
        <w:t xml:space="preserve">Carter's </w:t>
      </w:r>
      <w:r>
        <w:rPr>
          <w:rFonts w:ascii="Arial" w:cs="Arial" w:eastAsia="Arial" w:hAnsi="Arial"/>
          <w:sz w:val="18"/>
          <w:szCs w:val="18"/>
          <w:color w:val="auto"/>
        </w:rPr>
        <w:t>brands: our</w:t>
      </w:r>
      <w:r>
        <w:rPr>
          <w:rFonts w:ascii="Arial" w:cs="Arial" w:eastAsia="Arial" w:hAnsi="Arial"/>
          <w:sz w:val="18"/>
          <w:szCs w:val="18"/>
          <w:i w:val="1"/>
          <w:iCs w:val="1"/>
          <w:color w:val="auto"/>
        </w:rPr>
        <w:t xml:space="preserve"> Child of Mine </w:t>
      </w:r>
      <w:r>
        <w:rPr>
          <w:rFonts w:ascii="Arial" w:cs="Arial" w:eastAsia="Arial" w:hAnsi="Arial"/>
          <w:sz w:val="18"/>
          <w:szCs w:val="18"/>
          <w:color w:val="auto"/>
        </w:rPr>
        <w:t>brand, which we sell at Walmart, our</w:t>
      </w:r>
      <w:r>
        <w:rPr>
          <w:rFonts w:ascii="Arial" w:cs="Arial" w:eastAsia="Arial" w:hAnsi="Arial"/>
          <w:sz w:val="18"/>
          <w:szCs w:val="18"/>
          <w:i w:val="1"/>
          <w:iCs w:val="1"/>
          <w:color w:val="auto"/>
        </w:rPr>
        <w:t xml:space="preserve"> Just One You </w:t>
      </w:r>
      <w:r>
        <w:rPr>
          <w:rFonts w:ascii="Arial" w:cs="Arial" w:eastAsia="Arial" w:hAnsi="Arial"/>
          <w:sz w:val="18"/>
          <w:szCs w:val="18"/>
          <w:color w:val="auto"/>
        </w:rPr>
        <w:t>brand, which we sell at Target, and our</w:t>
      </w:r>
      <w:r>
        <w:rPr>
          <w:rFonts w:ascii="Arial" w:cs="Arial" w:eastAsia="Arial" w:hAnsi="Arial"/>
          <w:sz w:val="18"/>
          <w:szCs w:val="18"/>
          <w:i w:val="1"/>
          <w:iCs w:val="1"/>
          <w:color w:val="auto"/>
        </w:rPr>
        <w:t xml:space="preserve"> Simple Joys </w:t>
      </w:r>
      <w:r>
        <w:rPr>
          <w:rFonts w:ascii="Arial" w:cs="Arial" w:eastAsia="Arial" w:hAnsi="Arial"/>
          <w:sz w:val="18"/>
          <w:szCs w:val="18"/>
          <w:color w:val="auto"/>
        </w:rPr>
        <w:t>brand,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sell on Amazon.</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Carter's </w:t>
      </w:r>
      <w:r>
        <w:rPr>
          <w:rFonts w:ascii="Arial" w:cs="Arial" w:eastAsia="Arial" w:hAnsi="Arial"/>
          <w:sz w:val="18"/>
          <w:szCs w:val="18"/>
          <w:color w:val="auto"/>
        </w:rPr>
        <w:t>is the leading brand in the zero to 10-year-old market in the United States, with particular strength in the zero to two-year-old segment.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our multi-channel business model enabled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to maintain leading market share of approximately 12% in the zero to 10-year-old market, which represented approximately double the market share of the next largest brand. In addition,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maintained the leading market position of approximately 25% in the zero to two-year-old baby market, which represented approximately five times the market share of the next largest brand, and maintained its leading market position of approximately 13% in the three to four-year-old toddler market, which represented approximately double the market share of the next largest brand.</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Under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we place an emphasis on high-quality playclothes, including tops, overalls, jeans, sweaters and hoodies, shorts, shortalls, leggings and dresses, pants, graphic tees, and outerwear.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is generally positioned towards an older age segment and at slightly higher average prices relative to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We believe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has significant brand name recognition, which consumers associate with high-quality, durable, and authentic playclothes for young children.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playclothes include denim apparel products with multiple wash treatments and coordinating garments, overalls, woven bottoms, knit tops, and bodysuits for everyday use. In fiscal 2019,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brand's market share was approximately 2% of the zero to 10-year-old apparel market in the United States.</w:t>
      </w:r>
    </w:p>
    <w:p>
      <w:pPr>
        <w:spacing w:after="0" w:line="15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For both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brands, we employ cross-functional product teams to focus on the development of the brands and products. The teams include members from merchandising, art, design, sourcing, product development, and planning, and follow a disciplined approach to fabric usage, color selection, and assortment productivity. We believe this disciplined approach to product development, which includes consumer research, results in a compelling product offering to consumers, reduces our exposure to short-term trends, and supports efficient operations.</w:t>
      </w:r>
    </w:p>
    <w:p>
      <w:pPr>
        <w:spacing w:after="0" w:line="13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believe that we continuously strengthen our brand image with the consumer by differentiating our products through fabric and material improvements, new artistic applications, and new packaging and presentation strategies. We also attempt to differentiate our products and presentation through in-store fixturing, branding, signage, photography, and advertising, both in our stores and on our websites, as well as with our major wholesale customers.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9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We license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w:t>
      </w:r>
      <w:r>
        <w:rPr>
          <w:rFonts w:ascii="Arial" w:cs="Arial" w:eastAsia="Arial" w:hAnsi="Arial"/>
          <w:sz w:val="17"/>
          <w:szCs w:val="17"/>
          <w:i w:val="1"/>
          <w:iCs w:val="1"/>
          <w:color w:val="auto"/>
        </w:rPr>
        <w:t>Child of Mine</w:t>
      </w:r>
      <w:r>
        <w:rPr>
          <w:rFonts w:ascii="Arial" w:cs="Arial" w:eastAsia="Arial" w:hAnsi="Arial"/>
          <w:sz w:val="17"/>
          <w:szCs w:val="17"/>
          <w:color w:val="auto"/>
        </w:rPr>
        <w:t xml:space="preserve">, </w:t>
      </w:r>
      <w:r>
        <w:rPr>
          <w:rFonts w:ascii="Arial" w:cs="Arial" w:eastAsia="Arial" w:hAnsi="Arial"/>
          <w:sz w:val="17"/>
          <w:szCs w:val="17"/>
          <w:i w:val="1"/>
          <w:iCs w:val="1"/>
          <w:color w:val="auto"/>
        </w:rPr>
        <w:t>Just One You</w:t>
      </w:r>
      <w:r>
        <w:rPr>
          <w:rFonts w:ascii="Arial" w:cs="Arial" w:eastAsia="Arial" w:hAnsi="Arial"/>
          <w:sz w:val="17"/>
          <w:szCs w:val="17"/>
          <w:color w:val="auto"/>
        </w:rPr>
        <w:t xml:space="preserve">, </w:t>
      </w:r>
      <w:r>
        <w:rPr>
          <w:rFonts w:ascii="Arial" w:cs="Arial" w:eastAsia="Arial" w:hAnsi="Arial"/>
          <w:sz w:val="17"/>
          <w:szCs w:val="17"/>
          <w:i w:val="1"/>
          <w:iCs w:val="1"/>
          <w:color w:val="auto"/>
        </w:rPr>
        <w:t>Simple Joys</w:t>
      </w:r>
      <w:r>
        <w:rPr>
          <w:rFonts w:ascii="Arial" w:cs="Arial" w:eastAsia="Arial" w:hAnsi="Arial"/>
          <w:sz w:val="17"/>
          <w:szCs w:val="17"/>
          <w:color w:val="auto"/>
        </w:rPr>
        <w:t xml:space="preserve">, </w:t>
      </w:r>
      <w:r>
        <w:rPr>
          <w:rFonts w:ascii="Arial" w:cs="Arial" w:eastAsia="Arial" w:hAnsi="Arial"/>
          <w:sz w:val="17"/>
          <w:szCs w:val="17"/>
          <w:i w:val="1"/>
          <w:iCs w:val="1"/>
          <w:color w:val="auto"/>
        </w:rPr>
        <w:t>Precious Firsts</w:t>
      </w:r>
      <w:r>
        <w:rPr>
          <w:rFonts w:ascii="Arial" w:cs="Arial" w:eastAsia="Arial" w:hAnsi="Arial"/>
          <w:sz w:val="17"/>
          <w:szCs w:val="17"/>
          <w:color w:val="auto"/>
        </w:rPr>
        <w:t xml:space="preserve">, </w:t>
      </w:r>
      <w:r>
        <w:rPr>
          <w:rFonts w:ascii="Arial" w:cs="Arial" w:eastAsia="Arial" w:hAnsi="Arial"/>
          <w:sz w:val="17"/>
          <w:szCs w:val="17"/>
          <w:i w:val="1"/>
          <w:iCs w:val="1"/>
          <w:color w:val="auto"/>
        </w:rPr>
        <w:t>Precious Baby</w:t>
      </w:r>
      <w:r>
        <w:rPr>
          <w:rFonts w:ascii="Arial" w:cs="Arial" w:eastAsia="Arial" w:hAnsi="Arial"/>
          <w:sz w:val="17"/>
          <w:szCs w:val="17"/>
          <w:color w:val="auto"/>
        </w:rPr>
        <w:t xml:space="preserve">, </w:t>
      </w:r>
      <w:r>
        <w:rPr>
          <w:rFonts w:ascii="Arial" w:cs="Arial" w:eastAsia="Arial" w:hAnsi="Arial"/>
          <w:sz w:val="17"/>
          <w:szCs w:val="17"/>
          <w:i w:val="1"/>
          <w:iCs w:val="1"/>
          <w:color w:val="auto"/>
        </w:rPr>
        <w:t>and Carter's little baby basics</w:t>
      </w:r>
      <w:r>
        <w:rPr>
          <w:rFonts w:ascii="Arial" w:cs="Arial" w:eastAsia="Arial" w:hAnsi="Arial"/>
          <w:sz w:val="17"/>
          <w:szCs w:val="17"/>
          <w:color w:val="auto"/>
        </w:rPr>
        <w:t>, brands to partners to expand our product offerings to include bedding, cribs, diaper bags, footwear, gift sets, hair accessories, jewelry, outerwear, paper goods, socks, shoes, swimwear, and toys. As of December 28, 2019, we had eight licensees in the United States who manufacture products under these brands. These licensing partners develop and sell products through our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their products to ensure that they fit within our brand vision of high-quality products at attractive prices to provide value to the consumer.</w:t>
      </w:r>
    </w:p>
    <w:p>
      <w:pPr>
        <w:spacing w:after="0" w:line="138" w:lineRule="exact"/>
        <w:rPr>
          <w:sz w:val="20"/>
          <w:szCs w:val="20"/>
          <w:color w:val="auto"/>
        </w:rPr>
      </w:pPr>
    </w:p>
    <w:p>
      <w:pPr>
        <w:ind w:right="1620"/>
        <w:spacing w:after="0" w:line="399" w:lineRule="auto"/>
        <w:rPr>
          <w:sz w:val="20"/>
          <w:szCs w:val="20"/>
          <w:color w:val="auto"/>
        </w:rPr>
      </w:pPr>
      <w:r>
        <w:rPr>
          <w:rFonts w:ascii="Arial" w:cs="Arial" w:eastAsia="Arial" w:hAnsi="Arial"/>
          <w:sz w:val="18"/>
          <w:szCs w:val="18"/>
          <w:color w:val="auto"/>
        </w:rPr>
        <w:t xml:space="preserve">We also partner with other brand owners to further expand our product offerings, including apparel with professional sport teams' logos. </w:t>
      </w:r>
      <w:r>
        <w:rPr>
          <w:rFonts w:ascii="Arial" w:cs="Arial" w:eastAsia="Arial" w:hAnsi="Arial"/>
          <w:sz w:val="18"/>
          <w:szCs w:val="18"/>
          <w:b w:val="1"/>
          <w:bCs w:val="1"/>
          <w:i w:val="1"/>
          <w:iCs w:val="1"/>
          <w:color w:val="auto"/>
        </w:rPr>
        <w:t>Skip Hop</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Under our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we design, source, and market products that are sold primarily to families with young children. Our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is best known for its diaper bags, which we believe combine innovative functionality with attractive design.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offering also includes products for playtime, travel, mealtime, kid's bags, bathtime, and homegear.</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is a global lifestyle brand. </w:t>
      </w:r>
      <w:r>
        <w:rPr>
          <w:rFonts w:ascii="Arial" w:cs="Arial" w:eastAsia="Arial" w:hAnsi="Arial"/>
          <w:sz w:val="18"/>
          <w:szCs w:val="18"/>
          <w:i w:val="1"/>
          <w:iCs w:val="1"/>
          <w:color w:val="auto"/>
        </w:rPr>
        <w:t>Skip Hop'</w:t>
      </w:r>
      <w:r>
        <w:rPr>
          <w:rFonts w:ascii="Arial" w:cs="Arial" w:eastAsia="Arial" w:hAnsi="Arial"/>
          <w:sz w:val="18"/>
          <w:szCs w:val="18"/>
          <w:color w:val="auto"/>
        </w:rPr>
        <w:t>s core philosophy and positioning begins and ends with its brand promise -- "</w:t>
      </w:r>
      <w:r>
        <w:rPr>
          <w:rFonts w:ascii="Arial" w:cs="Arial" w:eastAsia="Arial" w:hAnsi="Arial"/>
          <w:sz w:val="18"/>
          <w:szCs w:val="18"/>
          <w:i w:val="1"/>
          <w:iCs w:val="1"/>
          <w:color w:val="auto"/>
        </w:rPr>
        <w:t>Must-Haves * Made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Better." </w:t>
      </w:r>
      <w:r>
        <w:rPr>
          <w:rFonts w:ascii="Arial" w:cs="Arial" w:eastAsia="Arial" w:hAnsi="Arial"/>
          <w:sz w:val="18"/>
          <w:szCs w:val="18"/>
          <w:color w:val="auto"/>
        </w:rPr>
        <w:t>This reflects the brand's goal of creating innovative, smartly designed, and highly functional essentials for parents, babies, and toddlers. The</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 xml:space="preserve">team includes both an in-house design and a creative team, each of which is dedicated to meeting that goal. We have introduced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products in our retail stores, and have increased investments in in-store fixturing, branding, and signage packages, along with digital advertising, to further strengthen the position of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Sales Channels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sell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multiple channels, both in the United States and globally.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U.S. retail sales channel includes sales of our products through our U.S. retail stores and eCommerce sites.</w:t>
      </w:r>
    </w:p>
    <w:p>
      <w:pPr>
        <w:spacing w:after="0" w:line="1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U.S. retail stores are generally located in high-traffic strip shopping centers and malls in or near major cities or in outlet centers that are near densely-populated areas. We believe our brand strength and our product assortment have made our retail stores a destination for consumers seeking young children's apparel and accessories.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retail stores in single-branded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or </w:t>
      </w:r>
      <w:r>
        <w:rPr>
          <w:rFonts w:ascii="Arial" w:cs="Arial" w:eastAsia="Arial" w:hAnsi="Arial"/>
          <w:sz w:val="17"/>
          <w:szCs w:val="17"/>
          <w:i w:val="1"/>
          <w:iCs w:val="1"/>
          <w:color w:val="auto"/>
        </w:rPr>
        <w:t>Skip Hop</w:t>
      </w:r>
      <w:r>
        <w:rPr>
          <w:rFonts w:ascii="Arial" w:cs="Arial" w:eastAsia="Arial" w:hAnsi="Arial"/>
          <w:sz w:val="17"/>
          <w:szCs w:val="17"/>
          <w:color w:val="auto"/>
        </w:rPr>
        <w:t>) and co-branded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formats, as well as "side-by-side" formats, which consist of adjacent and connected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stores. Each of these stores carry an assortment of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and/or </w:t>
      </w:r>
      <w:r>
        <w:rPr>
          <w:rFonts w:ascii="Arial" w:cs="Arial" w:eastAsia="Arial" w:hAnsi="Arial"/>
          <w:sz w:val="17"/>
          <w:szCs w:val="17"/>
          <w:i w:val="1"/>
          <w:iCs w:val="1"/>
          <w:color w:val="auto"/>
        </w:rPr>
        <w:t>Skip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Hop </w:t>
      </w:r>
      <w:r>
        <w:rPr>
          <w:rFonts w:ascii="Arial" w:cs="Arial" w:eastAsia="Arial" w:hAnsi="Arial"/>
          <w:sz w:val="17"/>
          <w:szCs w:val="17"/>
          <w:color w:val="auto"/>
        </w:rPr>
        <w:t>branded products, as well as other products, depending on the store and location. Single-branded stores average approximately 4,300 square feet per</w:t>
      </w:r>
      <w:r>
        <w:rPr>
          <w:rFonts w:ascii="Arial" w:cs="Arial" w:eastAsia="Arial" w:hAnsi="Arial"/>
          <w:sz w:val="17"/>
          <w:szCs w:val="17"/>
          <w:i w:val="1"/>
          <w:iCs w:val="1"/>
          <w:color w:val="auto"/>
        </w:rPr>
        <w:t xml:space="preserve"> </w:t>
      </w:r>
      <w:r>
        <w:rPr>
          <w:rFonts w:ascii="Arial" w:cs="Arial" w:eastAsia="Arial" w:hAnsi="Arial"/>
          <w:sz w:val="17"/>
          <w:szCs w:val="17"/>
          <w:color w:val="auto"/>
        </w:rPr>
        <w:t>location, co-branded stores approximately 5,000 square feet per location, and side-by-side stores approximately 7,400 square feet per location. As of December 28, 2019, in the United States we operated 493 single-branded stores, 210 co-branded stores, and 159 "side-by-side" stores.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assess potential new retail store locations and closures based on demographic factors, retail adjacencies, competitive factors, and population density as part of a rigorous real estate portfolio optimization process.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sell our products through our online U.S. eCommerce sites, which were re-launched in fiscal 2019, at www.carters.com, www.oshkoshbgosh.com, www.oshkosh.com, and www.skiphop.com.</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our retail stores and eCommerce sites, we focus on the customer experience through store and eCommerce website design, visual aesthetics, clear product presentation, and experienced customer service. Our eCommerce websites also feature product recommendations and on-line-only offerings. We strive to create a seamless omni-channel experience between our retail stores and our eCommerce websites, as more fully described below under "Our Customer and Marketing Strategy."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U.S. wholesale channel includes sales of our products to our U.S. wholesale customers.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wholesale customers in the United States include major retailers, such as, in alphabetical order, Costco, JCPenney, Kohl's, and Macy's.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Additionally, we sell our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brand at Walmart, our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brand at Target, and our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brand on Amazon.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wholesale customers in the United States include major retailers, such as, in alphabetical order, Costco, Kohl's, and Target.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wholesale customers in the United States include major retailers, such as, in alphabetical order, Amazon, Buy Buy Baby, and Target.</w:t>
      </w:r>
    </w:p>
    <w:p>
      <w:pPr>
        <w:spacing w:after="0" w:line="20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collaborate with our wholesale customers to provide a consistent, high-level of service, and to drive growth through eCommerce, replenishment, product mix, and brand presentation initiatives. We also have frequent meetings with the senior management of key accounts to align on strategic growth plans.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International segment includes sales of our products through our retail stores and eCommerce sites in Canada and Mexico, and to international wholesale accounts, such as, in alphabetical order, Amazon, Costco, and Walmart. As of December 28, 2019, in Canada we operated 201 co-branded Carter's and OshKosh retail stores and an eCommerce site at www.cartersoshkosh.ca, and in Mexico we operated 46 retail stores and an eCommerce site at www.carter.com.mx that we launched in fiscal 2019.</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addition, we license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to international accounts that sell our products through branded retail and online stores, as well as to wholesale accounts, within their licensed territories. Our International segment also includes sales of our products to these licensees, and royalty income based on sales made by certain licensees. As of December 28, 2019, we had approximately 40 international licensees who operated in over 90 countries.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Customer and Marketing Strategy</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all of our brands, our marketing is predominantly focused on driving brand preference and engagement with millennial customers, including through strengthening and evolving our digital programs. Our omni-channel approach allows the customer to experience the brand as a seamless shopping experience in the channel of their choice. In fiscal 2019, we launched capabilities to allow our customers to buy on-line and pick-up in store, complementing our existing buy-online, ship-to-store and in-store buy on-line services.</w:t>
      </w:r>
    </w:p>
    <w:p>
      <w:pPr>
        <w:spacing w:after="0" w:line="14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 xml:space="preserve">We operate our </w:t>
      </w:r>
      <w:r>
        <w:rPr>
          <w:rFonts w:ascii="Arial" w:cs="Arial" w:eastAsia="Arial" w:hAnsi="Arial"/>
          <w:sz w:val="18"/>
          <w:szCs w:val="18"/>
          <w:i w:val="1"/>
          <w:iCs w:val="1"/>
          <w:color w:val="auto"/>
        </w:rPr>
        <w:t>Rewarding Moments</w:t>
      </w:r>
      <w:r>
        <w:rPr>
          <w:rFonts w:ascii="Arial" w:cs="Arial" w:eastAsia="Arial" w:hAnsi="Arial"/>
          <w:sz w:val="18"/>
          <w:szCs w:val="18"/>
          <w:color w:val="auto"/>
        </w:rPr>
        <w:t xml:space="preserve"> loyalty and rewards program in the United States to drive customer traffic, sales, and brand loyalty. This program is integrated across our U.S. retail stores and online businesses. During fiscal 2019, our U.S. retail sales were predominantly made to customers who are members of </w:t>
      </w:r>
      <w:r>
        <w:rPr>
          <w:rFonts w:ascii="Arial" w:cs="Arial" w:eastAsia="Arial" w:hAnsi="Arial"/>
          <w:sz w:val="18"/>
          <w:szCs w:val="18"/>
          <w:i w:val="1"/>
          <w:iCs w:val="1"/>
          <w:color w:val="auto"/>
        </w:rPr>
        <w:t>Rewarding Moments.</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fiscal 2019, we launched a new Carter's credit card program in our U.S. retail stores and eCommerce sites. The Carter's credit card complements and enhances our existing </w:t>
      </w:r>
      <w:r>
        <w:rPr>
          <w:rFonts w:ascii="Arial" w:cs="Arial" w:eastAsia="Arial" w:hAnsi="Arial"/>
          <w:sz w:val="18"/>
          <w:szCs w:val="18"/>
          <w:i w:val="1"/>
          <w:iCs w:val="1"/>
          <w:color w:val="auto"/>
        </w:rPr>
        <w:t>Rewarding Moments</w:t>
      </w:r>
      <w:r>
        <w:rPr>
          <w:rFonts w:ascii="Arial" w:cs="Arial" w:eastAsia="Arial" w:hAnsi="Arial"/>
          <w:sz w:val="18"/>
          <w:szCs w:val="18"/>
          <w:color w:val="auto"/>
        </w:rPr>
        <w:t xml:space="preserve"> loyalty program and provides new benefits for our customers, including free shipping on every eCommerce order, double </w:t>
      </w:r>
      <w:r>
        <w:rPr>
          <w:rFonts w:ascii="Arial" w:cs="Arial" w:eastAsia="Arial" w:hAnsi="Arial"/>
          <w:sz w:val="18"/>
          <w:szCs w:val="18"/>
          <w:i w:val="1"/>
          <w:iCs w:val="1"/>
          <w:color w:val="auto"/>
        </w:rPr>
        <w:t>Rewarding Moments</w:t>
      </w:r>
      <w:r>
        <w:rPr>
          <w:rFonts w:ascii="Arial" w:cs="Arial" w:eastAsia="Arial" w:hAnsi="Arial"/>
          <w:sz w:val="18"/>
          <w:szCs w:val="18"/>
          <w:color w:val="auto"/>
        </w:rPr>
        <w:t xml:space="preserve"> points, and exclusive cardholder-only events.</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investments in marketing, our loyalty program, and new technologies are focused on acquiring new customers, developing stronger connections with our existing customers, and extending their relationship with our brands. Our goal is to have the most top-of-mind, preferred brands in the young children's market and to connect with a diverse, digitally-savvy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Sourcing Network</w:t>
      </w:r>
    </w:p>
    <w:p>
      <w:pPr>
        <w:spacing w:after="0" w:line="20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do not own any manufacturing facilities. We source all of our garments and other products from a global network of third party suppliers, primarily located in Asia. We source the remainder of our products primarily through Central America. During fiscal 2019, approximately 80% of our product was sourced from Cambodia, Vietnam, China, and Bangladesh.</w:t>
      </w:r>
    </w:p>
    <w:p>
      <w:pPr>
        <w:spacing w:after="0" w:line="24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Our sourcing operations are based in Hong Kong in order to facilitate better service and accommodate the volume of manufacturing in Asia. Our Hong Kong office acts as an agent for substantially all of our production in Asia and monitors production at manufacturers' facilities to ensure quality control, compliance with our manufacturing specifications and social responsibility standards, as well as timely delivery of finished garments to our distribution facilities. We also have sourcing operations in Bangladesh, Cambodia, China, and Vietnam to help support these efforts.</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placing production, and on a recurring basis, we conduct assessments of political, social, economic, trade, labor and intellectual property protection conditions in the countries in which we source our products. In connection with the manufacture of our products, manufacturers purchase raw materials including fabric and other materials (such as linings, zippers, buttons, and trim) at our direction. Prior to commencing the manufacture of products, samples of raw materials are sent to us for approval. We regularly inspect and supervise the manufacture of our products in order to maintain quality control, monitor compliance with our manufacturing specifications and social responsibility standards and to ensure timely delivery. We also inspect finished products at the manufacturing facilities.</w:t>
      </w:r>
    </w:p>
    <w:p>
      <w:pPr>
        <w:spacing w:after="0" w:line="2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2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14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adopted a factory on-boarding program that allows us to assess each factory's compliance with our social responsibility standards before we place orders for product with that factory, including factories utilized by companies that we acquire. Additionally, we regularly assess the manufacturing facilities we use through periodic on-site facility inspections, including the use of independent auditors to supplement our internal staff. We use audit data and performance results to suggest improvements when necessary, and we integrate this information into our on-going sourcing decisions. Our vendor code of conduct, with which we require our factories to comply, covers employment practices, such as wages and benefits, working hours, health and safety, working age, and discriminatory practices, as well as environmental, ethical, and other legal matters.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Distribution Network</w:t>
      </w:r>
    </w:p>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based upon needs, costs, and timing considerations.</w:t>
      </w:r>
    </w:p>
    <w:p>
      <w:pPr>
        <w:spacing w:after="0" w:line="2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United States, we operate two distribution centers in Georgia: an approximately 1.1 million square-foot multi-channel facility in Braselton and a 505,000 square-foot facility in Stockbridge. We also outsource distribution activities to third party logistics providers located in California. Our distribution center activities include receiving finished goods from our vendors, inspecting those products, preparing them for retail and wholesale presentation, and shipping them to our wholesale customers, retail stores, and eCommerce customers.</w:t>
      </w:r>
    </w:p>
    <w:p>
      <w:pPr>
        <w:spacing w:after="0" w:line="1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Internationally, we operate directly or outsource our distribution activities to third party logistics providers in Canada, China, the United Kingdom, and Mexico to support our international wholesale accounts, international licensees, international eCommerce operations, and Canadian and Mexican retail store networks.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products are subject to regulation of and regulatory standards with respect to quality and safety set by various governmental authorities around the world, including in the United States, Canada, Mexico, the United Kingdom, and the European Union.</w:t>
      </w:r>
    </w:p>
    <w:p>
      <w:pPr>
        <w:spacing w:after="0" w:line="13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 substantial portion of our products is imported into the United States, Canada, Mexico, and the European Union. These products are subject to various customs laws, which may impose tariffs, as well as quota restrictions. In addition, each of the countries in which our products are sold has laws and regulations covering imports. The United States and other countries in which our products are sold may impose, from time to time, new duties, tariffs, surcharges, or other import controls or restrictions, or adjust presently prevailing duty or tariff rates or levels. We, therefore, actively monitor import restrictions and developments and seek to minimize our potential exposure to import related risks through shifts of production among countries, including consideration of countries with tariff preference and free trade agreements, manufacturers, and geographical diversification of our sources of supply.</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also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baby and young children's apparel and accessories market is highly competitive. Competition is generally based on a variety of factors, including comfort and fit, quality, pricing, experience, and selection. Both branded and private label manufacturers as well as specialty apparel retailers aggressively compete in the baby and young children's apparel market. Our primary competitors include: The Children's Place, Gap, and Old Navy (specialty apparel); Cat &amp; Jack and Garanimals (private label); and Disney, Gerber, and Nike (national brands). Because of the highly-fragmented nature of the industry, we also compete with many small manufacturers and retailers. We believe that the strength of our brand names, combined with our breadth and value of product offerings, longevity in the marketplace, distribution footprint, and operational expertise, position us well against these competitors.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3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Seasonality and Weather</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customer trends, consumer traffic, and shopping habits. For example, extended periods of unseasonably warm temperatures during the winter season or cool temperatures during the summer season could affect the timing of, and reduce or shift, demand.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28, 2019, we had approximately 20,300 employees globally. As of December 28, 2019, approximately 277 employees were unionized employees, all of whom were in Mexico. We believe that our labor relationships with our employees are good.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Our primary internet address is www.carters.com. The information contained on our website is not included as part of, or incorporated by reference into, this Annual Report on Form 10-K or any other reports we file with or furnish to the Securities and Exchange Commission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Our SEC reports can be accessed through the investor relations section of our website. We also make available on our website the </w:t>
      </w:r>
      <w:r>
        <w:rPr>
          <w:rFonts w:ascii="Arial" w:cs="Arial" w:eastAsia="Arial" w:hAnsi="Arial"/>
          <w:sz w:val="17"/>
          <w:szCs w:val="17"/>
          <w:i w:val="1"/>
          <w:iCs w:val="1"/>
          <w:color w:val="auto"/>
        </w:rPr>
        <w:t>Carter's Code of Ethics</w:t>
      </w:r>
      <w:r>
        <w:rPr>
          <w:rFonts w:ascii="Arial" w:cs="Arial" w:eastAsia="Arial" w:hAnsi="Arial"/>
          <w:sz w:val="17"/>
          <w:szCs w:val="17"/>
          <w:color w:val="auto"/>
        </w:rPr>
        <w:t>, our corporate governance principles, and the charters for the Compensation, Audit, and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of the Board of Directors. The SEC maintains an internet site, www.sec.gov, containing reports, proxy and information statements, and other information regarding issuers, including us, that file electronically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Carter's, Inc. is a Delaware corporation, with its principal executive offices located at Phipps Tower, 3438 Peachtree Road NE, Suite 1800, Atlanta, Georgia 30326. Our telephone number is (678) 791-1000. Carter's, Inc. and its predecessors have been doing business since 1865.</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3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difficulties for, or the loss of one or more of, our major wholesale customers could result in a material loss of revenues.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significant amount of our business is with our U.S. wholesale customers. For fiscal 2019, we derived approximately 34% of our consolidated net sales from our U.S. Wholesale segment and approximately 33% of our consolidated net sales from our top ten wholesale customers. As of the end of fiscal 2019, approximately 85% of our gross accounts receivable were from our ten largest wholesale customers, with three of these customers having individual receivable balances in excess of 10% of our total accounts receivable. Furthermore, we do not enter into long-term sales contracts with our major wholesale customers, relying instead on product performance, long-standing relationships, and our position in the marketplace.</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we face the risk that one or more of these or other customers may significantly decrease their business or terminate their relationship with us as a result of financial difficulties (including bankruptcy or insolvency), competitive forces, consolidation, reorganization, or other reasons, which in turn could result in significant levels of excess inventory that we may not be able to place elsewhere, a material decrease in our sales, or material impact on our operating results. In addition, our reserves for doubtful accounts for estimated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overall levels of consumer spending, particularly in the young children's apparel market.</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Both retail and wholesale consumer demand for young children apparel and accessories, specifically brand name apparel products, is affected by the overall level of consumer spending. Overall spending in the market is affected by a number of factors, including birth rate fluctuations, and the number of customers that are acquired and retained. In addition, discretionary consumer spending is affected by a number of factors, such as the weather, the overall economy and employment levels, uncertainty in the political climate (including as a result of the upcoming U.S. presidential election), gasoline and utility costs, business conditions, availability of consumer credit, tax rates, the availability of tax credits, interest rates, levels of consumer indebtedness, foreign currency exchange rates, and overall levels of consumer confidence. Reductions, or lower-than-expected growth, in the level of discretionary or overall end consumer spending may have a material adverse effect on our sales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acceptance of our products in the marketplace is affected by consumer tastes and preferences, along with fashion trends.</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believe that our continued success depends on our ability to create products that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sell out-of-season merchandise, and our profitability and results of operations could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market and the size and resources of some of our competitors may allow them to compete more effectively than we can.</w:t>
      </w:r>
    </w:p>
    <w:p>
      <w:pPr>
        <w:spacing w:after="0" w:line="1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baby and young children's apparel and accessories market is very competitive, and includes both branded and private label manufacturers. Because of the fragmented nature of the industry, we also compete with many other manufacturers and retailers including in certain instances some of our wholesale accounts. Some of our competitors have greater financial resources and larger customer bases than we have. As a result, these competitors may be able to adapt to changes in customer requirements more quickly, take advantage of acquisitions and other opportunities more readily, devote greater resources to the marketing and sale of their products, and adopt more aggressive pricing strategies than we can.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1" w:name="page12"/>
    <w:bookmarkEnd w:id="11"/>
    <w:p>
      <w:pPr>
        <w:ind w:right="540"/>
        <w:spacing w:after="0" w:line="277" w:lineRule="auto"/>
        <w:rPr>
          <w:sz w:val="20"/>
          <w:szCs w:val="20"/>
          <w:color w:val="auto"/>
        </w:rPr>
      </w:pPr>
      <w:r>
        <w:rPr>
          <w:rFonts w:ascii="Arial" w:cs="Arial" w:eastAsia="Arial" w:hAnsi="Arial"/>
          <w:sz w:val="18"/>
          <w:szCs w:val="18"/>
          <w:b w:val="1"/>
          <w:bCs w:val="1"/>
          <w:i w:val="1"/>
          <w:iCs w:val="1"/>
          <w:color w:val="auto"/>
        </w:rPr>
        <w:t>The value of our brands, and our sales, could be diminished if we are associated with negative publicity, including through actions by our vendors, independent manufacturers, and licensees, over whom we have limited control.</w:t>
      </w:r>
    </w:p>
    <w:p>
      <w:pPr>
        <w:spacing w:after="0" w:line="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Although we maintain policies with our vendors, independent manufacturers, and licensees that promote ethical business practices, and our employees, agents, and third-party compliance auditors periodically visit and monitor the operations of these entities, we do not control our vendors, independent manufacturers, or licensees, or their practices. A violation of our vendor policies, licensee agreements, health and safety standards, labor laws, anti-bribery laws, or other policies or laws by these vendors, independent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or vendors.</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rights could diminish the value of our brand, weaken our competitive position, and adversely affect our results.</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rely on a combination of trademark, unfair competition, and copyright laws, as well as licensing and vendor arrangements, to establish and protect our intellectual property assets and rights. The steps taken by us or by our licensees and vendors to 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trademarks,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 its merit. Successful infringement claims against us could result in significant monetary liability or prevent us from selling some of our products, which could have an adverse effect on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delays, product recalls, or loss of revenues if our products do not meet our quality standards or applicable regulatory requirements.</w:t>
      </w:r>
    </w:p>
    <w:p>
      <w:pPr>
        <w:spacing w:after="0" w:line="12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From time to time, we receive shipments of product from our third-party vendors that fail to conform to our quality control standards. A failure in our quality control program may result in diminished product quality, which in turn may result in increased order cancellations and product returns, decreased consumer demand for our products, or product recalls, any of which may have a material adverse effect on our results of operations and financial condition. In addition, products that fail to meet our standards, or other unauthorized products, could end up in the marketplace without our knowledge. This could materially harm our brand and our reputation in the marketplace.</w:t>
      </w:r>
    </w:p>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products are subject to regulations and standards set by various governmental authorities around the world, including in the United States, Canada, Mexico, and the European Union. These regulations and standards include rules relating to product quality and safety, and may change from time to time.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a material adverse effect from unseasonable or extreme weather conditions.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susceptible to unseasonable weather conditions, which could influence customer demand, consumer traffic, and shopping habits. For example, extended periods of unseasonably warm temperatures during the winter season or cool temperatures during the summer season could affect the timing of and reduce or shift demand, and thereby could have an adverse effect on our operational results, financial position, and cash flows. In addition, extreme weather conditions in the areas in which our stores are located could negatively affect our business, operational results, financial position, and cash flows. For example, frequent or unusually heavy or intense snowfall, flooding, hurricanes, or other extreme weather conditions over an extended period could cause our stores to close for a period of time or permanently, and could make it difficult for our customers to travel to our stores, which in turn could negatively impact our operational results.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1" w:right="259" w:bottom="1440" w:gutter="0" w:footer="0" w:header="0"/>
        </w:sectPr>
      </w:pPr>
    </w:p>
    <w:bookmarkStart w:id="12" w:name="page13"/>
    <w:bookmarkEnd w:id="12"/>
    <w:p>
      <w:pPr>
        <w:ind w:right="100"/>
        <w:spacing w:after="0" w:line="277" w:lineRule="auto"/>
        <w:rPr>
          <w:sz w:val="20"/>
          <w:szCs w:val="20"/>
          <w:color w:val="auto"/>
        </w:rPr>
      </w:pPr>
      <w:r>
        <w:rPr>
          <w:rFonts w:ascii="Arial" w:cs="Arial" w:eastAsia="Arial" w:hAnsi="Arial"/>
          <w:sz w:val="18"/>
          <w:szCs w:val="18"/>
          <w:b w:val="1"/>
          <w:bCs w:val="1"/>
          <w:i w:val="1"/>
          <w:iCs w:val="1"/>
          <w:color w:val="auto"/>
        </w:rPr>
        <w:t>We are and may become subject to various claims and pending or threatened lawsuits, including as a result of investigations or other proceedings related to previously disclosed investigations.</w:t>
      </w:r>
    </w:p>
    <w:p>
      <w:pPr>
        <w:spacing w:after="0" w:line="3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are subject to various other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lawsuits, such amounts could exceed any applicable insurance coverage or contractual rights available to us. As a result, such lawsuits could be significant and have a material adverse impact on our business, financial condition, and results of operations.</w:t>
      </w:r>
    </w:p>
    <w:p>
      <w:pPr>
        <w:spacing w:after="0" w:line="12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as previously reported, in 2009 the SEC and the U.S. Attorney's Office began conducting investigations, with which the Company cooperated, related to customer margin support provided by the Company, including undisclosed margin support commitments and related matters. In December 2010, the Company and the SEC entered into a non-prosecution agreement pursuant to which the SEC agreed not to charge the Company with any violations of federal securities laws, commence any enforcement action against the Company, or require the Company to pay any financial penalties in connection with the SEC investigation of customer margin support provided by the Company, conditioned upon the Company's continued cooperation with the SEC's investigation and with any related proceedings. The Company has incurred, and may continue to incur, substantial expenses for legal services due to the SEC and U.S. Attorney's Office investigations and any related proceedings. These matters may continue to divert management's time and attention away from operations. The Company also expects to bear additional costs pursuant to its advancement and indemnification obligations to directors and officers under the terms of our organizational documents in connection with proceedings related to these matters. Our insurance may not provide coverage to offset all of the costs incurred in connection with these proceedings.</w:t>
      </w:r>
    </w:p>
    <w:p>
      <w:pPr>
        <w:spacing w:after="0" w:line="1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systems, and those of our vendors, containing personal information and payment card data of our retail store and eCommerce customers, employees, and other third parties could be breached, which could subject us to adverse publicity, costly government enforcement actions or private litigation, and expenses.</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the security of our networks, databases, systems, and processes and, in certain circumstances, those of third parties, to protect our proprietary information and information about our customers, employees, and vendors. Criminals are constantly devising schemes to circumvent information technology security safeguards and other retailers have recently suffered serious data security breaches. If unauthorized parties gain access to our networks or databases, or those of our vendors, they may be able to steal, publish, delete, modify, or block our access to our private and sensitive internal and third-party information, including credit card information and personally identifiable information. In addition, employees may intentionally or inadvertently cause data or security breaches that result in unauthorized release of personal or confidential information. In such circumstances, we could be held liable to our customers, other parties, or employees as well as be subject to regulatory or other actions for breaching privacy law (including the E.U. General Data Protection Act and the California Consumer Privacy Act)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card industry, we may be subject to fines, restrictions, and expulsion from card acceptance programs, which could adversely affect our retail operations.</w:t>
      </w:r>
    </w:p>
    <w:p>
      <w:pPr>
        <w:spacing w:after="0" w:line="12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profitability may decline as a result of increasing pressure on margins, including deflationary pressures on our selling prices and increases in production costs and costs to serve.</w:t>
      </w:r>
    </w:p>
    <w:p>
      <w:pPr>
        <w:spacing w:after="0" w:line="3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general inflationary pressures, as well as the costs of our products, which are driven in part by the costs of raw materials (including cotton and other commodities), labor, fuel, transportation and duties, and the costs to deliver those products to our customers. If external pressures cause us to reduce our sales prices and we fail to sufficiently reduce our product costs or operating expenses, or if we are unable to fully optimize prices or pass on increased costs to our customers, our profitability could decline. This could have a material adverse effect on our results of operations, liquidity, and financial condition.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auto"/>
        </w:rPr>
        <w:t>Our revenues, product costs, and other expenses are subject to foreign economic and currency risks due to our operations outside of the United States.</w:t>
      </w:r>
    </w:p>
    <w:p>
      <w:pPr>
        <w:spacing w:after="0" w:line="1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operations in Canada, Mexico, the European Union, and Asia, and our vendors, independent manufacturers, and licensees are located around the world. The value of the U.S. dollar against other foreign currencies has experienced significant volatility in recent years. While our business is primarily conducted in U.S. dollars, we source substantially all of our production from Asia, and we generate significant revenues in Canada. Cost increases caused by currency exchange rate fluctuations could make our products less competitive or have a material adverse effect on our profitability. Currency exchange rate fluctuations could also disrupt the businesses of our independent manufacturers that produce our products by making their purchases of raw materials or products more expensive and more difficult to finance. Additionally, fluctuations in exchange rates impact the amount of our reported sales and expenses, which could have a material adverse effect on our financial position, results of operations, and cash flows.</w:t>
      </w:r>
    </w:p>
    <w:p>
      <w:pPr>
        <w:spacing w:after="0" w:line="12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source substantially all of our products through a network of vendors primarily in Asia, principally coordinated by our Hong Kong sourcing office. Our global supply chain could be negatively affected due to a number of factors, including:</w:t>
      </w:r>
    </w:p>
    <w:p>
      <w:pPr>
        <w:spacing w:after="0" w:line="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political instability or other global events resulting in the disruption of operations or trade in foreign countries from which we source our products;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occurrence of a natural disaster, unusual weather conditions, or a disease epidemic in foreign countries from which we source our products;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instability, including bankruptcy or insolvency, of one or more of our major vendors;</w:t>
      </w:r>
    </w:p>
    <w:p>
      <w:pPr>
        <w:spacing w:after="0" w:line="6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new regulations relating to imports, duties, taxes, and other charges on imports, including those that the U.S. government has and may implement on imports from China;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of raw materials (including cotton and other commodities), labor, fuel, and transportation;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in the supply of raw materials, including cotton, fabric, and trim items;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 cost of labor in our sourcing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customs procedures concerning the importation of apparel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delays in customs clearance of any goods;</w:t>
      </w:r>
    </w:p>
    <w:p>
      <w:pPr>
        <w:spacing w:after="0" w:line="63"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the global transportation network, such as a port strike, work stoppages or other labor unrest, capacity withholding, world trade restrictions, acts of terrorism, or war;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application of adverse foreign intellectual property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vendors to secure sufficient credit to finance the manufacturing process, including the acquisition of raw materials;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social compliance concerns resulting from our use of international vendors, independent manufacturers, and licensees, over whom we have limited control;</w:t>
      </w:r>
    </w:p>
    <w:p>
      <w:pPr>
        <w:spacing w:after="0" w:line="8"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delays or unexpected demand for products may require the use of faster, but more expensive, transportation methods, such as air-freight services;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"conflict minerals" sourced from the Democratic Republic of the Congo or its surrounding countries, or other materials that are or become regulated by the U.S. or other governments in our products;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events beyond our control that could interrupt our supply chain and delay receipt of our products into the United States.</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occurrence of one or more of these events could result in disruptions to our operations, which in turn could increase our cost of goods sold, decrease our gross profit, or impact our ability to deliver to our customers. For example, the recent outbreak of respiratory illness caused by a novel coronavirus first identified in Wuhan, China has led to work and travel restrictions within, to, and out of mainland China, which in turn has led to delays in textile mill and factory openings, and delays in workers returning, following the Chinese New Year holiday. These restrictions and delays, which may expand depending on the progression of the illness, may make it difficult for our suppliers to source raw materials in China, manufacture finished goods in China, and export our products from China. We plan to source approximately 15% of our products from China in fiscal 2020. Additionally, our suppliers throughout Asia source a significant amount of fabric from China. If the severity and reach of the</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341" w:right="299" w:bottom="1440" w:gutter="0" w:footer="0" w:header="0"/>
        </w:sectPr>
      </w:pPr>
    </w:p>
    <w:bookmarkStart w:id="14" w:name="page15"/>
    <w:bookmarkEnd w:id="14"/>
    <w:p>
      <w:pPr>
        <w:ind w:right="500"/>
        <w:spacing w:after="0" w:line="277" w:lineRule="auto"/>
        <w:rPr>
          <w:sz w:val="20"/>
          <w:szCs w:val="20"/>
          <w:color w:val="auto"/>
        </w:rPr>
      </w:pPr>
      <w:r>
        <w:rPr>
          <w:rFonts w:ascii="Arial" w:cs="Arial" w:eastAsia="Arial" w:hAnsi="Arial"/>
          <w:sz w:val="18"/>
          <w:szCs w:val="18"/>
          <w:color w:val="auto"/>
        </w:rPr>
        <w:t>coronavirus outbreak increases, there may be significant and material disruptions to our supply chain and operations, and delays in the manufacture and shipment of our products, which may then have a material adverse effect on our results of operations.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relatively small number of vendors supply a significant amount of our products, and losing one or more of these vendors could have a material adverse effect on our business.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2019, we purchased approximately 65% of our products from ten vendors, of which approximately half comes from three vendors.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experience financial difficulties, manufacturing capacity constraints, or significant labor disputes) our business, results of operations, and financial condition may be adversely affected.</w:t>
      </w:r>
    </w:p>
    <w:p>
      <w:pPr>
        <w:spacing w:after="0" w:line="15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Labor or other disruptions along our supply chain may adversely affect our relationships with customers, reputation with consumers, and results of operations.</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business depends on our ability to source and distribute products in a timely manner. Labor disputes at third party factories where our goods are produced, the shipping ports we use, or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United States. Work slowdowns and stoppages relating to labor agreement negotiations involving the operators of this west coast port and unions have in the past resulted in a significant backlog of cargo containers entering the United States. The insolvency of a major shipping company has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inability to effectively source and manage inventory could negatively impact our ability to timely deliver our inventory supply and disrupt our business, which may adversely affect our operating results.</w:t>
      </w:r>
    </w:p>
    <w:p>
      <w:pPr>
        <w:spacing w:after="0" w:line="3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source all of our garments and other products from a global network of third 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In the event of a significant disruption in the supply of the fabrics or raw materials used by our vendors in the manufacture of our products, our vendors might not be able to locate alternative suppliers of materials of comparable quality at an acceptable price. Any delays, interruption, or increased costs in the manufacture of our products could have a material adverse effect on our operating results.</w:t>
      </w:r>
    </w:p>
    <w:p>
      <w:pPr>
        <w:spacing w:after="0" w:line="12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Additionally, the nature of our business requires us to carry a significant amount of inventory, especially prior to the peak holiday selling season when we build up our inventory levels, and to support our omni-channel strategies, including our buy on-line and pick-up in store program. Merchandise usually must be ordered well in advance of the season and frequently before apparel trends are confirmed by customer purchases. We must enter into contracts for the purchase and manufacture of merchandise well in advance of the applicable selling season. As a result, we are vulnerable to demand and pricing shifts and to suboptimal selection and timing of merchandise purchases and allocations to our sales channels. In the past, we have not always predicted our customers' preferences and acceptance levels of our trend items with accuracy. If sales do not meet expectations, too much inventory may cause excessive markdowns and, therefore, lower-than-planned margins, and too little inventory may result in lost sales.</w:t>
      </w:r>
    </w:p>
    <w:p>
      <w:pPr>
        <w:spacing w:after="0" w:line="1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3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brands and negatively impact profitability. On the other hand, if we underestimate demand for our products, our manufacturing facilities or third-party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ind w:right="60"/>
        <w:spacing w:after="0" w:line="264" w:lineRule="auto"/>
        <w:rPr>
          <w:sz w:val="20"/>
          <w:szCs w:val="20"/>
          <w:color w:val="auto"/>
        </w:rPr>
      </w:pPr>
      <w:r>
        <w:rPr>
          <w:rFonts w:ascii="Arial" w:cs="Arial" w:eastAsia="Arial" w:hAnsi="Arial"/>
          <w:sz w:val="18"/>
          <w:szCs w:val="18"/>
          <w:color w:val="auto"/>
        </w:rPr>
        <w:t>manufacturers may not be able to produce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expect to make significant capital investments and have significant expenses related to our omni-channel sales strategy and failure to execute our strategy could have a material adverse effect on how we meet consumer expectations.</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distribute our products through multiple channels in the children's apparel and accessories market, which, as of December 28, 2019, included 1,109 stores, approximately 18,000 wholesale locations (including department stores, national chain stores, specialty stores and discount retailers), and our eCommerce websites in North America, as well as our other international wholesale accounts and licensees. Our multi-channel global business model, which includes retail store, e-commerce, and wholesale sales channels, enables us to reach a broad range of consumers around the world.</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strategy has and will continue to require significant investment in cross-functional operations and management focus, along with investment in supporting technologies. Omni-channel retailing is rapidly evolving and we must anticipate and meet changing customer expectations and counteract new developments and technology investments by our competitors. Our omni-channel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retail success is dependent upon identifying locations and negotiating appropriate lease terms for retail stores.</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 significant portion of our revenues are through our retail stores in leased retail locations across the United States, Canada, and Mexico. Successful operation of a retail store depends, in part, on the overall ability of the retail location to attract a consumer base sufficient to generate profitable store sales volumes. If we are unable to identify new retail locations with consumer traffic sufficient to support a profitable sales level, our retail growth may be limited.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any increase we may see in our eCommerce sales may not be sufficient to offset the decreases in sales from our brick-and-mortar stores.</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must be able to effectively renew our existing store leases on acceptable terms. In addition, from time to time, we may seek to downsize, consolidate, reposition, or close some of our real estate locations, which in most cases requires a modification of an existing store lease. Failure to renew existing store leases, secure adequate new locations, or successfully modify existing locations, or failure to effectively manage the profitability of our existing fleet of stores, could have a material adverse effect on our results of operations.</w:t>
      </w:r>
    </w:p>
    <w:p>
      <w:pPr>
        <w:spacing w:after="0" w:line="146"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targets or efficiently manage the profitability of our existing fleet of stores, and could have a material adverse effect on our results of operations.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10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46" w:lineRule="exact"/>
        <w:rPr>
          <w:sz w:val="20"/>
          <w:szCs w:val="20"/>
          <w:color w:val="auto"/>
        </w:rPr>
      </w:pPr>
    </w:p>
    <w:p>
      <w:pPr>
        <w:ind w:left="660" w:right="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the computer systems, including those of third-party vendors, that operate our eCommerce sites including, among others, inadequate system capacity, computer viruses, human error, changes in programming, security breaches, system upgrades or migration of these services to new systems;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telecommunications services or power outages;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 on-time and without damage;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to deliver products to customers on-time and within customers' expectations;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or debit card, or other electronic payment-type, fraud;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sales from our physical stores;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liability for online content;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privacy concerns and regulation.</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Problems in any of these areas could result in a reduction in sales, increased costs and damage to our reputation and brands, which could adversely affect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expanding into international markets.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cannot be sure that we can successfully complete any planned international expansion or that new international business will be profitable or meet our expectations. We do not have significant experience operating in markets outside of the United States and Canada.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Significant changes in foreign relations, such as the withdrawal of the United Kingdom from the European Union and potential trade wars between nations in which we operate,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12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results of operations, financial position, and cash flows, and our ability to conduct business in international markets may be affected by legal, regulatory, political, and economic risks.</w:t>
      </w:r>
    </w:p>
    <w:p>
      <w:pPr>
        <w:spacing w:after="0" w:line="35"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Our ability to conduct business in new and existing international markets is subject to legal, regulatory, political, and economic risks. These include the burdens of complying with foreign laws and regulations (including trade and labor restrictions), unexpected changes in regulatory requirements, new consumer privacy laws, and new tariffs or other barriers in some international markets. Additionally, the U.S. Foreign Corrupt Practices Act, and similar world-wide anti-bribery laws, prohibit companies and their intermediaries from making improper payments to government officials for the purpose of obtaining or retaining business. Our policies mandate compliance with anti-bribery laws. Our internal control policies and procedures, or those of our vendors, may not adequately protect us from reckless or criminal acts committed by our employees, agents, or vendors. Violations of these laws, or allegations of such violations, could disrupt our business and result in a material adverse effect on our financial condition, results of operations, and cash flows.</w:t>
      </w:r>
    </w:p>
    <w:p>
      <w:pPr>
        <w:spacing w:after="0" w:line="1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also subject to general political and economic risks in connection with our global operations, including political instability and terrorist attacks, differences in business culture, different laws governing relationships with employees and business partners, changes in diplomatic and trade relationships, and general economic fluctuations in specific countries or markets.</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341" w:right="31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We may not achieve sales growth plans, cost savings, and other assumptions that support the carrying value of our intangible assets.</w:t>
      </w:r>
    </w:p>
    <w:p>
      <w:pPr>
        <w:spacing w:after="0" w:line="1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cost savings. Other assumptions that support the carrying value of these intangible assets, including a deterioration of macroeconomic conditions which would negatively affect the cost of capital and/or discount rates, could also result in impairment of the remaining asset values. Any material impairment would adversely affect our results of operations.</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substantial debt, which could adversely affect our financial health and our ability to obtain financing in the future and to react to changes in our business.</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28, 2019, we had $600.0 million aggregate principal amount of debt outstanding (excluding $5.0 million of outstanding letters of credit), and $645.0 million of undrawn availability under our senior secured revolving credit facility after giving effect to $5.0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both our senior secured revolving credit facility and, in certain circumstances, our indenture governing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These restrictions may limit our ability to engage in acts that may be in our long-term best interests, and may make it difficult for us to execute our business strategy successfully or effectively compete with companies that are not similarly restricted. In particular, we cannot guarantee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dependent upon retaining key individuals within the organization to execute our strategic plan.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ability to attract and retain qualified executive management, marketing, merchandising, design, sourcing, operations, and support function staffing is key to our success. If we are unable to attract and retain qualified individuals in these areas, this may result in an adverse impact on our growth and results of operations.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properly manage strategic initiatives in order to achieve our objectives may negatively impact our business.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implementation of our business strategy periodically involves the execution of complex initiatives, such as acquisitions, which may require that we make significant estimates and assumptions about a project, and these projects could place significant demands on our accounting, financial, information, and other systems, and on our business overall. In addition, we are dependent on our management ability to oversee these projects effectively and implement them successfully. If our estimates and assumptions about a project are incorrect, or if we miscalculate the resources or time we need to complete a project or fail to implement a project effectively, our business and operating results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successfully integrate acquired businesses and such acquisitions may fail to achieve the financial results we expected.</w:t>
      </w:r>
    </w:p>
    <w:p>
      <w:pPr>
        <w:spacing w:after="0" w:line="1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From time to time we may acquire other businesses as part of our growth strategy, such as our acquisitions of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and our Mexican licensee in fiscal 2017, and we may partially or fully fund future acquisitions by taking on additional debt. We may be unable to successfully integrate businesses we acquire and such acquisitions may fail to achieve the financial</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ind w:right="20"/>
        <w:spacing w:after="0" w:line="254" w:lineRule="auto"/>
        <w:rPr>
          <w:sz w:val="20"/>
          <w:szCs w:val="20"/>
          <w:color w:val="auto"/>
        </w:rPr>
      </w:pPr>
      <w:r>
        <w:rPr>
          <w:rFonts w:ascii="Arial" w:cs="Arial" w:eastAsia="Arial" w:hAnsi="Arial"/>
          <w:sz w:val="18"/>
          <w:szCs w:val="18"/>
          <w:color w:val="auto"/>
        </w:rPr>
        <w:t>results we expected. Integrating completed acquisitions into our existing operations, particularly larger acquisitions, involves numerous risks, including harmonizing divergent technology platforms, diversion of our management attention, failure to retain key personnel, and failure of the acquired business to be financially successful. In addition, we cannot be certain of the extent of any unknown or contingent liabilities of any acquired business, including liabilities for failure to comply with applicable laws, including those relating to product safety or anti-bribery and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Failure to implement new information technology systems or needed upgrades to our systems, including operational and financial systems, could adversely affect our business.</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our business continues to grow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15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3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handle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our distribution facility (such as a high level of demand during peak periods) or because of natural disasters, accidents, system failures, disruptions, or other events, our sales could decline, which may have a materially adverse effect on our earnings, financial position, and our reputation. In addition, we use an automated system that manages the order processing for our eCommerce business. In the event that this system becomes inoperable for any reason, we may be unable to ship orders in a timely manner, and as a result, we could experience a reduction in our direct-to-consumer business, which could negatively impact our sales and profitability.</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must comply with various laws and regulations, including applicable employment, privacy and consumer protection laws. Our policies, procedures, and internal controls are designed to help us comply with all applicable foreign and domestic laws, accounting and reporting requirements, regulations, and tax requirements, including those imposed by the Sarbanes-Oxley Act of 2002, the Dodd-Frank Wall Street Reform and Consumer Protection Act, the SEC, and the New York Stock Exchange ("NYSE") as well as other laws. Our failure to comply with these various laws and regulations could have an adverse impact on our reputation, financial condition, or results of operations.</w:t>
      </w:r>
    </w:p>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any changes in regulations, the imposition of additional regulations or the enactment of any new legislation that affects employment and labor, trade, product safety, data privacy (including the E.U. General Data Protection Act and the California Consumer Privacy Act), transportation and logistics, health care, tax, privacy, operations, or environmental issues, among other things, may increase the complexity of the regulatory environment in which we operate and the related cost of compliance.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the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tax obligations and effective tax rate.</w:t>
      </w:r>
    </w:p>
    <w:p>
      <w:pPr>
        <w:spacing w:after="0" w:line="9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subject to income taxes in federal and applicable state and local tax jurisdictions in the United States, Canada, Hong Kong, Mexico, and other foreign jurisdictions. The taxable income in each jurisdiction is affected by certain transfer prices between affiliated entities. Challenges to the arms-length nature of these transfer prices could materially affect our taxable income in a taxing jurisdiction, and therefore affect our income tax expense. We record tax expense based on our estimates of current and future payments, which include reserves for estimates of uncertain tax positions. At any time, many tax years are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ind w:right="40"/>
        <w:spacing w:after="0" w:line="286" w:lineRule="auto"/>
        <w:rPr>
          <w:sz w:val="20"/>
          <w:szCs w:val="20"/>
          <w:color w:val="auto"/>
        </w:rPr>
      </w:pPr>
      <w:r>
        <w:rPr>
          <w:rFonts w:ascii="Arial" w:cs="Arial" w:eastAsia="Arial" w:hAnsi="Arial"/>
          <w:sz w:val="17"/>
          <w:szCs w:val="17"/>
          <w:color w:val="auto"/>
        </w:rPr>
        <w:t>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geographic mix and level of earnings.</w:t>
      </w:r>
    </w:p>
    <w:p>
      <w:pPr>
        <w:spacing w:after="0" w:line="1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a 2018 US Supreme Court ruling, states may have additional ability to tax entities operating in their state, but lacking physical presence. This case and states' response to its findings may affect our business, financial condition, or results of operations in future periods.</w:t>
      </w:r>
    </w:p>
    <w:p>
      <w:pPr>
        <w:spacing w:after="0" w:line="13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aware of certain international initiatives (such as the Organisation for Economic Co-operation and Development (OECD)'s Base Erosion and Profit Shifting (BEPS)) that are focused on the equity of international taxation and have proposed several pillars of international tax that may ultimately result a worldwide minimum tax, or more defined approach around global profit allocation between related companies operating in jurisdictions with disparate income tax rates. In addition, many countries have adopted mandatory country by country reporting of revenue, employees and profits, intended to provide information about a company's global tax strategy. There has also been international discussion of the inequity of certain international provisions of the 2017 Tax Act (defined below) as it relates to international commerce. We continue to assess the effects that these international initiatives will have on our business, financial condition, or results of operations in future periods.</w:t>
      </w:r>
    </w:p>
    <w:p>
      <w:pPr>
        <w:spacing w:after="0" w:line="13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December 2017, the U.S. government enacted tax law changes known as the Tax Cuts and Jobs Act (the "2017 Tax Act"). The 2017 Tax Act significantly effects U.S. taxation for multinational corporations. Provisions of the 2017 Tax Act include a reduction in the U.S. corporate tax rate, certain provisions to broaden the U.S. tax base, imposition of a minimum tax on income earned by foreign subsidiaries, an incentive for foreign sourced income earned by US entities and an incentive to encourage the repatriation of foreign sourced income. The Internal Revenue Service has issued numerous regulations, and has expressed an intention to issue additional guidance, some of which may be applied retroactively to fiscal 2017. We continue to assess the effects that additional IRS regulations, notices, and other guidance will have on our business, financial condition, or results of operations in future periods.</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Various states have selectively adopted certain provisions of the 2017 Tax Act, and other states have expressed that they continue to evaluate the impact this tax law has on state revenue. We anticipate that states will continue to legislatively adopt certain provisions of the 2017 Tax Act that may impact our state tax liability for current and deferred state taxes in the period adopted.</w:t>
      </w:r>
    </w:p>
    <w:p>
      <w:pPr>
        <w:spacing w:after="0" w:line="14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the requisite service period for compensable equity-based compensation awards that we may grant to certain employees, we recognize a deferred income tax benefit on the compensation expense we incur for these awards for all employees other than our named executive officers. At time of subsequent vesting, exercise, or expiration of an award, the difference between our 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13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 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continue to pay or a reduction in quarterly cash dividends to our shareholders could cause the market price for our common stock to decline.</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pay a quarterly cash dividend. Future declarations of quarterly cash dividends and the establishment of future record and payment dates are at the discretion of our Board of Directors based on a number of factors, including our future financial performance and other investment priorities. Additionally, provisions in our senior credit facility and the indenture governing our senior notes could have the effect of restricting our ability to pay future cash dividends on, or make future repurchases of, our common stock. Any reduction or discontinuance by us of the payment of quarterly cash dividends could cause the market price of our common stock to decline.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principal owned and leased properties as of December 28, 2019.</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corporate headquarters occupies 304,000 square feet of leased space in a building in Atlanta, Georgia. Our lease for that space expires in April 2030. In addition, we occupy leased space in a building in Mississauga, Ontario, which serves as our regional headquarters for Canada, and we occupy leased space in Hong Kong, China, which serves as our principal sourcing office in Asia. We also lease other space in Georgia, Wisconsin, and New York, as well as in Bangladesh, Cambodia, China, Mexico, the United Kingdom, and (since January 2020) in Vietnam that, depending on the site, serves as a sourcing, sales, or administrative office. We also own a 224,000 square foot facility in Griffin, Georgia.</w:t>
      </w:r>
    </w:p>
    <w:p>
      <w:pPr>
        <w:spacing w:after="0" w:line="13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largest distribution centers, which we lease, are located in Braselton, Georgia and Stockbridge, Georgia, and are 1,062,000 and 505,000 square feet, respectively. We lease additional space in Canada and Mexico for distribution and warehousing purposes. We also use third-party logistics providers in various territories, including California and China, to provide warehousing and distribution services.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also operate the following number of leased retail stores: 862 in the United States; 201 in Canada; and 46 in Mexico. Our average remaining lease term for retail store leases in the United States, Canada, and Mexico is approximately 4.5 years, excluding renewal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337"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40" w:right="262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Stock Price and Number of Record Holders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common stock trades on the New York Stock Exchange (NYSE) under the trading symbol CRI. The last reported sale price per share of our common stock on February 18, 2020 was $110.25. On that date there were 191 holders of record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shares repurchased through our repurchase program described below during the fourth quarter of fiscal 2019:</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dollar value of remaining</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shares that can be</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Average price paid</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r>
              <w:rPr>
                <w:rFonts w:ascii="Arial" w:cs="Arial" w:eastAsia="Arial" w:hAnsi="Arial"/>
                <w:sz w:val="21"/>
                <w:szCs w:val="21"/>
                <w:b w:val="1"/>
                <w:bCs w:val="1"/>
                <w:color w:val="auto"/>
                <w:w w:val="87"/>
                <w:vertAlign w:val="superscript"/>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 share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or programs</w:t>
            </w:r>
          </w:p>
        </w:tc>
      </w:tr>
      <w:tr>
        <w:trPr>
          <w:trHeight w:val="183"/>
        </w:trPr>
        <w:tc>
          <w:tcPr>
            <w:tcW w:w="4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29, 2019 through October 26, 2019</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183,194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183,194</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228,149,548</w:t>
            </w: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27, 2019 through November 23, 2019</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59,962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58,895</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222,199,955</w:t>
            </w: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24, 2019 through December 28, 2019</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257,463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257,463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195,703,098</w:t>
            </w:r>
          </w:p>
        </w:tc>
      </w:tr>
      <w:tr>
        <w:trPr>
          <w:trHeight w:val="189"/>
        </w:trPr>
        <w:tc>
          <w:tcPr>
            <w:tcW w:w="43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499,552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5" w:lineRule="exact"/>
        <w:rPr>
          <w:sz w:val="20"/>
          <w:szCs w:val="20"/>
          <w:color w:val="auto"/>
        </w:rPr>
      </w:pPr>
    </w:p>
    <w:p>
      <w:pPr>
        <w:ind w:left="500" w:right="300" w:hanging="492"/>
        <w:spacing w:after="0" w:line="27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1,067 shares surrendered between October 27, 2019 and November 23,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2017, our Board of Directors authorized the repurchase of shares of our common stock in amounts up to $962.5 million. On both February 13, 2020 and February 22, 2018, our Board of Directors authorized an additional $500 million of share repurchases, resulting in the authorization of an aggregate of $1.96 billion in share repurchases over time. These authorizations are in addition to the $400 million authorized in 2013 for the Company's completed accelerated share repurchase (ASR)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Open-market repurchases of our common stock during fiscal years 2019, 2018, and 2017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40" w:type="dxa"/>
            <w:vAlign w:val="bottom"/>
            <w:gridSpan w:val="4"/>
          </w:tcPr>
          <w:p>
            <w:pPr>
              <w:ind w:left="10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47"/>
        </w:trPr>
        <w:tc>
          <w:tcPr>
            <w:tcW w:w="56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28,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30, 2017</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2,107,472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1,879,529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2,103,401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196,910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193,028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188,762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93.43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89.74</w:t>
            </w:r>
          </w:p>
        </w:tc>
      </w:tr>
      <w:tr>
        <w:trPr>
          <w:trHeight w:val="33"/>
        </w:trPr>
        <w:tc>
          <w:tcPr>
            <w:tcW w:w="5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addition to the open-market repurchases completed in fiscal years 2019, 2018, and 2017, we completed open-market repurchases totaling $688.0 million in fiscal years prior to 2017.</w:t>
      </w:r>
    </w:p>
    <w:p>
      <w:pPr>
        <w:spacing w:after="0" w:line="13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Repurchases under the authorizations may be made in the open market or in privately-negotiated transactions, with the level and timing of such activity at the discretion of our management depending on market conditions, stock price, other investment priorities, and other factors. The share repurchase authorizations have no expiration dates.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February 13, 2020, our Board of Directors authorized a quarterly cash dividend payment of $0.60 per common share, payable on March 20, 2020 to shareholders of record at the close of business on March 6, 2020.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ind w:right="400"/>
        <w:spacing w:after="0" w:line="277" w:lineRule="auto"/>
        <w:rPr>
          <w:sz w:val="20"/>
          <w:szCs w:val="20"/>
          <w:color w:val="auto"/>
        </w:rPr>
      </w:pPr>
      <w:r>
        <w:rPr>
          <w:rFonts w:ascii="Arial" w:cs="Arial" w:eastAsia="Arial" w:hAnsi="Arial"/>
          <w:sz w:val="18"/>
          <w:szCs w:val="18"/>
          <w:color w:val="auto"/>
        </w:rPr>
        <w:t>In fiscal 2019, we paid quarterly cash dividends of $0.50 per share each quarter. In fiscal 2018, we paid quarterly cash dividends of $0.45 per share each quarter.</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Future declarations of quarterly dividends and the establishment of future record and payment dates are at the discretion of our Board of Directors based on a number of factors, including our future financial performance and other investment priorities.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Provisions in our secured revolving credit facility could have the effect of restricting our ability to pay future cash dividends on or make future repurchases of our common stock. For more information concerning these dividend restrictions, refer to the "Financial Condition, Capital Resources, and Liquidity" section of Item 7 in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41"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selected financial and other data has been derived from our consolidated financial statements for each of the five fiscal years presented. The following information should be read in conjunction with Item 7 "Management's Discussion and Analysis of Financial Condition and Results of Operations" and Item 8 "Financial Statements and Supplementary Data" which includes the consolidated financial statements and related notes appearing elsewhere in this Annual Report on Form 10-K, or the respective prior fiscal years' Annual Report on Form 10-K.</w:t>
      </w:r>
    </w:p>
    <w:p>
      <w:pPr>
        <w:spacing w:after="0" w:line="146" w:lineRule="exact"/>
        <w:rPr>
          <w:sz w:val="20"/>
          <w:szCs w:val="20"/>
          <w:color w:val="auto"/>
        </w:rPr>
      </w:pPr>
    </w:p>
    <w:p>
      <w:pPr>
        <w:ind w:right="380"/>
        <w:spacing w:after="0" w:line="216" w:lineRule="auto"/>
        <w:rPr>
          <w:sz w:val="20"/>
          <w:szCs w:val="20"/>
          <w:color w:val="auto"/>
        </w:rPr>
      </w:pPr>
      <w:r>
        <w:rPr>
          <w:rFonts w:ascii="Arial" w:cs="Arial" w:eastAsia="Arial" w:hAnsi="Arial"/>
          <w:sz w:val="18"/>
          <w:szCs w:val="18"/>
          <w:color w:val="auto"/>
        </w:rPr>
        <w:t>Our fiscal year ends on the Saturday in December or January nearest December 31. Every five or six years, our fiscal year includes an additional, or 53</w:t>
      </w:r>
      <w:r>
        <w:rPr>
          <w:rFonts w:ascii="Arial" w:cs="Arial" w:eastAsia="Arial" w:hAnsi="Arial"/>
          <w:sz w:val="25"/>
          <w:szCs w:val="25"/>
          <w:color w:val="auto"/>
          <w:vertAlign w:val="superscript"/>
        </w:rPr>
        <w:t>rd</w:t>
      </w:r>
      <w:r>
        <w:rPr>
          <w:rFonts w:ascii="Arial" w:cs="Arial" w:eastAsia="Arial" w:hAnsi="Arial"/>
          <w:sz w:val="18"/>
          <w:szCs w:val="18"/>
          <w:color w:val="auto"/>
        </w:rPr>
        <w:t>, week of results. All fiscal years for which financial information is set forth below contained 52 weeks.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0" w:type="dxa"/>
            <w:vAlign w:val="bottom"/>
            <w:gridSpan w:val="5"/>
          </w:tcPr>
          <w:p>
            <w:pPr>
              <w:ind w:left="980"/>
              <w:spacing w:after="0"/>
              <w:rPr>
                <w:sz w:val="20"/>
                <w:szCs w:val="20"/>
                <w:color w:val="auto"/>
              </w:rPr>
            </w:pPr>
            <w:r>
              <w:rPr>
                <w:rFonts w:ascii="Arial" w:cs="Arial" w:eastAsia="Arial" w:hAnsi="Arial"/>
                <w:sz w:val="16"/>
                <w:szCs w:val="16"/>
                <w:b w:val="1"/>
                <w:bCs w:val="1"/>
                <w:color w:val="auto"/>
                <w:w w:val="95"/>
              </w:rPr>
              <w:t>For the fiscal year ended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3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30,</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 except per share data)</w:t>
            </w: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28, 2019</w:t>
            </w: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29, 2018</w:t>
            </w:r>
          </w:p>
        </w:tc>
        <w:tc>
          <w:tcPr>
            <w:tcW w:w="200" w:type="dxa"/>
            <w:vAlign w:val="bottom"/>
          </w:tcPr>
          <w:p>
            <w:pPr>
              <w:spacing w:after="0"/>
              <w:rPr>
                <w:sz w:val="21"/>
                <w:szCs w:val="21"/>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January 2, 2016</w:t>
            </w:r>
            <w:r>
              <w:rPr>
                <w:rFonts w:ascii="Arial" w:cs="Arial" w:eastAsia="Arial" w:hAnsi="Arial"/>
                <w:sz w:val="21"/>
                <w:szCs w:val="21"/>
                <w:b w:val="1"/>
                <w:bCs w:val="1"/>
                <w:color w:val="auto"/>
                <w:w w:val="88"/>
                <w:vertAlign w:val="superscript"/>
              </w:rPr>
              <w:t>(3)</w:t>
            </w:r>
          </w:p>
        </w:tc>
      </w:tr>
      <w:tr>
        <w:trPr>
          <w:trHeight w:val="231"/>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Operating Data:</w:t>
            </w: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Retail</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1,884,150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1,775,378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1,655,784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1,514,355</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U.S. Wholesale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1,205,646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1,180,687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1,209,663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1,178,034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1,173,313</w:t>
            </w: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429,490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430,389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364,725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326,211</w:t>
            </w:r>
          </w:p>
        </w:tc>
      </w:tr>
      <w:tr>
        <w:trPr>
          <w:trHeight w:val="217"/>
        </w:trPr>
        <w:tc>
          <w:tcPr>
            <w:tcW w:w="3560" w:type="dxa"/>
            <w:vAlign w:val="bottom"/>
          </w:tcPr>
          <w:p>
            <w:pPr>
              <w:ind w:left="180"/>
              <w:spacing w:after="0"/>
              <w:rPr>
                <w:sz w:val="20"/>
                <w:szCs w:val="20"/>
                <w:color w:val="auto"/>
              </w:rPr>
            </w:pPr>
            <w:r>
              <w:rPr>
                <w:rFonts w:ascii="Arial" w:cs="Arial" w:eastAsia="Arial" w:hAnsi="Arial"/>
                <w:sz w:val="16"/>
                <w:szCs w:val="16"/>
                <w:color w:val="auto"/>
              </w:rPr>
              <w:t>Total net sales</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3,519,286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3,462,269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3,400,504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3,198,543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3,013,879</w:t>
            </w:r>
          </w:p>
        </w:tc>
      </w:tr>
      <w:tr>
        <w:trPr>
          <w:trHeight w:val="33"/>
        </w:trPr>
        <w:tc>
          <w:tcPr>
            <w:tcW w:w="3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2,010,736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1,964,786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1,917,150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1,820,024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1,755,855</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1,508,550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1,497,483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1,483,354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1,378,519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1,258,024</w:t>
            </w: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371,872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391,433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425,928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392,857</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327,952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355,975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391,072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395,440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368,188</w:t>
            </w: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263,802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257,709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237,822</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Per Common Share Data:</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Diluted net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632,257</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715,537</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689,464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779,717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867,890</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2,753,117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2,058,858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2,071,042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1,949,037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2,003,654</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Total debt, net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594,672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593,264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617,306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580,376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578,972</w:t>
            </w: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880,130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869,433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875,051</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387,215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307,987</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(60,670)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(63,307)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(227,915)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(88,340)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(103,425)</w:t>
            </w: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(283,384)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(298,946)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(162,005)</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Other Data:</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103,497</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Dividend declared &amp; paid per common share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0.88</w:t>
            </w:r>
          </w:p>
        </w:tc>
      </w:tr>
    </w:tbl>
    <w:p>
      <w:pPr>
        <w:spacing w:after="0" w:line="6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total current assets less total current liabilities.</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Fiscal 2017 and 2016 reflect the retrospective adoption of Accounting Standards Codification No. 606, </w:t>
      </w:r>
      <w:r>
        <w:rPr>
          <w:rFonts w:ascii="Arial" w:cs="Arial" w:eastAsia="Arial" w:hAnsi="Arial"/>
          <w:sz w:val="14"/>
          <w:szCs w:val="14"/>
          <w:i w:val="1"/>
          <w:iCs w:val="1"/>
          <w:color w:val="auto"/>
        </w:rPr>
        <w:t>Revenue from Contracts with Customers.</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Fiscal 2015 reflects the retrospective adoption of Accounting Standards Update No. 2015-03, </w:t>
      </w:r>
      <w:r>
        <w:rPr>
          <w:rFonts w:ascii="Arial" w:cs="Arial" w:eastAsia="Arial" w:hAnsi="Arial"/>
          <w:sz w:val="14"/>
          <w:szCs w:val="14"/>
          <w:i w:val="1"/>
          <w:iCs w:val="1"/>
          <w:color w:val="auto"/>
        </w:rPr>
        <w:t>Presentation of Debt Issuance Cost for Term Debt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services, and our future results. We based these statements on assumptions that we consider reasonable. Actual results may differ materially from those suggested by our forward-looking statements for various reasons including those discussed in the "Risk Factors" in Part I, Item 1A of this Annual Report on Form 10-K. Those risk factors expressly qualify all subsequent oral and written forward-looking statements attributable to us or persons acting on our behalf. Except for any ongoing obligations to disclose material information as required by the federal securities laws, we do not have any intention or obligation to update forward-looking statements after we file this Annual Report on Form 10-K.</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 comparison of our results for fiscal year 2018 to our results for fiscal year 2017 and other financial information related to fiscal year 2017, refer to our 2018 Annual Report on Form 10-K, filed with the SEC on February 25,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w:t>
      </w:r>
    </w:p>
    <w:p>
      <w:pPr>
        <w:spacing w:after="0" w:line="9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Our fiscal year ends on the Saturday in December or January nearest December 31. Every five or six years, our fiscal year includes an additional, or 53</w:t>
      </w:r>
      <w:r>
        <w:rPr>
          <w:rFonts w:ascii="Arial" w:cs="Arial" w:eastAsia="Arial" w:hAnsi="Arial"/>
          <w:sz w:val="25"/>
          <w:szCs w:val="25"/>
          <w:color w:val="auto"/>
          <w:vertAlign w:val="superscript"/>
        </w:rPr>
        <w:t>rd</w:t>
      </w:r>
      <w:r>
        <w:rPr>
          <w:rFonts w:ascii="Arial" w:cs="Arial" w:eastAsia="Arial" w:hAnsi="Arial"/>
          <w:sz w:val="18"/>
          <w:szCs w:val="18"/>
          <w:color w:val="auto"/>
        </w:rPr>
        <w:t>, week of results. Fiscal year 2019 ended on December 28, 2019 and fiscal year 2018 ended on December 29, 2018. Both fiscal year 2019 and fiscal year 2018 contained 52 calendar weeks.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and accessories for children in sizes newborn to 14, with a focus on playclothes for toddlers and young children.</w:t>
      </w:r>
    </w:p>
    <w:p>
      <w:pPr>
        <w:spacing w:after="0" w:line="13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Established in 2003,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re-thinks, re-energizes, and re-imagines durable necessities such as diaper bags to create higher value, superior quality, and top-performing products for parents, babies, and toddlers. We acquired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in February 2017.</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The baby and young children's apparel market ages zero to 10 in the U.S. is approximately $27 billion. In that market, our </w:t>
      </w:r>
      <w:r>
        <w:rPr>
          <w:rFonts w:ascii="Arial" w:cs="Arial" w:eastAsia="Arial" w:hAnsi="Arial"/>
          <w:sz w:val="18"/>
          <w:szCs w:val="18"/>
          <w:i w:val="1"/>
          <w:iCs w:val="1"/>
          <w:color w:val="auto"/>
        </w:rPr>
        <w:t xml:space="preserve">Carter's </w:t>
      </w:r>
      <w:r>
        <w:rPr>
          <w:rFonts w:ascii="Arial" w:cs="Arial" w:eastAsia="Arial" w:hAnsi="Arial"/>
          <w:sz w:val="18"/>
          <w:szCs w:val="18"/>
          <w:color w:val="auto"/>
        </w:rPr>
        <w:t>brands, including our exclusive brands, have the #1 position with approximately 12% of market share and our</w:t>
      </w:r>
      <w:r>
        <w:rPr>
          <w:rFonts w:ascii="Arial" w:cs="Arial" w:eastAsia="Arial" w:hAnsi="Arial"/>
          <w:sz w:val="18"/>
          <w:szCs w:val="18"/>
          <w:i w:val="1"/>
          <w:iCs w:val="1"/>
          <w:color w:val="auto"/>
        </w:rPr>
        <w:t xml:space="preserve"> OshKosh </w:t>
      </w:r>
      <w:r>
        <w:rPr>
          <w:rFonts w:ascii="Arial" w:cs="Arial" w:eastAsia="Arial" w:hAnsi="Arial"/>
          <w:sz w:val="18"/>
          <w:szCs w:val="18"/>
          <w:color w:val="auto"/>
        </w:rPr>
        <w:t>brand has approximately 2%</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share.</w:t>
      </w:r>
    </w:p>
    <w:p>
      <w:pPr>
        <w:spacing w:after="0" w:line="1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multi-channel global business model, which includes retail store, eCommerce, and wholesale sales channels, enables us to reach a broad range of consumers around the world. As of December 28, 2019, our channels included 1,109 retail stores, approximately 18,000 wholesale locations, and eCommerce websites in North America, as well as our other international wholesale accounts and licensees who operate in over 90 countries.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extensive experience in the young children's apparel and accessories market and focus on delivering products that satisfy our consumers' needs. Our long-term growth strategy is focused on:</w:t>
      </w:r>
    </w:p>
    <w:p>
      <w:pPr>
        <w:spacing w:after="0" w:line="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the best value and experience in apparel and related products for young children;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extending the reach of our brands;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three business segments are: U.S. Retail, U.S. Wholesale, and International. These segments are our operating and reporting segments. Our U.S. Retail segment consists of revenue primarily from sales of products in the United States through</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color w:val="auto"/>
        </w:rPr>
        <w:t>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341"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Fiscal Year 2019 Highlights</w:t>
      </w:r>
    </w:p>
    <w:p>
      <w:pPr>
        <w:spacing w:after="0" w:line="9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Consolidated net sales increased $57.0 million, or 1.6%, to $3.52 billion in fiscal 2019, reflecting our 31st consecutive year of sales growth.</w:t>
      </w:r>
    </w:p>
    <w:p>
      <w:pPr>
        <w:spacing w:after="0" w:line="74" w:lineRule="exact"/>
        <w:rPr>
          <w:rFonts w:ascii="Arial" w:cs="Arial" w:eastAsia="Arial" w:hAnsi="Arial"/>
          <w:sz w:val="17"/>
          <w:szCs w:val="17"/>
          <w:color w:val="auto"/>
        </w:rPr>
      </w:pPr>
    </w:p>
    <w:p>
      <w:pPr>
        <w:ind w:left="1300" w:right="320" w:hanging="320"/>
        <w:spacing w:after="0" w:line="299"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U.S. Retail net sales increased $33.0 million, or 1.8%, primarily attributable to an increase in eCommerce sales and an increase in new stores that are not yet comparable, partially offset by a decline in comparable retail stores driven by reduced traffic and a decrease in net sales resulting from store closures. We continue to execute on our U.S. Retail store optimization strategy which includes closing older, under-performing, locations and opening stores in more convenient locations for our customers, such as strip or value centers.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U.S. Wholesale sales increased $25.0 million, or 2.1%, primarily driven by growth of our exclusive Carter's brands.</w:t>
      </w:r>
    </w:p>
    <w:p>
      <w:pPr>
        <w:spacing w:after="0" w:line="63"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International segment sales decreased $0.9 million, or 0.2%, primarily due to the transition of our business model in China from wholesale to a full licensing model in the first quarter of fiscal 2019 and unfavorable movements in foreign currency exchange rates, partially offset by higher demand in Canada and growth in various markets outside of North America.</w:t>
      </w:r>
    </w:p>
    <w:p>
      <w:pPr>
        <w:spacing w:after="0" w:line="19"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increased $11.1 million, or 0.7%, to $1.51 billion in fiscal 2019. Gross margin decreased 40 basis points ("bps") to 42.9% in fiscal 2019, primarily due to higher product costs including additional tariffs imposed on products imported from China, a lower margin customer and product mix within U.S. Wholesale, and higher shipping costs in our eCommerce channel. These decreases were partially offset by a higher average selling price per unit and favorable inventory provisions.</w:t>
      </w:r>
    </w:p>
    <w:p>
      <w:pPr>
        <w:spacing w:after="0" w:line="24"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as a percentage of total net sales ("SG&amp;A rate") decreased 70 bps to 32.4% for fiscal 2019, primarily as a result of a decrease in customer-related bankruptcy charges and lower expenses due to the transition of our business model in China from wholesale to a full licensing model.</w:t>
      </w:r>
    </w:p>
    <w:p>
      <w:pPr>
        <w:spacing w:after="0" w:line="1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decreased $19.6 million, or 5.0%, to $371.9 million in fiscal 2019, primarily due to the recognition of a $30.8 million non-cash impairment related to the Skip Hop tradename, partially offset by the factors discussed above.</w:t>
      </w:r>
    </w:p>
    <w:p>
      <w:pPr>
        <w:spacing w:after="0" w:line="8"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decreased $18.3 million, or 6.5%, to $263.8 million in fiscal 2019, primarily due to the recognition of a $30.8 million Skip Hop tradename non-cash impairment charge and a $7.8 million loss on extinguishment of debt recognized as part of our senior note refinancing in fiscal 2019, partially offset by sales growth in U.S. Retail and U.S. Wholesale.</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net income per common share decreased 2.5% to $5.85 in fiscal 2019.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total of $286.5 million was returned to our shareholders, comprised of $196.9 million in share repurchases and $89.6 million in dividends.</w:t>
      </w:r>
    </w:p>
    <w:p>
      <w:pPr>
        <w:spacing w:after="0" w:line="1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fiscal 2019, we strengthened our position as the market leader in young children's apparel. We enhanced our omni-channel capabilities to better serve families with young children, including our buy online, pickup in-store capability which provides our customers with same-day in-store fulfillment of eCommerce orders. Our eCommerce businesses continued to deliver strong growth, in part due to the re-launch of our U.S. Retail websites and the launch of a website in Mexico. We also continued to focus on capturing operational efficiencies and scaling our Skip Hop, Mexico, and Simple Joys businesses. These efforts, along with our focus on providing the best value and experience in apparel and related products for young children, enabled us to outperform the children's apparel market in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closely monitoring an outbreak of respiratory illness caused by a novel coronavirus that was first detected in Wuhan, China. The virus has affected several industries within China, including textile production and manufacturing. As such, we may experience delays in the receipt of product from our vendors in Asia, including China. The financial impact of any delayed receipts is unknown at this time. Our actual results could differ materially from our guidance due to this risk, and other uncertainties and factors, including those set forth in “Risk Factors” in Part I, Item 1A of this Annual Report on Form 10-K.</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FISCAL YEAR ENDED DECEMBER 28, 2019 COMPARED TO 2018 FISCAL YEAR ENDED DECEMBER 29, 2018</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(dollars in thousands, except per share data)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net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goods sold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Gross profit as % of consolidated net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Royalty income as % of consolidated net sales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SG&amp;A expenses as % of consolidated net sales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 impairment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Operating income as % of consolidated net 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740" w:type="dxa"/>
            <w:vAlign w:val="bottom"/>
            <w:gridSpan w:val="5"/>
          </w:tcPr>
          <w:p>
            <w:pPr>
              <w:ind w:left="1120"/>
              <w:spacing w:after="0"/>
              <w:rPr>
                <w:sz w:val="20"/>
                <w:szCs w:val="20"/>
                <w:color w:val="auto"/>
              </w:rPr>
            </w:pPr>
            <w:r>
              <w:rPr>
                <w:rFonts w:ascii="Arial" w:cs="Arial" w:eastAsia="Arial" w:hAnsi="Arial"/>
                <w:sz w:val="16"/>
                <w:szCs w:val="16"/>
                <w:b w:val="1"/>
                <w:bCs w:val="1"/>
                <w:color w:val="auto"/>
              </w:rPr>
              <w:t>Fiscal year ended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29, 2018</w:t>
            </w:r>
          </w:p>
        </w:tc>
        <w:tc>
          <w:tcPr>
            <w:tcW w:w="28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3,519,286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3,462,269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57,017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2,010,736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1,964,786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45,950</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1,508,550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1,497,483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11,067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70"/>
        </w:trPr>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42.9%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43.3%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i w:val="1"/>
                <w:iCs w:val="1"/>
                <w:color w:val="auto"/>
              </w:rPr>
              <w:t>(40) bps</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34,637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38,930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70"/>
        </w:trPr>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i w:val="1"/>
                <w:iCs w:val="1"/>
                <w:color w:val="auto"/>
              </w:rPr>
              <w:t>(10) bps</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1,140,515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1,144,980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(4,465)</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70"/>
        </w:trPr>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32.4%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33.1%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i w:val="1"/>
                <w:iCs w:val="1"/>
                <w:color w:val="auto"/>
              </w:rPr>
              <w:t>(70) bps</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30,800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3"/>
                <w:szCs w:val="23"/>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371,872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391,433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(19,561)</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10.6%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11.3%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i w:val="1"/>
                <w:iCs w:val="1"/>
                <w:color w:val="auto"/>
              </w:rPr>
              <w:t>(70) bps</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37,617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34,569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147.2 %</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1,416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7,823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7,823</w:t>
            </w:r>
          </w:p>
        </w:tc>
        <w:tc>
          <w:tcPr>
            <w:tcW w:w="100" w:type="dxa"/>
            <w:vAlign w:val="bottom"/>
          </w:tcPr>
          <w:p>
            <w:pPr>
              <w:spacing w:after="0"/>
              <w:rPr>
                <w:sz w:val="23"/>
                <w:szCs w:val="23"/>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327,952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355,975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(28,023)</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64,150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73,907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(9,757)</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19.6%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20.8%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i w:val="1"/>
                <w:iCs w:val="1"/>
                <w:color w:val="auto"/>
              </w:rPr>
              <w:t>(120) bps</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263,802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282,068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(18,266)</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-3284220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-2940685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-2597785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-2254885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-1911985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-1568450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-1225550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-882650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-539750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-196850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700"/>
            <w:col w:w="7260"/>
          </w:cols>
          <w:pgMar w:left="240" w:top="553"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per common share</w:t>
            </w:r>
          </w:p>
        </w:tc>
        <w:tc>
          <w:tcPr>
            <w:tcW w:w="130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w:t>
            </w:r>
          </w:p>
        </w:tc>
        <w:tc>
          <w:tcPr>
            <w:tcW w:w="8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w:t>
            </w:r>
          </w:p>
        </w:tc>
        <w:tc>
          <w:tcPr>
            <w:tcW w:w="7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30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5.85</w:t>
            </w:r>
          </w:p>
        </w:tc>
        <w:tc>
          <w:tcPr>
            <w:tcW w:w="8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6.00</w:t>
            </w:r>
          </w:p>
        </w:tc>
        <w:tc>
          <w:tcPr>
            <w:tcW w:w="7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599"/>
              <w:spacing w:after="0"/>
              <w:rPr>
                <w:sz w:val="20"/>
                <w:szCs w:val="20"/>
                <w:color w:val="auto"/>
              </w:rPr>
            </w:pPr>
            <w:r>
              <w:rPr>
                <w:rFonts w:ascii="Arial" w:cs="Arial" w:eastAsia="Arial" w:hAnsi="Arial"/>
                <w:sz w:val="16"/>
                <w:szCs w:val="16"/>
                <w:color w:val="auto"/>
              </w:rPr>
              <w:t>(0.15)</w:t>
            </w: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3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13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w:t>
            </w:r>
          </w:p>
        </w:tc>
        <w:tc>
          <w:tcPr>
            <w:tcW w:w="8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1.80</w:t>
            </w:r>
          </w:p>
        </w:tc>
        <w:tc>
          <w:tcPr>
            <w:tcW w:w="7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r>
      <w:tr>
        <w:trPr>
          <w:trHeight w:val="33"/>
        </w:trPr>
        <w:tc>
          <w:tcPr>
            <w:tcW w:w="36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right="4840" w:firstLine="8"/>
        <w:spacing w:after="0" w:line="353" w:lineRule="auto"/>
        <w:tabs>
          <w:tab w:leader="none" w:pos="486"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Effective tax rate is calculated by dividing the provision for income taxes by income before income taxes. </w:t>
      </w:r>
      <w:r>
        <w:rPr>
          <w:rFonts w:ascii="Arial" w:cs="Arial" w:eastAsia="Arial" w:hAnsi="Arial"/>
          <w:sz w:val="14"/>
          <w:szCs w:val="14"/>
          <w:i w:val="1"/>
          <w:iCs w:val="1"/>
          <w:color w:val="auto"/>
        </w:rPr>
        <w:t>Note: Results may not be additive due to rounding.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Consolidated net sales increased $57.0 million, or 1.6%, to $3.52 billion in fiscal 2019. This increase reflected sales growth of $33.0 million in our U.S. Retail and $25.0 million in our U.S. Wholesale segments. Sales in our International segment were comparable to last year. Changes in foreign currency exchange rates used for translation in fiscal 2019, as compared to fiscal 2018, had an unfavorable effect on our consolidated net sales of approximately $6.1 million.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consolidated gross profit increased $11.1 million, or 0.7%, to $1.51 billion in fiscal 2019. Consolidated gross margin decreased 40 bps to 42.9% in fiscal 2019.</w:t>
      </w:r>
    </w:p>
    <w:p>
      <w:pPr>
        <w:spacing w:after="0" w:line="130"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Gross profit is calculated as consolidated net sales less cost of goods sold, and gross margin is calculated as gross profit divided by consolidated net sales. Cost of goods sold include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Distribution expenses that are included in SG&amp;A primarily consist of payments to third-party shippers and handling costs to process product through our distribution facilities, including eCommerce fulfillment costs, and delivery to our wholesale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3"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color w:val="auto"/>
        </w:rPr>
        <w:t>customers and to our retail stores. Accordingly, our gross profit and gross margin may not be comparable to other entities that define their metrics differently.</w:t>
      </w:r>
    </w:p>
    <w:p>
      <w:pPr>
        <w:spacing w:after="0" w:line="2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increase in consolidated gross profit was primarily due to sales growth in the U.S. Retail and U.S. Wholesale segments, a higher average selling price per unit, and favorable inventory provisions, partially offset by higher product costs and additional tariffs imposed on units imported from China.</w:t>
      </w:r>
    </w:p>
    <w:p>
      <w:pPr>
        <w:spacing w:after="0" w:line="10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decrease in consolidated gross margin was primarily attributable to higher product costs including additional tariffs imposed on units imported from China, a lower margin customer and product mix within U.S. Wholesale, and higher shipping costs in our eCommerce channel. These decreases were partially offset by a higher average selling price per unit and favorable inventory provisions.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Royalty income decreased $4.3 million, or 11.0%, to $34.6 million in fiscal 2019. In 2019, the Company ended a previous royalty arrangement with Target related to the Genuine Kids by OshKosh brand. The Company now sells the OshKosh brand to Target directly under a wholesale business model. Additionally, in 2019, the Company insourced certain hosiery products, which had been previously manufactured by a third party under a licensing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Consolidated SG&amp;A expenses decreased $4.5 million, or 0.4%, to $1.14 billion in fiscal 2019 and decreased as a percentage of consolidated net sales approximately 70 bps to 32.4% in fiscal 2019. This decrease was primarily attributable to the inclusion in fiscal 2018 of certain customer-related bankruptcy charges and lower expenses in the current year due to the transition of our business model in China from wholesale to a full licensing model. These decreases were partially offset by higher investments in key growth priorities, which include expenses related to the U.S. Retail business and technology initiatives, higher distribution costs, and increased performance-based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third quarter of fiscal 2019, the Company recorded a non-cash charge of $30.8 million relative to the impairment of its Skip Hop tradename recorded in connection with the acquisition of Skip Hop Holdings, Inc. in 2017. The impairment reflects the effect of lower sales and profitability relative to the assumptions supporting the valuation of the tradename at acquisition. Such reductions reflect lower U.S. demand, including the loss of a significant customer (Toys "R" Us), lower international demand, and the impact of additional tariffs imposed on product sourced from China.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operating income decreased $19.6 million, or 5.0%, to $371.9 million in fiscal 2019 and decreased as a percentage of net sales by approximately 70 bps to 10.6% in fiscal 2019, primarily due to a $30.8 million non-cash impairment related to the Skip Hop tradename, partially offset by the factors discussed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Interest expense increased $3.0 million, or 8.8%, to $37.6 million in fiscal 2019. Weighted-average borrowings for fiscal 2019 were $662.2 million at an effective interest rate of 5.47%, compared to weighted-average borrowings for fiscal 2018 of $686.9 million at an effective interest rate of 4.90%.</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decrease in weighted-average borrowings during fiscal 2019 was attributable to reduced borrowings under our secured revolving credit facility. The increase in the effective interest rate for fiscal 2019 compared to fiscal 2018 was primarily due to incremental interest expense associated with the refinancing of the previous senior notes in the first quarter of fiscal 2019 and a higher London Interbank Offered Rate ("LIBOR") for the outstanding borrowings on our variable-rate secured revolving credit facility during the fiscal 2019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first quarter of fiscal 2019, loss on extinguishment of debt was $7.8 million due to the early extinguishment of our $400 million in aggregate principal amount of 5.25% senior notes due in 2021. Concurrently, we issued $500 million in aggregate principal amount of 5.625% senior notes due in 2027.</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income taxes decreased $9.8 million, or 13.2%, to $64.2 million in fiscal 2019 and the effective tax rate decreased approximately 120 bps to 19.6% in fiscal 2019 from 20.8% in fiscal 2018. The lower effective tax rate in 2019 reflects the mix of income earned in the U.S. versus foreign jurisdictions.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net income decreased $18.3 million, or 6.5%, to $263.8 million in fiscal 2019. This decrease was due to the factors previously discussed.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Fiscal Year 2019 compared to Fiscal Year 2018</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fiscal years ended December 28, 2019 and December 29,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5"/>
          </w:tcPr>
          <w:p>
            <w:pPr>
              <w:ind w:left="780"/>
              <w:spacing w:after="0"/>
              <w:rPr>
                <w:sz w:val="20"/>
                <w:szCs w:val="20"/>
                <w:color w:val="auto"/>
              </w:rPr>
            </w:pPr>
            <w:r>
              <w:rPr>
                <w:rFonts w:ascii="Arial" w:cs="Arial" w:eastAsia="Arial" w:hAnsi="Arial"/>
                <w:sz w:val="16"/>
                <w:szCs w:val="16"/>
                <w:b w:val="1"/>
                <w:bCs w:val="1"/>
                <w:color w:val="auto"/>
              </w:rPr>
              <w:t>Fiscal year ended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 of consolidated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 of consolidated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5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29, 2018</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4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258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1,884,150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1,851,193</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32,957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33"/>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1,205,646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1,180,687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37"/>
        </w:trPr>
        <w:tc>
          <w:tcPr>
            <w:tcW w:w="258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429,490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430,389</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Consolidated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3,519,286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3,462,269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57,017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0"/>
              </w:rPr>
              <w:t>% of segment net</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 of segment net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79"/>
              </w:rPr>
              <w:t>sales</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79"/>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17"/>
        </w:trPr>
        <w:tc>
          <w:tcPr>
            <w:tcW w:w="258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225,874</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224,784</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1,090</w:t>
            </w: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33"/>
        </w:trPr>
        <w:tc>
          <w:tcPr>
            <w:tcW w:w="2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212,558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224,194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258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6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36,650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39,253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(2,603)</w:t>
            </w: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2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expenses</w:t>
            </w:r>
          </w:p>
        </w:tc>
        <w:tc>
          <w:tcPr>
            <w:tcW w:w="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(103,210)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(96,798)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44"/>
        </w:trPr>
        <w:tc>
          <w:tcPr>
            <w:tcW w:w="2580" w:type="dxa"/>
            <w:vAlign w:val="bottom"/>
          </w:tcPr>
          <w:p>
            <w:pPr>
              <w:ind w:left="280"/>
              <w:spacing w:after="0"/>
              <w:rPr>
                <w:sz w:val="20"/>
                <w:szCs w:val="20"/>
                <w:color w:val="auto"/>
              </w:rPr>
            </w:pPr>
            <w:r>
              <w:rPr>
                <w:rFonts w:ascii="Arial" w:cs="Arial" w:eastAsia="Arial" w:hAnsi="Arial"/>
                <w:sz w:val="16"/>
                <w:szCs w:val="16"/>
                <w:color w:val="auto"/>
              </w:rPr>
              <w:t>Consolidated operating income</w:t>
            </w: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371,872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391,433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(19,561)</w:t>
            </w: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2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management's discussion and analysis includes comparable sales metrics for our company-owned retail stores and our eCommerce sites in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Retail and International segments.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comparable store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comparable sales metrics may not be comparable to those other retailers.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Retail segment net sales increased $33.0 million, or 1.8%, to $1.88 billion in fiscal 2019. The increase in net sales was primarily attributable to an increase in eCommerce sales and an increase in revenue from new stores that are not yet comparable, partially offset by a decline in comparable retail stores driven by reduced traffic and a decrease in net sales resulting from store closures. Comparable net sales, including retail stores and eCommerce, increased 0.4% during fiscal 2019 compared to fiscal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3"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2018 primarily driven by growth in eCommerce. As of December 28, 2019, we operated 862 retail stores in the U.S. compared to 844 (excluding five temporary Skip Hop stores) in fiscal 2018.</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 Retail segment operating income increased $1.1 million, or 0.5%, to $225.9 million in fiscal 2019. Operating income in fiscal 2019 included a $1.2 million intangible asset impairment charge related to the Skip Hop tradename. Operating margin decreased 10 bps to 12.0% in fiscal 2019. The primary drivers of the decrease in operating margin were a 40 bps decrease in gross margin and the intangible asset impairment, partially offset by a 30 bps reduction in SG&amp;A rate (SG&amp;A as a percentage of net sales). The decrease in gross margin was primarily due to higher product costs including additional tariffs and unfavorable inventory provisions, partially offset by a higher average selling price per unit. The decrease in the SG&amp;A rate was primarily driven by improved leverage of retail store expenses as a result of productivity initiatives and lower freight.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U.S. Wholesale segment net sales increased $25.0 million, or 2.1%, to $1.21 billion in fiscal 2019. This increase reflected growth of our exclusive Carter's brands and an increase in average selling price per unit, partially offset by reduced demand, primarily due to customer bankruptcies.</w:t>
      </w:r>
    </w:p>
    <w:p>
      <w:pPr>
        <w:spacing w:after="0" w:line="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Wholesale segment operating income decreased $11.6 million, or 5.2%, to $212.6 million in fiscal 2019. Operating income in fiscal 2019 included a $19.1 million intangible asset impairment charge related to the Skip Hop tradename. Operating margin decreased 140 bps to 17.6% in fiscal 2019. The primary drivers of the decrease in operating margin were a 70 bps decrease in gross margin, a 40 bps decrease in royalty income, and the intangible asset impairment, partially offset by a 130 bps reduction in SG&amp;A rate. The decrease in gross margin was primarily due to higher product costs, including additional tariffs, and unfavorable changes in customer mix, partially offset by favorable inventory provisions. The decrease in royalty income was primarily due to the initiation of wholesale sales of the OshKosh brand at Target which replaced a former royalty business model. The decrease in the SG&amp;A rate was primarily driven by the absence of customer-related bankruptcy charges.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International segment net sales decreased $0.9 million, or 0.2%, to $429.5 million in fiscal 2019. Changes in foreign currency exchange rates, primarily between the U.S. dollar and the Canadian dollar, had a $6.1 million unfavorable effect on International segment net sales in fiscal 2019. The decrease in net sales is primarily due to the transition of our business model in China from wholesale to a full licensing model in the first quarter of fiscal 2019 and the unfavorable effect of foreign currency exchange rates, offset by higher demand in Canada and growth in various markets outside of North America.</w:t>
      </w:r>
    </w:p>
    <w:p>
      <w:pPr>
        <w:spacing w:after="0" w:line="114"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Canadian comparable net sales, including retail stores and eCommerce, increased 0.9% in fiscal 2019 compared to fiscal 2018 primarily due to growth in eCommerce. As of December 28, 2019, we operated 201 and 46 retail stores in Canada and Mexico respectively, compared to 188 and 42 in fiscal 2018.</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International segment operating income decreased $2.6 million, or 6.6%, to $36.7 million in fiscal 2019. Operating income in fiscal 2019 included a $10.5 million intangible asset impairment charge related to the Skip Hop tradename. Operating margin decreased 60 bps to 8.5% in fiscal 2019. The decrease in the operating margin was primarily attributable to the intangible asset impairment, partially offset by a 40 bps increase in gross margin and a 140 bps decrease in the SG&amp;A rate. The increase in gross margin was primarily due to favorable inventory provisions, partially offset by higher product costs and unfavorable channel mix. The SG&amp;A rate decreased primarily as a result of the China business model change.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Unallocated corporate expenses increased $6.4 million, or 6.6%, to $103.2 million in fiscal 2019. Unallocated corporate expenses, as a percentage of consolidated net sales, decreased 10 bps to 2.9% in fiscal 2019. The increase primarily reflects increased investments in information technology initiatives and increased performance based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We also believe that we have ready access to the capital markets if additional sources of funding or liquidity are required. Further, we do not expect current economic conditions to prevent us from meeting our cash needs. These sources of liquidity may be affected by events described in our risk factors, as further discussed in "Risk Factors" in Part I, Item 1A of this Annual Report on Form 10-K for the fiscal year ended December 28, 2019.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31" w:name="page32"/>
    <w:bookmarkEnd w:id="31"/>
    <w:p>
      <w:pPr>
        <w:ind w:right="180"/>
        <w:spacing w:after="0" w:line="257" w:lineRule="auto"/>
        <w:rPr>
          <w:sz w:val="20"/>
          <w:szCs w:val="20"/>
          <w:color w:val="auto"/>
        </w:rPr>
      </w:pPr>
      <w:r>
        <w:rPr>
          <w:rFonts w:ascii="Arial" w:cs="Arial" w:eastAsia="Arial" w:hAnsi="Arial"/>
          <w:sz w:val="18"/>
          <w:szCs w:val="18"/>
          <w:color w:val="auto"/>
        </w:rPr>
        <w:t>As of December 28, 2019, we had approximately $214.3 million of cash and cash equivalents in major financial institutions, including approximately $56.5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accounts receivable at December 28, 2019 were $251.0 million compared to $258.3 million at December 29, 2018. The decrease of $7.3 million, or 2.8%, as compared to December 29, 2018, was primarily the result of the timing of wholesale customer receipts.</w:t>
      </w:r>
    </w:p>
    <w:p>
      <w:pPr>
        <w:spacing w:after="0" w:line="13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Inventories at December 28, 2019 were $594.0 million compared to $574.2 million at December 29, 2018. The increase of $19.8 million, or 3.4%, compared to December 29, 2018, primarily reflected an increased average unit cost, timing of receipts, changes in foreign currency exchange rates used for translation, and business growth from retail locations.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90"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Net cash provided by operating activities for fiscal 2019 was $387.2 million compared to net cash provided by operating activities of $356.2 million in fiscal 2018. The increase in operating cash flow primarily reflected the timing of payments and receipts in the normal course of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investing activities was approximately $60.7 million in fiscal 2019, compared to net cash used of approximately $63.3 million in fiscal 2018. This decrease in net cash used in investing activities for fiscal 2019 is primarily due to a decrease in capital expenditures. Our capital expenditures were approximately $61.4 million, including $32.1 million for our U.S. and international retail store openings and remodelings, $17.8 million for information technology initiatives, $4.8 million for our distribution facilities, and $2.3 million for wholesale fixtures.</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plan to invest approximately $75 million in capital expenditures in fiscal 2020, primarily for U.S. and international retail store openings and remodelings, information technology initiatives, and distribution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cash used in financing activities was $283.4 million in fiscal 2019 compared to $298.9 million in fiscal 2018. This decrease in cash used for financing activities in fiscal 2019 primarily reflected the receipt of $500 million of proceeds from the issuance of senior notes due 2027, which were used to refinance the previous senior notes due 2021 and a portion of the borrowings under the secured revolving credit facility, and proceeds from exercises of stock options. This was offset in part by the payment of debt issuance costs, premiums paid to extinguish debt, increased repurchases of common stock and increased dividend payments.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August 25, 2017, the Company's wholly-owned subsidiary, The William Carter Company ("TWCC"), and the syndicate of lenders entered into a fourth amended and restated secured revolving credit agreement. This amended and restated secured revolving credit facility provided: (a) an extension of the term of the facility to August 25, 2022 and (b) an increase in the aggregate credit line to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 In addition, the secured revolving credit facility provides for incremental borrowing facilities up to $425 million, which are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1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September 21, 2018, TWCC and a syndicate of lenders entered into Amendment No. 1 to the fourth amended and restated credit agreement that, among other things, extended the term of the facility from August 25, 2022 to September 21, 2023.</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57" w:right="259" w:bottom="1440" w:gutter="0" w:footer="0" w:header="0"/>
        </w:sectPr>
      </w:pPr>
    </w:p>
    <w:bookmarkStart w:id="32" w:name="page33"/>
    <w:bookmarkEnd w:id="32"/>
    <w:p>
      <w:pPr>
        <w:ind w:right="40"/>
        <w:spacing w:after="0" w:line="271" w:lineRule="auto"/>
        <w:rPr>
          <w:sz w:val="20"/>
          <w:szCs w:val="20"/>
          <w:color w:val="auto"/>
        </w:rPr>
      </w:pPr>
      <w:r>
        <w:rPr>
          <w:rFonts w:ascii="Arial" w:cs="Arial" w:eastAsia="Arial" w:hAnsi="Arial"/>
          <w:sz w:val="17"/>
          <w:szCs w:val="17"/>
          <w:color w:val="auto"/>
        </w:rPr>
        <w:t>As of December 28, 2019 and December 29, 2018, we had $100.0 million and $196.0 million in outstanding borrowings under our secured revolving credit facility, respectively, exclusive of $5.0 million of outstanding letters of credit for both fiscal 2019 and fiscal 2018. As of December 28, 2019 and December 29, 2018, approximately $645.0 million and $549.0 million were available for future borrowing, respectively. Weighted-average borrowings for fiscal 2019 were $182.5 million compared to weighted-average borrowings for fiscal 2018 of $286.9 million. The decline in weighted-average borrowings for fiscal 2019 was primarily due to the refinancing of the new senior notes in fiscal 2019, in which a portion of the proceeds were used to refinance outstanding borrowings under the secured revolving credit facility.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2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as of December 28, 2019 were 1.625% for LIBOR rate loans (which may be adjusted based on a leverage-based pricing grid ranging from 1.125% to 1.875%) and 0.625% for base rate loans (which may be adjusted based on a leverage-based pricing grid ranging from 0.125% to 0.875%).</w:t>
      </w:r>
    </w:p>
    <w:p>
      <w:pPr>
        <w:spacing w:after="0" w:line="22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28, 2019 and December 29, 2018, U.S. dollar borrowings outstanding under the secured revolving credit facility accrued interest at a LIBOR rate plus the applicable base rate, which resulted in a weighted-average borrowing rate of 3.42% and 4.11%, respectively. The effective interest rate for fiscal 2019 was 3.76% compared to an effective interest rate of 3.45% for fiscal 2018.</w:t>
      </w:r>
    </w:p>
    <w:p>
      <w:pPr>
        <w:spacing w:after="0" w:line="141" w:lineRule="exact"/>
        <w:rPr>
          <w:sz w:val="20"/>
          <w:szCs w:val="20"/>
          <w:color w:val="auto"/>
        </w:rPr>
      </w:pPr>
    </w:p>
    <w:p>
      <w:pPr>
        <w:ind w:right="1900"/>
        <w:spacing w:after="0" w:line="438" w:lineRule="auto"/>
        <w:rPr>
          <w:sz w:val="20"/>
          <w:szCs w:val="20"/>
          <w:color w:val="auto"/>
        </w:rPr>
      </w:pPr>
      <w:r>
        <w:rPr>
          <w:rFonts w:ascii="Arial" w:cs="Arial" w:eastAsia="Arial" w:hAnsi="Arial"/>
          <w:sz w:val="18"/>
          <w:szCs w:val="18"/>
          <w:color w:val="auto"/>
        </w:rPr>
        <w:t xml:space="preserve">As of December 28, 2019, we were in compliance with the financial and other covenants under our secured revolving credit facility. </w:t>
      </w:r>
      <w:r>
        <w:rPr>
          <w:rFonts w:ascii="Arial" w:cs="Arial" w:eastAsia="Arial" w:hAnsi="Arial"/>
          <w:sz w:val="18"/>
          <w:szCs w:val="18"/>
          <w:b w:val="1"/>
          <w:bCs w:val="1"/>
          <w:color w:val="auto"/>
        </w:rPr>
        <w:t>Senior Notes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28, 2019, TWCC had $500 million principal amount of senior notes outstanding, bearing interest at a rate of 5.625% per annum, and maturing on March 15, 2027. On our consolidated balance sheet, the $500 million of outstanding senior notes as of December 28, 2019 is reported net of $5.3 million of unamortized issuance-related debt costs, and the $400 million of outstanding senior notes as of December 29, 2018 is reported net of $2.7 million of unamortized issuance-related debt costs.</w:t>
      </w:r>
    </w:p>
    <w:p>
      <w:pPr>
        <w:spacing w:after="0" w:line="32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senior notes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and after March 15, 2022,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March 15 of each of the years indicated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6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9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102.81%</w:t>
            </w:r>
          </w:p>
        </w:tc>
      </w:tr>
      <w:tr>
        <w:trPr>
          <w:trHeight w:val="237"/>
        </w:trPr>
        <w:tc>
          <w:tcPr>
            <w:tcW w:w="944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101.41%</w:t>
            </w:r>
          </w:p>
        </w:tc>
      </w:tr>
      <w:tr>
        <w:trPr>
          <w:trHeight w:val="33"/>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33"/>
        </w:trPr>
        <w:tc>
          <w:tcPr>
            <w:tcW w:w="9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indenture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3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both February 13, 2020 and February 22, 2018, our Board of Directors authorized an additional $500 million of share repurchases, for total authorizations, inclusive of authorizations prior to 2018, up to $1.96 billion. There is no expiration date on these authorizations.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Open-market repurchases of our common stock during fiscal years 2019 and 2018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For the fiscal year ended</w:t>
            </w:r>
          </w:p>
        </w:tc>
      </w:tr>
      <w:tr>
        <w:trPr>
          <w:trHeight w:val="47"/>
        </w:trPr>
        <w:tc>
          <w:tcPr>
            <w:tcW w:w="75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1"/>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2,107,472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1,879,529</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196,910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193,028</w:t>
            </w: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102.70</w:t>
            </w:r>
          </w:p>
        </w:tc>
      </w:tr>
      <w:tr>
        <w:trPr>
          <w:trHeight w:val="33"/>
        </w:trPr>
        <w:tc>
          <w:tcPr>
            <w:tcW w:w="7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to the open-market repurchases completed in fiscal years 2019 and 2018, open-market repurchases totaling $876.8 million were made in fiscal years prior to 2018. Total remaining capacity under all of the repurchase authorizations as of December 28, 2019 was approximately $195.7 million.</w:t>
      </w:r>
    </w:p>
    <w:p>
      <w:pPr>
        <w:spacing w:after="0" w:line="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Future share repurchases may be made in the open market or in privately negotiated transactions, with the level and timing of activity at our discretion depending on market conditions, share price, other investment priorities, and other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Board of Directors authorized quarterly cash dividends of $0.50 per share in each quarter of fiscal 2019, and cash dividends of $0.45 per share in each quarter of fiscal 2018. The dividends were paid during the fiscal quarter in which they were declared.</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February 13, 2020, our Board of Directors authorized a quarterly cash dividend payment of $0.60 per common share, payable on March 20, 2020 to shareholders of record at the close of business on March 6, 2020.</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Future declarations of quarterly dividends and the establishment of future record and payment dates are at the discretion of our Board of Directors, and are based on a number of factors, including our future financial performance and other investment priorities.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Provisions in our secured revolving credit facility could have the effect of restricting our ability to pay future cash dividends on or make future repurchases of our common stock.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Commitments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as of December 28, 2019, the maturity or expiration dates of mandatory contractual obligations and commitments for the following fiscal years: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600,000</w:t>
            </w:r>
          </w:p>
        </w:tc>
      </w:tr>
      <w:tr>
        <w:trPr>
          <w:trHeight w:val="309"/>
        </w:trPr>
        <w:tc>
          <w:tcPr>
            <w:tcW w:w="3340" w:type="dxa"/>
            <w:vAlign w:val="bottom"/>
          </w:tcPr>
          <w:p>
            <w:pPr>
              <w:ind w:left="40"/>
              <w:spacing w:after="0"/>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31,650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31,583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31,583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30,624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28,125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70,312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223,877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financial obligations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Letters of credit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financial obligations and commitments</w:t>
      </w:r>
      <w:r>
        <w:rPr>
          <w:rFonts w:ascii="Arial" w:cs="Arial" w:eastAsia="Arial" w:hAnsi="Arial"/>
          <w:sz w:val="18"/>
          <w:szCs w:val="18"/>
          <w:color w:val="auto"/>
          <w:vertAlign w:val="superscript"/>
        </w:rPr>
        <w:t>(3)(4)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192,986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175,521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151,436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125,320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100,923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195,757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941,943</w:t>
            </w:r>
          </w:p>
        </w:tc>
      </w:tr>
      <w:tr>
        <w:trPr>
          <w:trHeight w:val="262"/>
        </w:trPr>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904</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224,867</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207,335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183,250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256,155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129,048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766,069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1,766,724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5,018</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2"/>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229,885</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207,335</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183,250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256,155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129,048</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766,069</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1,771,742</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-599440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-256540</wp:posOffset>
            </wp:positionV>
            <wp:extent cx="724662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3180" w:space="160"/>
            <w:col w:w="8080"/>
          </w:cols>
          <w:pgMar w:left="240" w:top="553" w:right="239" w:bottom="1440" w:gutter="0" w:footer="0" w:header="0"/>
          <w:type w:val="continuous"/>
        </w:sectPr>
      </w:pPr>
    </w:p>
    <w:p>
      <w:pPr>
        <w:ind w:left="500" w:right="80" w:hanging="492"/>
        <w:spacing w:after="0" w:line="273"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i) estimated variable rate interest on obligations outstanding on our secured revolving credit facility as of December 28, 2019 using an interest rate of 3.42% and ii) a fixed interest rate of 5.625% for the senior notes.</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minimum lease obligation includes all lease and non-lease components that were included in the measurement of the lease liability.</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table above excludes our reserves for income taxes, as we are unable to reasonably predict the ultimate amount or timing of settlement.</w:t>
      </w:r>
    </w:p>
    <w:p>
      <w:pPr>
        <w:spacing w:after="0" w:line="82" w:lineRule="exact"/>
        <w:rPr>
          <w:rFonts w:ascii="Arial" w:cs="Arial" w:eastAsia="Arial" w:hAnsi="Arial"/>
          <w:sz w:val="14"/>
          <w:szCs w:val="14"/>
          <w:color w:val="auto"/>
        </w:rPr>
      </w:pPr>
    </w:p>
    <w:p>
      <w:pPr>
        <w:ind w:left="500" w:right="100" w:hanging="492"/>
        <w:spacing w:after="0" w:line="273"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table above excludes purchase obligations. Our estimate as of December 28, 2019 for commitments to purchase inventory in the normal course of business, which are cancellable (with or without penalty, depending on the stage of production) and span a period of one year or less, was between $300 million and $400 million.</w:t>
      </w:r>
    </w:p>
    <w:p>
      <w:pPr>
        <w:spacing w:after="0" w:line="38" w:lineRule="exact"/>
        <w:rPr>
          <w:rFonts w:ascii="Arial" w:cs="Arial" w:eastAsia="Arial" w:hAnsi="Arial"/>
          <w:sz w:val="14"/>
          <w:szCs w:val="14"/>
          <w:color w:val="auto"/>
        </w:rPr>
      </w:pPr>
    </w:p>
    <w:p>
      <w:pPr>
        <w:ind w:left="500" w:right="100" w:hanging="492"/>
        <w:spacing w:after="0" w:line="257"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table above excludes any potential future Company funding for obligations under our defined benefit retirement plans. Our estimates of such obligations as of December 28, 2019 have been determined in accordance with U.S. GAAP and are included in other current liabilities and other long-term liabilities on our consolidated balance sheet, as described in Item 8 "Financial Statements and Supplementary Data" under Note 12, Employee Benefit Plans, to the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Obligations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do not maintain off-balance sheet arrangements, transaction, obligations, or other relationships with unconsolidated entities except for those that are made in the normal course of our business and included in our commitments table presented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the foreseeable future, although no assurance can be given in this regard. Additionally, we believe that we have access to the capital markets as needed to fund additional liquidity needs which might arise.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Deflation</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do not believe that inflation has had a significant effect on our net sales or our profitability. Substantial increases in product costs, however, could have a significant impact on our business and the industry in the future. Additionally, while deflation could positively impact our merchandise costs, it could have an adverse effect on our average unit retail price, resulting in lower sales and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3"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color w:val="auto"/>
        </w:rPr>
        <w:t>results of which form the basis for making judgments about the carrying values of assets and liabilities that are not readily apparent from other sources.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may differ from these estimates under different assumptions or conditions.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 Allowance</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beginning of fiscal 2018, the Company adopted the provisions of Accounting Standards Codification ("ASC") No. 606, Revenue from Contracts with Customers, and all related amendments ("ASC 606") using the full retrospective adoption method.</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14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retail store revenues, also reported as Net sales, are recognized at the point of sale. Retail sales through our on-line channels are recognized at time of delivery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accounts receivable reserves for wholesale customers include an allowance for doubtful accounts and an allowance for chargebacks. The allowance for doubtful accounts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Our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our consolidated statement of operations and provisions for chargebacks are reflected as a reduction in Net sales on our consolidated statement of operations.</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 cooperative advertising arrangements with certain of our major wholesale customers at fair value. Fair value is determined based upon, among other factors, comparable market analysis for similar advertisements. We have included the fair value of these arrangements of approximately $3.1 million for fiscal 2019, $3.0 million for fiscal 2018, and $3.1 million for fiscal 2017 as a component of SG&amp;A expenses on the accompanying consolidated statements of operations, rather than as a reduction of net sales. Amounts determined to be in excess of the fair value of these arrangements are recorded as a reduction of net sales.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circumstances, we do not allow our wholesale customers to return goods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goods sold when the related inventory item is sold.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Tradename</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qualitative and quantitative methods to assess for impairment, including the use of discounted cash flows ("income approach") and relevant data from guideline public companies ("market approach").</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57" w:right="259" w:bottom="1440" w:gutter="0" w:footer="0" w:header="0"/>
        </w:sectPr>
      </w:pPr>
    </w:p>
    <w:bookmarkStart w:id="36" w:name="page37"/>
    <w:bookmarkEnd w:id="36"/>
    <w:p>
      <w:pPr>
        <w:ind w:right="100"/>
        <w:spacing w:after="0" w:line="255" w:lineRule="auto"/>
        <w:rPr>
          <w:sz w:val="20"/>
          <w:szCs w:val="20"/>
          <w:color w:val="auto"/>
        </w:rPr>
      </w:pPr>
      <w:r>
        <w:rPr>
          <w:rFonts w:ascii="Arial" w:cs="Arial" w:eastAsia="Arial" w:hAnsi="Arial"/>
          <w:sz w:val="18"/>
          <w:szCs w:val="18"/>
          <w:color w:val="auto"/>
        </w:rPr>
        <w:t>We perform impairment tests of goodwill at the reporting unit level. 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likely" that the fair value of the reporting unit is less than its carrying value, then no further testing is required.</w:t>
      </w:r>
    </w:p>
    <w:p>
      <w:pPr>
        <w:spacing w:after="0" w:line="1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a quantitative assessment for goodwill, the first step is to compare the fair value of a reporting unit to its carrying value, including goodwill. We use discounted cash flow models and comparable company analysis to determine the fair value of a reporting unit. The assumptions used in these models are consistent with those we believe hypothetical marketplace participants would use. If the fair value of a reporting unit is less than its carrying value, the second step of the impairment test must be performed in order to determine the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the goodwill.</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tradename is considered impaired if the estimated fair value of the tradename is less than the carrying amount. Impairment reviews for an indefinite-lived tradename can be conducted using qualitative analysis, and if necessary, by a quantitative impairment test. If a tradename is considered impaired, we recognize a loss equal to the difference between the carrying amount and the estimated fair value of the tradename. The process of estimating the fair value of a tradename incorporates the relief-from-royalty method, which requires us to make assumptions and to apply judgment, including forecasting revenue growth rates and selecting the appropriate terminal value, discount rate, and royalty rate.</w:t>
      </w:r>
    </w:p>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Skip Hop business has experienced lower than expected actual and projected sales and profitability due to lower domestic demand, including the loss of a significant customer (Toys "R" Us), lower international demand and higher product costs primarily driven by tariffs imposed on products sourced from China. As a result, the Company conducted an interim impairment assessment in the third quarter of fiscal 2019 on the value of the Company's indefinite-lived Skip Hop tradename asset that was recorded in connection with the acquisition of Skip Hop Holdings, Inc. in February 2017. The indefinite-lived tradename asset assessment was performed in accordance with ASC 350, "Intangibles--Goodwill and Other" and was determined using a discounted cash flow analysis which examined the hypothetical cost savings that accrue as a result of our ownership of the tradename. Based on this assessment, a charge of $19.1 million, $10.5 million, and $1.2 million was recorded on our indefinite-lived Skip Hop tradename asset in the U.S. Wholesale, International, and U.S. Retail segments, respectively, to reflect the impairment of the value ascribed to the indefinite-lived Skip Hop tradename asset. The carrying value of the Company's indefinite-lived Skip Hop tradename asset after the impairment charge was $26.0 million.</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Due to the reduced expected impact from tariffs on Skip Hop's projected operating margins, which led to an increase in the royalty rate assumption, no further impairment to the indefinite-lived Skip Hop tradename asset was necessary as of December 28, 2019. Although the Company determined that no impairment exists, the Company's indefinite-lived Skip Hop tradename asset is at risk for further impairment if the Company is unable to achieve its future sales and earnings projections or if market conditions were to deteriorate.</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upon our most recent assessment, performed as of December 28, 2019, there were no other impairments in the values of goodwill or indefinite-lived tradename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9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Loss Contingencies</w:t>
      </w:r>
    </w:p>
    <w:p>
      <w:pPr>
        <w:spacing w:after="0" w:line="9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advisers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recognized.</w:t>
      </w:r>
    </w:p>
    <w:p>
      <w:pPr>
        <w:spacing w:after="0" w:line="15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assess permanent and temporary differences resulting from differing bases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3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For current and deferred tax provisions, ASC 740 requires entities to account for the effects of new income tax legislation in the same reporting period that the tax legislation is enacted. Changes to tax laws known as the U.S. Tax Cuts and Jobs Act of 2017 (the "2017 Tax Act") were enacted on December 22, 2017. SEC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permitted the Company to calculate and recognize provisional tax estimates for the fourth quarter of fiscal 2017 related to the enactment of the 2017 Tax Act. The Company completed its assessment of the implications of the 2017 Tax Act in 2018. The adjustment to income tax expense recorded in 2018 was not material. Additional information is contained in Item 8 "Financial Statements and Supplementary Data" under Note 13, </w:t>
      </w:r>
      <w:r>
        <w:rPr>
          <w:rFonts w:ascii="Arial" w:cs="Arial" w:eastAsia="Arial" w:hAnsi="Arial"/>
          <w:sz w:val="16"/>
          <w:szCs w:val="16"/>
          <w:i w:val="1"/>
          <w:iCs w:val="1"/>
          <w:color w:val="auto"/>
        </w:rPr>
        <w:t>Income Taxes</w:t>
      </w:r>
      <w:r>
        <w:rPr>
          <w:rFonts w:ascii="Arial" w:cs="Arial" w:eastAsia="Arial" w:hAnsi="Arial"/>
          <w:sz w:val="16"/>
          <w:szCs w:val="16"/>
          <w:color w:val="auto"/>
        </w:rPr>
        <w:t>, to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functional currency of substantially all of our foreign operations is the local currency.</w:t>
      </w:r>
    </w:p>
    <w:p>
      <w:pPr>
        <w:spacing w:after="0" w:line="18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14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Transaction gains and losses, such as those resulting from the settlement of nonfunctional currency receivables and payables, including intercompany balances, are included in foreign currency gain or loss in our consolidated statements of operations. Additionally, payable and receivable balances denominated in nonfunctional currencies are marked-to-market at the end of each reporting period, and the gain or loss is recognized in our consolidated statements of operations.</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part of our overall strategy to manage the level of exposure to the risk of foreign currency exchange rate fluctuations, primarily between the U.S. dollar and the currencies of Canada and Mexico, we may use foreign currency forward contracts to hedge purchases that are made in U.S. dollars, primarily for inventory purchases in our Canadian and Mexican businesses. As part of a hedging strategy, we may use foreign currency forward exchange contracts that typically have maturities of less than 12 months and provide continuing coverage throughout the hedging period. These contracts have not been designated for hedge accounting treatment, and therefore changes in the fair value of these contracts were recorded in our consolidated statement of operations. Such foreign currency gains and losses include the mark-to-market fair value adjustments at the end of each reporting period related to any open contracts, as well as any realized gains and losses on contracts settled during the reporting period. Fair values for open contracts are calculated by using readily observable market inputs (market-quoted currency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3" w:right="239" w:bottom="1440" w:gutter="0" w:footer="0" w:header="0"/>
        </w:sectPr>
      </w:pPr>
    </w:p>
    <w:bookmarkStart w:id="38" w:name="page39"/>
    <w:bookmarkEnd w:id="38"/>
    <w:p>
      <w:pPr>
        <w:ind w:right="440"/>
        <w:spacing w:after="0" w:line="399" w:lineRule="auto"/>
        <w:rPr>
          <w:sz w:val="20"/>
          <w:szCs w:val="20"/>
          <w:color w:val="auto"/>
        </w:rPr>
      </w:pPr>
      <w:r>
        <w:rPr>
          <w:rFonts w:ascii="Arial" w:cs="Arial" w:eastAsia="Arial" w:hAnsi="Arial"/>
          <w:sz w:val="18"/>
          <w:szCs w:val="18"/>
          <w:color w:val="auto"/>
        </w:rPr>
        <w:t xml:space="preserve">exchange rates), classified as Level 2 within the fair value hierarchy. At December 28, 2019, there were no unsettled foreign currency forward contracts. </w:t>
      </w:r>
      <w:r>
        <w:rPr>
          <w:rFonts w:ascii="Arial" w:cs="Arial" w:eastAsia="Arial" w:hAnsi="Arial"/>
          <w:sz w:val="18"/>
          <w:szCs w:val="18"/>
          <w:b w:val="1"/>
          <w:bCs w:val="1"/>
          <w:color w:val="auto"/>
        </w:rPr>
        <w:t>Employee Benefit Plans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actuarial assumptions used may differ materially from actual results due to changing market and economic conditions. Actual results that differ from the actuarial assumptions are reflected as unrecognized gains and losses. Unrecognized gains and losses that exceed 10% of the greater of the plan's projected benefit obligations or market value of assets are amortized to earnings over the estimated service life of the remaining plan participants.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Any future obligation under our pension plan not funded from investment returns on plan assets are expected to be funded from cash flows from operations.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12,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account for the cost resulting from stock-based compensation arrangements at grant date fair value, utilizing the Black-Scholes option pricing model, which requires the use of subjective assumptions. These assumptions include the following:</w:t>
      </w:r>
    </w:p>
    <w:p>
      <w:pPr>
        <w:spacing w:after="0" w:line="35" w:lineRule="exact"/>
        <w:rPr>
          <w:sz w:val="20"/>
          <w:szCs w:val="20"/>
          <w:color w:val="auto"/>
        </w:rPr>
      </w:pPr>
    </w:p>
    <w:p>
      <w:pPr>
        <w:ind w:left="980" w:right="360" w:hanging="648"/>
        <w:spacing w:after="0" w:line="264"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 This is a measure of the amount by which a stock price has fluctuated or is expected to fluctuate. We use actual monthly historical changes in the market value of our stock covering the expected life of stock options being valued. An increase in the expected volatility will increase the fair value of the stock option and related compensation expense.</w:t>
      </w:r>
    </w:p>
    <w:p>
      <w:pPr>
        <w:spacing w:after="0" w:line="140"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129" w:lineRule="exact"/>
        <w:rPr>
          <w:rFonts w:ascii="Arial" w:cs="Arial" w:eastAsia="Arial" w:hAnsi="Arial"/>
          <w:sz w:val="18"/>
          <w:szCs w:val="18"/>
          <w:color w:val="auto"/>
        </w:rPr>
      </w:pPr>
    </w:p>
    <w:p>
      <w:pPr>
        <w:ind w:left="980" w:right="240" w:hanging="648"/>
        <w:spacing w:after="0" w:line="259"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related compensation expense.</w:t>
      </w:r>
    </w:p>
    <w:p>
      <w:pPr>
        <w:spacing w:after="0" w:line="146" w:lineRule="exact"/>
        <w:rPr>
          <w:rFonts w:ascii="Arial" w:cs="Arial" w:eastAsia="Arial" w:hAnsi="Arial"/>
          <w:sz w:val="18"/>
          <w:szCs w:val="18"/>
          <w:color w:val="auto"/>
        </w:rPr>
      </w:pPr>
    </w:p>
    <w:p>
      <w:pPr>
        <w:ind w:left="980" w:right="260" w:hanging="648"/>
        <w:spacing w:after="0" w:line="277"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 yield – We estimate a dividend yield based on the current dividend amount as a percentage of our current stock price. An increase in the dividend yield will decrease the fair value of the stock option and related stock-based compensation expense.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Forfeitures – We estimate forfeitures of stock-based awards based on historical experience and expected future activity.</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1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requisite service period, we recognize a deferred income tax benefit for the expense recognized for U.S. GAAP. At time of subsequent vesting, exercise, forfeiture, or expiration of an award, the difference between our actual income tax deduction, if any, and the previously accrued income tax benefit is recognized in our income tax expense/benefit during the current period.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9" w:name="page40"/>
    <w:bookmarkEnd w:id="39"/>
    <w:p>
      <w:pPr>
        <w:ind w:right="3980"/>
        <w:spacing w:after="0" w:line="346" w:lineRule="auto"/>
        <w:rPr>
          <w:sz w:val="20"/>
          <w:szCs w:val="20"/>
          <w:color w:val="auto"/>
        </w:rPr>
      </w:pPr>
      <w:r>
        <w:rPr>
          <w:rFonts w:ascii="Arial" w:cs="Arial" w:eastAsia="Arial" w:hAnsi="Arial"/>
          <w:sz w:val="18"/>
          <w:szCs w:val="18"/>
          <w:b w:val="1"/>
          <w:bCs w:val="1"/>
          <w:color w:val="auto"/>
        </w:rPr>
        <w:t>ITEM 7A. QUANTITATIVE AND QUALITATIVE DISCLOSURES ABOUT MARKET RISK Currency and Interest Rate Risks</w:t>
      </w:r>
    </w:p>
    <w:p>
      <w:pPr>
        <w:spacing w:after="0" w:line="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in fiscal 2019, compared to fiscal 2018, negatively affected our International segment's net sales by approximately $6.1 million.</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noncurrent intercompany loans with foreign subsidiaries that are marked to market. In our statement of operations, these gains and losses are recorded within other (income) expense, net.</w:t>
      </w:r>
    </w:p>
    <w:p>
      <w:pPr>
        <w:spacing w:after="0" w:line="14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primarily between the U.S. dollar and currencies of Canada and Mexico, we may use foreign currency forward contracts to hedge purchases that are made in U.S. dollars, primarily for inventory purchases for our Canadian and Mexican operations. As part of this hedging strategy, we have used foreign currency forward exchange contracts with maturities of less than 12 months to provide coverage throughout the hedging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operating results are subject to risk from interest rate fluctuations on our amended revolving credit facility, which carries variable interest rates. Weighted-average variable rate borrowings for the fiscal year ended December 28, 2019 were $182.5 million. An increase or decrease of 1% in the effective interest rate on that amount would have increased or decreased our annual pretax interest cost for fiscal 2019 by approximately $1.8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CARTER'S, INC.</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90"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4"/>
          </w:tcPr>
          <w:p>
            <w:pPr>
              <w:jc w:val="center"/>
              <w:ind w:left="170"/>
              <w:spacing w:after="0"/>
              <w:rPr>
                <w:sz w:val="20"/>
                <w:szCs w:val="20"/>
                <w:color w:val="auto"/>
              </w:rPr>
            </w:pPr>
            <w:r>
              <w:rPr>
                <w:rFonts w:ascii="Arial" w:cs="Arial" w:eastAsia="Arial" w:hAnsi="Arial"/>
                <w:sz w:val="18"/>
                <w:szCs w:val="18"/>
                <w:color w:val="auto"/>
                <w:w w:val="80"/>
              </w:rPr>
              <w:t>Page</w:t>
            </w:r>
          </w:p>
        </w:tc>
      </w:tr>
      <w:tr>
        <w:trPr>
          <w:trHeight w:val="250"/>
        </w:trPr>
        <w:tc>
          <w:tcPr>
            <w:tcW w:w="4220" w:type="dxa"/>
            <w:vAlign w:val="bottom"/>
            <w:gridSpan w:val="5"/>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Report of Independent Registered Public Accounting Firm</w:t>
              </w:r>
            </w:hyperlink>
          </w:p>
        </w:tc>
        <w:tc>
          <w:tcPr>
            <w:tcW w:w="4160" w:type="dxa"/>
            <w:vAlign w:val="bottom"/>
            <w:gridSpan w:val="6"/>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top w:val="single" w:sz="8" w:color="auto"/>
            </w:tcBorders>
            <w:gridSpan w:val="2"/>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39</w:t>
              </w:r>
            </w:hyperlink>
          </w:p>
        </w:tc>
        <w:tc>
          <w:tcPr>
            <w:tcW w:w="80" w:type="dxa"/>
            <w:vAlign w:val="bottom"/>
            <w:tcBorders>
              <w:top w:val="single" w:sz="8" w:color="auto"/>
            </w:tcBorders>
          </w:tcPr>
          <w:p>
            <w:pPr>
              <w:spacing w:after="0"/>
              <w:rPr>
                <w:sz w:val="21"/>
                <w:szCs w:val="2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380" w:type="dxa"/>
            <w:vAlign w:val="bottom"/>
            <w:gridSpan w:val="11"/>
          </w:tcPr>
          <w:p>
            <w:pPr>
              <w:spacing w:after="0"/>
              <w:rPr>
                <w:sz w:val="20"/>
                <w:szCs w:val="20"/>
                <w:color w:val="auto"/>
              </w:rPr>
            </w:pPr>
            <w:r>
              <w:rPr>
                <w:rFonts w:ascii="Arial" w:cs="Arial" w:eastAsia="Arial" w:hAnsi="Arial"/>
                <w:sz w:val="18"/>
                <w:szCs w:val="18"/>
                <w:color w:val="0000FF"/>
              </w:rPr>
              <w:t>Consolidated Balance Sheets at December 28, 2019 and December 29, 2018</w:t>
            </w:r>
          </w:p>
        </w:tc>
        <w:tc>
          <w:tcPr>
            <w:tcW w:w="520" w:type="dxa"/>
            <w:vAlign w:val="bottom"/>
            <w:gridSpan w:val="3"/>
          </w:tcPr>
          <w:p>
            <w:pPr>
              <w:jc w:val="center"/>
              <w:ind w:left="2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80" w:type="dxa"/>
            <w:vAlign w:val="bottom"/>
          </w:tcPr>
          <w:p>
            <w:pPr>
              <w:spacing w:after="0"/>
              <w:rPr>
                <w:sz w:val="21"/>
                <w:szCs w:val="2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9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Consolidated Statements of Operations for the fiscal years ended December 28, 2019, December 29, 2018, and</w:t>
            </w:r>
          </w:p>
        </w:tc>
        <w:tc>
          <w:tcPr>
            <w:tcW w:w="40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8380" w:type="dxa"/>
            <w:vAlign w:val="bottom"/>
            <w:gridSpan w:val="11"/>
          </w:tcPr>
          <w:p>
            <w:pPr>
              <w:spacing w:after="0" w:line="196" w:lineRule="exact"/>
              <w:rPr>
                <w:sz w:val="20"/>
                <w:szCs w:val="20"/>
                <w:color w:val="auto"/>
              </w:rPr>
            </w:pPr>
            <w:r>
              <w:rPr>
                <w:rFonts w:ascii="Arial" w:cs="Arial" w:eastAsia="Arial" w:hAnsi="Arial"/>
                <w:sz w:val="18"/>
                <w:szCs w:val="18"/>
                <w:color w:val="0000FF"/>
              </w:rPr>
              <w:t>December 30, 2017</w:t>
            </w:r>
          </w:p>
        </w:tc>
        <w:tc>
          <w:tcPr>
            <w:tcW w:w="520" w:type="dxa"/>
            <w:vAlign w:val="bottom"/>
            <w:gridSpan w:val="3"/>
          </w:tcPr>
          <w:p>
            <w:pPr>
              <w:jc w:val="center"/>
              <w:ind w:left="250"/>
              <w:spacing w:after="0" w:line="196"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c>
          <w:tcPr>
            <w:tcW w:w="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380" w:type="dxa"/>
            <w:vAlign w:val="bottom"/>
            <w:gridSpan w:val="11"/>
          </w:tcPr>
          <w:p>
            <w:pPr>
              <w:spacing w:after="0"/>
              <w:rPr>
                <w:sz w:val="20"/>
                <w:szCs w:val="20"/>
                <w:color w:val="auto"/>
              </w:rPr>
            </w:pPr>
            <w:r>
              <w:rPr>
                <w:rFonts w:ascii="Arial" w:cs="Arial" w:eastAsia="Arial" w:hAnsi="Arial"/>
                <w:sz w:val="18"/>
                <w:szCs w:val="18"/>
                <w:color w:val="0000FF"/>
                <w:w w:val="92"/>
              </w:rPr>
              <w:t>Consolidated Statements of Comprehensive Income for the fiscal years ended December 28, 2019, December 29,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8140" w:type="dxa"/>
            <w:vAlign w:val="bottom"/>
            <w:tcBorders>
              <w:top w:val="single" w:sz="8" w:color="0000FF"/>
            </w:tcBorders>
            <w:gridSpan w:val="10"/>
          </w:tcPr>
          <w:p>
            <w:pPr>
              <w:spacing w:after="0" w:line="196" w:lineRule="exact"/>
              <w:rPr>
                <w:sz w:val="20"/>
                <w:szCs w:val="20"/>
                <w:color w:val="auto"/>
              </w:rPr>
            </w:pPr>
            <w:r>
              <w:rPr>
                <w:rFonts w:ascii="Arial" w:cs="Arial" w:eastAsia="Arial" w:hAnsi="Arial"/>
                <w:sz w:val="18"/>
                <w:szCs w:val="18"/>
                <w:color w:val="0000FF"/>
              </w:rPr>
              <w:t>2018, and December 30, 2017</w:t>
            </w:r>
          </w:p>
        </w:tc>
        <w:tc>
          <w:tcPr>
            <w:tcW w:w="240" w:type="dxa"/>
            <w:vAlign w:val="bottom"/>
          </w:tcPr>
          <w:p>
            <w:pPr>
              <w:spacing w:after="0"/>
              <w:rPr>
                <w:sz w:val="17"/>
                <w:szCs w:val="17"/>
                <w:color w:val="auto"/>
              </w:rPr>
            </w:pPr>
          </w:p>
        </w:tc>
        <w:tc>
          <w:tcPr>
            <w:tcW w:w="520" w:type="dxa"/>
            <w:vAlign w:val="bottom"/>
            <w:gridSpan w:val="3"/>
          </w:tcPr>
          <w:p>
            <w:pPr>
              <w:jc w:val="center"/>
              <w:ind w:left="250"/>
              <w:spacing w:after="0" w:line="19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43</w:t>
              </w:r>
            </w:hyperlink>
          </w:p>
        </w:tc>
        <w:tc>
          <w:tcPr>
            <w:tcW w:w="80" w:type="dxa"/>
            <w:vAlign w:val="bottom"/>
          </w:tcPr>
          <w:p>
            <w:pPr>
              <w:spacing w:after="0"/>
              <w:rPr>
                <w:sz w:val="17"/>
                <w:szCs w:val="17"/>
                <w:color w:val="auto"/>
              </w:rPr>
            </w:pPr>
          </w:p>
        </w:tc>
      </w:tr>
      <w:tr>
        <w:trPr>
          <w:trHeight w:val="20"/>
        </w:trPr>
        <w:tc>
          <w:tcPr>
            <w:tcW w:w="21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0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Consolidated Statements of Cash Flows for the fiscal years ended December 28, 2019, December 29, 2018, and</w:t>
            </w:r>
          </w:p>
        </w:tc>
        <w:tc>
          <w:tcPr>
            <w:tcW w:w="3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8380" w:type="dxa"/>
            <w:vAlign w:val="bottom"/>
            <w:gridSpan w:val="11"/>
          </w:tcPr>
          <w:p>
            <w:pPr>
              <w:spacing w:after="0" w:line="196" w:lineRule="exact"/>
              <w:rPr>
                <w:sz w:val="20"/>
                <w:szCs w:val="20"/>
                <w:color w:val="auto"/>
              </w:rPr>
            </w:pPr>
            <w:r>
              <w:rPr>
                <w:rFonts w:ascii="Arial" w:cs="Arial" w:eastAsia="Arial" w:hAnsi="Arial"/>
                <w:sz w:val="18"/>
                <w:szCs w:val="18"/>
                <w:color w:val="0000FF"/>
              </w:rPr>
              <w:t>December 30, 2017</w:t>
            </w:r>
          </w:p>
        </w:tc>
        <w:tc>
          <w:tcPr>
            <w:tcW w:w="520" w:type="dxa"/>
            <w:vAlign w:val="bottom"/>
            <w:gridSpan w:val="3"/>
          </w:tcPr>
          <w:p>
            <w:pPr>
              <w:jc w:val="center"/>
              <w:ind w:left="250"/>
              <w:spacing w:after="0" w:line="19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c>
          <w:tcPr>
            <w:tcW w:w="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380" w:type="dxa"/>
            <w:vAlign w:val="bottom"/>
            <w:gridSpan w:val="11"/>
          </w:tcPr>
          <w:p>
            <w:pPr>
              <w:spacing w:after="0"/>
              <w:rPr>
                <w:sz w:val="20"/>
                <w:szCs w:val="20"/>
                <w:color w:val="auto"/>
              </w:rPr>
            </w:pPr>
            <w:r>
              <w:rPr>
                <w:rFonts w:ascii="Arial" w:cs="Arial" w:eastAsia="Arial" w:hAnsi="Arial"/>
                <w:sz w:val="18"/>
                <w:szCs w:val="18"/>
                <w:color w:val="0000FF"/>
                <w:w w:val="97"/>
              </w:rPr>
              <w:t>Consolidated Statements of Changes in Stockholders' Equity for the fiscal years ended December 28, 2019,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322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8"/>
              </w:rPr>
              <w:t>December 29, 2018, and December 30, 2017</w:t>
            </w:r>
          </w:p>
        </w:tc>
        <w:tc>
          <w:tcPr>
            <w:tcW w:w="4500" w:type="dxa"/>
            <w:vAlign w:val="bottom"/>
            <w:tcBorders>
              <w:top w:val="single" w:sz="8" w:color="0000FF"/>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c>
          <w:tcPr>
            <w:tcW w:w="520" w:type="dxa"/>
            <w:vAlign w:val="bottom"/>
            <w:gridSpan w:val="3"/>
          </w:tcPr>
          <w:p>
            <w:pPr>
              <w:jc w:val="center"/>
              <w:ind w:left="250"/>
              <w:spacing w:after="0" w:line="19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45</w:t>
              </w:r>
            </w:hyperlink>
          </w:p>
        </w:tc>
        <w:tc>
          <w:tcPr>
            <w:tcW w:w="80" w:type="dxa"/>
            <w:vAlign w:val="bottom"/>
          </w:tcPr>
          <w:p>
            <w:pPr>
              <w:spacing w:after="0"/>
              <w:rPr>
                <w:sz w:val="17"/>
                <w:szCs w:val="17"/>
                <w:color w:val="auto"/>
              </w:rPr>
            </w:pPr>
          </w:p>
        </w:tc>
      </w:tr>
      <w:tr>
        <w:trPr>
          <w:trHeight w:val="20"/>
        </w:trPr>
        <w:tc>
          <w:tcPr>
            <w:tcW w:w="3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220" w:type="dxa"/>
            <w:vAlign w:val="bottom"/>
            <w:gridSpan w:val="4"/>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Notes to Consolidated Financial Statements</w:t>
              </w:r>
            </w:hyperlink>
          </w:p>
        </w:tc>
        <w:tc>
          <w:tcPr>
            <w:tcW w:w="5160" w:type="dxa"/>
            <w:vAlign w:val="bottom"/>
            <w:gridSpan w:val="7"/>
          </w:tcPr>
          <w:p>
            <w:pPr>
              <w:spacing w:after="0"/>
              <w:rPr>
                <w:sz w:val="21"/>
                <w:szCs w:val="21"/>
                <w:color w:val="auto"/>
              </w:rPr>
            </w:pPr>
          </w:p>
        </w:tc>
        <w:tc>
          <w:tcPr>
            <w:tcW w:w="520" w:type="dxa"/>
            <w:vAlign w:val="bottom"/>
            <w:gridSpan w:val="3"/>
          </w:tcPr>
          <w:p>
            <w:pPr>
              <w:jc w:val="center"/>
              <w:ind w:left="25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46</w:t>
              </w:r>
            </w:hyperlink>
          </w:p>
        </w:tc>
        <w:tc>
          <w:tcPr>
            <w:tcW w:w="80" w:type="dxa"/>
            <w:vAlign w:val="bottom"/>
          </w:tcPr>
          <w:p>
            <w:pPr>
              <w:spacing w:after="0"/>
              <w:rPr>
                <w:sz w:val="21"/>
                <w:szCs w:val="2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Carter's,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Carter's, Inc. and its subsidiaries (the “Company”) as of December 28, 2019 and December 29, 2018, and the related consolidated statements of operations, of comprehensive income, of changes in stockholders’ equity and of cash flows for each of the three years in the period ended December 28, 2019, including the related notes (collectively referred to as the “consolidated financial statements”). We also have audited the Company's internal control over financial reporting as of December 28, 2019,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11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28, 2019 and December 29, 2018, and the results of its operations and its cash flows for each of the three years in the period ended December 28, 2019 in conformity with accounting principles generally accepted in the United States of America. Also in our opinion, the Company maintained, in all material respects, effective internal control over financial reporting as of December 28,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69" w:right="239" w:bottom="1440" w:gutter="0" w:footer="0" w:header="0"/>
        </w:sectPr>
      </w:pPr>
    </w:p>
    <w:bookmarkStart w:id="42" w:name="page43"/>
    <w:bookmarkEnd w:id="42"/>
    <w:p>
      <w:pPr>
        <w:ind w:right="260"/>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6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Tradename Impairment Assessment for Skip Hop</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described in Notes 2 and 7 to the consolidated financial statements, the Company’s consolidated indefinite-lived tradename balance was $331.7 million as of December 28, 2019, which includes the Skip Hop tradename of $26.0 million. Management performs a review for potential impairment annually as of the last day of each fiscal year or whenever significant events or changes in circumstances indicate that the carrying value of the assets may not be recoverable. If the carrying amount exceeds the fair value of the tradename, an impairment charge is recognized in the amount of the excess. Management conducted an interim impairment assessment in the third quarter of fiscal 2019 which indicated an impairment charge of the Skip Hop tradename of $19.1 million, $10.5 million, and $1.2 million in the U.S. Wholesale, International, and U.S. Retail segments, respectively. The carrying value of the Company's indefinite-lived Skip Hop tradename asset after the impairment charge was$26.0 million. Management determines fair value of the tradename using a discounted cash flow model that uses the relief from-royalty method. Significant assumptions in the impairment model includes estimates of revenue growth rates, terminal value, discount rate, and royalty rate.</w:t>
      </w:r>
    </w:p>
    <w:p>
      <w:pPr>
        <w:spacing w:after="0" w:line="14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principal considerations for our determination that performing procedures relating to the indefinite-lived tradename impairment assessment for Skip Hop is a critical audit matter are that there was significant judgment by management when determining the fair value of the tradename. This in turn led to a high degree of auditor judgment, subjectivity and effort in performing procedures and evaluating audit evidence related to evaluating management’s significant assumptions, including estimates of revenue growth rates, terminal value, discount rate, and royalty rate. In addition, the audit effort involved the use of professionals with specialized skill and knowledge to assist in performing these procedures and evaluating the audit evidence obtained.</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indefinite-lived tradename impairment assessments, including controls over the relief-from-royalty valuation of the Company’s indefinite-lived tradenames. These procedures also included, among others, (i) testing management’s process for determining the fair value estimate of tradenames valued using the relief-from-royalty method, (ii) evaluating the appropriateness of the relief-from-royalty method, (iii) testing the completeness, accuracy, and relevance of underlying data used in the estimate, and (iv) evaluating the significant assumptions used by management, including revenue growth rates, terminal value, discount rate, and royalty rate. Evaluating management’s assumptions related to revenue growth rates and terminal value involved evaluating whether the assumptions used by management were reasonable considering (i) the current and past performance of the tradename, (ii) the consistency with external market and industry data, and (iii) whether these assumptions were consistent with evidence obtained in other areas of the audit. Professionals with specialized skill and knowledge were used to assist in the evaluation of the Company’s relief-from-royalty method, including the discount rate and the royalty rate.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served as the Company's auditor since at least 1968. We have not been able to determine the specific year we began serving as auditor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57"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(dollars in thousands, except for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28, 2019</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29, 2018</w:t>
            </w: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60"/>
        </w:trPr>
        <w:tc>
          <w:tcPr>
            <w:tcW w:w="74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170,077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251,005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258,259</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574,226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48,454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40,396</w:t>
            </w: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1,107,757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1,042,958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320,168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350,437</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334,642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365,692</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41,126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44,511</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28,159</w:t>
            </w:r>
          </w:p>
        </w:tc>
      </w:tr>
      <w:tr>
        <w:trPr>
          <w:trHeight w:val="217"/>
        </w:trPr>
        <w:tc>
          <w:tcPr>
            <w:tcW w:w="744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2,753,117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2,058,858</w:t>
            </w:r>
          </w:p>
        </w:tc>
      </w:tr>
      <w:tr>
        <w:trPr>
          <w:trHeight w:val="73"/>
        </w:trPr>
        <w:tc>
          <w:tcPr>
            <w:tcW w:w="74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r>
      <w:tr>
        <w:trPr>
          <w:trHeight w:val="197"/>
        </w:trPr>
        <w:tc>
          <w:tcPr>
            <w:tcW w:w="7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420"/>
          </w:cols>
          <w:pgMar w:left="240" w:top="337"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3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380" w:type="dxa"/>
            <w:vAlign w:val="bottom"/>
          </w:tcPr>
          <w:p>
            <w:pPr>
              <w:ind w:left="140"/>
              <w:spacing w:after="0"/>
              <w:rPr>
                <w:sz w:val="20"/>
                <w:szCs w:val="20"/>
                <w:color w:val="auto"/>
              </w:rPr>
            </w:pPr>
            <w:r>
              <w:rPr>
                <w:rFonts w:ascii="Arial" w:cs="Arial" w:eastAsia="Arial" w:hAnsi="Arial"/>
                <w:sz w:val="16"/>
                <w:szCs w:val="16"/>
                <w:color w:val="auto"/>
              </w:rPr>
              <w:t>Current operating lease liabilities</w:t>
            </w:r>
          </w:p>
        </w:tc>
        <w:tc>
          <w:tcPr>
            <w:tcW w:w="120" w:type="dxa"/>
            <w:vAlign w:val="bottom"/>
          </w:tcPr>
          <w:p>
            <w:pPr>
              <w:spacing w:after="0"/>
              <w:rPr>
                <w:sz w:val="22"/>
                <w:szCs w:val="22"/>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20" w:type="dxa"/>
            <w:vAlign w:val="bottom"/>
          </w:tcPr>
          <w:p>
            <w:pPr>
              <w:spacing w:after="0"/>
              <w:rPr>
                <w:sz w:val="23"/>
                <w:szCs w:val="23"/>
                <w:color w:val="auto"/>
              </w:rPr>
            </w:pPr>
          </w:p>
        </w:tc>
      </w:tr>
      <w:tr>
        <w:trPr>
          <w:trHeight w:val="270"/>
        </w:trPr>
        <w:tc>
          <w:tcPr>
            <w:tcW w:w="738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23"/>
                <w:szCs w:val="23"/>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Long-term debt, net</w:t>
            </w:r>
          </w:p>
        </w:tc>
        <w:tc>
          <w:tcPr>
            <w:tcW w:w="120" w:type="dxa"/>
            <w:vAlign w:val="bottom"/>
          </w:tcPr>
          <w:p>
            <w:pPr>
              <w:spacing w:after="0"/>
              <w:rPr>
                <w:sz w:val="23"/>
                <w:szCs w:val="23"/>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23"/>
                <w:szCs w:val="23"/>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120" w:type="dxa"/>
            <w:vAlign w:val="bottom"/>
          </w:tcPr>
          <w:p>
            <w:pPr>
              <w:spacing w:after="0"/>
              <w:rPr>
                <w:sz w:val="23"/>
                <w:szCs w:val="23"/>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23"/>
                <w:szCs w:val="23"/>
                <w:color w:val="auto"/>
              </w:rPr>
            </w:pPr>
          </w:p>
        </w:tc>
      </w:tr>
      <w:tr>
        <w:trPr>
          <w:trHeight w:val="284"/>
        </w:trPr>
        <w:tc>
          <w:tcPr>
            <w:tcW w:w="73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3"/>
        </w:trPr>
        <w:tc>
          <w:tcPr>
            <w:tcW w:w="7380" w:type="dxa"/>
            <w:vAlign w:val="bottom"/>
          </w:tcPr>
          <w:p>
            <w:pPr>
              <w:spacing w:after="0"/>
              <w:rPr>
                <w:sz w:val="20"/>
                <w:szCs w:val="20"/>
                <w:color w:val="auto"/>
              </w:rPr>
            </w:pPr>
            <w:r>
              <w:rPr>
                <w:rFonts w:ascii="Arial" w:cs="Arial" w:eastAsia="Arial" w:hAnsi="Arial"/>
                <w:sz w:val="16"/>
                <w:szCs w:val="16"/>
                <w:color w:val="auto"/>
              </w:rPr>
              <w:t>Commitments and contingencies - Note 18</w:t>
            </w:r>
          </w:p>
        </w:tc>
        <w:tc>
          <w:tcPr>
            <w:tcW w:w="120" w:type="dxa"/>
            <w:vAlign w:val="bottom"/>
          </w:tcPr>
          <w:p>
            <w:pPr>
              <w:spacing w:after="0"/>
              <w:rPr>
                <w:sz w:val="24"/>
                <w:szCs w:val="24"/>
                <w:color w:val="auto"/>
              </w:rPr>
            </w:pPr>
          </w:p>
        </w:tc>
      </w:tr>
      <w:tr>
        <w:trPr>
          <w:trHeight w:val="486"/>
        </w:trPr>
        <w:tc>
          <w:tcPr>
            <w:tcW w:w="738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24"/>
                <w:szCs w:val="24"/>
                <w:color w:val="auto"/>
              </w:rPr>
            </w:pPr>
          </w:p>
        </w:tc>
      </w:tr>
      <w:tr>
        <w:trPr>
          <w:trHeight w:val="266"/>
        </w:trPr>
        <w:tc>
          <w:tcPr>
            <w:tcW w:w="7380" w:type="dxa"/>
            <w:vAlign w:val="bottom"/>
          </w:tcPr>
          <w:p>
            <w:pPr>
              <w:spacing w:after="0"/>
              <w:rPr>
                <w:sz w:val="20"/>
                <w:szCs w:val="20"/>
                <w:color w:val="auto"/>
              </w:rPr>
            </w:pPr>
            <w:r>
              <w:rPr>
                <w:rFonts w:ascii="Arial" w:cs="Arial" w:eastAsia="Arial" w:hAnsi="Arial"/>
                <w:sz w:val="16"/>
                <w:szCs w:val="16"/>
                <w:color w:val="auto"/>
                <w:w w:val="90"/>
              </w:rPr>
              <w:t>Preferred stock; par value $.01 per share; 100,000 shares authorized; none issued or outstanding at December 28,</w:t>
            </w:r>
          </w:p>
        </w:tc>
        <w:tc>
          <w:tcPr>
            <w:tcW w:w="120" w:type="dxa"/>
            <w:vAlign w:val="bottom"/>
          </w:tcPr>
          <w:p>
            <w:pPr>
              <w:spacing w:after="0"/>
              <w:rPr>
                <w:sz w:val="23"/>
                <w:szCs w:val="23"/>
                <w:color w:val="auto"/>
              </w:rPr>
            </w:pPr>
          </w:p>
        </w:tc>
      </w:tr>
      <w:tr>
        <w:trPr>
          <w:trHeight w:val="206"/>
        </w:trPr>
        <w:tc>
          <w:tcPr>
            <w:tcW w:w="7380" w:type="dxa"/>
            <w:vAlign w:val="bottom"/>
          </w:tcPr>
          <w:p>
            <w:pPr>
              <w:spacing w:after="0"/>
              <w:rPr>
                <w:sz w:val="20"/>
                <w:szCs w:val="20"/>
                <w:color w:val="auto"/>
              </w:rPr>
            </w:pPr>
            <w:r>
              <w:rPr>
                <w:rFonts w:ascii="Arial" w:cs="Arial" w:eastAsia="Arial" w:hAnsi="Arial"/>
                <w:sz w:val="16"/>
                <w:szCs w:val="16"/>
                <w:color w:val="auto"/>
              </w:rPr>
              <w:t>2019 and December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380" w:type="dxa"/>
            <w:vAlign w:val="bottom"/>
          </w:tcPr>
          <w:p>
            <w:pPr>
              <w:spacing w:after="0"/>
              <w:rPr>
                <w:sz w:val="20"/>
                <w:szCs w:val="20"/>
                <w:color w:val="auto"/>
              </w:rPr>
            </w:pPr>
            <w:r>
              <w:rPr>
                <w:rFonts w:ascii="Arial" w:cs="Arial" w:eastAsia="Arial" w:hAnsi="Arial"/>
                <w:sz w:val="16"/>
                <w:szCs w:val="16"/>
                <w:color w:val="auto"/>
                <w:w w:val="95"/>
              </w:rPr>
              <w:t>Common stock, voting; par value $.01 per share; 150,000,000 shares authorized; 43,963,103 and 45,629,014</w:t>
            </w:r>
          </w:p>
        </w:tc>
        <w:tc>
          <w:tcPr>
            <w:tcW w:w="120" w:type="dxa"/>
            <w:vAlign w:val="bottom"/>
          </w:tcPr>
          <w:p>
            <w:pPr>
              <w:spacing w:after="0"/>
              <w:rPr>
                <w:sz w:val="21"/>
                <w:szCs w:val="21"/>
                <w:color w:val="auto"/>
              </w:rPr>
            </w:pPr>
          </w:p>
        </w:tc>
      </w:tr>
      <w:tr>
        <w:trPr>
          <w:trHeight w:val="206"/>
        </w:trPr>
        <w:tc>
          <w:tcPr>
            <w:tcW w:w="7380" w:type="dxa"/>
            <w:vAlign w:val="bottom"/>
          </w:tcPr>
          <w:p>
            <w:pPr>
              <w:spacing w:after="0"/>
              <w:rPr>
                <w:sz w:val="20"/>
                <w:szCs w:val="20"/>
                <w:color w:val="auto"/>
              </w:rPr>
            </w:pPr>
            <w:r>
              <w:rPr>
                <w:rFonts w:ascii="Arial" w:cs="Arial" w:eastAsia="Arial" w:hAnsi="Arial"/>
                <w:sz w:val="16"/>
                <w:szCs w:val="16"/>
                <w:color w:val="auto"/>
              </w:rPr>
              <w:t>shares issued and outstanding at December 28, 2019 and December 29, 2018, respectively</w:t>
            </w:r>
          </w:p>
        </w:tc>
        <w:tc>
          <w:tcPr>
            <w:tcW w:w="120" w:type="dxa"/>
            <w:vAlign w:val="bottom"/>
          </w:tcPr>
          <w:p>
            <w:pPr>
              <w:spacing w:after="0"/>
              <w:rPr>
                <w:sz w:val="17"/>
                <w:szCs w:val="17"/>
                <w:color w:val="auto"/>
              </w:rPr>
            </w:pPr>
          </w:p>
        </w:tc>
      </w:tr>
      <w:tr>
        <w:trPr>
          <w:trHeight w:val="257"/>
        </w:trPr>
        <w:tc>
          <w:tcPr>
            <w:tcW w:w="73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2"/>
                <w:szCs w:val="22"/>
                <w:color w:val="auto"/>
              </w:rPr>
            </w:pPr>
          </w:p>
        </w:tc>
      </w:tr>
      <w:tr>
        <w:trPr>
          <w:trHeight w:val="270"/>
        </w:trPr>
        <w:tc>
          <w:tcPr>
            <w:tcW w:w="73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3"/>
                <w:szCs w:val="23"/>
                <w:color w:val="auto"/>
              </w:rPr>
            </w:pPr>
          </w:p>
        </w:tc>
      </w:tr>
      <w:tr>
        <w:trPr>
          <w:trHeight w:val="270"/>
        </w:trPr>
        <w:tc>
          <w:tcPr>
            <w:tcW w:w="7380" w:type="dxa"/>
            <w:vAlign w:val="bottom"/>
          </w:tcPr>
          <w:p>
            <w:pPr>
              <w:ind w:left="340"/>
              <w:spacing w:after="0"/>
              <w:rPr>
                <w:sz w:val="20"/>
                <w:szCs w:val="20"/>
                <w:color w:val="auto"/>
              </w:rPr>
            </w:pPr>
            <w:r>
              <w:rPr>
                <w:rFonts w:ascii="Arial" w:cs="Arial" w:eastAsia="Arial" w:hAnsi="Arial"/>
                <w:sz w:val="16"/>
                <w:szCs w:val="16"/>
                <w:color w:val="auto"/>
              </w:rPr>
              <w:t>Total stockholders' equity</w:t>
            </w:r>
          </w:p>
        </w:tc>
        <w:tc>
          <w:tcPr>
            <w:tcW w:w="120" w:type="dxa"/>
            <w:vAlign w:val="bottom"/>
          </w:tcPr>
          <w:p>
            <w:pPr>
              <w:spacing w:after="0"/>
              <w:rPr>
                <w:sz w:val="23"/>
                <w:szCs w:val="23"/>
                <w:color w:val="auto"/>
              </w:rPr>
            </w:pPr>
          </w:p>
        </w:tc>
      </w:tr>
      <w:tr>
        <w:trPr>
          <w:trHeight w:val="284"/>
        </w:trPr>
        <w:tc>
          <w:tcPr>
            <w:tcW w:w="738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-3237230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-2551430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-2207895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-1864995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-1556385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-1247775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-664210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-2894330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183,641</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199,076</w:t>
            </w:r>
          </w:p>
        </w:tc>
      </w:tr>
      <w:tr>
        <w:trPr>
          <w:trHeight w:val="270"/>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160,228</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131,631</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128,345</w:t>
            </w:r>
          </w:p>
        </w:tc>
      </w:tr>
      <w:tr>
        <w:trPr>
          <w:trHeight w:val="33"/>
        </w:trPr>
        <w:tc>
          <w:tcPr>
            <w:tcW w:w="8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475,500</w:t>
            </w:r>
          </w:p>
        </w:tc>
        <w:tc>
          <w:tcPr>
            <w:tcW w:w="6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327,421</w:t>
            </w:r>
          </w:p>
        </w:tc>
      </w:tr>
      <w:tr>
        <w:trPr>
          <w:trHeight w:val="270"/>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594,672</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593,264</w:t>
            </w:r>
          </w:p>
        </w:tc>
      </w:tr>
      <w:tr>
        <w:trPr>
          <w:trHeight w:val="270"/>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74,370</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87,347</w:t>
            </w:r>
          </w:p>
        </w:tc>
      </w:tr>
      <w:tr>
        <w:trPr>
          <w:trHeight w:val="270"/>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664,372</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64,073</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181,393</w:t>
            </w:r>
          </w:p>
        </w:tc>
      </w:tr>
      <w:tr>
        <w:trPr>
          <w:trHeight w:val="33"/>
        </w:trPr>
        <w:tc>
          <w:tcPr>
            <w:tcW w:w="8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80" w:type="dxa"/>
            <w:vAlign w:val="bottom"/>
          </w:tcPr>
          <w:p>
            <w:pPr>
              <w:jc w:val="right"/>
              <w:ind w:right="139"/>
              <w:spacing w:after="0"/>
              <w:rPr>
                <w:sz w:val="20"/>
                <w:szCs w:val="20"/>
                <w:color w:val="auto"/>
              </w:rPr>
            </w:pPr>
            <w:r>
              <w:rPr>
                <w:rFonts w:ascii="Arial" w:cs="Arial" w:eastAsia="Arial" w:hAnsi="Arial"/>
                <w:sz w:val="16"/>
                <w:szCs w:val="16"/>
                <w:color w:val="auto"/>
                <w:w w:val="89"/>
              </w:rPr>
              <w:t>1,872,987</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1,189,425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-149860</wp:posOffset>
            </wp:positionV>
            <wp:extent cx="1243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440</w:t>
            </w:r>
          </w:p>
        </w:tc>
        <w:tc>
          <w:tcPr>
            <w:tcW w:w="640" w:type="dxa"/>
            <w:vAlign w:val="bottom"/>
          </w:tcPr>
          <w:p>
            <w:pPr>
              <w:spacing w:after="0"/>
              <w:rPr>
                <w:sz w:val="24"/>
                <w:szCs w:val="24"/>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456</w:t>
            </w:r>
          </w:p>
        </w:tc>
      </w:tr>
      <w:tr>
        <w:trPr>
          <w:trHeight w:val="270"/>
        </w:trPr>
        <w:tc>
          <w:tcPr>
            <w:tcW w:w="860" w:type="dxa"/>
            <w:vAlign w:val="bottom"/>
          </w:tcPr>
          <w:p>
            <w:pPr>
              <w:jc w:val="right"/>
              <w:ind w:right="99"/>
              <w:spacing w:after="0"/>
              <w:rPr>
                <w:sz w:val="20"/>
                <w:szCs w:val="20"/>
                <w:color w:val="auto"/>
              </w:rPr>
            </w:pPr>
            <w:r>
              <w:rPr>
                <w:rFonts w:ascii="Arial" w:cs="Arial" w:eastAsia="Arial" w:hAnsi="Arial"/>
                <w:sz w:val="16"/>
                <w:szCs w:val="16"/>
                <w:color w:val="auto"/>
              </w:rPr>
              <w:t>(35,634)</w:t>
            </w:r>
          </w:p>
        </w:tc>
        <w:tc>
          <w:tcPr>
            <w:tcW w:w="6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(40,839)</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915,324</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909,816</w:t>
            </w:r>
          </w:p>
        </w:tc>
      </w:tr>
      <w:tr>
        <w:trPr>
          <w:trHeight w:val="33"/>
        </w:trPr>
        <w:tc>
          <w:tcPr>
            <w:tcW w:w="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880,130</w:t>
            </w:r>
          </w:p>
        </w:tc>
        <w:tc>
          <w:tcPr>
            <w:tcW w:w="6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869,433</w:t>
            </w:r>
          </w:p>
        </w:tc>
      </w:tr>
      <w:tr>
        <w:trPr>
          <w:trHeight w:val="33"/>
        </w:trPr>
        <w:tc>
          <w:tcPr>
            <w:tcW w:w="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60" w:type="dxa"/>
            <w:vAlign w:val="bottom"/>
          </w:tcPr>
          <w:p>
            <w:pPr>
              <w:jc w:val="right"/>
              <w:ind w:right="139"/>
              <w:spacing w:after="0"/>
              <w:rPr>
                <w:sz w:val="20"/>
                <w:szCs w:val="20"/>
                <w:color w:val="auto"/>
              </w:rPr>
            </w:pPr>
            <w:r>
              <w:rPr>
                <w:rFonts w:ascii="Arial" w:cs="Arial" w:eastAsia="Arial" w:hAnsi="Arial"/>
                <w:sz w:val="16"/>
                <w:szCs w:val="16"/>
                <w:color w:val="auto"/>
                <w:w w:val="87"/>
              </w:rPr>
              <w:t>2,753,117</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2,058,858</w:t>
            </w:r>
          </w:p>
        </w:tc>
      </w:tr>
      <w:tr>
        <w:trPr>
          <w:trHeight w:val="33"/>
        </w:trPr>
        <w:tc>
          <w:tcPr>
            <w:tcW w:w="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-25400</wp:posOffset>
            </wp:positionV>
            <wp:extent cx="1243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-8255</wp:posOffset>
            </wp:positionV>
            <wp:extent cx="1243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-196850</wp:posOffset>
            </wp:positionV>
            <wp:extent cx="1243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7900" w:space="720"/>
            <w:col w:w="2800"/>
          </w:cols>
          <w:pgMar w:left="240" w:top="337"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4"/>
          </w:tcPr>
          <w:p>
            <w:pPr>
              <w:ind w:left="60"/>
              <w:spacing w:after="0"/>
              <w:rPr>
                <w:sz w:val="20"/>
                <w:szCs w:val="20"/>
                <w:color w:val="auto"/>
              </w:rPr>
            </w:pPr>
            <w:r>
              <w:rPr>
                <w:rFonts w:ascii="Arial" w:cs="Arial" w:eastAsia="Arial" w:hAnsi="Arial"/>
                <w:sz w:val="16"/>
                <w:szCs w:val="16"/>
                <w:b w:val="1"/>
                <w:bCs w:val="1"/>
                <w:color w:val="auto"/>
                <w:w w:val="90"/>
              </w:rPr>
              <w:t>For the fiscal year ended</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6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6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28, 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29, 2018</w:t>
            </w:r>
          </w:p>
        </w:tc>
        <w:tc>
          <w:tcPr>
            <w:tcW w:w="1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30, 2017</w:t>
            </w:r>
          </w:p>
        </w:tc>
      </w:tr>
      <w:tr>
        <w:trPr>
          <w:trHeight w:val="33"/>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3,519,286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3,462,269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3,400,504</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2,010,736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1,964,786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1,917,150</w:t>
            </w:r>
          </w:p>
        </w:tc>
      </w:tr>
      <w:tr>
        <w:trPr>
          <w:trHeight w:val="33"/>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1,508,550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1,497,483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1,483,354</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34,637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38,930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43,181</w:t>
            </w:r>
          </w:p>
        </w:tc>
      </w:tr>
      <w:tr>
        <w:trPr>
          <w:trHeight w:val="33"/>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1,106,928</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Intangible asset impairment</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371,872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391,433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419,607</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37,617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34,569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30,044</w:t>
            </w:r>
          </w:p>
        </w:tc>
      </w:tr>
      <w:tr>
        <w:trPr>
          <w:trHeight w:val="33"/>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33"/>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327,952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355,975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391,072</w:t>
            </w:r>
          </w:p>
        </w:tc>
      </w:tr>
      <w:tr>
        <w:trPr>
          <w:trHeight w:val="33"/>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88,224</w:t>
            </w:r>
          </w:p>
        </w:tc>
      </w:tr>
      <w:tr>
        <w:trPr>
          <w:trHeight w:val="28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263,802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282,068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302,848</w:t>
            </w:r>
          </w:p>
        </w:tc>
      </w:tr>
      <w:tr>
        <w:trPr>
          <w:trHeight w:val="203"/>
        </w:trPr>
        <w:tc>
          <w:tcPr>
            <w:tcW w:w="6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6.31</w:t>
            </w:r>
          </w:p>
        </w:tc>
      </w:tr>
      <w:tr>
        <w:trPr>
          <w:trHeight w:val="33"/>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1.48</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For the fiscal year ended</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28, 2019</w:t>
            </w: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29, 2018</w:t>
            </w:r>
          </w:p>
        </w:tc>
        <w:tc>
          <w:tcPr>
            <w:tcW w:w="200" w:type="dxa"/>
            <w:vAlign w:val="bottom"/>
          </w:tcPr>
          <w:p>
            <w:pPr>
              <w:spacing w:after="0"/>
              <w:rPr>
                <w:sz w:val="20"/>
                <w:szCs w:val="20"/>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30, 2017</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263,802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302,848</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0"/>
        </w:trPr>
        <w:tc>
          <w:tcPr>
            <w:tcW w:w="53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Unrealized gain (loss) on OshKosh defined benefit plan, net of (tax) or tax</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03"/>
        </w:trPr>
        <w:tc>
          <w:tcPr>
            <w:tcW w:w="53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benefit of ($230), $80, and $140 for the fiscal years 2019, 2018, and 2017,</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9"/>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20"/>
        </w:trPr>
        <w:tc>
          <w:tcPr>
            <w:tcW w:w="5380" w:type="dxa"/>
            <w:vAlign w:val="bottom"/>
          </w:tcPr>
          <w:p>
            <w:pPr>
              <w:ind w:left="200"/>
              <w:spacing w:after="0"/>
              <w:rPr>
                <w:sz w:val="20"/>
                <w:szCs w:val="20"/>
                <w:color w:val="auto"/>
              </w:rPr>
            </w:pPr>
            <w:r>
              <w:rPr>
                <w:rFonts w:ascii="Arial" w:cs="Arial" w:eastAsia="Arial" w:hAnsi="Arial"/>
                <w:sz w:val="16"/>
                <w:szCs w:val="16"/>
                <w:color w:val="auto"/>
                <w:w w:val="98"/>
              </w:rPr>
              <w:t>Unrealized (loss) gain on Carter's post-retirement benefit obligation, net of</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3"/>
        </w:trPr>
        <w:tc>
          <w:tcPr>
            <w:tcW w:w="5380" w:type="dxa"/>
            <w:vAlign w:val="bottom"/>
          </w:tcPr>
          <w:p>
            <w:pPr>
              <w:ind w:left="200"/>
              <w:spacing w:after="0"/>
              <w:rPr>
                <w:sz w:val="20"/>
                <w:szCs w:val="20"/>
                <w:color w:val="auto"/>
              </w:rPr>
            </w:pPr>
            <w:r>
              <w:rPr>
                <w:rFonts w:ascii="Arial" w:cs="Arial" w:eastAsia="Arial" w:hAnsi="Arial"/>
                <w:sz w:val="16"/>
                <w:szCs w:val="16"/>
                <w:color w:val="auto"/>
                <w:w w:val="97"/>
              </w:rPr>
              <w:t>(tax) or tax benefit of $150, ($70), and $70 for fiscal years 2019, 2018, and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6"/>
        </w:trPr>
        <w:tc>
          <w:tcPr>
            <w:tcW w:w="5380" w:type="dxa"/>
            <w:vAlign w:val="bottom"/>
          </w:tcPr>
          <w:p>
            <w:pPr>
              <w:ind w:left="200"/>
              <w:spacing w:after="0"/>
              <w:rPr>
                <w:sz w:val="20"/>
                <w:szCs w:val="20"/>
                <w:color w:val="auto"/>
              </w:rPr>
            </w:pPr>
            <w:r>
              <w:rPr>
                <w:rFonts w:ascii="Arial" w:cs="Arial" w:eastAsia="Arial" w:hAnsi="Arial"/>
                <w:sz w:val="16"/>
                <w:szCs w:val="16"/>
                <w:color w:val="auto"/>
              </w:rPr>
              <w:t>2017, respectively</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6,339</w:t>
            </w:r>
          </w:p>
        </w:tc>
      </w:tr>
      <w:tr>
        <w:trPr>
          <w:trHeight w:val="217"/>
        </w:trPr>
        <w:tc>
          <w:tcPr>
            <w:tcW w:w="5380" w:type="dxa"/>
            <w:vAlign w:val="bottom"/>
          </w:tcPr>
          <w:p>
            <w:pPr>
              <w:ind w:left="280"/>
              <w:spacing w:after="0"/>
              <w:rPr>
                <w:sz w:val="20"/>
                <w:szCs w:val="20"/>
                <w:color w:val="auto"/>
              </w:rPr>
            </w:pPr>
            <w:r>
              <w:rPr>
                <w:rFonts w:ascii="Arial" w:cs="Arial" w:eastAsia="Arial" w:hAnsi="Arial"/>
                <w:sz w:val="16"/>
                <w:szCs w:val="16"/>
                <w:color w:val="auto"/>
              </w:rPr>
              <w:t>Total other comprehensive income</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6,705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5,647</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308,495</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5"/>
                <w:szCs w:val="15"/>
                <w:b w:val="1"/>
                <w:bCs w:val="1"/>
                <w:color w:val="auto"/>
                <w:w w:val="91"/>
              </w:rPr>
              <w:t>For the fiscal year ended</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28, 2019</w:t>
            </w:r>
          </w:p>
        </w:tc>
        <w:tc>
          <w:tcPr>
            <w:tcW w:w="180" w:type="dxa"/>
            <w:vAlign w:val="bottom"/>
          </w:tcPr>
          <w:p>
            <w:pPr>
              <w:spacing w:after="0"/>
              <w:rPr>
                <w:sz w:val="22"/>
                <w:szCs w:val="22"/>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December 29, 2018</w:t>
            </w:r>
          </w:p>
        </w:tc>
        <w:tc>
          <w:tcPr>
            <w:tcW w:w="18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Arial" w:cs="Arial" w:eastAsia="Arial" w:hAnsi="Arial"/>
                <w:sz w:val="15"/>
                <w:szCs w:val="15"/>
                <w:b w:val="1"/>
                <w:bCs w:val="1"/>
                <w:color w:val="auto"/>
                <w:w w:val="97"/>
              </w:rPr>
              <w:t>December 30, 2017</w:t>
            </w:r>
          </w:p>
        </w:tc>
        <w:tc>
          <w:tcPr>
            <w:tcW w:w="0" w:type="dxa"/>
            <w:vAlign w:val="bottom"/>
          </w:tcPr>
          <w:p>
            <w:pPr>
              <w:spacing w:after="0"/>
              <w:rPr>
                <w:sz w:val="1"/>
                <w:szCs w:val="1"/>
                <w:color w:val="auto"/>
              </w:rPr>
            </w:pPr>
          </w:p>
        </w:tc>
      </w:tr>
      <w:tr>
        <w:trPr>
          <w:trHeight w:val="192"/>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operating activities:</w:t>
            </w: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57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263,802</w:t>
            </w:r>
          </w:p>
        </w:tc>
        <w:tc>
          <w:tcPr>
            <w:tcW w:w="12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282,068</w:t>
            </w:r>
          </w:p>
        </w:tc>
        <w:tc>
          <w:tcPr>
            <w:tcW w:w="12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302,848</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Depreciation of property, plant, and equipment</w:t>
            </w:r>
          </w:p>
        </w:tc>
        <w:tc>
          <w:tcPr>
            <w:tcW w:w="200" w:type="dxa"/>
            <w:vAlign w:val="bottom"/>
          </w:tcPr>
          <w:p>
            <w:pPr>
              <w:spacing w:after="0"/>
              <w:rPr>
                <w:sz w:val="18"/>
                <w:szCs w:val="18"/>
                <w:color w:val="auto"/>
              </w:rPr>
            </w:pP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92,207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85,936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81,796</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Amortization of intangible assets</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3,747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Intangible asset impairment</w:t>
            </w:r>
          </w:p>
        </w:tc>
        <w:tc>
          <w:tcPr>
            <w:tcW w:w="200" w:type="dxa"/>
            <w:vAlign w:val="bottom"/>
          </w:tcPr>
          <w:p>
            <w:pPr>
              <w:spacing w:after="0"/>
              <w:rPr>
                <w:sz w:val="18"/>
                <w:szCs w:val="18"/>
                <w:color w:val="auto"/>
              </w:rPr>
            </w:pP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30,800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Adjustment and accretion of contingent considerations</w:t>
            </w:r>
          </w:p>
        </w:tc>
        <w:tc>
          <w:tcPr>
            <w:tcW w:w="200" w:type="dxa"/>
            <w:vAlign w:val="bottom"/>
            <w:shd w:val="clear" w:color="auto" w:fill="CCEEFF"/>
          </w:tcPr>
          <w:p>
            <w:pPr>
              <w:spacing w:after="0"/>
              <w:rPr>
                <w:sz w:val="18"/>
                <w:szCs w:val="18"/>
                <w:color w:val="auto"/>
              </w:rPr>
            </w:pPr>
          </w:p>
        </w:tc>
        <w:tc>
          <w:tcPr>
            <w:tcW w:w="1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(3,600)</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7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Amortization of debt issuance costs</w:t>
            </w:r>
          </w:p>
        </w:tc>
        <w:tc>
          <w:tcPr>
            <w:tcW w:w="200" w:type="dxa"/>
            <w:vAlign w:val="bottom"/>
          </w:tcPr>
          <w:p>
            <w:pPr>
              <w:spacing w:after="0"/>
              <w:rPr>
                <w:sz w:val="18"/>
                <w:szCs w:val="18"/>
                <w:color w:val="auto"/>
              </w:rPr>
            </w:pP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1,437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1,746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1,572</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 expense</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16,529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17,549</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Unrealized foreign currency exchange (gain) loss, net</w:t>
            </w:r>
          </w:p>
        </w:tc>
        <w:tc>
          <w:tcPr>
            <w:tcW w:w="200" w:type="dxa"/>
            <w:vAlign w:val="bottom"/>
          </w:tcPr>
          <w:p>
            <w:pPr>
              <w:spacing w:after="0"/>
              <w:rPr>
                <w:sz w:val="18"/>
                <w:szCs w:val="18"/>
                <w:color w:val="auto"/>
              </w:rPr>
            </w:pPr>
          </w:p>
        </w:tc>
        <w:tc>
          <w:tcPr>
            <w:tcW w:w="1660" w:type="dxa"/>
            <w:vAlign w:val="bottom"/>
            <w:vMerge w:val="restart"/>
          </w:tcPr>
          <w:p>
            <w:pPr>
              <w:jc w:val="right"/>
              <w:ind w:right="3"/>
              <w:spacing w:after="0"/>
              <w:rPr>
                <w:sz w:val="20"/>
                <w:szCs w:val="20"/>
                <w:color w:val="auto"/>
              </w:rPr>
            </w:pPr>
            <w:r>
              <w:rPr>
                <w:rFonts w:ascii="Arial" w:cs="Arial" w:eastAsia="Arial" w:hAnsi="Arial"/>
                <w:sz w:val="15"/>
                <w:szCs w:val="15"/>
                <w:color w:val="auto"/>
              </w:rPr>
              <w:t>(564)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(Recoveries of) provisions for doubtful accounts receivable from customers</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15,801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4,663</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Loss on disposal of property, plant, and equipment, net of recoveries</w:t>
            </w:r>
          </w:p>
        </w:tc>
        <w:tc>
          <w:tcPr>
            <w:tcW w:w="200" w:type="dxa"/>
            <w:vAlign w:val="bottom"/>
          </w:tcPr>
          <w:p>
            <w:pPr>
              <w:spacing w:after="0"/>
              <w:rPr>
                <w:sz w:val="18"/>
                <w:szCs w:val="18"/>
                <w:color w:val="auto"/>
              </w:rPr>
            </w:pP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452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995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1,572</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Loss on extinguishment of debt</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7,823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7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Deferred income taxes</w:t>
            </w:r>
          </w:p>
        </w:tc>
        <w:tc>
          <w:tcPr>
            <w:tcW w:w="200" w:type="dxa"/>
            <w:vAlign w:val="bottom"/>
          </w:tcPr>
          <w:p>
            <w:pPr>
              <w:spacing w:after="0"/>
              <w:rPr>
                <w:sz w:val="18"/>
                <w:szCs w:val="18"/>
                <w:color w:val="auto"/>
              </w:rPr>
            </w:pPr>
          </w:p>
        </w:tc>
        <w:tc>
          <w:tcPr>
            <w:tcW w:w="1660" w:type="dxa"/>
            <w:vAlign w:val="bottom"/>
            <w:vMerge w:val="restart"/>
          </w:tcPr>
          <w:p>
            <w:pPr>
              <w:jc w:val="right"/>
              <w:ind w:right="3"/>
              <w:spacing w:after="0"/>
              <w:rPr>
                <w:sz w:val="20"/>
                <w:szCs w:val="20"/>
                <w:color w:val="auto"/>
              </w:rPr>
            </w:pPr>
            <w:r>
              <w:rPr>
                <w:rFonts w:ascii="Arial" w:cs="Arial" w:eastAsia="Arial" w:hAnsi="Arial"/>
                <w:sz w:val="15"/>
                <w:szCs w:val="15"/>
                <w:color w:val="auto"/>
              </w:rPr>
              <w:t>(13,300)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(1,018)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(54,936)</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Effect of changes in operating assets and liabilities, net of acquisitions: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540"/>
              <w:spacing w:after="0"/>
              <w:rPr>
                <w:sz w:val="20"/>
                <w:szCs w:val="20"/>
                <w:color w:val="auto"/>
              </w:rPr>
            </w:pPr>
            <w:r>
              <w:rPr>
                <w:rFonts w:ascii="Arial" w:cs="Arial" w:eastAsia="Arial" w:hAnsi="Arial"/>
                <w:sz w:val="15"/>
                <w:szCs w:val="15"/>
                <w:color w:val="auto"/>
              </w:rPr>
              <w:t>Accounts receivable</w:t>
            </w:r>
          </w:p>
        </w:tc>
        <w:tc>
          <w:tcPr>
            <w:tcW w:w="200" w:type="dxa"/>
            <w:vAlign w:val="bottom"/>
          </w:tcPr>
          <w:p>
            <w:pPr>
              <w:spacing w:after="0"/>
              <w:rPr>
                <w:sz w:val="18"/>
                <w:szCs w:val="18"/>
                <w:color w:val="auto"/>
              </w:rPr>
            </w:pP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8,121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(34,448)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(22,709)</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Finished goods inventories</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(16,683)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(30,646)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(20,922)</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540"/>
              <w:spacing w:after="0"/>
              <w:rPr>
                <w:sz w:val="20"/>
                <w:szCs w:val="20"/>
                <w:color w:val="auto"/>
              </w:rPr>
            </w:pPr>
            <w:r>
              <w:rPr>
                <w:rFonts w:ascii="Arial" w:cs="Arial" w:eastAsia="Arial" w:hAnsi="Arial"/>
                <w:sz w:val="15"/>
                <w:szCs w:val="15"/>
                <w:color w:val="auto"/>
              </w:rPr>
              <w:t>Prepaid expenses and other assets</w:t>
            </w:r>
          </w:p>
        </w:tc>
        <w:tc>
          <w:tcPr>
            <w:tcW w:w="200" w:type="dxa"/>
            <w:vAlign w:val="bottom"/>
          </w:tcPr>
          <w:p>
            <w:pPr>
              <w:spacing w:after="0"/>
              <w:rPr>
                <w:sz w:val="18"/>
                <w:szCs w:val="18"/>
                <w:color w:val="auto"/>
              </w:rPr>
            </w:pPr>
          </w:p>
        </w:tc>
        <w:tc>
          <w:tcPr>
            <w:tcW w:w="1660" w:type="dxa"/>
            <w:vAlign w:val="bottom"/>
            <w:vMerge w:val="restart"/>
          </w:tcPr>
          <w:p>
            <w:pPr>
              <w:jc w:val="right"/>
              <w:ind w:right="3"/>
              <w:spacing w:after="0"/>
              <w:rPr>
                <w:sz w:val="20"/>
                <w:szCs w:val="20"/>
                <w:color w:val="auto"/>
              </w:rPr>
            </w:pPr>
            <w:r>
              <w:rPr>
                <w:rFonts w:ascii="Arial" w:cs="Arial" w:eastAsia="Arial" w:hAnsi="Arial"/>
                <w:sz w:val="15"/>
                <w:szCs w:val="15"/>
                <w:color w:val="auto"/>
              </w:rPr>
              <w:t>(699,036)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12,121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(21,791)</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Accounts payable and other liabilities</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692,100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4,982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41,587</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720" w:type="dxa"/>
            <w:vAlign w:val="bottom"/>
          </w:tcPr>
          <w:p>
            <w:pPr>
              <w:ind w:left="78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387,215</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356,198</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329,621</w:t>
            </w:r>
          </w:p>
        </w:tc>
        <w:tc>
          <w:tcPr>
            <w:tcW w:w="0" w:type="dxa"/>
            <w:vAlign w:val="bottom"/>
          </w:tcPr>
          <w:p>
            <w:pPr>
              <w:spacing w:after="0"/>
              <w:rPr>
                <w:sz w:val="1"/>
                <w:szCs w:val="1"/>
                <w:color w:val="auto"/>
              </w:rPr>
            </w:pPr>
          </w:p>
        </w:tc>
      </w:tr>
      <w:tr>
        <w:trPr>
          <w:trHeight w:val="58"/>
        </w:trPr>
        <w:tc>
          <w:tcPr>
            <w:tcW w:w="57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Capital expenditures</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(61,419)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(63,783)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(69,473)</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Acquisitions of businesses, net of cash acquired</w:t>
            </w:r>
          </w:p>
        </w:tc>
        <w:tc>
          <w:tcPr>
            <w:tcW w:w="200" w:type="dxa"/>
            <w:vAlign w:val="bottom"/>
          </w:tcPr>
          <w:p>
            <w:pPr>
              <w:spacing w:after="0"/>
              <w:rPr>
                <w:sz w:val="18"/>
                <w:szCs w:val="18"/>
                <w:color w:val="auto"/>
              </w:rPr>
            </w:pPr>
          </w:p>
        </w:tc>
        <w:tc>
          <w:tcPr>
            <w:tcW w:w="178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(158,457)</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Disposals and recoveries from property, plant, and equipment</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749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720" w:type="dxa"/>
            <w:vAlign w:val="bottom"/>
          </w:tcPr>
          <w:p>
            <w:pPr>
              <w:ind w:left="78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vMerge w:val="restart"/>
          </w:tcPr>
          <w:p>
            <w:pPr>
              <w:jc w:val="right"/>
              <w:ind w:right="3"/>
              <w:spacing w:after="0"/>
              <w:rPr>
                <w:sz w:val="20"/>
                <w:szCs w:val="20"/>
                <w:color w:val="auto"/>
              </w:rPr>
            </w:pPr>
            <w:r>
              <w:rPr>
                <w:rFonts w:ascii="Arial" w:cs="Arial" w:eastAsia="Arial" w:hAnsi="Arial"/>
                <w:sz w:val="15"/>
                <w:szCs w:val="15"/>
                <w:color w:val="auto"/>
              </w:rPr>
              <w:t>(60,670)</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(63,307)</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(227,915)</w:t>
            </w:r>
          </w:p>
        </w:tc>
        <w:tc>
          <w:tcPr>
            <w:tcW w:w="0" w:type="dxa"/>
            <w:vAlign w:val="bottom"/>
          </w:tcPr>
          <w:p>
            <w:pPr>
              <w:spacing w:after="0"/>
              <w:rPr>
                <w:sz w:val="1"/>
                <w:szCs w:val="1"/>
                <w:color w:val="auto"/>
              </w:rPr>
            </w:pPr>
          </w:p>
        </w:tc>
      </w:tr>
      <w:tr>
        <w:trPr>
          <w:trHeight w:val="58"/>
        </w:trPr>
        <w:tc>
          <w:tcPr>
            <w:tcW w:w="57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40"/>
              <w:spacing w:after="0"/>
              <w:rPr>
                <w:sz w:val="20"/>
                <w:szCs w:val="20"/>
                <w:color w:val="auto"/>
              </w:rPr>
            </w:pPr>
            <w:r>
              <w:rPr>
                <w:rFonts w:ascii="Arial" w:cs="Arial" w:eastAsia="Arial" w:hAnsi="Arial"/>
                <w:sz w:val="15"/>
                <w:szCs w:val="15"/>
                <w:color w:val="auto"/>
              </w:rPr>
              <w:t>Cash flows from financing activities: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senior notes due 2027</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720" w:type="dxa"/>
            <w:vAlign w:val="bottom"/>
          </w:tcPr>
          <w:p>
            <w:pPr>
              <w:ind w:left="200"/>
              <w:spacing w:after="0"/>
              <w:rPr>
                <w:sz w:val="20"/>
                <w:szCs w:val="20"/>
                <w:color w:val="auto"/>
              </w:rPr>
            </w:pPr>
            <w:r>
              <w:rPr>
                <w:rFonts w:ascii="Arial" w:cs="Arial" w:eastAsia="Arial" w:hAnsi="Arial"/>
                <w:sz w:val="15"/>
                <w:szCs w:val="15"/>
                <w:color w:val="auto"/>
              </w:rPr>
              <w:t>Payment of senior notes due 2021</w:t>
            </w:r>
          </w:p>
        </w:tc>
        <w:tc>
          <w:tcPr>
            <w:tcW w:w="200" w:type="dxa"/>
            <w:vAlign w:val="bottom"/>
          </w:tcPr>
          <w:p>
            <w:pPr>
              <w:spacing w:after="0"/>
              <w:rPr>
                <w:sz w:val="23"/>
                <w:szCs w:val="23"/>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color w:val="auto"/>
              </w:rPr>
              <w:t>(400,000)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Premiums paid to extinguish debt</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720" w:type="dxa"/>
            <w:vAlign w:val="bottom"/>
          </w:tcPr>
          <w:p>
            <w:pPr>
              <w:ind w:left="200"/>
              <w:spacing w:after="0"/>
              <w:rPr>
                <w:sz w:val="20"/>
                <w:szCs w:val="20"/>
                <w:color w:val="auto"/>
              </w:rPr>
            </w:pPr>
            <w:r>
              <w:rPr>
                <w:rFonts w:ascii="Arial" w:cs="Arial" w:eastAsia="Arial" w:hAnsi="Arial"/>
                <w:sz w:val="15"/>
                <w:szCs w:val="15"/>
                <w:color w:val="auto"/>
              </w:rPr>
              <w:t>Payments of debt issuance costs</w:t>
            </w:r>
          </w:p>
        </w:tc>
        <w:tc>
          <w:tcPr>
            <w:tcW w:w="200" w:type="dxa"/>
            <w:vAlign w:val="bottom"/>
          </w:tcPr>
          <w:p>
            <w:pPr>
              <w:spacing w:after="0"/>
              <w:rPr>
                <w:sz w:val="23"/>
                <w:szCs w:val="23"/>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color w:val="auto"/>
              </w:rPr>
              <w:t>(5,793)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(968)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(2,119)</w:t>
            </w:r>
          </w:p>
        </w:tc>
        <w:tc>
          <w:tcPr>
            <w:tcW w:w="0" w:type="dxa"/>
            <w:vAlign w:val="bottom"/>
          </w:tcPr>
          <w:p>
            <w:pPr>
              <w:spacing w:after="0"/>
              <w:rPr>
                <w:sz w:val="1"/>
                <w:szCs w:val="1"/>
                <w:color w:val="auto"/>
              </w:rPr>
            </w:pPr>
          </w:p>
        </w:tc>
      </w:tr>
      <w:tr>
        <w:trPr>
          <w:trHeight w:val="274"/>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Borrowings under secured revolving credit facility</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265,000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266"/>
        </w:trPr>
        <w:tc>
          <w:tcPr>
            <w:tcW w:w="5720" w:type="dxa"/>
            <w:vAlign w:val="bottom"/>
          </w:tcPr>
          <w:p>
            <w:pPr>
              <w:ind w:left="200"/>
              <w:spacing w:after="0"/>
              <w:rPr>
                <w:sz w:val="20"/>
                <w:szCs w:val="20"/>
                <w:color w:val="auto"/>
              </w:rPr>
            </w:pPr>
            <w:r>
              <w:rPr>
                <w:rFonts w:ascii="Arial" w:cs="Arial" w:eastAsia="Arial" w:hAnsi="Arial"/>
                <w:sz w:val="15"/>
                <w:szCs w:val="15"/>
                <w:color w:val="auto"/>
              </w:rPr>
              <w:t>Payments on secured revolving credit facility</w:t>
            </w:r>
          </w:p>
        </w:tc>
        <w:tc>
          <w:tcPr>
            <w:tcW w:w="200" w:type="dxa"/>
            <w:vAlign w:val="bottom"/>
          </w:tcPr>
          <w:p>
            <w:pPr>
              <w:spacing w:after="0"/>
              <w:rPr>
                <w:sz w:val="23"/>
                <w:szCs w:val="23"/>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color w:val="auto"/>
              </w:rPr>
              <w:t>(361,000)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(315,000)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(163,965)</w:t>
            </w:r>
          </w:p>
        </w:tc>
        <w:tc>
          <w:tcPr>
            <w:tcW w:w="0" w:type="dxa"/>
            <w:vAlign w:val="bottom"/>
          </w:tcPr>
          <w:p>
            <w:pPr>
              <w:spacing w:after="0"/>
              <w:rPr>
                <w:sz w:val="1"/>
                <w:szCs w:val="1"/>
                <w:color w:val="auto"/>
              </w:rPr>
            </w:pPr>
          </w:p>
        </w:tc>
      </w:tr>
      <w:tr>
        <w:trPr>
          <w:trHeight w:val="274"/>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Repurchases of common stock</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(196,910)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(188,762)</w:t>
            </w:r>
          </w:p>
        </w:tc>
        <w:tc>
          <w:tcPr>
            <w:tcW w:w="0" w:type="dxa"/>
            <w:vAlign w:val="bottom"/>
          </w:tcPr>
          <w:p>
            <w:pPr>
              <w:spacing w:after="0"/>
              <w:rPr>
                <w:sz w:val="1"/>
                <w:szCs w:val="1"/>
                <w:color w:val="auto"/>
              </w:rPr>
            </w:pPr>
          </w:p>
        </w:tc>
      </w:tr>
      <w:tr>
        <w:trPr>
          <w:trHeight w:val="266"/>
        </w:trPr>
        <w:tc>
          <w:tcPr>
            <w:tcW w:w="5720" w:type="dxa"/>
            <w:vAlign w:val="bottom"/>
          </w:tcPr>
          <w:p>
            <w:pPr>
              <w:ind w:left="200"/>
              <w:spacing w:after="0"/>
              <w:rPr>
                <w:sz w:val="20"/>
                <w:szCs w:val="20"/>
                <w:color w:val="auto"/>
              </w:rPr>
            </w:pPr>
            <w:r>
              <w:rPr>
                <w:rFonts w:ascii="Arial" w:cs="Arial" w:eastAsia="Arial" w:hAnsi="Arial"/>
                <w:sz w:val="15"/>
                <w:szCs w:val="15"/>
                <w:color w:val="auto"/>
              </w:rPr>
              <w:t>Dividends paid</w:t>
            </w:r>
          </w:p>
        </w:tc>
        <w:tc>
          <w:tcPr>
            <w:tcW w:w="200" w:type="dxa"/>
            <w:vAlign w:val="bottom"/>
          </w:tcPr>
          <w:p>
            <w:pPr>
              <w:spacing w:after="0"/>
              <w:rPr>
                <w:sz w:val="23"/>
                <w:szCs w:val="23"/>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color w:val="auto"/>
              </w:rPr>
              <w:t>(89,591)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(83,717)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(70,914)</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Withholdings of taxes from vesting of restricted stock</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(4,328)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(5,753)</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5"/>
                <w:szCs w:val="15"/>
                <w:color w:val="auto"/>
              </w:rPr>
              <w:t>Proceeds from exercises of stock options</w:t>
            </w:r>
          </w:p>
        </w:tc>
        <w:tc>
          <w:tcPr>
            <w:tcW w:w="200" w:type="dxa"/>
            <w:vAlign w:val="bottom"/>
          </w:tcPr>
          <w:p>
            <w:pPr>
              <w:spacing w:after="0"/>
              <w:rPr>
                <w:sz w:val="18"/>
                <w:szCs w:val="18"/>
                <w:color w:val="auto"/>
              </w:rPr>
            </w:pP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14,490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10,597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3"/>
              <w:spacing w:after="0"/>
              <w:rPr>
                <w:sz w:val="20"/>
                <w:szCs w:val="20"/>
                <w:color w:val="auto"/>
              </w:rPr>
            </w:pPr>
            <w:r>
              <w:rPr>
                <w:rFonts w:ascii="Arial" w:cs="Arial" w:eastAsia="Arial" w:hAnsi="Arial"/>
                <w:sz w:val="15"/>
                <w:szCs w:val="15"/>
                <w:color w:val="auto"/>
              </w:rPr>
              <w:t>8,438</w:t>
            </w:r>
          </w:p>
        </w:tc>
        <w:tc>
          <w:tcPr>
            <w:tcW w:w="0" w:type="dxa"/>
            <w:vAlign w:val="bottom"/>
          </w:tcPr>
          <w:p>
            <w:pPr>
              <w:spacing w:after="0"/>
              <w:rPr>
                <w:sz w:val="1"/>
                <w:szCs w:val="1"/>
                <w:color w:val="auto"/>
              </w:rPr>
            </w:pPr>
          </w:p>
        </w:tc>
      </w:tr>
      <w:tr>
        <w:trPr>
          <w:trHeight w:val="58"/>
        </w:trPr>
        <w:tc>
          <w:tcPr>
            <w:tcW w:w="57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780"/>
              <w:spacing w:after="0"/>
              <w:rPr>
                <w:sz w:val="20"/>
                <w:szCs w:val="20"/>
                <w:color w:val="auto"/>
              </w:rPr>
            </w:pPr>
            <w:r>
              <w:rPr>
                <w:rFonts w:ascii="Arial" w:cs="Arial" w:eastAsia="Arial" w:hAnsi="Arial"/>
                <w:sz w:val="15"/>
                <w:szCs w:val="15"/>
                <w:color w:val="auto"/>
              </w:rPr>
              <w:t>Net cash used in financing activities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(283,384)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(298,946)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(223,075)</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effect of exchange rate changes on cash and cash equivalents</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1,073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720" w:type="dxa"/>
            <w:vAlign w:val="bottom"/>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vMerge w:val="restart"/>
          </w:tcPr>
          <w:p>
            <w:pPr>
              <w:jc w:val="right"/>
              <w:ind w:right="63"/>
              <w:spacing w:after="0"/>
              <w:rPr>
                <w:sz w:val="20"/>
                <w:szCs w:val="20"/>
                <w:color w:val="auto"/>
              </w:rPr>
            </w:pPr>
            <w:r>
              <w:rPr>
                <w:rFonts w:ascii="Arial" w:cs="Arial" w:eastAsia="Arial" w:hAnsi="Arial"/>
                <w:sz w:val="15"/>
                <w:szCs w:val="15"/>
                <w:color w:val="auto"/>
              </w:rPr>
              <w:t>44,234</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(8,417)</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(120,864)</w:t>
            </w:r>
          </w:p>
        </w:tc>
        <w:tc>
          <w:tcPr>
            <w:tcW w:w="0" w:type="dxa"/>
            <w:vAlign w:val="bottom"/>
          </w:tcPr>
          <w:p>
            <w:pPr>
              <w:spacing w:after="0"/>
              <w:rPr>
                <w:sz w:val="1"/>
                <w:szCs w:val="1"/>
                <w:color w:val="auto"/>
              </w:rPr>
            </w:pPr>
          </w:p>
        </w:tc>
      </w:tr>
      <w:tr>
        <w:trPr>
          <w:trHeight w:val="58"/>
        </w:trPr>
        <w:tc>
          <w:tcPr>
            <w:tcW w:w="57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beginning of fiscal year</w:t>
            </w:r>
          </w:p>
        </w:tc>
        <w:tc>
          <w:tcPr>
            <w:tcW w:w="2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170,077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178,494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299,358</w:t>
            </w:r>
          </w:p>
        </w:tc>
        <w:tc>
          <w:tcPr>
            <w:tcW w:w="0" w:type="dxa"/>
            <w:vAlign w:val="bottom"/>
          </w:tcPr>
          <w:p>
            <w:pPr>
              <w:spacing w:after="0"/>
              <w:rPr>
                <w:sz w:val="1"/>
                <w:szCs w:val="1"/>
                <w:color w:val="auto"/>
              </w:rPr>
            </w:pPr>
          </w:p>
        </w:tc>
      </w:tr>
      <w:tr>
        <w:trPr>
          <w:trHeight w:val="62"/>
        </w:trPr>
        <w:tc>
          <w:tcPr>
            <w:tcW w:w="57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720" w:type="dxa"/>
            <w:vAlign w:val="bottom"/>
          </w:tcPr>
          <w:p>
            <w:pPr>
              <w:ind w:left="40"/>
              <w:spacing w:after="0"/>
              <w:rPr>
                <w:sz w:val="20"/>
                <w:szCs w:val="20"/>
                <w:color w:val="auto"/>
              </w:rPr>
            </w:pPr>
            <w:r>
              <w:rPr>
                <w:rFonts w:ascii="Arial" w:cs="Arial" w:eastAsia="Arial" w:hAnsi="Arial"/>
                <w:sz w:val="15"/>
                <w:szCs w:val="15"/>
                <w:color w:val="auto"/>
              </w:rPr>
              <w:t>Cash and cash equivalents, end of fiscal year</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214,311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170,077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178,494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37"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Common stock -</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31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stock - $</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capital</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48,948,670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788,363</w:t>
            </w:r>
          </w:p>
        </w:tc>
      </w:tr>
      <w:tr>
        <w:trPr>
          <w:trHeight w:val="217"/>
        </w:trPr>
        <w:tc>
          <w:tcPr>
            <w:tcW w:w="31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240,850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8,436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8,438</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Withholdings from vesting of restricted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(5,753)</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145,913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16,378</w:t>
            </w:r>
          </w:p>
        </w:tc>
      </w:tr>
      <w:tr>
        <w:trPr>
          <w:trHeight w:val="237"/>
        </w:trPr>
        <w:tc>
          <w:tcPr>
            <w:tcW w:w="310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13,860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1,171</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(188,762)</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Cash dividends declared and paid</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(70,914)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(70,914)</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308,495</w:t>
            </w: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47,178,346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886,037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857,416</w:t>
            </w:r>
          </w:p>
        </w:tc>
      </w:tr>
      <w:tr>
        <w:trPr>
          <w:trHeight w:val="33"/>
        </w:trPr>
        <w:tc>
          <w:tcPr>
            <w:tcW w:w="3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261,113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w w:val="97"/>
              </w:rPr>
              <w:t>Withholdings from vesting of restricted stock</w:t>
            </w:r>
          </w:p>
        </w:tc>
        <w:tc>
          <w:tcPr>
            <w:tcW w:w="1600" w:type="dxa"/>
            <w:vAlign w:val="bottom"/>
          </w:tcPr>
          <w:p>
            <w:pPr>
              <w:jc w:val="right"/>
              <w:spacing w:after="0"/>
              <w:rPr>
                <w:sz w:val="20"/>
                <w:szCs w:val="20"/>
                <w:color w:val="auto"/>
              </w:rPr>
            </w:pPr>
            <w:r>
              <w:rPr>
                <w:rFonts w:ascii="Arial" w:cs="Arial" w:eastAsia="Arial" w:hAnsi="Arial"/>
                <w:sz w:val="16"/>
                <w:szCs w:val="16"/>
                <w:color w:val="auto"/>
              </w:rPr>
              <w:t>(57,554)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(6,830)</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activity</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14,673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14,673</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(1,879,529)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(193,028)</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Cash dividends declared and paid</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(83,717)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(83,717)</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270,322</w:t>
            </w: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45,629,014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909,816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869,433</w:t>
            </w:r>
          </w:p>
        </w:tc>
      </w:tr>
      <w:tr>
        <w:trPr>
          <w:trHeight w:val="33"/>
        </w:trPr>
        <w:tc>
          <w:tcPr>
            <w:tcW w:w="3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274,960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14,490</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w w:val="97"/>
              </w:rPr>
              <w:t>Withholdings from vesting of restricted stock</w:t>
            </w:r>
          </w:p>
        </w:tc>
        <w:tc>
          <w:tcPr>
            <w:tcW w:w="1600" w:type="dxa"/>
            <w:vAlign w:val="bottom"/>
          </w:tcPr>
          <w:p>
            <w:pPr>
              <w:jc w:val="right"/>
              <w:spacing w:after="0"/>
              <w:rPr>
                <w:sz w:val="20"/>
                <w:szCs w:val="20"/>
                <w:color w:val="auto"/>
              </w:rPr>
            </w:pPr>
            <w:r>
              <w:rPr>
                <w:rFonts w:ascii="Arial" w:cs="Arial" w:eastAsia="Arial" w:hAnsi="Arial"/>
                <w:sz w:val="16"/>
                <w:szCs w:val="16"/>
                <w:color w:val="auto"/>
              </w:rPr>
              <w:t>(46,429)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(4,328)</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activity</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213,030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16,529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16,529</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(196,910)</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Cash dividends declared and paid</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(89,591)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(89,591)</w:t>
            </w:r>
          </w:p>
        </w:tc>
      </w:tr>
      <w:tr>
        <w:trPr>
          <w:trHeight w:val="33"/>
        </w:trPr>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270,507</w:t>
            </w:r>
          </w:p>
        </w:tc>
      </w:tr>
      <w:tr>
        <w:trPr>
          <w:trHeight w:val="270"/>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43,963,103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915,324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880,130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120" w:hanging="332"/>
        <w:spacing w:after="0" w:line="25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2019, the Company reclassified $1.5 million of tax benefits from "Accumulated other comprehensive loss" to "Retained earnings" for the tax effects resulting from the December 22, 2017 enactment of the Tax Cut and Jobs Act in accordance with the adoption of Accounting Standards Update 2018-02, </w:t>
      </w:r>
      <w:r>
        <w:rPr>
          <w:rFonts w:ascii="Arial" w:cs="Arial" w:eastAsia="Arial" w:hAnsi="Arial"/>
          <w:sz w:val="14"/>
          <w:szCs w:val="14"/>
          <w:i w:val="1"/>
          <w:iCs w:val="1"/>
          <w:color w:val="auto"/>
        </w:rPr>
        <w:t>Reclassification of Certain Tax Effects from</w:t>
      </w:r>
      <w:r>
        <w:rPr>
          <w:rFonts w:ascii="Arial" w:cs="Arial" w:eastAsia="Arial" w:hAnsi="Arial"/>
          <w:sz w:val="14"/>
          <w:szCs w:val="14"/>
          <w:color w:val="auto"/>
        </w:rPr>
        <w:t xml:space="preserve"> </w:t>
      </w:r>
      <w:r>
        <w:rPr>
          <w:rFonts w:ascii="Arial" w:cs="Arial" w:eastAsia="Arial" w:hAnsi="Arial"/>
          <w:sz w:val="14"/>
          <w:szCs w:val="14"/>
          <w:i w:val="1"/>
          <w:iCs w:val="1"/>
          <w:color w:val="auto"/>
        </w:rPr>
        <w:t>Accumulated Other Comprehensive Income</w:t>
      </w:r>
      <w:r>
        <w:rPr>
          <w:rFonts w:ascii="Arial" w:cs="Arial" w:eastAsia="Arial" w:hAnsi="Arial"/>
          <w:sz w:val="14"/>
          <w:szCs w:val="14"/>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Carter's, Inc. and its wholly 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Skip Hop,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 Precious Baby</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 </w:t>
      </w:r>
      <w:r>
        <w:rPr>
          <w:rFonts w:ascii="Arial" w:cs="Arial" w:eastAsia="Arial" w:hAnsi="Arial"/>
          <w:sz w:val="18"/>
          <w:szCs w:val="18"/>
          <w:color w:val="auto"/>
        </w:rPr>
        <w:t>and other brands. The Company's products are sourced through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Carter's, Inc. and its wholly owned subsidiaries. All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Company's fiscal year ends on the Saturday in December or January nearest December 31. Every five or six years, our fiscal year includes an additional, or 53</w:t>
      </w:r>
      <w:r>
        <w:rPr>
          <w:rFonts w:ascii="Arial" w:cs="Arial" w:eastAsia="Arial" w:hAnsi="Arial"/>
          <w:sz w:val="25"/>
          <w:szCs w:val="25"/>
          <w:color w:val="auto"/>
          <w:vertAlign w:val="superscript"/>
        </w:rPr>
        <w:t>rd</w:t>
      </w:r>
      <w:r>
        <w:rPr>
          <w:rFonts w:ascii="Arial" w:cs="Arial" w:eastAsia="Arial" w:hAnsi="Arial"/>
          <w:sz w:val="18"/>
          <w:szCs w:val="18"/>
          <w:color w:val="auto"/>
        </w:rPr>
        <w:t>, week of results. Fiscal 2019 ended on December 28, 2019, fiscal 2018 ended on December 29, 2018, and fiscal 2017 ended on December 30, 2017. All three fiscal years contained 52 calendar weeks.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Consolidated Financial Statements</w:t>
      </w:r>
    </w:p>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As disclosed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at the beginning of fiscal 2018 the Company adopted the Financial Accounting Standards Board's ("FASB")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related amendments ("ASC 606") using the full retrospective adoption method. The full retrospective method required the Company to apply the standard to the financial statements for the period of adoption as well as to each prior reporting period presented.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Adjustments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functional currency of substantially all of the Company's foreign operations is the local currency in each foreign country.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Adjustments</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also recognizes gains and losses on transactions that are denominated in a currency other than the respective entity's functional currency. Foreign currency transaction gains and losses also include intercompany loans with foreign subsidiaries that are of a short-term nature. Foreign currency transaction gains and losses are recognized in earnings, as a separate component of other (income) expense, net, within the consolidated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the Company's overall strategy to manage the level of exposure to the risk of foreign currency exchange rate fluctuations, primarily between the U.S. dollar and the currencies of Canada and Mexico, the Company may use foreign currency forward contracts to hedge purchases that are made in U.S. dollars, primarily for inventory purchases in its Canadian and Mexican operations. As part of this hedging strategy, the Company may use foreign currency forward exchange contracts with maturities of less than 12 months to provide continuing coverage throughout the hedging period. Historically, these contracts were not designated for hedge accounting treatment, and therefore changes in the fair value of these contracts have been recorded in Other (income) expense, net in the Company's consolidated statements of operations. Such foreign currency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37" w:right="259" w:bottom="1440" w:gutter="0" w:footer="0" w:header="0"/>
        </w:sectPr>
      </w:pPr>
    </w:p>
    <w:bookmarkStart w:id="49" w:name="page50"/>
    <w:bookmarkEnd w:id="49"/>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gains and losses typically include the mark-to-market fair value adjustments at the end of each reporting period related to open contracts, as well as any realized gains and losses on contracts settled during the reporting period. The fair values of any unsettled currency contracts are included in other current assets or other current liabilities on the Company's consolidated balance sheet. On the consolidated statement of cash flows, the Company includes all activity, including cash settlement of any contracts, as a component of cash flows from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 from third-party financial institutions for credit and debit card transactions; these amounts typically settle in less than five days.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Cash Deposits Risk</w:t>
      </w:r>
    </w:p>
    <w:p>
      <w:pPr>
        <w:spacing w:after="0" w:line="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December 28, 2019, the Company had approximately $214.3 million of cash and cash equivalents in major financial institutions, including approximately $56.5 million in financial institutions located outside of the United States.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fiscal 2019, 2018, and 2017, no one customer accounted for 10% or more of the Company's consolidated net sales.</w:t>
      </w:r>
    </w:p>
    <w:p>
      <w:pPr>
        <w:spacing w:after="0" w:line="18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At December 28, 2019, three wholesale customers each had individual receivable balances in excess of 10% of gross accounts receivable, and the total receivable balances due from these three wholesale customers in the aggregate equaled approximately 52% of total gross trade receivables outstanding. At December 29, 2018, three wholesale customers each had individual receivable balances in excess of 10% of gross accounts receivable, and the total receivable balances due from these three wholesale customers in the aggregate equaled approximately 40% of total gross trade receivables outstanding.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Accounts for Wholesale Accounts Receivable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Reserves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accounts receivable reserves for wholesale customers include an allowance for doubtful accounts and an allowance for chargebacks. The allowance for doubtful accounts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the consolidated statement of operations and provisions for chargebacks are reflected as a reduction in Net sales on the consolidated statement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Reserves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instances, the Company does not allow its wholesale customers to return goods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Inventories, which consist primarily of finished goods, are stated approximately at the lower of cost (first-in, first-out basis for wholesale inventory and average cost for retail inventory)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50" w:name="page51"/>
    <w:bookmarkEnd w:id="50"/>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At the beginning of fiscal 2019, the Company adopted the provisions of ASC No.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a modified retrospective approach as an optional transition method. This approach allows the Company to apply the standard and related disclosures to the financial statements for the period of adoption and to apply the old guidance in the comparative periods.</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standard had a material impact on our consolidated balance sheets, but did not have a material impact on our consolidated income statements or statement of cash flows. The most significant impact was the recognition of right of use ("ROU") assets and lease liabilities for operating leases. Finance leases are not material to the Company's consolidated balance sheets, consolidated statements of operations or statements of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Presentation</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13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operating lease ROU asset also includes initial direct costs and excludes lease incentives. Lease expense is recognized on a straight-line basis over the lease term.</w:t>
      </w:r>
    </w:p>
    <w:p>
      <w:pPr>
        <w:spacing w:after="0" w:line="13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Practical Expedient Package - The Company has elected the following expedients and applied them consistently to all leases:</w:t>
      </w:r>
    </w:p>
    <w:p>
      <w:pPr>
        <w:spacing w:after="0" w:line="9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will not revisit whether a contract is, or contains, a lease under the ASC 842 definition of a lease.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lease classification determined under prior guidance will not be reevaluated under ASC 842.</w:t>
      </w:r>
    </w:p>
    <w:p>
      <w:pPr>
        <w:spacing w:after="0" w:line="9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capitalized initial direct costs under prior guidance will be carried forward. Any initial direct costs after the effective date will be included within the ROU asset under ASC 842.</w:t>
      </w:r>
    </w:p>
    <w:p>
      <w:pPr>
        <w:spacing w:after="0" w:line="13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Non-lease component - The Company has lease agreements with lease and non-lease components. The Company has elected a policy to account for lease and non-lease components as a single component for all asset classes.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 Leases with an initial term of 12 months or less are not recorded on the balance sheets.</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Renewal options - The Company evaluates the inclusion of renewal options on a lease by lease basis. In general, for leased retail real estate, the Company does not include renewal options in the underlying lease term.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profit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 are amortized over the lesser of the asset life or related lease term. The Company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860"/>
        <w:spacing w:after="0" w:line="399" w:lineRule="auto"/>
        <w:rPr>
          <w:sz w:val="20"/>
          <w:szCs w:val="20"/>
          <w:color w:val="auto"/>
        </w:rPr>
      </w:pPr>
      <w:r>
        <w:rPr>
          <w:rFonts w:ascii="Arial" w:cs="Arial" w:eastAsia="Arial" w:hAnsi="Arial"/>
          <w:sz w:val="18"/>
          <w:szCs w:val="18"/>
          <w:color w:val="auto"/>
        </w:rPr>
        <w:t xml:space="preserve">capitalizes the cost of its fixtures designed and purchased for use at major wholesale accounts. The cost of these fixtures is amortized over 3 years. </w:t>
      </w:r>
      <w:r>
        <w:rPr>
          <w:rFonts w:ascii="Arial" w:cs="Arial" w:eastAsia="Arial" w:hAnsi="Arial"/>
          <w:sz w:val="18"/>
          <w:szCs w:val="18"/>
          <w:b w:val="1"/>
          <w:bCs w:val="1"/>
          <w:color w:val="auto"/>
        </w:rPr>
        <w:t>Internal-Use Software</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purchases software licenses from external vendors and also develops software internally using Company employees and consultants. Software license costs, including certain costs to internally develop software, that meet the applicable criteria are capitalized while all other costs are expensed as incurred. Capitalized software is depreciated or amortized on the straight-line method over its estimated useful lives, from 3 to 10 years. If a software application does not include a purchased license for the software, such as a cloud-based software application, the arrangement is accounted for as a service contract.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Reviews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revenue growth rates, terminal values, discount rates and, in the case of tradenames, royalty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the Company performs the two-step goodwill impairment test as required. If it is determined that it is "not likely" that the fair value of the reporting unit is less than its carrying value, then no further testing is required and the Company documents the relevant qualitative factors that support the strength in the fair value.</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first step of a quantitative assessment is to compare the fair value of the reporting unit to its carrying value, including goodwill. The Company uses a discounted cash flow model to determine the fair value, using assumptions consistent with those of hypothetical marketplace participants. If the fair value of a reporting unit is less than its carrying value, the second step of the impairment test must be performed. The second step compares the implied fair value of the reporting unit goodwill with the carrying value of that goodwill, in order to determine the amount of the impairment loss and charge to the consolidated statement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Tradenames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relief-from-royalty method. If the carrying amount exceeds the fair value of the tradename, an impairment charge is recognized in the amount of the excess.</w:t>
      </w:r>
    </w:p>
    <w:p>
      <w:pPr>
        <w:spacing w:after="0" w:line="1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Skip Hop business has experienced lower than expected actual and projected sales and profitability due to lower domestic demand, including the loss of a significant customer (Toys "R" Us), lower international demand and higher product costs primarily driven by tariffs imposed on products sourced from China. As a result, the Company conducted an interim impairment assessment in the third quarter of fiscal 2019 on the value of the Company's indefinite-lived Skip Hop tradename asset that was recorded in connection with the acquisition of Skip Hop Holdings, Inc. in February 2017. The indefinite-lived tradename asset assessment was performed in accordance with Accounting Standards Codification ("ASC") 350, "Intangibles--Goodwill and Other" and was determined using a discounted cash flow analysis which examined the hypothetical cost savings that accrue as a result of our ownership of the tradename. Based on this assessment, a charge of $19.1 million, $10.5 million, and $1.2 million was recorded on our indefinite-lived Skip Hop tradename asset in the U.S. Wholesale, International, and U.S. Retail segments, respectively, to reflect the impairment of the value ascribed to the indefinite-lived Skip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Hop tradename asset. The carrying value of the Company's indefinite-lived Skip Hop tradename asset after the impairment charge was $26.0 million.</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Due to the reduced expected impact from tariffs on Skip Hop's projected operating margins, which led to an increase in the royalty rate assumption, no further impairment to the indefinite-lived Skip Hop tradename asset was necessary as of December 28, 2019. Although the Company determined that no impairment exists, the Company's indefinite-lived Skip Hop tradename asset is at risk for further impairment if the Company is unable to achieve its future sales and earnings projections or if market conditions were to deteriorate.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Other Long-Lived Assets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reviews other long-lived assets, including property, plant, and equipment, and licensing agreements, for impairment whenever events or changes in circumstances indicate that the carrying amount of such an asset may not be recoverable. Management will determine whether there has been a permanent impairment on such assets held for use in the business by comparing anticipated undiscounted future cash flows from the use and eventual disposition of the asset 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 less costs to sell.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Debt issuance costs associated with the Company's secured revolving credit facility and senior term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 and classified as either current or non-current based on the expiration date of the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framework requires the Company to categorize certain assets and liabilities into three levels, based upon the assumptions used to price those assets or liabilities. The three levels are defined as follows:</w:t>
      </w:r>
    </w:p>
    <w:p>
      <w:pPr>
        <w:spacing w:after="0" w:line="19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color w:val="auto"/>
        </w:rPr>
        <w:t>Quoted prices for similar assets and liabilities in active markets or inputs that are observable.</w:t>
      </w:r>
    </w:p>
    <w:p>
      <w:pPr>
        <w:spacing w:after="0" w:line="6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reflecting management's own assumptions about the inputs used in pricing the asset or liability.</w:t>
      </w:r>
    </w:p>
    <w:p>
      <w:pPr>
        <w:spacing w:after="0" w:line="2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14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9, </w:t>
      </w:r>
      <w:r>
        <w:rPr>
          <w:rFonts w:ascii="Arial" w:cs="Arial" w:eastAsia="Arial" w:hAnsi="Arial"/>
          <w:sz w:val="16"/>
          <w:szCs w:val="16"/>
          <w:i w:val="1"/>
          <w:iCs w:val="1"/>
          <w:color w:val="auto"/>
        </w:rPr>
        <w:t>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Debt</w:t>
      </w:r>
      <w:r>
        <w:rPr>
          <w:rFonts w:ascii="Arial" w:cs="Arial" w:eastAsia="Arial" w:hAnsi="Arial"/>
          <w:sz w:val="16"/>
          <w:szCs w:val="16"/>
          <w:color w:val="auto"/>
        </w:rPr>
        <w:t>, to the consolidated financial statements. Had the Company been required to remeasure and adjust the carrying values of its outstanding borrowings to</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at the end of each reporting period, such fair value measurements would have been disclosed as a Level 2 liability in the fair value hierarchy.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At the beginning of fiscal 2018, the Company adopted the provisions of ASC 606 using the full retrospective adoption method. Refer to Note 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for additional information.</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3" w:name="page54"/>
    <w:bookmarkEnd w:id="53"/>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five-step model to recognize revenue:</w:t>
      </w:r>
    </w:p>
    <w:p>
      <w:pPr>
        <w:spacing w:after="0" w:line="9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Identity the performance obligation(s);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 the transaction price to each performance obligation if multiple obligations exist;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the revenue when the performance obligations are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identifies each distinct performance obligation to transfer goods (or bundle of goods). The Company recognizes revenue when (or as) it satisfies a performance obligation by transferring control of the goods to the customer. Other than inbound and outbound freight and shipping arrangements, the Company does not use third parties to satisfy its performance obligations in revenue arrangements with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Performance Obligations Are Satisfied</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Wholesale Revenues - The Company typically transfers control upon shipment. However, in certain arrangements where the Company retains the risk of loss during shipment, satisfaction of the performance obligation occurs when the goods reach the customer.</w:t>
      </w:r>
    </w:p>
    <w:p>
      <w:pPr>
        <w:spacing w:after="0" w:line="13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Retail Revenues - For transactions in stores, the Company satisfies its performance obligation at point of sale when the customer takes possession of the goods and tenders payment. The redemption of loyalty points under the Company's rewards program and redemptions of gift cards may be part of a transaction. For purchases made through the Company's eCommerce channel, revenue is recognized when the goods are physically delivered to the customer.</w:t>
      </w:r>
    </w:p>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satisfies its performance obligations with licensees over time as customers have the right to use the intellectual property over the contract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Payment Terms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Retail customers tender a form of payment, such as cash or a credit/debit card, at point of sale. For wholesale customers and licensees, payment is due based on established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establishes return provisions for retail customers. It is the Company's policy not to accept returns from wholesale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9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Sale of Goods -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For retail transactions, no significant judgments are involved since revenue is recognized at the point of sale when tender is exchanged and the customer receives the goods.</w:t>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4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For retail transactions, the Company has significant experience with return patterns and relies on this experience to estimate expected returns when determining the transaction price.</w:t>
      </w:r>
    </w:p>
    <w:p>
      <w:pPr>
        <w:spacing w:after="0" w:line="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Standalone Selling Prices - For arrangements that contain multiple performance obligations, the Company allocates the transaction price to each performance obligation on a relative standalone selling price basis.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Obtain a Contract - Incremental costs to obtain contracts are not material to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those previously disclosed, the Company has made the following accounting policy elections and practical expedients:</w:t>
      </w:r>
    </w:p>
    <w:p>
      <w:pPr>
        <w:spacing w:after="0" w:line="90" w:lineRule="exact"/>
        <w:rPr>
          <w:sz w:val="20"/>
          <w:szCs w:val="20"/>
          <w:color w:val="auto"/>
        </w:rPr>
      </w:pPr>
    </w:p>
    <w:p>
      <w:pPr>
        <w:ind w:left="660" w:right="10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Approach - The Company uses the portfolio approach when multiple contracts or performance obligations are involved in the determination of revenue recognition.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Taxes - The Company excludes from the transaction price any taxes collected from customers that are remitted to taxing authorities.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Shipping and Handling Charges - Charges that are incurred before and after the customer obtains control of goods are deemed to be fulfillment costs.</w:t>
      </w:r>
    </w:p>
    <w:p>
      <w:pPr>
        <w:spacing w:after="0" w:line="113"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 Value of Money - The Company's payment terms are less than one year from the transfer of goods. Therefore, the Company does not adjust promised amounts of consideration for the effects of the time value of money.</w:t>
      </w:r>
    </w:p>
    <w:p>
      <w:pPr>
        <w:spacing w:after="0" w:line="3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130"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Company records its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$3.1 million for fiscal 2019, $3.0 million for fiscal 2018, and $3.1 million for fiscal 2017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Selling, General and Administrative Expenses</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to the cost of product, cost of goods sold include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expenses other than interest and income taxes are included in selling, general, and administrative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Distribution expenses included in SG&amp;A totaled $191.1 million, $188.9 million, and $173.5 million for fiscal years 2019, 2018, and 2017, respectively.</w:t>
      </w:r>
    </w:p>
    <w:p>
      <w:pPr>
        <w:spacing w:after="0" w:line="149" w:lineRule="exact"/>
        <w:rPr>
          <w:sz w:val="20"/>
          <w:szCs w:val="20"/>
          <w:color w:val="auto"/>
        </w:rPr>
      </w:pPr>
    </w:p>
    <w:p>
      <w:pPr>
        <w:ind w:right="1460"/>
        <w:spacing w:after="0" w:line="344" w:lineRule="auto"/>
        <w:rPr>
          <w:sz w:val="20"/>
          <w:szCs w:val="20"/>
          <w:color w:val="auto"/>
        </w:rPr>
      </w:pPr>
      <w:r>
        <w:rPr>
          <w:rFonts w:ascii="Arial" w:cs="Arial" w:eastAsia="Arial" w:hAnsi="Arial"/>
          <w:sz w:val="18"/>
          <w:szCs w:val="18"/>
          <w:color w:val="auto"/>
        </w:rPr>
        <w:t xml:space="preserve">Definitions of gross profit and gross margin vary across the industry and, as such, our metrics may not be comparable to other companies. </w:t>
      </w:r>
      <w:r>
        <w:rPr>
          <w:rFonts w:ascii="Arial" w:cs="Arial" w:eastAsia="Arial" w:hAnsi="Arial"/>
          <w:sz w:val="18"/>
          <w:szCs w:val="18"/>
          <w:b w:val="1"/>
          <w:bCs w:val="1"/>
          <w:color w:val="auto"/>
        </w:rPr>
        <w:t>Income from Royalties and License Fees</w:t>
      </w:r>
    </w:p>
    <w:p>
      <w:pPr>
        <w:spacing w:after="0" w:line="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license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w:t>
      </w:r>
      <w:r>
        <w:rPr>
          <w:rFonts w:ascii="Arial" w:cs="Arial" w:eastAsia="Arial" w:hAnsi="Arial"/>
          <w:sz w:val="18"/>
          <w:szCs w:val="18"/>
          <w:i w:val="1"/>
          <w:iCs w:val="1"/>
          <w:color w:val="auto"/>
        </w:rPr>
        <w:t>Precious Firsts</w:t>
      </w:r>
      <w:r>
        <w:rPr>
          <w:rFonts w:ascii="Arial" w:cs="Arial" w:eastAsia="Arial" w:hAnsi="Arial"/>
          <w:sz w:val="18"/>
          <w:szCs w:val="18"/>
          <w:color w:val="auto"/>
        </w:rPr>
        <w:t xml:space="preserve">, </w:t>
      </w:r>
      <w:r>
        <w:rPr>
          <w:rFonts w:ascii="Arial" w:cs="Arial" w:eastAsia="Arial" w:hAnsi="Arial"/>
          <w:sz w:val="18"/>
          <w:szCs w:val="18"/>
          <w:i w:val="1"/>
          <w:iCs w:val="1"/>
          <w:color w:val="auto"/>
        </w:rPr>
        <w:t>Precious Baby</w:t>
      </w:r>
      <w:r>
        <w:rPr>
          <w:rFonts w:ascii="Arial" w:cs="Arial" w:eastAsia="Arial" w:hAnsi="Arial"/>
          <w:sz w:val="18"/>
          <w:szCs w:val="18"/>
          <w:color w:val="auto"/>
        </w:rPr>
        <w:t xml:space="preserve">, </w:t>
      </w:r>
      <w:r>
        <w:rPr>
          <w:rFonts w:ascii="Arial" w:cs="Arial" w:eastAsia="Arial" w:hAnsi="Arial"/>
          <w:sz w:val="18"/>
          <w:szCs w:val="18"/>
          <w:i w:val="1"/>
          <w:iCs w:val="1"/>
          <w:color w:val="auto"/>
        </w:rPr>
        <w:t>and Carter's little baby basics</w:t>
      </w:r>
      <w:r>
        <w:rPr>
          <w:rFonts w:ascii="Arial" w:cs="Arial" w:eastAsia="Arial" w:hAnsi="Arial"/>
          <w:sz w:val="18"/>
          <w:szCs w:val="18"/>
          <w:color w:val="auto"/>
        </w:rPr>
        <w:t>, brands to partners to expand our product offerings to include bedding, cribs, diaper bags, footwear, gift sets, hair accessories, jewelry, outerwear, paper goods, socks, shoes, swimwear, and toys. These royalties are recorded as earned, based upon the sales of licensed products by licensees and reported as royalty income in the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9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Costs associated with the production of advertising, such as writing, copy, printing, and other costs, are expensed as incurred. Costs associated with communicating advertising that has been produced, such as magazine costs and eCommerce site banners, are expensed when the advertising event takes place.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recognizes the cost resulting from all stock-based payment transactions in the financial statements at grant date fair value. Stock-based compensation expense is recognized over the requisite service period, net of estimated forfeitures. 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5" w:name="page56"/>
    <w:bookmarkEnd w:id="55"/>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determines the fair value of stock options using the Black-Scholes option pricing model, which requires the use of the following subjective assumptions:</w:t>
      </w:r>
    </w:p>
    <w:p>
      <w:pPr>
        <w:spacing w:after="0" w:line="35" w:lineRule="exact"/>
        <w:rPr>
          <w:sz w:val="20"/>
          <w:szCs w:val="20"/>
          <w:color w:val="auto"/>
        </w:rPr>
      </w:pPr>
    </w:p>
    <w:p>
      <w:pPr>
        <w:jc w:val="both"/>
        <w:ind w:left="660" w:right="4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 This is a measure of the amount by which a stock price has fluctuated or is expected to fluctuate. The Company uses actual monthly historical changes in the market value of its stock covering the expected life of options being valued. An increase in the expected volatility will increase the fair value of the stock option and related compensation expense.</w:t>
      </w:r>
    </w:p>
    <w:p>
      <w:pPr>
        <w:spacing w:after="0" w:line="4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35" w:lineRule="exact"/>
        <w:rPr>
          <w:rFonts w:ascii="Arial" w:cs="Arial" w:eastAsia="Arial" w:hAnsi="Arial"/>
          <w:sz w:val="18"/>
          <w:szCs w:val="18"/>
          <w:color w:val="auto"/>
        </w:rPr>
      </w:pPr>
    </w:p>
    <w:p>
      <w:pPr>
        <w:ind w:left="660" w:right="42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the related compensation expense.</w:t>
      </w:r>
    </w:p>
    <w:p>
      <w:pPr>
        <w:spacing w:after="0" w:line="51"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Dividend yield - The Company estimates a dividend yield based on the current dividend amount as a percentage of the current stock price. An increase in the dividend yield will decrease the fair value of the stock option and the related compensation expenses.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Forfeitures - The Company estimates forfeitures of stock-based awards based on historical experience and expected future activity.</w:t>
      </w:r>
    </w:p>
    <w:p>
      <w:pPr>
        <w:spacing w:after="0" w:line="18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Changes in these subjective assumptions can materially affect the estimate of fair value of stock-based compensation expense and the related amount recognized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adjusts stock-based compensation expense based on its probability assessment.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9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accompanying consolidated financial statements reflect current and deferred tax provisions,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deferred tax provision is determined under the liability method. Deferred tax assets and liabilities are recognized based on differences between the book and tax basis of assets and liabilities using presently enacted tax rates. Deferred tax assets are a component of non-current Other assets in the Company's consolidated balance sheet.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management's evaluation of the facts, circumstances, and information available at the reporting dates. A company may recognize the tax benefit from an uncertain tax position only if it is more likely than not that the tax position will be sustained on examination by the taxing authorities, based on the technical merits of the position. If it is more likely than not that a tax</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1" w:right="259" w:bottom="1440" w:gutter="0" w:footer="0" w:header="0"/>
        </w:sectPr>
      </w:pPr>
    </w:p>
    <w:bookmarkStart w:id="56" w:name="page57"/>
    <w:bookmarkEnd w:id="56"/>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position would not be sustained, then no tax benefit would be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For current and deferred tax provisions, ASC 740 requires an entity to account for the effects of new income tax legislation in the same reporting period that the tax legislation is enacted. Recent tax law changes known as the U.S. Tax Cuts and Jobs Act of 2017 (the "2017 Act") were enacted in the United States on December 22, 2017. The 2017 Act, among other things, reduces the United States federal corporate tax rate from 35% to 21%, requires companies to pay a one-time transition tax ("toll tax") on earnings of certain foreign subsidiaries that were previously tax deferred, and creates new taxes on certain foreign sourced earnings. For the 2017 Act, SEC Staff Accounting Bulletin No. 118,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permitted the Company to calculate and recognize provisional estimates during the period of enactment (fourth quarter of fiscal 2017) for the accounting of the 2017 Act. Subsequent adjustments to provisional estimates were reflected in the Company's income tax provisions/benefits during fiscal 2018. See Note 13,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to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paid in cash approximated $36.5 million, $33.6 million, and $28.3 million for fiscal years 2019, 2018, and 2017, respectively. Income taxes paid in cash approximated $67.6 million, $55.9 million and $132.9 million for fiscal years 2019, 2018, and 2017, respectively.</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Additions to property, plant and equipment of approximately $1.2 million, $1.9 million, and $1.9 million were excluded from capital expenditures on the Company's consolidated statements of cash flows for fiscal years 2019, 2018, and 2017, respectively, since these amounts were accrued and unpaid at the end of each respective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Repurchases of Common Stock</w:t>
      </w:r>
    </w:p>
    <w:p>
      <w:pPr>
        <w:spacing w:after="0" w:line="94"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Shares of the Company's common stock that are repurchased by the Company through open market transactions are retired. Through the end of fiscal 2019,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Any service costs that arise during the period are presented in the same statement line item as other employee compensation on the consolidated statement of operations. All other components of current period costs related to defined benefit plans, such as prior service costs and actuarial gains and losses, are presented in Other (income) expense, net on the consolidated statement of operations. The actuarial gains or losses that arise during the period are recognized as a component of comprehensive income, net of tax. These costs are then subsequently recognized as components of net periodic benefit cost in the consolidated statements of operations. Under the provisions of ASU No. 2015-04, </w:t>
      </w:r>
      <w:r>
        <w:rPr>
          <w:rFonts w:ascii="Arial" w:cs="Arial" w:eastAsia="Arial" w:hAnsi="Arial"/>
          <w:sz w:val="17"/>
          <w:szCs w:val="17"/>
          <w:i w:val="1"/>
          <w:iCs w:val="1"/>
          <w:color w:val="auto"/>
        </w:rPr>
        <w:t>Practical Expedient for the Measurement Date of an Employer's Defined Benefit Obligation and Plan</w:t>
      </w:r>
      <w:r>
        <w:rPr>
          <w:rFonts w:ascii="Arial" w:cs="Arial" w:eastAsia="Arial" w:hAnsi="Arial"/>
          <w:sz w:val="17"/>
          <w:szCs w:val="17"/>
          <w:color w:val="auto"/>
        </w:rPr>
        <w:t xml:space="preserve"> </w:t>
      </w:r>
      <w:r>
        <w:rPr>
          <w:rFonts w:ascii="Arial" w:cs="Arial" w:eastAsia="Arial" w:hAnsi="Arial"/>
          <w:sz w:val="17"/>
          <w:szCs w:val="17"/>
          <w:i w:val="1"/>
          <w:iCs w:val="1"/>
          <w:color w:val="auto"/>
        </w:rPr>
        <w:t>Assets</w:t>
      </w:r>
      <w:r>
        <w:rPr>
          <w:rFonts w:ascii="Arial" w:cs="Arial" w:eastAsia="Arial" w:hAnsi="Arial"/>
          <w:sz w:val="17"/>
          <w:szCs w:val="17"/>
          <w:color w:val="auto"/>
        </w:rPr>
        <w:t>, the Company is permitted to use December 31 of each year, as opposed to the Company's last day of each fiscal year, as an alternate measurement date</w:t>
      </w:r>
      <w:r>
        <w:rPr>
          <w:rFonts w:ascii="Arial" w:cs="Arial" w:eastAsia="Arial" w:hAnsi="Arial"/>
          <w:sz w:val="17"/>
          <w:szCs w:val="17"/>
          <w:i w:val="1"/>
          <w:iCs w:val="1"/>
          <w:color w:val="auto"/>
        </w:rPr>
        <w:t xml:space="preserve"> </w:t>
      </w:r>
      <w:r>
        <w:rPr>
          <w:rFonts w:ascii="Arial" w:cs="Arial" w:eastAsia="Arial" w:hAnsi="Arial"/>
          <w:sz w:val="17"/>
          <w:szCs w:val="17"/>
          <w:color w:val="auto"/>
        </w:rPr>
        <w:t>for its defined benefit plans.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and Severance Costs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Useful lives assigned to fixed assets at the facility to be closed are revised based on the specifics of the exit plan, resulting in accelerated depreciation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in Fiscal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2016-02)</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the beginning of fiscal 2019, the Company adopted the provisions of ASC No. 842, Leases ("ASC 842"), using a modified retrospective approach as an optional transition method. The standard required lessees to recognize a right-of-use (“ROU”) asset and lease liability for all leases. The Company elected the package of practical expedients for existing contracts permitted transition guidance in Accounting Standards Update ("ASU") 2016-02, which allowed the Company to carry forward its identification of contracts that are or contain leases, its historical lease classification, and its initial direct costs for existing leases.</w:t>
      </w:r>
    </w:p>
    <w:p>
      <w:pPr>
        <w:spacing w:after="0" w:line="1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the first quarter of adoption of ASC 842, the Company recognized ROU assets for operating leases of approximately $705 million and operating lease liabilities of approximately $844 million. The initial ROU assets recognized were equal to the initial operating lease liabilities, adjusted for the balance on adoption date of prepaid and accrued rent, lease incentives and unamortized initial direct costs. The adoption of the standard had a material impact on our consolidated balance sheets, but did not have a material impact on our consolidated income statements or statement of cash flows. The Company’s consolidated financial statements for the period ended December 28, 2019 are presented under ASC 842, while comparative periods presented have not been adjusted and continue to be reported in accordance with the previous standard, ASC No. 840, Leases.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 (ASU 2018-02)</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the beginning of fiscal 2019, the Company adopted ASU No. 2018-02, Reclassification of Certain Tax Effects from Accumulated Other Comprehensive Income ("ASU 2018-02"). The adoption of ASU 2018-02 allowed the Company to reclassify the income tax effects of the U.S. Tax Cuts and Jobs Act of 2017 (the "2017 Tax Act") on items within accumulated other comprehensive income or loss ("AOCI-L") to retained earnings. Because most items that are charged to AOCI-L are recorded net of applicable income taxes, the subsequent reclassification of these items from AOCI-L to the statement of operations was at different income tax rates due to the 2017 Tax Act, thereby leaving a "stranded" tax balance within AOCI-L. ASU 2018-02 allowed the Company to transfer these "stranded" amounts from AOCI-L to retained earnings. The effect of the adoption of ASU 2018-02 was not material to the Company's financial position and did not have an effect on the Company's consolidated results of operations or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Be Adopted After Fiscal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consider historical information and current conditions and includes expectations for the future which have yet to occur. ASU 2016-13 is effective for public companies for fiscal years beginning after December 15, 2019 with early adoption permitted for fiscal years beginning after December 15, 2018, including interim periods therein. The standard will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require entities to record a cumulative-effect adjustment to the balance sheet as of the beginning of the first reporting period in which the guidance is effective. The Company has completed its analysis of the impact of this guidance, and the adoption of this standard will not have a material impact on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public companies is effective for annual and interim impairment tests performed in periods after December 15, 2019.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the beginning of fiscal 2018, the Company adopted the provisions of ASC 606 using the full retrospective adoption method. Under the full retrospective method, the Company adjusted all periods in fiscal 2017 to reflect the provisions of ASC 606.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retrospective adoption on the Company's consolidated Statements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For the fiscal year ended</w:t>
            </w:r>
          </w:p>
        </w:tc>
      </w:tr>
      <w:tr>
        <w:trPr>
          <w:trHeight w:val="33"/>
        </w:trPr>
        <w:tc>
          <w:tcPr>
            <w:tcW w:w="9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92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 except per share data)</w:t>
            </w:r>
          </w:p>
        </w:tc>
        <w:tc>
          <w:tcPr>
            <w:tcW w:w="160" w:type="dxa"/>
            <w:vAlign w:val="bottom"/>
          </w:tcPr>
          <w:p>
            <w:pPr>
              <w:spacing w:after="0"/>
              <w:rPr>
                <w:sz w:val="18"/>
                <w:szCs w:val="18"/>
                <w:color w:val="auto"/>
              </w:rPr>
            </w:pPr>
          </w:p>
        </w:tc>
        <w:tc>
          <w:tcPr>
            <w:tcW w:w="1980" w:type="dxa"/>
            <w:vAlign w:val="bottom"/>
          </w:tcPr>
          <w:p>
            <w:pPr>
              <w:jc w:val="right"/>
              <w:ind w:right="839"/>
              <w:spacing w:after="0"/>
              <w:rPr>
                <w:sz w:val="20"/>
                <w:szCs w:val="20"/>
                <w:color w:val="auto"/>
              </w:rPr>
            </w:pPr>
            <w:r>
              <w:rPr>
                <w:rFonts w:ascii="Arial" w:cs="Arial" w:eastAsia="Arial" w:hAnsi="Arial"/>
                <w:sz w:val="16"/>
                <w:szCs w:val="16"/>
                <w:b w:val="1"/>
                <w:bCs w:val="1"/>
                <w:color w:val="auto"/>
              </w:rPr>
              <w:t>2017</w:t>
            </w:r>
          </w:p>
        </w:tc>
      </w:tr>
      <w:tr>
        <w:trPr>
          <w:trHeight w:val="33"/>
        </w:trPr>
        <w:tc>
          <w:tcPr>
            <w:tcW w:w="9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9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9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16"/>
        </w:trPr>
        <w:tc>
          <w:tcPr>
            <w:tcW w:w="9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9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customers. The Company also earns royalties from its licensees. Disaggregated revenues from these sources for fiscal years 2019, 2018, and 2017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7"/>
          </w:tcPr>
          <w:p>
            <w:pPr>
              <w:ind w:left="120"/>
              <w:spacing w:after="0"/>
              <w:rPr>
                <w:sz w:val="20"/>
                <w:szCs w:val="20"/>
                <w:color w:val="auto"/>
              </w:rPr>
            </w:pPr>
            <w:r>
              <w:rPr>
                <w:rFonts w:ascii="Arial" w:cs="Arial" w:eastAsia="Arial" w:hAnsi="Arial"/>
                <w:sz w:val="16"/>
                <w:szCs w:val="16"/>
                <w:b w:val="1"/>
                <w:bCs w:val="1"/>
                <w:color w:val="auto"/>
              </w:rPr>
              <w:t>Fiscal year ended December 28, 2019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40" w:type="dxa"/>
            <w:vAlign w:val="bottom"/>
          </w:tcPr>
          <w:p>
            <w:pPr>
              <w:jc w:val="right"/>
              <w:ind w:right="269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7"/>
                <w:szCs w:val="17"/>
                <w:color w:val="auto"/>
              </w:rPr>
            </w:pPr>
          </w:p>
        </w:tc>
        <w:tc>
          <w:tcPr>
            <w:tcW w:w="1620" w:type="dxa"/>
            <w:vAlign w:val="bottom"/>
            <w:gridSpan w:val="4"/>
          </w:tcPr>
          <w:p>
            <w:pPr>
              <w:ind w:left="120"/>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7"/>
                <w:szCs w:val="17"/>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48"/>
        </w:trPr>
        <w:tc>
          <w:tcPr>
            <w:tcW w:w="4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1,205,646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163,793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1,369,439</w:t>
            </w:r>
          </w:p>
        </w:tc>
      </w:tr>
      <w:tr>
        <w:trPr>
          <w:trHeight w:val="237"/>
        </w:trPr>
        <w:tc>
          <w:tcPr>
            <w:tcW w:w="424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1,884,150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265,697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2,149,847</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1,884,150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1,205,646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429,490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3,519,286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12,990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17,670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34,637</w:t>
            </w:r>
          </w:p>
        </w:tc>
      </w:tr>
      <w:tr>
        <w:trPr>
          <w:trHeight w:val="33"/>
        </w:trPr>
        <w:tc>
          <w:tcPr>
            <w:tcW w:w="4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9" w:name="page60"/>
    <w:bookmarkEnd w:id="59"/>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right"/>
        <w:ind w:righ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8"/>
          </w:tcPr>
          <w:p>
            <w:pPr>
              <w:ind w:left="120"/>
              <w:spacing w:after="0"/>
              <w:rPr>
                <w:sz w:val="20"/>
                <w:szCs w:val="20"/>
                <w:color w:val="auto"/>
              </w:rPr>
            </w:pPr>
            <w:r>
              <w:rPr>
                <w:rFonts w:ascii="Arial" w:cs="Arial" w:eastAsia="Arial" w:hAnsi="Arial"/>
                <w:sz w:val="16"/>
                <w:szCs w:val="16"/>
                <w:b w:val="1"/>
                <w:bCs w:val="1"/>
                <w:color w:val="auto"/>
              </w:rPr>
              <w:t>Fiscal year ended December 29, 2018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34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Total</w:t>
            </w: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1,180,687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163,637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1,344,324</w:t>
            </w:r>
          </w:p>
        </w:tc>
      </w:tr>
      <w:tr>
        <w:trPr>
          <w:trHeight w:val="237"/>
        </w:trPr>
        <w:tc>
          <w:tcPr>
            <w:tcW w:w="422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1,851,193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266,752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2,117,945</w:t>
            </w:r>
          </w:p>
        </w:tc>
      </w:tr>
      <w:tr>
        <w:trPr>
          <w:trHeight w:val="33"/>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1,851,193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1,180,687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430,389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3,462,269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12,877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22,511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3,542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38,930</w:t>
            </w:r>
          </w:p>
        </w:tc>
      </w:tr>
      <w:tr>
        <w:trPr>
          <w:trHeight w:val="33"/>
        </w:trPr>
        <w:tc>
          <w:tcPr>
            <w:tcW w:w="4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8"/>
          </w:tcPr>
          <w:p>
            <w:pPr>
              <w:ind w:left="120"/>
              <w:spacing w:after="0"/>
              <w:rPr>
                <w:sz w:val="20"/>
                <w:szCs w:val="20"/>
                <w:color w:val="auto"/>
              </w:rPr>
            </w:pPr>
            <w:r>
              <w:rPr>
                <w:rFonts w:ascii="Arial" w:cs="Arial" w:eastAsia="Arial" w:hAnsi="Arial"/>
                <w:sz w:val="16"/>
                <w:szCs w:val="16"/>
                <w:b w:val="1"/>
                <w:bCs w:val="1"/>
                <w:color w:val="auto"/>
              </w:rPr>
              <w:t>Fiscal year ended December 30, 2017</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34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Total</w:t>
            </w: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1,209,663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160,850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1,370,513</w:t>
            </w:r>
          </w:p>
        </w:tc>
      </w:tr>
      <w:tr>
        <w:trPr>
          <w:trHeight w:val="237"/>
        </w:trPr>
        <w:tc>
          <w:tcPr>
            <w:tcW w:w="422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1,775,378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254,613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2,029,991</w:t>
            </w:r>
          </w:p>
        </w:tc>
      </w:tr>
      <w:tr>
        <w:trPr>
          <w:trHeight w:val="33"/>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1,775,378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1,209,663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415,463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3,400,504</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15,541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23,767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3,873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43,181</w:t>
            </w:r>
          </w:p>
        </w:tc>
      </w:tr>
      <w:tr>
        <w:trPr>
          <w:trHeight w:val="33"/>
        </w:trPr>
        <w:tc>
          <w:tcPr>
            <w:tcW w:w="4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28, 2019</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29, 2018</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240,750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244,258</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6,982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9,279</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16,588</w:t>
            </w: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263,979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270,125</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Wholesale accounts receivable reserves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(11,866)</w:t>
            </w:r>
          </w:p>
        </w:tc>
      </w:tr>
      <w:tr>
        <w:trPr>
          <w:trHeight w:val="244"/>
        </w:trPr>
        <w:tc>
          <w:tcPr>
            <w:tcW w:w="732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251,005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258,259</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Wholesale accounts receivable reserves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w w:val="90"/>
              </w:rPr>
              <w:t>Wholesale accounts</w:t>
            </w:r>
          </w:p>
        </w:tc>
      </w:tr>
      <w:tr>
        <w:trPr>
          <w:trHeight w:val="210"/>
        </w:trPr>
        <w:tc>
          <w:tcPr>
            <w:tcW w:w="96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receivable reserves</w:t>
            </w:r>
          </w:p>
        </w:tc>
      </w:tr>
      <w:tr>
        <w:trPr>
          <w:trHeight w:val="33"/>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8,752</w:t>
            </w:r>
          </w:p>
        </w:tc>
      </w:tr>
      <w:tr>
        <w:trPr>
          <w:trHeight w:val="224"/>
        </w:trPr>
        <w:tc>
          <w:tcPr>
            <w:tcW w:w="9600" w:type="dxa"/>
            <w:vAlign w:val="bottom"/>
          </w:tcPr>
          <w:p>
            <w:pPr>
              <w:ind w:left="100"/>
              <w:spacing w:after="0"/>
              <w:rPr>
                <w:sz w:val="20"/>
                <w:szCs w:val="20"/>
                <w:color w:val="auto"/>
              </w:rPr>
            </w:pPr>
            <w:r>
              <w:rPr>
                <w:rFonts w:ascii="Arial" w:cs="Arial" w:eastAsia="Arial" w:hAnsi="Arial"/>
                <w:sz w:val="16"/>
                <w:szCs w:val="16"/>
                <w:color w:val="auto"/>
              </w:rPr>
              <w:t>Additional provisions</w:t>
            </w:r>
          </w:p>
        </w:tc>
        <w:tc>
          <w:tcPr>
            <w:tcW w:w="16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8,204</w:t>
            </w:r>
          </w:p>
        </w:tc>
      </w:tr>
      <w:tr>
        <w:trPr>
          <w:trHeight w:val="33"/>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Charges to reserve</w:t>
            </w: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(3,220)</w:t>
            </w:r>
          </w:p>
        </w:tc>
      </w:tr>
      <w:tr>
        <w:trPr>
          <w:trHeight w:val="217"/>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13,736</w:t>
            </w:r>
          </w:p>
        </w:tc>
      </w:tr>
      <w:tr>
        <w:trPr>
          <w:trHeight w:val="33"/>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Additional provisions</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30,280</w:t>
            </w:r>
          </w:p>
        </w:tc>
      </w:tr>
      <w:tr>
        <w:trPr>
          <w:trHeight w:val="224"/>
        </w:trPr>
        <w:tc>
          <w:tcPr>
            <w:tcW w:w="9600" w:type="dxa"/>
            <w:vAlign w:val="bottom"/>
          </w:tcPr>
          <w:p>
            <w:pPr>
              <w:ind w:left="120"/>
              <w:spacing w:after="0"/>
              <w:rPr>
                <w:sz w:val="20"/>
                <w:szCs w:val="20"/>
                <w:color w:val="auto"/>
              </w:rPr>
            </w:pPr>
            <w:r>
              <w:rPr>
                <w:rFonts w:ascii="Arial" w:cs="Arial" w:eastAsia="Arial" w:hAnsi="Arial"/>
                <w:sz w:val="16"/>
                <w:szCs w:val="16"/>
                <w:color w:val="auto"/>
              </w:rPr>
              <w:t>Charges to reserve</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(32,150)</w:t>
            </w:r>
          </w:p>
        </w:tc>
      </w:tr>
      <w:tr>
        <w:trPr>
          <w:trHeight w:val="33"/>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11,866</w:t>
            </w:r>
          </w:p>
        </w:tc>
      </w:tr>
      <w:tr>
        <w:trPr>
          <w:trHeight w:val="224"/>
        </w:trPr>
        <w:tc>
          <w:tcPr>
            <w:tcW w:w="9600" w:type="dxa"/>
            <w:vAlign w:val="bottom"/>
          </w:tcPr>
          <w:p>
            <w:pPr>
              <w:ind w:left="100"/>
              <w:spacing w:after="0"/>
              <w:rPr>
                <w:sz w:val="20"/>
                <w:szCs w:val="20"/>
                <w:color w:val="auto"/>
              </w:rPr>
            </w:pPr>
            <w:r>
              <w:rPr>
                <w:rFonts w:ascii="Arial" w:cs="Arial" w:eastAsia="Arial" w:hAnsi="Arial"/>
                <w:sz w:val="16"/>
                <w:szCs w:val="16"/>
                <w:color w:val="auto"/>
              </w:rPr>
              <w:t>Additional provisions</w:t>
            </w:r>
          </w:p>
        </w:tc>
        <w:tc>
          <w:tcPr>
            <w:tcW w:w="16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9,047</w:t>
            </w:r>
          </w:p>
        </w:tc>
      </w:tr>
      <w:tr>
        <w:trPr>
          <w:trHeight w:val="33"/>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Charges to reserve</w:t>
            </w: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r>
      <w:tr>
        <w:trPr>
          <w:trHeight w:val="244"/>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12,974</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28, 2019</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29, 2018</w:t>
            </w: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liabilities-current: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17,563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14,471</w:t>
            </w: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7,764</w:t>
            </w:r>
          </w:p>
        </w:tc>
      </w:tr>
      <w:tr>
        <w:trPr>
          <w:trHeight w:val="270"/>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contract liabilities-current</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22,949</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hanging="492"/>
        <w:spacing w:after="0" w:line="273"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Carter's credit card - upfront bonus - the Company received an upfront signing bonus from a third-party financial institution, which will be recognized as revenue on a straight-line basis over the term of the agreement. This amount reflects the current portion of this bonus to be recognized as revenue in 2020.</w:t>
      </w:r>
    </w:p>
    <w:p>
      <w:pPr>
        <w:spacing w:after="0" w:line="11" w:lineRule="exact"/>
        <w:rPr>
          <w:rFonts w:ascii="Arial" w:cs="Arial" w:eastAsia="Arial" w:hAnsi="Arial"/>
          <w:sz w:val="14"/>
          <w:szCs w:val="14"/>
          <w:color w:val="auto"/>
        </w:rPr>
      </w:pPr>
    </w:p>
    <w:p>
      <w:pPr>
        <w:ind w:left="500" w:hanging="492"/>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Contract Liabilities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Unredeemed gift cards - the Company is obligated to transfer goods in the future to customers who have purchased gift cards. Periodic changes in the gift card contract liability result from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Unredeemed loyalty rewards - points and reward certificates earned by customers under the Company's loyalty program represent obligations of the Company to transfer goods to the customer upon redemption. Periodic changes in the loyalty program contract liability result from reward certificate redemptions and expirations. The earning and redemption cycles for our loyalty program are under one year in duration.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operating leases for retail stores, distribution centers, corporate offices, data centers, and certain equipment. Our leases have remaining lease terms of 1 year to 20 years, some of which may include options to extend the leases for up to 5 years, and some of which may include options to early terminate the lease.</w:t>
      </w:r>
    </w:p>
    <w:p>
      <w:pPr>
        <w:spacing w:after="0" w:line="14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December 28, 2019, the Company's finance leases were not material to the consolidated balance sheets, consolidated statements of operations or statement of cash flows.</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fiscal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For the fiscal year ended</w:t>
            </w:r>
          </w:p>
        </w:tc>
      </w:tr>
      <w:tr>
        <w:trPr>
          <w:trHeight w:val="33"/>
        </w:trPr>
        <w:tc>
          <w:tcPr>
            <w:tcW w:w="9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28, 2019</w:t>
            </w:r>
          </w:p>
        </w:tc>
      </w:tr>
      <w:tr>
        <w:trPr>
          <w:trHeight w:val="33"/>
        </w:trPr>
        <w:tc>
          <w:tcPr>
            <w:tcW w:w="9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179,982</w:t>
            </w:r>
          </w:p>
        </w:tc>
      </w:tr>
      <w:tr>
        <w:trPr>
          <w:trHeight w:val="270"/>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1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63,043</w:t>
            </w: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243,025</w:t>
            </w:r>
          </w:p>
        </w:tc>
      </w:tr>
      <w:tr>
        <w:trPr>
          <w:trHeight w:val="20"/>
        </w:trPr>
        <w:tc>
          <w:tcPr>
            <w:tcW w:w="9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28, 2019, the weighted-average remaining operating lease term was 6.0 years and the weighted-average discount rate for operating leases was 4.35%.</w:t>
      </w:r>
    </w:p>
    <w:p>
      <w:pPr>
        <w:spacing w:after="0" w:line="13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For the fiscal year ended December 28, 2019, cash paid for amounts included in the measurement of operating lease liabilities was approximately $193.5 million, and non-cash transactions to recognize operating assets and liabilities for new leases was approximately $110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9720" w:type="dxa"/>
            <w:vAlign w:val="bottom"/>
          </w:tcPr>
          <w:p>
            <w:pPr>
              <w:ind w:left="5200"/>
              <w:spacing w:after="0"/>
              <w:rPr>
                <w:sz w:val="20"/>
                <w:szCs w:val="20"/>
                <w:color w:val="auto"/>
              </w:rPr>
            </w:pPr>
            <w:r>
              <w:rPr>
                <w:rFonts w:ascii="Arial" w:cs="Arial" w:eastAsia="Arial" w:hAnsi="Arial"/>
                <w:sz w:val="18"/>
                <w:szCs w:val="18"/>
                <w:b w:val="1"/>
                <w:bCs w:val="1"/>
                <w:color w:val="auto"/>
              </w:rPr>
              <w:t>CARTER'S, INC.</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9720" w:type="dxa"/>
            <w:vAlign w:val="bottom"/>
          </w:tcPr>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48"/>
        </w:trPr>
        <w:tc>
          <w:tcPr>
            <w:tcW w:w="9720" w:type="dxa"/>
            <w:vAlign w:val="bottom"/>
          </w:tcPr>
          <w:p>
            <w:pPr>
              <w:spacing w:after="0"/>
              <w:rPr>
                <w:sz w:val="20"/>
                <w:szCs w:val="20"/>
                <w:color w:val="auto"/>
              </w:rPr>
            </w:pPr>
            <w:r>
              <w:rPr>
                <w:rFonts w:ascii="Arial" w:cs="Arial" w:eastAsia="Arial" w:hAnsi="Arial"/>
                <w:sz w:val="18"/>
                <w:szCs w:val="18"/>
                <w:color w:val="auto"/>
              </w:rPr>
              <w:t>As of December 28, 2019, the maturities of lease liabilities were as follows: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0"/>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4"/>
                <w:szCs w:val="24"/>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192,986</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175,521</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151,436</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125,320</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100,923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After 2024</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195,757</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941,943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Less: Interest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(117,343)</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824,600</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120" w:hanging="332"/>
        <w:spacing w:after="0" w:line="27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December 28, 2019, the minimum rental commitments for additional operating lease contracts that have not yet commenced, primarily for retail stores, are $18.1 million. These operating leases will commence between fiscal year 2020 and fiscal year 2023 with lease terms of 2 years to 10 years.</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Minimum annual rental commitments under non-cancellable operating leases, as of December 29, 2018, substantially all of which relate to leased real estate,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Fiscal Year</w:t>
            </w:r>
          </w:p>
        </w:tc>
        <w:tc>
          <w:tcPr>
            <w:tcW w:w="2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Operating Leases</w:t>
            </w:r>
            <w:r>
              <w:rPr>
                <w:rFonts w:ascii="Arial" w:cs="Arial" w:eastAsia="Arial" w:hAnsi="Arial"/>
                <w:sz w:val="21"/>
                <w:szCs w:val="21"/>
                <w:b w:val="1"/>
                <w:bCs w:val="1"/>
                <w:color w:val="auto"/>
                <w:vertAlign w:val="superscript"/>
              </w:rPr>
              <w:t>(*)</w:t>
            </w:r>
          </w:p>
        </w:tc>
      </w:tr>
      <w:tr>
        <w:trPr>
          <w:trHeight w:val="23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163,963</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150,010</w:t>
            </w:r>
          </w:p>
        </w:tc>
      </w:tr>
      <w:tr>
        <w:trPr>
          <w:trHeight w:val="33"/>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134,203</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116,773</w:t>
            </w:r>
          </w:p>
        </w:tc>
      </w:tr>
      <w:tr>
        <w:trPr>
          <w:trHeight w:val="33"/>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102,487</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235,731</w:t>
            </w:r>
          </w:p>
        </w:tc>
      </w:tr>
      <w:tr>
        <w:trPr>
          <w:trHeight w:val="33"/>
        </w:trPr>
        <w:tc>
          <w:tcPr>
            <w:tcW w:w="9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903,167</w:t>
            </w:r>
          </w:p>
        </w:tc>
      </w:tr>
      <w:tr>
        <w:trPr>
          <w:trHeight w:val="20"/>
        </w:trPr>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Amounts are based on ASC 840,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that were superseded upon our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December 30, 2018.</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Rent expense under operating leases (including properties and computer and office equipment) was approximately $165.6 million and $161.9 million for the fiscal years ended December 29, 2018 and December 30, 2017,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ACQUISITIONS</w:t>
      </w:r>
    </w:p>
    <w:p>
      <w:pPr>
        <w:spacing w:after="0" w:line="9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Based on their purchase prices and pre-acquisition operating results and assets, neither of the businesses acquired by the Company in fiscal 2017 met the materiality requirements for preparation and presentation of pro forma financial information, either individually or in the aggregate.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Skip Hop Acquisition</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Carter's, Inc.'s wholly-owned subsidiary, The William Carter Company ("TWCC"), acquired 100% of the voting equity interests of Skip Hop Holdings, Inc. and subsidiaries (collectively "Skip Hop") after the close of business on February 22, 2017. The Skip Hop purchase was deemed to be the acquisition of a business under the provisions of ASC No.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Company's consolidated financial statements reflect the consolidation of the financial position, results of operations and cash flows of Skip Hop beginning February 23, 2017.</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measurement period (as defined in ASC 805) for Skip Hop was complete at the end of fiscal 2017 and all measurement period adjustments were reflected in the Company's consolidated balance sheet as of December 30, 2017. As a result of the measurement period adjustments recorded between the acquisition date and the end of fiscal 2017, the net assets acquired consisted of the following: $46.0 million of goodwill including an assembled workforce; $104.1 million of intangible assets comprised of a tradename and acquired customer relationships; $53.9 million of tangible assets acquired; and $20.8 million of liabilities in addition to $36.3 million of deferred income tax liabilities. The adjusted purchase price was approximately $142.5 million, net of $0.8 million of cash acquired.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Mexican Licensee</w:t>
      </w:r>
    </w:p>
    <w:p>
      <w:pPr>
        <w:spacing w:after="0" w:line="9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August 1, 2017, the Company, through certain of its wholly-owned subsidiaries, acquired the outstanding equity of the Company's licensee in Mexico and a related entity (collectively "Carter's Mexico"). Both entities are incorporated under Mexican law. Prior to the acquisition, Carter's Mexico was primarily a licensee and wholesale customer of the Company. The Carter's Mexico purchase was deemed to be the acquisition of a business under the provisions of ASC</w:t>
      </w:r>
    </w:p>
    <w:p>
      <w:pPr>
        <w:ind w:right="480" w:firstLine="8"/>
        <w:spacing w:after="0" w:line="261"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consolidated financial statements reflect the consolidation of the financial position, results of operations and cash flows of Carter's Mexico beginning August 1, 2017. Carter's Mexico became part of the Company's International reportable segment.</w:t>
      </w:r>
    </w:p>
    <w:p>
      <w:pPr>
        <w:spacing w:after="0" w:line="14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December 30, 2017, preliminary values assigned to assets acquired included inventories of approximately $8.3 million, a customer relationships intangible asset of approximately $3.5 million, and goodwill of approximately $6.2 million. Measurement period adjustments made in the first quarter of fiscal 2018 were not material.</w:t>
      </w:r>
    </w:p>
    <w:p>
      <w:pPr>
        <w:spacing w:after="0" w:line="14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measurement period (as defined in ASC 805) for the acquisition of Carter's Mexico was completed during the second quarter of fiscal 2018 and all measurement period adjustments were reflected in the Company's consolidated balance sheet as of December 29, 2018. As a result of the measurement period adjustments recorded between the acquisition date and the end of the second quarter of fiscal 2018, the values assigned to assets acquired included inventories of approximately $8.0 million, a customer relationships intangible asset of approximately $3.5 million, and goodwill of approximately $6.3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building, and leasehold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363,428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348,131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Fixtures, equipment, and computer hardware</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297,930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277,321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148,365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Marketing fixtures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11,160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7,001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18,517</w:t>
            </w:r>
          </w:p>
        </w:tc>
      </w:tr>
      <w:tr>
        <w:trPr>
          <w:trHeight w:val="217"/>
        </w:trPr>
        <w:tc>
          <w:tcPr>
            <w:tcW w:w="76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844,016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799,335</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(523,848)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(448,898)</w:t>
            </w:r>
          </w:p>
        </w:tc>
      </w:tr>
      <w:tr>
        <w:trPr>
          <w:trHeight w:val="244"/>
        </w:trPr>
        <w:tc>
          <w:tcPr>
            <w:tcW w:w="766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320,168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350,437</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was approximately $92.2 million, $85.9 million, and $81.8 million for fiscal years 2019, 2018, and 2017,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goodwill and other intangible assets at the end of the fiscal year: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December 28, 2019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December 29, 2018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average useful</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14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Net amount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Carter's goodwill</w:t>
            </w:r>
            <w:r>
              <w:rPr>
                <w:rFonts w:ascii="Arial" w:cs="Arial" w:eastAsia="Arial" w:hAnsi="Arial"/>
                <w:sz w:val="21"/>
                <w:szCs w:val="21"/>
                <w:color w:val="auto"/>
                <w:vertAlign w:val="superscript"/>
              </w:rPr>
              <w:t>(1)</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136,570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70"/>
        </w:trPr>
        <w:tc>
          <w:tcPr>
            <w:tcW w:w="2520" w:type="dxa"/>
            <w:vAlign w:val="bottom"/>
          </w:tcPr>
          <w:p>
            <w:pPr>
              <w:ind w:left="60"/>
              <w:spacing w:after="0"/>
              <w:rPr>
                <w:sz w:val="20"/>
                <w:szCs w:val="20"/>
                <w:color w:val="auto"/>
              </w:rPr>
            </w:pPr>
            <w:r>
              <w:rPr>
                <w:rFonts w:ascii="Arial" w:cs="Arial" w:eastAsia="Arial" w:hAnsi="Arial"/>
                <w:sz w:val="16"/>
                <w:szCs w:val="16"/>
                <w:color w:val="auto"/>
              </w:rPr>
              <w:t>Canada goodwill</w:t>
            </w:r>
            <w:r>
              <w:rPr>
                <w:rFonts w:ascii="Arial" w:cs="Arial" w:eastAsia="Arial" w:hAnsi="Arial"/>
                <w:sz w:val="21"/>
                <w:szCs w:val="21"/>
                <w:color w:val="auto"/>
                <w:vertAlign w:val="superscript"/>
              </w:rPr>
              <w:t>(2)</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40,524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40,524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38,869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38,869</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60"/>
              <w:spacing w:after="0"/>
              <w:rPr>
                <w:sz w:val="20"/>
                <w:szCs w:val="20"/>
                <w:color w:val="auto"/>
              </w:rPr>
            </w:pPr>
            <w:r>
              <w:rPr>
                <w:rFonts w:ascii="Arial" w:cs="Arial" w:eastAsia="Arial" w:hAnsi="Arial"/>
                <w:sz w:val="16"/>
                <w:szCs w:val="16"/>
                <w:color w:val="auto"/>
              </w:rPr>
              <w:t>Skip Hop goodwill</w:t>
            </w:r>
            <w:r>
              <w:rPr>
                <w:rFonts w:ascii="Arial" w:cs="Arial" w:eastAsia="Arial" w:hAnsi="Arial"/>
                <w:sz w:val="21"/>
                <w:szCs w:val="21"/>
                <w:color w:val="auto"/>
                <w:vertAlign w:val="superscript"/>
              </w:rPr>
              <w:t>(3)</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45,978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45,978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45,960</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Carter's Mexico goodwill</w:t>
            </w:r>
            <w:r>
              <w:rPr>
                <w:rFonts w:ascii="Arial" w:cs="Arial" w:eastAsia="Arial" w:hAnsi="Arial"/>
                <w:sz w:val="21"/>
                <w:szCs w:val="21"/>
                <w:color w:val="auto"/>
                <w:vertAlign w:val="superscript"/>
              </w:rPr>
              <w:t>(4)</w:t>
            </w:r>
          </w:p>
        </w:tc>
        <w:tc>
          <w:tcPr>
            <w:tcW w:w="13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5,954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5,954</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5,702</w:t>
            </w:r>
          </w:p>
        </w:tc>
        <w:tc>
          <w:tcPr>
            <w:tcW w:w="0" w:type="dxa"/>
            <w:vAlign w:val="bottom"/>
          </w:tcPr>
          <w:p>
            <w:pPr>
              <w:spacing w:after="0"/>
              <w:rPr>
                <w:sz w:val="1"/>
                <w:szCs w:val="1"/>
                <w:color w:val="auto"/>
              </w:rPr>
            </w:pPr>
          </w:p>
        </w:tc>
      </w:tr>
      <w:tr>
        <w:trPr>
          <w:trHeight w:val="24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229,026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229,026</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52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21"/>
                <w:szCs w:val="21"/>
                <w:color w:val="auto"/>
                <w:vertAlign w:val="superscript"/>
              </w:rPr>
              <w:t>(5)</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0" w:type="dxa"/>
            <w:vAlign w:val="bottom"/>
          </w:tcPr>
          <w:p>
            <w:pPr>
              <w:spacing w:after="0"/>
              <w:rPr>
                <w:sz w:val="1"/>
                <w:szCs w:val="1"/>
                <w:color w:val="auto"/>
              </w:rPr>
            </w:pPr>
          </w:p>
        </w:tc>
      </w:tr>
      <w:tr>
        <w:trPr>
          <w:trHeight w:val="237"/>
        </w:trPr>
        <w:tc>
          <w:tcPr>
            <w:tcW w:w="2520" w:type="dxa"/>
            <w:vAlign w:val="bottom"/>
          </w:tcPr>
          <w:p>
            <w:pPr>
              <w:ind w:left="80"/>
              <w:spacing w:after="0"/>
              <w:rPr>
                <w:sz w:val="20"/>
                <w:szCs w:val="20"/>
                <w:color w:val="auto"/>
              </w:rPr>
            </w:pPr>
            <w:r>
              <w:rPr>
                <w:rFonts w:ascii="Arial" w:cs="Arial" w:eastAsia="Arial" w:hAnsi="Arial"/>
                <w:sz w:val="16"/>
                <w:szCs w:val="16"/>
                <w:color w:val="auto"/>
              </w:rPr>
              <w:t>Finite-life tradenames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5 - 20 years</w:t>
            </w:r>
          </w:p>
        </w:tc>
        <w:tc>
          <w:tcPr>
            <w:tcW w:w="26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2,909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3,159</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335,644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334,642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365,692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41,820</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Carter's Mexico customer</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6"/>
                <w:szCs w:val="16"/>
                <w:color w:val="auto"/>
              </w:rPr>
              <w:t>relationships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44,511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$45.9 million is assigned to the U.S. Wholesale segment, $82.0 million is assigned to the U.S. Retail segment, and $8.6 million is assigned to the International segment.</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Goodwill for Canada is assigned to the International segment.</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$28.6 million is assigned to the U.S. Wholesale segment, $15.5 million is assigned to the International segment, and $1.9 million is assigned to the U.S. Retail segment.</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Goodwill for Carter's Mexico is assigned to the International segment.</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Fiscal 2019 includes a tradename impairment charge of $30.8 million.</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Skip Hop business has experienced lower than expected actual and projected sales and profitability due to lower domestic demand, including the loss of a significant customer (Toys "R" Us), lower international demand and higher product costs primarily driven by tariffs imposed on products sourced from China. As a result, the Company conducted an interim impairment assessment in the third quarter of fiscal 2019 on the value of the Company's indefinite-lived Skip Hop tradename asset that was recorded in connection with the acquisition of Skip Hop Holdings, Inc. in February 2017. The indefinite-lived tradename asset assessment was performed in accordance with ASC 350, "Intangibles--Goodwill and Other" and was determined using a discounted cash flow analysis which examined the hypothetical cost savings that accrue as a result of our ownership of the tradename. Based on this assessment, a charge of $19.1 million, $10.5 million, and $1.2 million was recorded on our indefinite-lived Skip Hop tradename asset in the U.S. Wholesale, International, and U.S. Retail segments, respectively, to reflect the impairment of the value ascribed to the indefinite-lived Skip Hop tradename asset. The carrying value of the Company's indefinite-lived Skip Hop tradename asset after the impairment charge was $26.0 million.</w:t>
      </w:r>
    </w:p>
    <w:p>
      <w:pPr>
        <w:spacing w:after="0" w:line="126"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Changes in the carrying values between comparative periods for goodwill related to the Company's 2011 acquisition of its Canadian business were due to fluctuations in the foreign currency exchange rates between the Canadian and U.S. dollar that were used in the remeasurement process for preparing the Company's consolidated financial statements. The changes in the carrying values of goodwill for Skip Hop and Carter's Mexico and the changes in the carrying value of customer relationships for Carter's Mexico, including the related accumulated amortization, that were not attributable to amortization expense was also impacted by foreign currency exchange rate fluctuations.</w:t>
      </w:r>
    </w:p>
    <w:p>
      <w:pPr>
        <w:spacing w:after="0" w:line="1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Amortization expense for intangible assets subject to amortization was approximately $3.7 million, $3.7 million, and $2.6 million for fiscal years 2019, 2018, and 2017,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CARTER'S,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6160" w:type="dxa"/>
            <w:vAlign w:val="bottom"/>
            <w:gridSpan w:val="8"/>
          </w:tcPr>
          <w:p>
            <w:pPr>
              <w:jc w:val="right"/>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48"/>
        </w:trPr>
        <w:tc>
          <w:tcPr>
            <w:tcW w:w="6780" w:type="dxa"/>
            <w:vAlign w:val="bottom"/>
            <w:gridSpan w:val="5"/>
          </w:tcPr>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0"/>
        </w:trPr>
        <w:tc>
          <w:tcPr>
            <w:tcW w:w="24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Amortization expense</w:t>
            </w:r>
          </w:p>
        </w:tc>
      </w:tr>
      <w:tr>
        <w:trPr>
          <w:trHeight w:val="33"/>
        </w:trPr>
        <w:tc>
          <w:tcPr>
            <w:tcW w:w="24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w:t>
            </w:r>
          </w:p>
        </w:tc>
      </w:tr>
      <w:tr>
        <w:trPr>
          <w:trHeight w:val="224"/>
        </w:trPr>
        <w:tc>
          <w:tcPr>
            <w:tcW w:w="2480" w:type="dxa"/>
            <w:vAlign w:val="bottom"/>
          </w:tcPr>
          <w:p>
            <w:pPr>
              <w:ind w:left="40"/>
              <w:spacing w:after="0"/>
              <w:rPr>
                <w:sz w:val="20"/>
                <w:szCs w:val="20"/>
                <w:color w:val="auto"/>
              </w:rPr>
            </w:pPr>
            <w:r>
              <w:rPr>
                <w:rFonts w:ascii="Arial" w:cs="Arial" w:eastAsia="Arial" w:hAnsi="Arial"/>
                <w:sz w:val="16"/>
                <w:szCs w:val="16"/>
                <w:color w:val="auto"/>
              </w:rPr>
              <w:t>2021</w:t>
            </w:r>
          </w:p>
        </w:tc>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3,754</w:t>
            </w:r>
          </w:p>
        </w:tc>
      </w:tr>
      <w:tr>
        <w:trPr>
          <w:trHeight w:val="33"/>
        </w:trPr>
        <w:tc>
          <w:tcPr>
            <w:tcW w:w="2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w:t>
            </w:r>
          </w:p>
        </w:tc>
      </w:tr>
      <w:tr>
        <w:trPr>
          <w:trHeight w:val="224"/>
        </w:trPr>
        <w:tc>
          <w:tcPr>
            <w:tcW w:w="2480" w:type="dxa"/>
            <w:vAlign w:val="bottom"/>
          </w:tcPr>
          <w:p>
            <w:pPr>
              <w:ind w:left="40"/>
              <w:spacing w:after="0"/>
              <w:rPr>
                <w:sz w:val="20"/>
                <w:szCs w:val="20"/>
                <w:color w:val="auto"/>
              </w:rPr>
            </w:pPr>
            <w:r>
              <w:rPr>
                <w:rFonts w:ascii="Arial" w:cs="Arial" w:eastAsia="Arial" w:hAnsi="Arial"/>
                <w:sz w:val="16"/>
                <w:szCs w:val="16"/>
                <w:color w:val="auto"/>
              </w:rPr>
              <w:t>2023</w:t>
            </w:r>
          </w:p>
        </w:tc>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3,712</w:t>
            </w:r>
          </w:p>
        </w:tc>
      </w:tr>
      <w:tr>
        <w:trPr>
          <w:trHeight w:val="33"/>
        </w:trPr>
        <w:tc>
          <w:tcPr>
            <w:tcW w:w="2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3,682</w:t>
            </w:r>
          </w:p>
        </w:tc>
      </w:tr>
      <w:tr>
        <w:trPr>
          <w:trHeight w:val="608"/>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NOTE 8 – ACCUMULATED OTHER COMPREHENSIVE (LOSS) INCOME</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8"/>
        </w:trPr>
        <w:tc>
          <w:tcPr>
            <w:tcW w:w="6780" w:type="dxa"/>
            <w:vAlign w:val="bottom"/>
            <w:gridSpan w:val="5"/>
          </w:tcPr>
          <w:p>
            <w:pPr>
              <w:spacing w:after="0"/>
              <w:rPr>
                <w:sz w:val="20"/>
                <w:szCs w:val="20"/>
                <w:color w:val="auto"/>
              </w:rPr>
            </w:pPr>
            <w:r>
              <w:rPr>
                <w:rFonts w:ascii="Arial" w:cs="Arial" w:eastAsia="Arial" w:hAnsi="Arial"/>
                <w:sz w:val="18"/>
                <w:szCs w:val="18"/>
                <w:color w:val="auto"/>
              </w:rPr>
              <w:t>Accumulated other comprehensive (loss) income is summarized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5"/>
        </w:trPr>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Cumulative</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 other</w:t>
            </w:r>
          </w:p>
        </w:tc>
      </w:tr>
      <w:tr>
        <w:trPr>
          <w:trHeight w:val="203"/>
        </w:trPr>
        <w:tc>
          <w:tcPr>
            <w:tcW w:w="2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Pension liability</w:t>
            </w: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Post-retirement</w:t>
            </w:r>
          </w:p>
        </w:tc>
        <w:tc>
          <w:tcPr>
            <w:tcW w:w="240" w:type="dxa"/>
            <w:vAlign w:val="bottom"/>
          </w:tcPr>
          <w:p>
            <w:pPr>
              <w:spacing w:after="0"/>
              <w:rPr>
                <w:sz w:val="17"/>
                <w:szCs w:val="17"/>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comprehensive</w:t>
            </w:r>
          </w:p>
        </w:tc>
      </w:tr>
      <w:tr>
        <w:trPr>
          <w:trHeight w:val="210"/>
        </w:trPr>
        <w:tc>
          <w:tcPr>
            <w:tcW w:w="24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liability adjustments</w:t>
            </w:r>
          </w:p>
        </w:tc>
        <w:tc>
          <w:tcPr>
            <w:tcW w:w="24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adjustments</w:t>
            </w: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(loss) income</w:t>
            </w:r>
          </w:p>
        </w:tc>
      </w:tr>
      <w:tr>
        <w:trPr>
          <w:trHeight w:val="33"/>
        </w:trPr>
        <w:tc>
          <w:tcPr>
            <w:tcW w:w="24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2820" w:type="dxa"/>
            <w:vAlign w:val="bottom"/>
            <w:tcBorders>
              <w:bottom w:val="single" w:sz="8" w:color="CCEEFF"/>
            </w:tcBorders>
            <w:gridSpan w:val="2"/>
            <w:shd w:val="clear" w:color="auto" w:fill="CCEEFF"/>
          </w:tcPr>
          <w:p>
            <w:pPr>
              <w:ind w:left="27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(27,624)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(34,740)</w:t>
            </w:r>
          </w:p>
        </w:tc>
      </w:tr>
      <w:tr>
        <w:trPr>
          <w:trHeight w:val="237"/>
        </w:trPr>
        <w:tc>
          <w:tcPr>
            <w:tcW w:w="2480" w:type="dxa"/>
            <w:vAlign w:val="bottom"/>
          </w:tcPr>
          <w:p>
            <w:pPr>
              <w:ind w:left="40"/>
              <w:spacing w:after="0"/>
              <w:rPr>
                <w:sz w:val="20"/>
                <w:szCs w:val="20"/>
                <w:color w:val="auto"/>
              </w:rPr>
            </w:pPr>
            <w:r>
              <w:rPr>
                <w:rFonts w:ascii="Arial" w:cs="Arial" w:eastAsia="Arial" w:hAnsi="Arial"/>
                <w:sz w:val="16"/>
                <w:szCs w:val="16"/>
                <w:color w:val="auto"/>
              </w:rPr>
              <w:t>Fiscal year 2017 change</w:t>
            </w: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6,339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5,647</w:t>
            </w:r>
          </w:p>
        </w:tc>
      </w:tr>
      <w:tr>
        <w:trPr>
          <w:trHeight w:val="33"/>
        </w:trPr>
        <w:tc>
          <w:tcPr>
            <w:tcW w:w="24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2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(21,285)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r>
      <w:tr>
        <w:trPr>
          <w:trHeight w:val="237"/>
        </w:trPr>
        <w:tc>
          <w:tcPr>
            <w:tcW w:w="2480" w:type="dxa"/>
            <w:vAlign w:val="bottom"/>
          </w:tcPr>
          <w:p>
            <w:pPr>
              <w:ind w:left="40"/>
              <w:spacing w:after="0"/>
              <w:rPr>
                <w:sz w:val="20"/>
                <w:szCs w:val="20"/>
                <w:color w:val="auto"/>
              </w:rPr>
            </w:pPr>
            <w:r>
              <w:rPr>
                <w:rFonts w:ascii="Arial" w:cs="Arial" w:eastAsia="Arial" w:hAnsi="Arial"/>
                <w:sz w:val="16"/>
                <w:szCs w:val="16"/>
                <w:color w:val="auto"/>
              </w:rPr>
              <w:t>Fiscal year 2018 change</w:t>
            </w: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(11,746)</w:t>
            </w:r>
          </w:p>
        </w:tc>
      </w:tr>
      <w:tr>
        <w:trPr>
          <w:trHeight w:val="33"/>
        </w:trPr>
        <w:tc>
          <w:tcPr>
            <w:tcW w:w="24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2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(32,964)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r>
      <w:tr>
        <w:trPr>
          <w:trHeight w:val="270"/>
        </w:trPr>
        <w:tc>
          <w:tcPr>
            <w:tcW w:w="2480" w:type="dxa"/>
            <w:vAlign w:val="bottom"/>
          </w:tcPr>
          <w:p>
            <w:pPr>
              <w:ind w:left="40"/>
              <w:spacing w:after="0"/>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2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7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2019 change</w:t>
            </w:r>
          </w:p>
        </w:tc>
        <w:tc>
          <w:tcPr>
            <w:tcW w:w="2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6,442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6,705</w:t>
            </w:r>
          </w:p>
        </w:tc>
      </w:tr>
      <w:tr>
        <w:trPr>
          <w:trHeight w:val="244"/>
        </w:trPr>
        <w:tc>
          <w:tcPr>
            <w:tcW w:w="248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268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(26,522)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(35,634)</w:t>
            </w:r>
          </w:p>
        </w:tc>
      </w:tr>
      <w:tr>
        <w:trPr>
          <w:trHeight w:val="20"/>
        </w:trPr>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500" w:right="300" w:hanging="492"/>
        <w:spacing w:after="0" w:line="312"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In fiscal 2019, 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Arial" w:cs="Arial" w:eastAsia="Arial" w:hAnsi="Arial"/>
          <w:sz w:val="13"/>
          <w:szCs w:val="13"/>
          <w:i w:val="1"/>
          <w:iCs w:val="1"/>
          <w:color w:val="auto"/>
        </w:rPr>
        <w:t>Reclassification of Certain Tax Effects from Accumulated Other Comprehensive Income</w:t>
      </w:r>
      <w:r>
        <w:rPr>
          <w:rFonts w:ascii="Arial" w:cs="Arial" w:eastAsia="Arial" w:hAnsi="Arial"/>
          <w:sz w:val="13"/>
          <w:szCs w:val="13"/>
          <w:color w:val="auto"/>
        </w:rPr>
        <w:t>.</w:t>
      </w:r>
    </w:p>
    <w:p>
      <w:pPr>
        <w:spacing w:after="0" w:line="11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December 28, 2019 and December 29, 2018, the cumulative tax effect on the pension liability adjustments were $3.3 million and $5.4 million, respectively. As of December 28, 2019 and December 29, 2018, the cumulative tax effect on the post-retirement liability adjustments were approximately $0.5 million and $1.0 million, respectively.</w:t>
      </w:r>
    </w:p>
    <w:p>
      <w:pPr>
        <w:spacing w:after="0" w:line="1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 the fiscal years ended December 28, 2019 and December 29, 2018,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For additional information, see Note 12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the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28, 2019</w:t>
            </w:r>
          </w:p>
        </w:tc>
        <w:tc>
          <w:tcPr>
            <w:tcW w:w="1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29, 2018</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unamortized issuance-related costs for senior notes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(2,736)</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397,264</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Secured revolving credit facility</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196,000</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593,264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March 14, 2019, the Company's wholly-owned subsidiary,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Concurrently, TWCC issued $500 million principal amount of senior notes at par, bearing interest at a rate of 5.625% per annum, and maturing on March 15, 2027. TWCC received net proceeds from the offering of the senior notes of approximately $494.8 million, after deducting underwriting fees and other expenses, which TWCC used to redeem the senior notes discussed above and repay borrowings outstanding under the Company's secured revolving credit facility. Approximately $5.8 million, including both bank fees and other third party expenses, was capitalized in connection with the issuance and is being amortized over the term of the senior notes.</w:t>
      </w:r>
    </w:p>
    <w:p>
      <w:pPr>
        <w:spacing w:after="0" w:line="32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senior notes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and after March 15, 2022,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March 15 of each of the years indicated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5700" w:type="dxa"/>
            <w:vAlign w:val="bottom"/>
          </w:tcPr>
          <w:p>
            <w:pPr>
              <w:jc w:val="right"/>
              <w:ind w:right="419"/>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57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102.81%</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2023</w:t>
            </w:r>
          </w:p>
        </w:tc>
        <w:tc>
          <w:tcPr>
            <w:tcW w:w="5700" w:type="dxa"/>
            <w:vAlign w:val="bottom"/>
          </w:tcPr>
          <w:p>
            <w:pPr>
              <w:jc w:val="right"/>
              <w:spacing w:after="0"/>
              <w:rPr>
                <w:sz w:val="20"/>
                <w:szCs w:val="20"/>
                <w:color w:val="auto"/>
              </w:rPr>
            </w:pPr>
            <w:r>
              <w:rPr>
                <w:rFonts w:ascii="Arial" w:cs="Arial" w:eastAsia="Arial" w:hAnsi="Arial"/>
                <w:sz w:val="16"/>
                <w:szCs w:val="16"/>
                <w:color w:val="auto"/>
              </w:rPr>
              <w:t>101.41%</w:t>
            </w:r>
          </w:p>
        </w:tc>
      </w:tr>
      <w:tr>
        <w:trPr>
          <w:trHeight w:val="33"/>
        </w:trPr>
        <w:tc>
          <w:tcPr>
            <w:tcW w:w="572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5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33"/>
        </w:trPr>
        <w:tc>
          <w:tcPr>
            <w:tcW w:w="572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indenture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6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August 25, 2017, TWCC and the syndicate of lenders entered into a fourth amended and restated secured revolving credit agreement. This amendment to the secured revolving credit facility provided: (a) an extension of the term of the facility to August 25, 2022 and (b) an increase in the aggregate credit line to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 In addition, the secured revolving credit facility provides for incremental borrowing facilities up to $425 million, which are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September 21, 2018, TWCC and a syndicate of lenders entered into Amendment No. 1 to its fourth amended and restated credit agreement that, among other things, extended the term of the facility from August 25, 2022 to September 21, 2023.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secured revolving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4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December 28, 2019 and December 29, 2018, the Company had $100.0 million and $196.0 million in outstanding borrowings under its secured revolving credit facility, respectively, exclusive of $5.0 million and $5.0 million of outstanding letters of credit, respectively. As of December 28, 2019 and December 29, 2018, there was approximately $645.0 million and $549.0 million available for future borrowing, respectively.</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28, 2019, the interest rate margins applicable to the amended revolving credit facility were 1.625% for LIBOR (London Interbank Offered Rate) rate loans (which may be adjusted based on a leverage-based pricing grid ranging from 1.125% to 1.875%) and 0.625% for base rate loans (which may be adjusted based on a leverage-based pricing grid ranging from 0.125% to 0.875%).</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28, 2019 and December 29, 2018, U.S. dollar borrowings outstanding under the secured revolving credit facility accrued interest at a LIBOR rate plus the applicable base rate, which resulted in a weighted-average borrowing rate of 3.42% and 4.11%, respectively. There were no Canadian borrowings outstanding on December 28, 2019 or December 29,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customary exceptions, the amended revolving credit facility contains covenants that restrict the Company's ability to, among other things:</w:t>
      </w:r>
    </w:p>
    <w:p>
      <w:pPr>
        <w:spacing w:after="0" w:line="46"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create or incur liens, debt, guarantees or other investments, (ii) engage in mergers and consolidations, (iii) pay dividends or other distributions to, and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redemptions and repurchases from, equity holders, (iv) prepay, redeem or repurchase subordinated or junior debt, (v) amend organizational documents,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amended revolving credit facility also contains financial covenants. Specifically, TWCC and its subsidiaries will not (i) permit at the end of any four consecutive fiscal quarters the Lease Adjusted Leverage Ratio (defined as, with certain adjustments, the ratio of the Company's consolidated indebtedness plus six times rent expense, as defined, to consolidated net income before interest, taxes, depreciation, amortization, and rent expense ("EBITDAR")) to exceed 4.00:1.00 (provided, however, that if any "Material Acquisition" occurs and the Lease Adjusted Leverage Ratio on a pro forma basis giving effect to the consummation of the Material Acquisition is less than 4.00:1.00, then the maximum Lease Adjusted Leverage Ratio may be increased to 4.50:1.00 for the fiscal quarter in which such Material Acquisition is consummated and the three fiscal quarters immediately following the fiscal quarter in which such Material Acquisition occurs) or (ii) permit at the end of any four consecutive fiscal quarters the Consolidated Fixed Charge Coverage Ratio (defined as, with certain adjustments, the ratio of consolidated EBITDAR to consolidated fixed charges (defined as interest plus rent expense)), for any such period to be less than 2.25:1.00 (provided, however, that if any Material Acquisition occurs and the Consolidated Fixed Charge Coverage Ratio on a pro forma basis giving effect to the consummation of the Material Acquisition is at least 2.25:1.00, then the minimum Consolidated Fixed Charge Coverage Ratio may be decreased to 2.00:1.00 for the fiscal quarter in which such Material Acquisition is consummated and the three fiscal quarters immediately following the fiscal quarter in which such Material Acquisition occurs).</w:t>
      </w:r>
    </w:p>
    <w:p>
      <w:pPr>
        <w:spacing w:after="0" w:line="13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amended revolving credit facility also provides that certain covenants fall away and that the liens over the collateral securing each of the Company and certain subsidiaries' collective obligations are released following, among other things, the achievement of, and during the maintenance of, investment grade ratings by Moody's Investor Services, Inc. and Standard &amp; Poor's Ratings Services.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2019, the Company was in compliance with its financial debt covenants under the secured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fiscal years prior to 2017, the Company's Board of Directors authorized the repurchase of shares of the Company's common stock in amounts up to $962.5 million. On both February 13, 2020 and February 22, 2018, the Company's Board of Directors authorized an additional $500 million of share repurchases, resulting in the authorization of an aggregate of $1.96 billion in share repurchases over time.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1" w:right="279" w:bottom="1440" w:gutter="0" w:footer="0" w:header="0"/>
        </w:sectPr>
      </w:pPr>
    </w:p>
    <w:bookmarkStart w:id="67" w:name="page68"/>
    <w:bookmarkEnd w:id="67"/>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Open-market repurchases of our common stock during fiscal years 2019, 2018 and 2017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40" w:type="dxa"/>
            <w:vAlign w:val="bottom"/>
            <w:gridSpan w:val="4"/>
          </w:tcPr>
          <w:p>
            <w:pPr>
              <w:ind w:left="10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47"/>
        </w:trPr>
        <w:tc>
          <w:tcPr>
            <w:tcW w:w="56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28,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30, 2017</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2,107,472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1,879,529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2,103,401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196,910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193,028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188,762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93.43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89.74</w:t>
            </w:r>
          </w:p>
        </w:tc>
      </w:tr>
      <w:tr>
        <w:trPr>
          <w:trHeight w:val="33"/>
        </w:trPr>
        <w:tc>
          <w:tcPr>
            <w:tcW w:w="5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open-market repurchases completed in fiscal years 2019, 2018 and 2017, the Company completed additional open-market repurchases totaling approximately $688.0 million in fiscal year priors to 2017. The total remaining capacity under the repurchase authorizations as of December 28, 2019 was $195.7 million.</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Future share repurchases may occur from time to time in the open market, in negotiated transactions, or otherwise. The timing and amount of any repurchases will be determined by the Company based on its evaluation of market conditions, share price, other investment priorities, and other factors. The share repurchase authorizations have no expiration dates.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fiscal 2019, the Company's Board of Directors declared and paid quarterly cash dividends of $0.50 per share during all four quarters. In fiscal 2018, the Company's Board of Directors paid quarterly cash dividends of $0.45 per share during all four quarters.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February 13, 2020, the Company's Board of Directors authorized a quarterly cash dividend payment of $0.60 per common share, payable on March 20, 2020 to shareholders of record at the close of business on March 6, 2020.</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Future declarations of dividends and the establishment of future record and payment dates are at the discretion of the Company's Board of Directors based on a number of factors, including the Company's future financial performance and other investment priorities.</w:t>
      </w:r>
    </w:p>
    <w:p>
      <w:pPr>
        <w:spacing w:after="0" w:line="1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Provisions in the Company's secured revolving credit facility and indenture governing its senior notes could have the effect of restricting the Company's ability to pay future cash dividends on or make future repurchases of its common stock, as further described in Note 9</w:t>
      </w:r>
      <w:r>
        <w:rPr>
          <w:rFonts w:ascii="Arial" w:cs="Arial" w:eastAsia="Arial" w:hAnsi="Arial"/>
          <w:sz w:val="18"/>
          <w:szCs w:val="18"/>
          <w:i w:val="1"/>
          <w:iCs w:val="1"/>
          <w:color w:val="auto"/>
        </w:rPr>
        <w:t>, Long-Term Debt,</w:t>
      </w:r>
      <w:r>
        <w:rPr>
          <w:rFonts w:ascii="Arial" w:cs="Arial" w:eastAsia="Arial" w:hAnsi="Arial"/>
          <w:sz w:val="18"/>
          <w:szCs w:val="18"/>
          <w:color w:val="auto"/>
        </w:rPr>
        <w:t xml:space="preserve">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4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the Company's May 17, 2018 shareholders' meeting, the shareholders approved an amendment to the Plan to increase the maximum number of shares of stock available under the Plan by 3,000,000 shares from a cumulative total of 15,778,392 shares to 18,778,392 shares. As of December 28, 2019, there were 3,430,375 remaining shares available for grant under the Plan. The Plan makes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4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cost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spacing w:after="0"/>
              <w:rPr>
                <w:sz w:val="20"/>
                <w:szCs w:val="20"/>
                <w:color w:val="auto"/>
              </w:rPr>
            </w:pPr>
            <w:r>
              <w:rPr>
                <w:rFonts w:ascii="Arial" w:cs="Arial" w:eastAsia="Arial" w:hAnsi="Arial"/>
                <w:sz w:val="16"/>
                <w:szCs w:val="16"/>
                <w:b w:val="1"/>
                <w:bCs w:val="1"/>
                <w:color w:val="auto"/>
                <w:w w:val="96"/>
              </w:rPr>
              <w:t>For the fiscal years ended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30, 2017</w:t>
            </w:r>
          </w:p>
        </w:tc>
      </w:tr>
      <w:tr>
        <w:trPr>
          <w:trHeight w:val="33"/>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4,244</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Restricted stock:</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Time-based awards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7,532</w:t>
            </w:r>
          </w:p>
        </w:tc>
      </w:tr>
      <w:tr>
        <w:trPr>
          <w:trHeight w:val="237"/>
        </w:trPr>
        <w:tc>
          <w:tcPr>
            <w:tcW w:w="5720" w:type="dxa"/>
            <w:vAlign w:val="bottom"/>
          </w:tcPr>
          <w:p>
            <w:pPr>
              <w:ind w:left="160"/>
              <w:spacing w:after="0"/>
              <w:rPr>
                <w:sz w:val="20"/>
                <w:szCs w:val="20"/>
                <w:color w:val="auto"/>
              </w:rPr>
            </w:pPr>
            <w:r>
              <w:rPr>
                <w:rFonts w:ascii="Arial" w:cs="Arial" w:eastAsia="Arial" w:hAnsi="Arial"/>
                <w:sz w:val="16"/>
                <w:szCs w:val="16"/>
                <w:color w:val="auto"/>
              </w:rPr>
              <w:t>Performance-based awards</w:t>
            </w:r>
          </w:p>
        </w:tc>
        <w:tc>
          <w:tcPr>
            <w:tcW w:w="200" w:type="dxa"/>
            <w:vAlign w:val="bottom"/>
          </w:tcPr>
          <w:p>
            <w:pPr>
              <w:spacing w:after="0"/>
              <w:rPr>
                <w:sz w:val="20"/>
                <w:szCs w:val="20"/>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4,602</w:t>
            </w:r>
          </w:p>
        </w:tc>
      </w:tr>
      <w:tr>
        <w:trPr>
          <w:trHeight w:val="33"/>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awards</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r>
      <w:tr>
        <w:trPr>
          <w:trHeight w:val="244"/>
        </w:trPr>
        <w:tc>
          <w:tcPr>
            <w:tcW w:w="572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16,529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14,673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17,549</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recognizes compensation cost ratably over the applicable performance periods based on the estimated probability of achievement of its performance targets at the end of each period. During fiscal 2019, the Company revised the estimated achievement of performance targets related to certain performance-based grants resulting in a $1.4 million reduction to stock compensation expense.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Stock options vest in equal annual installments over a four-year period. The Company issues new shares to satisfy stock option exercises.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stock options for the fiscal year ended December 28, 2019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Aggregate intrinsic</w:t>
            </w:r>
          </w:p>
        </w:tc>
      </w:t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contractual terms</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value</w:t>
            </w:r>
          </w:p>
        </w:tc>
      </w:tr>
      <w:tr>
        <w:trPr>
          <w:trHeight w:val="210"/>
        </w:trPr>
        <w:tc>
          <w:tcPr>
            <w:tcW w:w="4700" w:type="dxa"/>
            <w:vAlign w:val="bottom"/>
          </w:tcPr>
          <w:p>
            <w:pPr>
              <w:spacing w:after="0"/>
              <w:rPr>
                <w:sz w:val="18"/>
                <w:szCs w:val="18"/>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December 29, 2018</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1,447,141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spacing w:after="0"/>
              <w:rPr>
                <w:sz w:val="20"/>
                <w:szCs w:val="20"/>
                <w:color w:val="auto"/>
              </w:rPr>
            </w:pPr>
            <w:r>
              <w:rPr>
                <w:rFonts w:ascii="Arial" w:cs="Arial" w:eastAsia="Arial" w:hAnsi="Arial"/>
                <w:sz w:val="16"/>
                <w:szCs w:val="16"/>
                <w:color w:val="auto"/>
              </w:rPr>
              <w:t>(274,960)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(38,340)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100.78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Expired</w:t>
            </w:r>
          </w:p>
        </w:tc>
        <w:tc>
          <w:tcPr>
            <w:tcW w:w="1600" w:type="dxa"/>
            <w:vAlign w:val="bottom"/>
          </w:tcPr>
          <w:p>
            <w:pPr>
              <w:jc w:val="right"/>
              <w:spacing w:after="0"/>
              <w:rPr>
                <w:sz w:val="20"/>
                <w:szCs w:val="20"/>
                <w:color w:val="auto"/>
              </w:rPr>
            </w:pPr>
            <w:r>
              <w:rPr>
                <w:rFonts w:ascii="Arial" w:cs="Arial" w:eastAsia="Arial" w:hAnsi="Arial"/>
                <w:sz w:val="16"/>
                <w:szCs w:val="16"/>
                <w:color w:val="auto"/>
              </w:rPr>
              <w:t>(5,234)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116.42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December 28, 2019</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1,128,607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37,343</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Vested and expected to vest, December 28, 2019</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1,100,020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37,067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Exercisable, December 28, 2019</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786,542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68.88</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32,898</w:t>
            </w:r>
          </w:p>
        </w:tc>
      </w:tr>
    </w:tbl>
    <w:p>
      <w:pPr>
        <w:spacing w:after="0" w:line="28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did not grant any stock options in fiscal 2019.</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intrinsic value of stock options exercised during the fiscal years ended December 28, 2019, December 29, 2018, and December 30, 2017 was approximately $13.3 million, $16.6 million, and $14.9 million, respectively. At December 28, 2019, there was approximately $4.6 million of unrecognized compensation cost (net of estimated forfeitures) related to stock options which is expected to be recognized over a weighted-average period of approximately 1.8 years.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weighted-average assumptions used to calculate the fair value of options granted in each of the respective fiscal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For the fiscal years ended</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December 28, 2019</w:t>
            </w:r>
            <w:r>
              <w:rPr>
                <w:rFonts w:ascii="Arial" w:cs="Arial" w:eastAsia="Arial" w:hAnsi="Arial"/>
                <w:sz w:val="21"/>
                <w:szCs w:val="21"/>
                <w:b w:val="1"/>
                <w:bCs w:val="1"/>
                <w:color w:val="auto"/>
                <w:vertAlign w:val="superscript"/>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4"/>
              </w:rPr>
              <w:t>December 29,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December 30, 2017</w:t>
            </w: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80" w:type="dxa"/>
            <w:vAlign w:val="bottom"/>
          </w:tcPr>
          <w:p>
            <w:pPr>
              <w:spacing w:after="0"/>
              <w:rPr>
                <w:sz w:val="20"/>
                <w:szCs w:val="20"/>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80" w:type="dxa"/>
            <w:vAlign w:val="bottom"/>
          </w:tcPr>
          <w:p>
            <w:pPr>
              <w:spacing w:after="0"/>
              <w:rPr>
                <w:sz w:val="20"/>
                <w:szCs w:val="20"/>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33"/>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of options granted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19.57</w:t>
            </w:r>
          </w:p>
        </w:tc>
      </w:tr>
      <w:tr>
        <w:trPr>
          <w:trHeight w:val="33"/>
        </w:trPr>
        <w:tc>
          <w:tcPr>
            <w:tcW w:w="5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There were no stock options granted in fiscal 2019.</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1" w:right="239" w:bottom="1440" w:gutter="0" w:footer="0" w:header="0"/>
          <w:type w:val="continuous"/>
        </w:sectPr>
      </w:pPr>
    </w:p>
    <w:bookmarkStart w:id="69" w:name="page70"/>
    <w:bookmarkEnd w:id="69"/>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Restricted stock awards issued under the Plan vest based upon: 1) continued service (time-based) or 2) a combination of continued service and performance targets (performance-based).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all restricted stock awards during the fiscal year ended December 28,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460" w:type="dxa"/>
            <w:vAlign w:val="bottom"/>
          </w:tcPr>
          <w:p>
            <w:pPr>
              <w:jc w:val="center"/>
              <w:ind w:left="639"/>
              <w:spacing w:after="0"/>
              <w:rPr>
                <w:sz w:val="20"/>
                <w:szCs w:val="20"/>
                <w:color w:val="auto"/>
              </w:rPr>
            </w:pPr>
            <w:r>
              <w:rPr>
                <w:rFonts w:ascii="Arial" w:cs="Arial" w:eastAsia="Arial" w:hAnsi="Arial"/>
                <w:sz w:val="16"/>
                <w:szCs w:val="16"/>
                <w:b w:val="1"/>
                <w:bCs w:val="1"/>
                <w:color w:val="auto"/>
                <w:w w:val="89"/>
              </w:rPr>
              <w:t>Restricted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6980" w:type="dxa"/>
            <w:vAlign w:val="bottom"/>
          </w:tcPr>
          <w:p>
            <w:pPr>
              <w:spacing w:after="0"/>
              <w:rPr>
                <w:sz w:val="17"/>
                <w:szCs w:val="17"/>
                <w:color w:val="auto"/>
              </w:rPr>
            </w:pPr>
          </w:p>
        </w:tc>
        <w:tc>
          <w:tcPr>
            <w:tcW w:w="1460" w:type="dxa"/>
            <w:vAlign w:val="bottom"/>
          </w:tcPr>
          <w:p>
            <w:pPr>
              <w:jc w:val="center"/>
              <w:ind w:left="659"/>
              <w:spacing w:after="0"/>
              <w:rPr>
                <w:sz w:val="20"/>
                <w:szCs w:val="20"/>
                <w:color w:val="auto"/>
              </w:rPr>
            </w:pPr>
            <w:r>
              <w:rPr>
                <w:rFonts w:ascii="Arial" w:cs="Arial" w:eastAsia="Arial" w:hAnsi="Arial"/>
                <w:sz w:val="16"/>
                <w:szCs w:val="16"/>
                <w:b w:val="1"/>
                <w:bCs w:val="1"/>
                <w:color w:val="auto"/>
                <w:w w:val="86"/>
              </w:rPr>
              <w:t>stock</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Weighted-average grant-date</w:t>
            </w:r>
          </w:p>
        </w:tc>
      </w:tr>
      <w:tr>
        <w:trPr>
          <w:trHeight w:val="210"/>
        </w:trPr>
        <w:tc>
          <w:tcPr>
            <w:tcW w:w="6980" w:type="dxa"/>
            <w:vAlign w:val="bottom"/>
          </w:tcPr>
          <w:p>
            <w:pPr>
              <w:spacing w:after="0"/>
              <w:rPr>
                <w:sz w:val="18"/>
                <w:szCs w:val="18"/>
                <w:color w:val="auto"/>
              </w:rPr>
            </w:pPr>
          </w:p>
        </w:tc>
        <w:tc>
          <w:tcPr>
            <w:tcW w:w="1460" w:type="dxa"/>
            <w:vAlign w:val="bottom"/>
          </w:tcPr>
          <w:p>
            <w:pPr>
              <w:jc w:val="center"/>
              <w:ind w:left="639"/>
              <w:spacing w:after="0"/>
              <w:rPr>
                <w:sz w:val="20"/>
                <w:szCs w:val="20"/>
                <w:color w:val="auto"/>
              </w:rPr>
            </w:pPr>
            <w:r>
              <w:rPr>
                <w:rFonts w:ascii="Arial" w:cs="Arial" w:eastAsia="Arial" w:hAnsi="Arial"/>
                <w:sz w:val="16"/>
                <w:szCs w:val="16"/>
                <w:b w:val="1"/>
                <w:bCs w:val="1"/>
                <w:color w:val="auto"/>
                <w:w w:val="90"/>
              </w:rPr>
              <w:t>awards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jc w:val="right"/>
              <w:ind w:right="65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Outstanding, December 29, 2018</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374,008</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97.57</w:t>
            </w: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Granted</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266,635</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89.55</w:t>
            </w:r>
          </w:p>
        </w:tc>
      </w:tr>
      <w:tr>
        <w:trPr>
          <w:trHeight w:val="33"/>
        </w:trPr>
        <w:tc>
          <w:tcPr>
            <w:tcW w:w="6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(131,924)</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93.03</w:t>
            </w: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720" w:type="dxa"/>
            <w:vAlign w:val="bottom"/>
          </w:tcPr>
          <w:p>
            <w:pPr>
              <w:jc w:val="right"/>
              <w:spacing w:after="0"/>
              <w:rPr>
                <w:sz w:val="20"/>
                <w:szCs w:val="20"/>
                <w:color w:val="auto"/>
              </w:rPr>
            </w:pPr>
            <w:r>
              <w:rPr>
                <w:rFonts w:ascii="Arial" w:cs="Arial" w:eastAsia="Arial" w:hAnsi="Arial"/>
                <w:sz w:val="16"/>
                <w:szCs w:val="16"/>
                <w:color w:val="auto"/>
              </w:rPr>
              <w:t>(50,219)</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94.21</w:t>
            </w:r>
          </w:p>
        </w:tc>
      </w:tr>
      <w:tr>
        <w:trPr>
          <w:trHeight w:val="33"/>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December 28, 2019</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458,500</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bl>
    <w:p>
      <w:pPr>
        <w:spacing w:after="0" w:line="3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fiscal 2018, a total of 151,321 shares of restricted stock vested with a weighted-average fair value of $84.56 per share. During fiscal 2017, a total of 168,471 shares of restricted stock vested with a weighted-average fair value of $74.00 per share. At December 28, 2019, there was approximately $20.8 million of unrecognized compensation cost (net of estimated forfeitures) related to all restricted stock awards which is expected to be recognized over a weighted-average period of approximately 2.6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Time-based restricted stock awards vest in equal annual installments or cliff vest after a three-year or four-year period. During fiscal years 2019, 2018, and 2017, a total of 102,492 shares, 100,625 shares, and 114,703 shares, respectively, of time-based restricted stock vested with a weighted-average fair value of $93.70 per share, $85.64 per share, and $76.58 per share, respectively. At December 28, 2019, there was approximately $18.1 million of unrecognized compensation cost (net of estimated forfeitures) related to time-based restricted stock which is expected to be recognized over a weighted-average period of approximately 2.7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5"/>
              </w:rPr>
              <w:t>Weighted-average fair value</w:t>
            </w:r>
          </w:p>
        </w:tc>
      </w:tr>
      <w:tr>
        <w:trPr>
          <w:trHeight w:val="210"/>
        </w:trPr>
        <w:tc>
          <w:tcPr>
            <w:tcW w:w="7000" w:type="dxa"/>
            <w:vAlign w:val="bottom"/>
            <w:gridSpan w:val="2"/>
          </w:tcPr>
          <w:p>
            <w:pPr>
              <w:ind w:left="3060"/>
              <w:spacing w:after="0"/>
              <w:rPr>
                <w:sz w:val="20"/>
                <w:szCs w:val="20"/>
                <w:color w:val="auto"/>
              </w:rPr>
            </w:pPr>
            <w:r>
              <w:rPr>
                <w:rFonts w:ascii="Arial" w:cs="Arial" w:eastAsia="Arial" w:hAnsi="Arial"/>
                <w:sz w:val="16"/>
                <w:szCs w:val="16"/>
                <w:b w:val="1"/>
                <w:bCs w:val="1"/>
                <w:color w:val="auto"/>
              </w:rPr>
              <w:t>Fiscal year</w:t>
            </w:r>
          </w:p>
        </w:tc>
        <w:tc>
          <w:tcPr>
            <w:tcW w:w="228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 of shares granted</w:t>
            </w:r>
          </w:p>
        </w:tc>
        <w:tc>
          <w:tcPr>
            <w:tcW w:w="420" w:type="dxa"/>
            <w:vAlign w:val="bottom"/>
          </w:tcPr>
          <w:p>
            <w:pPr>
              <w:spacing w:after="0"/>
              <w:rPr>
                <w:sz w:val="18"/>
                <w:szCs w:val="18"/>
                <w:color w:val="auto"/>
              </w:rPr>
            </w:pPr>
          </w:p>
        </w:tc>
        <w:tc>
          <w:tcPr>
            <w:tcW w:w="1720" w:type="dxa"/>
            <w:vAlign w:val="bottom"/>
          </w:tcPr>
          <w:p>
            <w:pPr>
              <w:jc w:val="right"/>
              <w:ind w:right="659"/>
              <w:spacing w:after="0"/>
              <w:rPr>
                <w:sz w:val="20"/>
                <w:szCs w:val="20"/>
                <w:color w:val="auto"/>
              </w:rPr>
            </w:pPr>
            <w:r>
              <w:rPr>
                <w:rFonts w:ascii="Arial" w:cs="Arial" w:eastAsia="Arial" w:hAnsi="Arial"/>
                <w:sz w:val="16"/>
                <w:szCs w:val="16"/>
                <w:b w:val="1"/>
                <w:bCs w:val="1"/>
                <w:color w:val="auto"/>
              </w:rPr>
              <w:t>per share</w:t>
            </w:r>
          </w:p>
        </w:tc>
      </w:tr>
      <w:tr>
        <w:trPr>
          <w:trHeight w:val="33"/>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jc w:val="right"/>
              <w:ind w:right="6419"/>
              <w:spacing w:after="0"/>
              <w:rPr>
                <w:sz w:val="20"/>
                <w:szCs w:val="20"/>
                <w:color w:val="auto"/>
              </w:rPr>
            </w:pPr>
            <w:r>
              <w:rPr>
                <w:rFonts w:ascii="Arial" w:cs="Arial" w:eastAsia="Arial" w:hAnsi="Arial"/>
                <w:sz w:val="16"/>
                <w:szCs w:val="16"/>
                <w:color w:val="auto"/>
                <w:w w:val="95"/>
              </w:rPr>
              <w:t>2017</w:t>
            </w: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83.84</w:t>
            </w:r>
          </w:p>
        </w:tc>
      </w:tr>
      <w:tr>
        <w:trPr>
          <w:trHeight w:val="237"/>
        </w:trPr>
        <w:tc>
          <w:tcPr>
            <w:tcW w:w="6860" w:type="dxa"/>
            <w:vAlign w:val="bottom"/>
          </w:tcPr>
          <w:p>
            <w:pPr>
              <w:jc w:val="right"/>
              <w:ind w:right="6419"/>
              <w:spacing w:after="0"/>
              <w:rPr>
                <w:sz w:val="20"/>
                <w:szCs w:val="20"/>
                <w:color w:val="auto"/>
              </w:rPr>
            </w:pPr>
            <w:r>
              <w:rPr>
                <w:rFonts w:ascii="Arial" w:cs="Arial" w:eastAsia="Arial" w:hAnsi="Arial"/>
                <w:sz w:val="16"/>
                <w:szCs w:val="16"/>
                <w:color w:val="auto"/>
                <w:w w:val="95"/>
              </w:rPr>
              <w:t>2018</w:t>
            </w:r>
          </w:p>
        </w:tc>
        <w:tc>
          <w:tcPr>
            <w:tcW w:w="14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45,625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120.25</w:t>
            </w: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6860" w:type="dxa"/>
            <w:vAlign w:val="bottom"/>
            <w:shd w:val="clear" w:color="auto" w:fill="CCEEFF"/>
          </w:tcPr>
          <w:p>
            <w:pPr>
              <w:jc w:val="right"/>
              <w:ind w:right="6419"/>
              <w:spacing w:after="0"/>
              <w:rPr>
                <w:sz w:val="20"/>
                <w:szCs w:val="20"/>
                <w:color w:val="auto"/>
              </w:rPr>
            </w:pPr>
            <w:r>
              <w:rPr>
                <w:rFonts w:ascii="Arial" w:cs="Arial" w:eastAsia="Arial" w:hAnsi="Arial"/>
                <w:sz w:val="16"/>
                <w:szCs w:val="16"/>
                <w:color w:val="auto"/>
                <w:w w:val="95"/>
              </w:rPr>
              <w:t>2019</w:t>
            </w:r>
          </w:p>
        </w:tc>
        <w:tc>
          <w:tcPr>
            <w:tcW w:w="140" w:type="dxa"/>
            <w:vAlign w:val="bottom"/>
            <w:shd w:val="clear" w:color="auto" w:fill="CCEEFF"/>
          </w:tcPr>
          <w:p>
            <w:pPr>
              <w:spacing w:after="0"/>
              <w:rPr>
                <w:sz w:val="20"/>
                <w:szCs w:val="20"/>
                <w:color w:val="auto"/>
              </w:rPr>
            </w:pPr>
          </w:p>
        </w:tc>
        <w:tc>
          <w:tcPr>
            <w:tcW w:w="2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88.87</w:t>
            </w:r>
          </w:p>
        </w:tc>
      </w:tr>
      <w:tr>
        <w:trPr>
          <w:trHeight w:val="33"/>
        </w:trPr>
        <w:tc>
          <w:tcPr>
            <w:tcW w:w="6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During the fiscal year ended December 28, 2019, a total of 29,432 performance shares vested with a weighted-average fair value of $90.66 per share. As of December 28, 2019, a total of 154,996 performance shares were unvested with a weighted-average fair value of $95.28 per share. Vesting of these 154,996 performance shares is based on the performance targets for the shares granted in fiscal 2019, 2018, and 2017. As of December 28, 2019, there was approximately $2.7 million of unrecognized compensation cost (net of estimated forfeitures) related to the unvested performance-based restricted stock awards which is expected to be recognized over a weighted-average period of approximately 1.7 years.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9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Included in restricted stock awards are grants to non-management members of the Company's Board of Directors. At issuance, these awards were fully vested and issued as shares of the Company's common stock. During fiscal years 2019, 2018, and 2017, such awards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jc w:val="right"/>
              <w:ind w:right="439"/>
              <w:spacing w:after="0"/>
              <w:rPr>
                <w:sz w:val="20"/>
                <w:szCs w:val="20"/>
                <w:color w:val="auto"/>
              </w:rPr>
            </w:pPr>
            <w:r>
              <w:rPr>
                <w:rFonts w:ascii="Arial" w:cs="Arial" w:eastAsia="Arial" w:hAnsi="Arial"/>
                <w:sz w:val="16"/>
                <w:szCs w:val="16"/>
                <w:b w:val="1"/>
                <w:bCs w:val="1"/>
                <w:color w:val="auto"/>
              </w:rPr>
              <w:t>Aggregate value</w:t>
            </w:r>
          </w:p>
        </w:tc>
      </w:tr>
      <w:tr>
        <w:trPr>
          <w:trHeight w:val="210"/>
        </w:trPr>
        <w:tc>
          <w:tcPr>
            <w:tcW w:w="4700" w:type="dxa"/>
            <w:vAlign w:val="bottom"/>
            <w:gridSpan w:val="2"/>
          </w:tcPr>
          <w:p>
            <w:pPr>
              <w:ind w:left="1920"/>
              <w:spacing w:after="0"/>
              <w:rPr>
                <w:sz w:val="20"/>
                <w:szCs w:val="20"/>
                <w:color w:val="auto"/>
              </w:rPr>
            </w:pPr>
            <w:r>
              <w:rPr>
                <w:rFonts w:ascii="Arial" w:cs="Arial" w:eastAsia="Arial" w:hAnsi="Arial"/>
                <w:sz w:val="16"/>
                <w:szCs w:val="16"/>
                <w:b w:val="1"/>
                <w:bCs w:val="1"/>
                <w:color w:val="auto"/>
              </w:rPr>
              <w:t>Fiscal year</w:t>
            </w:r>
          </w:p>
        </w:tc>
        <w:tc>
          <w:tcPr>
            <w:tcW w:w="230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 of shares issued</w:t>
            </w:r>
          </w:p>
        </w:tc>
        <w:tc>
          <w:tcPr>
            <w:tcW w:w="240" w:type="dxa"/>
            <w:vAlign w:val="bottom"/>
          </w:tcPr>
          <w:p>
            <w:pPr>
              <w:spacing w:after="0"/>
              <w:rPr>
                <w:sz w:val="18"/>
                <w:szCs w:val="18"/>
                <w:color w:val="auto"/>
              </w:rPr>
            </w:pPr>
          </w:p>
        </w:tc>
        <w:tc>
          <w:tcPr>
            <w:tcW w:w="204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 per share</w:t>
            </w:r>
          </w:p>
        </w:tc>
        <w:tc>
          <w:tcPr>
            <w:tcW w:w="30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jc w:val="right"/>
              <w:ind w:right="4139"/>
              <w:spacing w:after="0"/>
              <w:rPr>
                <w:sz w:val="20"/>
                <w:szCs w:val="20"/>
                <w:color w:val="auto"/>
              </w:rPr>
            </w:pPr>
            <w:r>
              <w:rPr>
                <w:rFonts w:ascii="Arial" w:cs="Arial" w:eastAsia="Arial" w:hAnsi="Arial"/>
                <w:sz w:val="16"/>
                <w:szCs w:val="16"/>
                <w:color w:val="auto"/>
                <w:w w:val="95"/>
              </w:rPr>
              <w:t>2017</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r>
      <w:tr>
        <w:trPr>
          <w:trHeight w:val="237"/>
        </w:trPr>
        <w:tc>
          <w:tcPr>
            <w:tcW w:w="4580" w:type="dxa"/>
            <w:vAlign w:val="bottom"/>
          </w:tcPr>
          <w:p>
            <w:pPr>
              <w:jc w:val="right"/>
              <w:ind w:right="4139"/>
              <w:spacing w:after="0"/>
              <w:rPr>
                <w:sz w:val="20"/>
                <w:szCs w:val="20"/>
                <w:color w:val="auto"/>
              </w:rPr>
            </w:pPr>
            <w:r>
              <w:rPr>
                <w:rFonts w:ascii="Arial" w:cs="Arial" w:eastAsia="Arial" w:hAnsi="Arial"/>
                <w:sz w:val="16"/>
                <w:szCs w:val="16"/>
                <w:color w:val="auto"/>
                <w:w w:val="95"/>
              </w:rPr>
              <w:t>2018</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10,971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109.67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1,203</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4580" w:type="dxa"/>
            <w:vAlign w:val="bottom"/>
            <w:shd w:val="clear" w:color="auto" w:fill="CCEEFF"/>
          </w:tcPr>
          <w:p>
            <w:pPr>
              <w:jc w:val="right"/>
              <w:ind w:right="4139"/>
              <w:spacing w:after="0"/>
              <w:rPr>
                <w:sz w:val="20"/>
                <w:szCs w:val="20"/>
                <w:color w:val="auto"/>
              </w:rPr>
            </w:pPr>
            <w:r>
              <w:rPr>
                <w:rFonts w:ascii="Arial" w:cs="Arial" w:eastAsia="Arial" w:hAnsi="Arial"/>
                <w:sz w:val="16"/>
                <w:szCs w:val="16"/>
                <w:color w:val="auto"/>
                <w:w w:val="95"/>
              </w:rPr>
              <w:t>2019</w:t>
            </w:r>
          </w:p>
        </w:tc>
        <w:tc>
          <w:tcPr>
            <w:tcW w:w="1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91.63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1,475</w:t>
            </w:r>
          </w:p>
        </w:tc>
      </w:tr>
      <w:tr>
        <w:trPr>
          <w:trHeight w:val="33"/>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no proceeds from the issuance of these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Oshkosh B'Gosh Pension Plan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retirement benefits under the OshKosh B'gosh pension plan were frozen as of December 31, 2005. A reconciliation of changes in the projected pension benefit obligation and plan assets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For the fiscal year ended</w:t>
            </w:r>
          </w:p>
        </w:tc>
      </w:tr>
      <w:tr>
        <w:trPr>
          <w:trHeight w:val="33"/>
        </w:trPr>
        <w:tc>
          <w:tcPr>
            <w:tcW w:w="6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1"/>
        </w:trPr>
        <w:tc>
          <w:tcPr>
            <w:tcW w:w="65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20"/>
                <w:szCs w:val="20"/>
                <w:color w:val="auto"/>
              </w:rPr>
            </w:pPr>
          </w:p>
        </w:tc>
        <w:tc>
          <w:tcPr>
            <w:tcW w:w="21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28, 2019</w:t>
            </w:r>
          </w:p>
        </w:tc>
        <w:tc>
          <w:tcPr>
            <w:tcW w:w="320" w:type="dxa"/>
            <w:vAlign w:val="bottom"/>
          </w:tcPr>
          <w:p>
            <w:pPr>
              <w:spacing w:after="0"/>
              <w:rPr>
                <w:sz w:val="20"/>
                <w:szCs w:val="20"/>
                <w:color w:val="auto"/>
              </w:rPr>
            </w:pPr>
          </w:p>
        </w:tc>
        <w:tc>
          <w:tcPr>
            <w:tcW w:w="2060" w:type="dxa"/>
            <w:vAlign w:val="bottom"/>
          </w:tcPr>
          <w:p>
            <w:pPr>
              <w:jc w:val="right"/>
              <w:ind w:right="459"/>
              <w:spacing w:after="0"/>
              <w:rPr>
                <w:sz w:val="20"/>
                <w:szCs w:val="20"/>
                <w:color w:val="auto"/>
              </w:rPr>
            </w:pPr>
            <w:r>
              <w:rPr>
                <w:rFonts w:ascii="Arial" w:cs="Arial" w:eastAsia="Arial" w:hAnsi="Arial"/>
                <w:sz w:val="16"/>
                <w:szCs w:val="16"/>
                <w:b w:val="1"/>
                <w:bCs w:val="1"/>
                <w:color w:val="auto"/>
              </w:rPr>
              <w:t>December 29, 2018</w:t>
            </w:r>
          </w:p>
        </w:tc>
      </w:tr>
      <w:tr>
        <w:trPr>
          <w:trHeight w:val="33"/>
        </w:trPr>
        <w:tc>
          <w:tcPr>
            <w:tcW w:w="6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projected benefit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Projected benefit obligation at beginning of year</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62,297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66,747</w:t>
            </w:r>
          </w:p>
        </w:tc>
      </w:tr>
      <w:tr>
        <w:trPr>
          <w:trHeight w:val="33"/>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2,287</w:t>
            </w: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Actuarial loss (gain)</w:t>
            </w:r>
          </w:p>
        </w:tc>
        <w:tc>
          <w:tcPr>
            <w:tcW w:w="340" w:type="dxa"/>
            <w:vAlign w:val="bottom"/>
          </w:tcPr>
          <w:p>
            <w:pPr>
              <w:spacing w:after="0"/>
              <w:rPr>
                <w:sz w:val="20"/>
                <w:szCs w:val="20"/>
                <w:color w:val="auto"/>
              </w:rPr>
            </w:pP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6,039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(4,371)</w:t>
            </w:r>
          </w:p>
        </w:tc>
      </w:tr>
      <w:tr>
        <w:trPr>
          <w:trHeight w:val="33"/>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Benefits paid</w:t>
            </w:r>
          </w:p>
        </w:tc>
        <w:tc>
          <w:tcPr>
            <w:tcW w:w="3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r>
      <w:tr>
        <w:trPr>
          <w:trHeight w:val="28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Projected benefit obligation at end of year</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68,331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62,297</w:t>
            </w:r>
          </w:p>
        </w:tc>
      </w:tr>
      <w:tr>
        <w:trPr>
          <w:trHeight w:val="203"/>
        </w:trPr>
        <w:tc>
          <w:tcPr>
            <w:tcW w:w="6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of plan assets at beginning of year</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54,437</w:t>
            </w: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Actual return on plan assets</w:t>
            </w:r>
          </w:p>
        </w:tc>
        <w:tc>
          <w:tcPr>
            <w:tcW w:w="340" w:type="dxa"/>
            <w:vAlign w:val="bottom"/>
          </w:tcPr>
          <w:p>
            <w:pPr>
              <w:spacing w:after="0"/>
              <w:rPr>
                <w:sz w:val="20"/>
                <w:szCs w:val="20"/>
                <w:color w:val="auto"/>
              </w:rPr>
            </w:pP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8,834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(2,507)</w:t>
            </w:r>
          </w:p>
        </w:tc>
      </w:tr>
      <w:tr>
        <w:trPr>
          <w:trHeight w:val="33"/>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Employer contribution</w:t>
            </w: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r>
      <w:tr>
        <w:trPr>
          <w:trHeight w:val="237"/>
        </w:trPr>
        <w:tc>
          <w:tcPr>
            <w:tcW w:w="6500" w:type="dxa"/>
            <w:vAlign w:val="bottom"/>
          </w:tcPr>
          <w:p>
            <w:pPr>
              <w:ind w:left="180"/>
              <w:spacing w:after="0"/>
              <w:rPr>
                <w:sz w:val="20"/>
                <w:szCs w:val="20"/>
                <w:color w:val="auto"/>
              </w:rPr>
            </w:pPr>
            <w:r>
              <w:rPr>
                <w:rFonts w:ascii="Arial" w:cs="Arial" w:eastAsia="Arial" w:hAnsi="Arial"/>
                <w:sz w:val="16"/>
                <w:szCs w:val="16"/>
                <w:color w:val="auto"/>
              </w:rPr>
              <w:t>Benefits paid</w:t>
            </w:r>
          </w:p>
        </w:tc>
        <w:tc>
          <w:tcPr>
            <w:tcW w:w="3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(2,366)</w:t>
            </w:r>
          </w:p>
        </w:tc>
      </w:tr>
      <w:tr>
        <w:trPr>
          <w:trHeight w:val="33"/>
        </w:trPr>
        <w:tc>
          <w:tcPr>
            <w:tcW w:w="6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end of year</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55,564</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03"/>
        </w:trPr>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Unfunded status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6,733</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accumulated benefit obligation is equal to the projected benefit obligation as of December 28, 2019 and December 29, 2018 because the plan is frozen. The unfunded status is included in Other long-term liabilities in the Company's consolidated balance sheet. The Company does not expect to make any contributions to the OshKosh B'gosh pension plan during fiscal 2020 as the plan's funding exceeds the minimum funding requirements. The actuarial loss incurred in fiscal 2019 was primarily attributable to a lower discount rate while the actuarial gain in fiscal 2018 was primarily attributable to a higher discount rate.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Pension Cost and Changes Recognized in Other Comprehensive Income</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components of net periodic pension cost recognized in the statement of operations and changes recognized in other comprehensive income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For the fiscal year ended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57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29, 2018</w:t>
            </w:r>
          </w:p>
        </w:tc>
        <w:tc>
          <w:tcPr>
            <w:tcW w:w="18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30, 2017</w:t>
            </w:r>
          </w:p>
        </w:tc>
      </w:tr>
      <w:tr>
        <w:trPr>
          <w:trHeight w:val="33"/>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Recognized in the statement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180"/>
              <w:spacing w:after="0"/>
              <w:rPr>
                <w:sz w:val="20"/>
                <w:szCs w:val="20"/>
                <w:color w:val="auto"/>
              </w:rPr>
            </w:pPr>
            <w:r>
              <w:rPr>
                <w:rFonts w:ascii="Arial" w:cs="Arial" w:eastAsia="Arial" w:hAnsi="Arial"/>
                <w:sz w:val="16"/>
                <w:szCs w:val="16"/>
                <w:color w:val="auto"/>
              </w:rPr>
              <w:t>Interest cost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2,287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2,446</w:t>
            </w:r>
          </w:p>
        </w:tc>
      </w:tr>
      <w:tr>
        <w:trPr>
          <w:trHeight w:val="33"/>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(2,601)</w:t>
            </w: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681</w:t>
            </w: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r>
      <w:tr>
        <w:trPr>
          <w:trHeight w:val="210"/>
        </w:trPr>
        <w:tc>
          <w:tcPr>
            <w:tcW w:w="5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7"/>
        </w:trPr>
        <w:tc>
          <w:tcPr>
            <w:tcW w:w="5700" w:type="dxa"/>
            <w:vAlign w:val="bottom"/>
          </w:tcPr>
          <w:p>
            <w:pPr>
              <w:ind w:left="180"/>
              <w:spacing w:after="0"/>
              <w:rPr>
                <w:sz w:val="20"/>
                <w:szCs w:val="20"/>
                <w:color w:val="auto"/>
              </w:rPr>
            </w:pPr>
            <w:r>
              <w:rPr>
                <w:rFonts w:ascii="Arial" w:cs="Arial" w:eastAsia="Arial" w:hAnsi="Arial"/>
                <w:sz w:val="16"/>
                <w:szCs w:val="16"/>
                <w:color w:val="auto"/>
              </w:rPr>
              <w:t>Net (gain) loss arising during the fiscal year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1,251</w:t>
            </w:r>
          </w:p>
        </w:tc>
      </w:tr>
      <w:tr>
        <w:trPr>
          <w:trHeight w:val="33"/>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17"/>
        </w:trPr>
        <w:tc>
          <w:tcPr>
            <w:tcW w:w="5700" w:type="dxa"/>
            <w:vAlign w:val="bottom"/>
          </w:tcPr>
          <w:p>
            <w:pPr>
              <w:ind w:left="280"/>
              <w:spacing w:after="0"/>
              <w:rPr>
                <w:sz w:val="20"/>
                <w:szCs w:val="20"/>
                <w:color w:val="auto"/>
              </w:rPr>
            </w:pPr>
            <w:r>
              <w:rPr>
                <w:rFonts w:ascii="Arial" w:cs="Arial" w:eastAsia="Arial" w:hAnsi="Arial"/>
                <w:sz w:val="16"/>
                <w:szCs w:val="16"/>
                <w:color w:val="auto"/>
              </w:rPr>
              <w:t>Total changes recognized in other comprehensive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570</w:t>
            </w:r>
          </w:p>
        </w:tc>
      </w:tr>
      <w:tr>
        <w:trPr>
          <w:trHeight w:val="33"/>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2"/>
              </w:rPr>
              <w:t>Total net periodic cost and changes recognized in other 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right="380" w:hanging="492"/>
        <w:spacing w:after="0" w:line="273"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2020, approximately $0.5 million is expected to be reclassified from accumulated other comprehensive loss to a component of net periodic pension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actuarial computations utilized the following assumptions, using year-end measurement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gridSpan w:val="4"/>
          </w:tcPr>
          <w:p>
            <w:pPr>
              <w:ind w:left="40"/>
              <w:spacing w:after="0"/>
              <w:rPr>
                <w:sz w:val="20"/>
                <w:szCs w:val="20"/>
                <w:color w:val="auto"/>
              </w:rPr>
            </w:pPr>
            <w:r>
              <w:rPr>
                <w:rFonts w:ascii="Arial" w:cs="Arial" w:eastAsia="Arial" w:hAnsi="Arial"/>
                <w:sz w:val="16"/>
                <w:szCs w:val="16"/>
                <w:b w:val="1"/>
                <w:bCs w:val="1"/>
                <w:color w:val="auto"/>
              </w:rPr>
              <w:t>Benefit obligation</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220" w:type="dxa"/>
            <w:vAlign w:val="bottom"/>
            <w:tcBorders>
              <w:top w:val="single" w:sz="8" w:color="auto"/>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464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r>
      <w:tr>
        <w:trPr>
          <w:trHeight w:val="23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0"/>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pension cost</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shd w:val="clear" w:color="auto" w:fill="000000"/>
          </w:tcPr>
          <w:p>
            <w:pPr>
              <w:spacing w:after="0" w:line="20" w:lineRule="exact"/>
              <w:rPr>
                <w:sz w:val="1"/>
                <w:szCs w:val="1"/>
                <w:color w:val="auto"/>
              </w:rPr>
            </w:pPr>
          </w:p>
        </w:tc>
      </w:tr>
      <w:tr>
        <w:trPr>
          <w:trHeight w:val="217"/>
        </w:trPr>
        <w:tc>
          <w:tcPr>
            <w:tcW w:w="6400" w:type="dxa"/>
            <w:vAlign w:val="bottom"/>
            <w:gridSpan w:val="4"/>
          </w:tcPr>
          <w:p>
            <w:pPr>
              <w:ind w:left="40"/>
              <w:spacing w:after="0"/>
              <w:rPr>
                <w:sz w:val="20"/>
                <w:szCs w:val="20"/>
                <w:color w:val="auto"/>
              </w:rPr>
            </w:pPr>
            <w:r>
              <w:rPr>
                <w:rFonts w:ascii="Arial" w:cs="Arial" w:eastAsia="Arial" w:hAnsi="Arial"/>
                <w:sz w:val="16"/>
                <w:szCs w:val="16"/>
                <w:color w:val="auto"/>
              </w:rPr>
              <w:t>Discount rate</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4.00%</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4.00%</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Expected long-term rate of return on assets</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5.50%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w:t>
            </w:r>
          </w:p>
        </w:tc>
      </w:tr>
      <w:tr>
        <w:trPr>
          <w:trHeight w:val="33"/>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discount rates used at December 28, 2019, December 29, 2018, and December 30, 2017 were determined with consideration given to the Citigroup Pension Discount and Liability Index and the Barclay Capital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3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0.25% change in the assumed discount rate would result in an increase or decrease in the amount of the pension plan's projected benefit obligation of approximately $2.2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benefit payments for its defined benefit pension plans as follows for the next ten fiscal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47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3"/>
        </w:trPr>
        <w:tc>
          <w:tcPr>
            <w:tcW w:w="54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7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3,030</w:t>
            </w:r>
          </w:p>
        </w:tc>
      </w:tr>
      <w:tr>
        <w:trPr>
          <w:trHeight w:val="224"/>
        </w:trPr>
        <w:tc>
          <w:tcPr>
            <w:tcW w:w="5440" w:type="dxa"/>
            <w:vAlign w:val="bottom"/>
          </w:tcPr>
          <w:p>
            <w:pPr>
              <w:ind w:left="40"/>
              <w:spacing w:after="0"/>
              <w:rPr>
                <w:sz w:val="20"/>
                <w:szCs w:val="20"/>
                <w:color w:val="auto"/>
              </w:rPr>
            </w:pPr>
            <w:r>
              <w:rPr>
                <w:rFonts w:ascii="Arial" w:cs="Arial" w:eastAsia="Arial" w:hAnsi="Arial"/>
                <w:sz w:val="16"/>
                <w:szCs w:val="16"/>
                <w:color w:val="auto"/>
              </w:rPr>
              <w:t>2021</w:t>
            </w:r>
          </w:p>
        </w:tc>
        <w:tc>
          <w:tcPr>
            <w:tcW w:w="47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2,700</w:t>
            </w:r>
          </w:p>
        </w:tc>
      </w:tr>
      <w:tr>
        <w:trPr>
          <w:trHeight w:val="33"/>
        </w:trPr>
        <w:tc>
          <w:tcPr>
            <w:tcW w:w="54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7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2,840</w:t>
            </w:r>
          </w:p>
        </w:tc>
      </w:tr>
      <w:tr>
        <w:trPr>
          <w:trHeight w:val="224"/>
        </w:trPr>
        <w:tc>
          <w:tcPr>
            <w:tcW w:w="5440" w:type="dxa"/>
            <w:vAlign w:val="bottom"/>
          </w:tcPr>
          <w:p>
            <w:pPr>
              <w:ind w:left="40"/>
              <w:spacing w:after="0"/>
              <w:rPr>
                <w:sz w:val="20"/>
                <w:szCs w:val="20"/>
                <w:color w:val="auto"/>
              </w:rPr>
            </w:pPr>
            <w:r>
              <w:rPr>
                <w:rFonts w:ascii="Arial" w:cs="Arial" w:eastAsia="Arial" w:hAnsi="Arial"/>
                <w:sz w:val="16"/>
                <w:szCs w:val="16"/>
                <w:color w:val="auto"/>
              </w:rPr>
              <w:t>2023</w:t>
            </w:r>
          </w:p>
        </w:tc>
        <w:tc>
          <w:tcPr>
            <w:tcW w:w="47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2,950</w:t>
            </w:r>
          </w:p>
        </w:tc>
      </w:tr>
      <w:tr>
        <w:trPr>
          <w:trHeight w:val="33"/>
        </w:trPr>
        <w:tc>
          <w:tcPr>
            <w:tcW w:w="54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7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3,160</w:t>
            </w:r>
          </w:p>
        </w:tc>
      </w:tr>
      <w:tr>
        <w:trPr>
          <w:trHeight w:val="224"/>
        </w:trPr>
        <w:tc>
          <w:tcPr>
            <w:tcW w:w="5440" w:type="dxa"/>
            <w:vAlign w:val="bottom"/>
          </w:tcPr>
          <w:p>
            <w:pPr>
              <w:ind w:left="40"/>
              <w:spacing w:after="0"/>
              <w:rPr>
                <w:sz w:val="20"/>
                <w:szCs w:val="20"/>
                <w:color w:val="auto"/>
              </w:rPr>
            </w:pPr>
            <w:r>
              <w:rPr>
                <w:rFonts w:ascii="Arial" w:cs="Arial" w:eastAsia="Arial" w:hAnsi="Arial"/>
                <w:sz w:val="16"/>
                <w:szCs w:val="16"/>
                <w:color w:val="auto"/>
              </w:rPr>
              <w:t>2025-2029</w:t>
            </w:r>
          </w:p>
        </w:tc>
        <w:tc>
          <w:tcPr>
            <w:tcW w:w="47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18,430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9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Company's investment strategy is to invest in a well-diversified portfolio consisting of mutual funds or group annuity contracts that minimize concentration of risks by utilizing a variety of asset types, fund strategies, and fund managers. The</w:t>
      </w:r>
    </w:p>
    <w:p>
      <w:pPr>
        <w:sectPr>
          <w:pgSz w:w="11900" w:h="16838" w:orient="portrait"/>
          <w:cols w:equalWidth="0" w:num="1">
            <w:col w:w="11420"/>
          </w:cols>
          <w:pgMar w:left="240" w:top="12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72" w:name="page73"/>
    <w:bookmarkEnd w:id="72"/>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target allocation for plan assets is 45% equity securities, 50% bond funds, and 5% real estate investments. The plan expects to gradually reduce its equity exposure.</w:t>
      </w:r>
    </w:p>
    <w:p>
      <w:pPr>
        <w:spacing w:after="0" w:line="13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investment policy anticipates a rate of return sufficient to fund pension plan benefits while minimizing the risk to the Company of additional funding. Based on actual returns over a long-term basis, the Company believes that a 6.00% annual return on plan assets can be achieved based on the current allocation and investment strategy.</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Equity securities primarily include funds invested in large-cap and mid-cap companies, primarily located in the U.S., with a small exposure to international equities. Fixed income securities include funds holding corporate bonds of companies from diverse industries, and U.S. Treasuries. Real estate funds include investments in actively managed mutual funds that invest in real estate.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at December 28, 2019 and December 29, 2018, by asset category,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28, 2019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29, 2018</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366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 category</w:t>
            </w:r>
          </w:p>
        </w:tc>
        <w:tc>
          <w:tcPr>
            <w:tcW w:w="26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1</w:t>
            </w:r>
          </w:p>
        </w:tc>
        <w:tc>
          <w:tcPr>
            <w:tcW w:w="220" w:type="dxa"/>
            <w:vAlign w:val="bottom"/>
          </w:tcPr>
          <w:p>
            <w:pPr>
              <w:spacing w:after="0"/>
              <w:rPr>
                <w:sz w:val="17"/>
                <w:szCs w:val="17"/>
                <w:color w:val="auto"/>
              </w:rPr>
            </w:pPr>
          </w:p>
        </w:tc>
        <w:tc>
          <w:tcPr>
            <w:tcW w:w="104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Pr>
          <w:p>
            <w:pPr>
              <w:spacing w:after="0"/>
              <w:rPr>
                <w:sz w:val="17"/>
                <w:szCs w:val="17"/>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Level 2</w:t>
            </w:r>
          </w:p>
        </w:tc>
      </w:tr>
      <w:tr>
        <w:trPr>
          <w:trHeight w:val="48"/>
        </w:trPr>
        <w:tc>
          <w:tcPr>
            <w:tcW w:w="40" w:type="dxa"/>
            <w:vAlign w:val="bottom"/>
            <w:tcBorders>
              <w:bottom w:val="single" w:sz="8" w:color="CCEEFF"/>
            </w:tcBorders>
          </w:tcPr>
          <w:p>
            <w:pPr>
              <w:spacing w:after="0"/>
              <w:rPr>
                <w:sz w:val="4"/>
                <w:szCs w:val="4"/>
                <w:color w:val="auto"/>
              </w:rPr>
            </w:pPr>
          </w:p>
        </w:tc>
        <w:tc>
          <w:tcPr>
            <w:tcW w:w="1000" w:type="dxa"/>
            <w:vAlign w:val="bottom"/>
            <w:tcBorders>
              <w:top w:val="single" w:sz="8" w:color="auto"/>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right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66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Equity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U.S. Large-Cap blend</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660" w:type="dxa"/>
            <w:vAlign w:val="bottom"/>
            <w:gridSpan w:val="3"/>
          </w:tcPr>
          <w:p>
            <w:pPr>
              <w:ind w:left="40"/>
              <w:spacing w:after="0"/>
              <w:rPr>
                <w:sz w:val="20"/>
                <w:szCs w:val="20"/>
                <w:color w:val="auto"/>
              </w:rPr>
            </w:pPr>
            <w:r>
              <w:rPr>
                <w:rFonts w:ascii="Arial" w:cs="Arial" w:eastAsia="Arial" w:hAnsi="Arial"/>
                <w:sz w:val="16"/>
                <w:szCs w:val="16"/>
                <w:color w:val="auto"/>
              </w:rPr>
              <w:t>U.S. Large-Cap growth</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3,905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Mid-Cap growth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660" w:type="dxa"/>
            <w:vAlign w:val="bottom"/>
            <w:gridSpan w:val="3"/>
          </w:tcPr>
          <w:p>
            <w:pPr>
              <w:ind w:left="40"/>
              <w:spacing w:after="0"/>
              <w:rPr>
                <w:sz w:val="20"/>
                <w:szCs w:val="20"/>
                <w:color w:val="auto"/>
              </w:rPr>
            </w:pPr>
            <w:r>
              <w:rPr>
                <w:rFonts w:ascii="Arial" w:cs="Arial" w:eastAsia="Arial" w:hAnsi="Arial"/>
                <w:sz w:val="16"/>
                <w:szCs w:val="16"/>
                <w:color w:val="auto"/>
              </w:rPr>
              <w:t>U.S. Small-Cap blend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2,511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International blend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66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Fixed income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Corporate bonds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30,051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29,779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r>
      <w:tr>
        <w:trPr>
          <w:trHeight w:val="270"/>
        </w:trPr>
        <w:tc>
          <w:tcPr>
            <w:tcW w:w="3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Real estate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3,056</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61,961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category comprises low-cost equity index funds not actively managed that track the Standard &amp; Poor's 500 Index.</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category invests in both U.S. Treasuries and mid-term corporate debt from U.S. issuers from diverse industries.</w:t>
      </w:r>
    </w:p>
    <w:p>
      <w:pPr>
        <w:spacing w:after="0" w:line="82" w:lineRule="exact"/>
        <w:rPr>
          <w:rFonts w:ascii="Arial" w:cs="Arial" w:eastAsia="Arial" w:hAnsi="Arial"/>
          <w:sz w:val="14"/>
          <w:szCs w:val="14"/>
          <w:color w:val="auto"/>
        </w:rPr>
      </w:pPr>
    </w:p>
    <w:p>
      <w:pPr>
        <w:ind w:left="500" w:right="200" w:hanging="492"/>
        <w:spacing w:after="0" w:line="273"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category represents an investment in a mutual fund that invests primarily in real estate securities, including common stocks, preferred stock and other equity securities issued by real estate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Life and Medical Plan</w:t>
      </w:r>
    </w:p>
    <w:p>
      <w:pPr>
        <w:spacing w:after="0" w:line="9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Post-Retirement Benefit Obligation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accumulated post-retirement benefit obligation ("APBO") under this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For the fiscal years ended</w:t>
            </w:r>
          </w:p>
        </w:tc>
      </w:tr>
      <w:tr>
        <w:trPr>
          <w:trHeight w:val="33"/>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28, 2019</w:t>
            </w:r>
          </w:p>
        </w:tc>
        <w:tc>
          <w:tcPr>
            <w:tcW w:w="24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29, 2018</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APBO at beginning of fiscal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4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participants' contribution</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APBO at end of fiscal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3,228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1" w:right="259" w:bottom="1440" w:gutter="0" w:footer="0" w:header="0"/>
        </w:sectPr>
      </w:pPr>
    </w:p>
    <w:bookmarkStart w:id="73" w:name="page74"/>
    <w:bookmarkEnd w:id="73"/>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Approximately $3.0 million and $2.9 million of the APBO at the end of fiscal 2019 and 2018, respectively, were classified as other long term liabilities in the Company's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Post-Retirement (Benefit) Cost and Changes Recognized in Other Comprehensive Income</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components of net periodic post-retirement cost (benefit) recognized in the statement of operations and changes recognized in other comprehensive income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For the fiscal year ended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29, 2018</w:t>
            </w:r>
          </w:p>
        </w:tc>
        <w:tc>
          <w:tcPr>
            <w:tcW w:w="18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30, 2017</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Recognized in the statement of operations: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7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6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periodic post-retirement (benefit)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120"/>
              <w:spacing w:after="0"/>
              <w:rPr>
                <w:sz w:val="20"/>
                <w:szCs w:val="20"/>
                <w:color w:val="auto"/>
              </w:rPr>
            </w:pPr>
            <w:r>
              <w:rPr>
                <w:rFonts w:ascii="Arial" w:cs="Arial" w:eastAsia="Arial" w:hAnsi="Arial"/>
                <w:sz w:val="16"/>
                <w:szCs w:val="16"/>
                <w:color w:val="auto"/>
              </w:rPr>
              <w:t>Net loss (gain) arising during the fiscal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7"/>
        </w:trPr>
        <w:tc>
          <w:tcPr>
            <w:tcW w:w="5720" w:type="dxa"/>
            <w:vAlign w:val="bottom"/>
          </w:tcPr>
          <w:p>
            <w:pPr>
              <w:ind w:left="200"/>
              <w:spacing w:after="0"/>
              <w:rPr>
                <w:sz w:val="20"/>
                <w:szCs w:val="20"/>
                <w:color w:val="auto"/>
              </w:rPr>
            </w:pPr>
            <w:r>
              <w:rPr>
                <w:rFonts w:ascii="Arial" w:cs="Arial" w:eastAsia="Arial" w:hAnsi="Arial"/>
                <w:sz w:val="16"/>
                <w:szCs w:val="16"/>
                <w:color w:val="auto"/>
              </w:rPr>
              <w:t>Total changes recognized in other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net periodic cost (benefit) and changes recognized in other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right="360" w:hanging="492"/>
        <w:spacing w:after="0" w:line="273"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2020, approximately $0.3 million is expected to be reclassified from accumulated other comprehensive loss as a credit to periodic net periodic pension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actuarial computations utilized the following assumptions, using year-end measurement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gridSpan w:val="4"/>
          </w:tcPr>
          <w:p>
            <w:pPr>
              <w:ind w:left="40"/>
              <w:spacing w:after="0"/>
              <w:rPr>
                <w:sz w:val="20"/>
                <w:szCs w:val="20"/>
                <w:color w:val="auto"/>
              </w:rPr>
            </w:pPr>
            <w:r>
              <w:rPr>
                <w:rFonts w:ascii="Arial" w:cs="Arial" w:eastAsia="Arial" w:hAnsi="Arial"/>
                <w:sz w:val="16"/>
                <w:szCs w:val="16"/>
                <w:b w:val="1"/>
                <w:bCs w:val="1"/>
                <w:color w:val="auto"/>
              </w:rPr>
              <w:t>Benefit obligation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220" w:type="dxa"/>
            <w:vAlign w:val="bottom"/>
            <w:tcBorders>
              <w:top w:val="single" w:sz="8" w:color="auto"/>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498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r>
      <w:tr>
        <w:trPr>
          <w:trHeight w:val="23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pension cost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shd w:val="clear" w:color="auto" w:fill="000000"/>
          </w:tcPr>
          <w:p>
            <w:pPr>
              <w:spacing w:after="0" w:line="20" w:lineRule="exact"/>
              <w:rPr>
                <w:sz w:val="1"/>
                <w:szCs w:val="1"/>
                <w:color w:val="auto"/>
              </w:rPr>
            </w:pPr>
          </w:p>
        </w:tc>
      </w:tr>
      <w:tr>
        <w:trPr>
          <w:trHeight w:val="217"/>
        </w:trPr>
        <w:tc>
          <w:tcPr>
            <w:tcW w:w="6740" w:type="dxa"/>
            <w:vAlign w:val="bottom"/>
            <w:gridSpan w:val="4"/>
          </w:tcPr>
          <w:p>
            <w:pPr>
              <w:ind w:left="40"/>
              <w:spacing w:after="0"/>
              <w:rPr>
                <w:sz w:val="20"/>
                <w:szCs w:val="20"/>
                <w:color w:val="auto"/>
              </w:rPr>
            </w:pPr>
            <w:r>
              <w:rPr>
                <w:rFonts w:ascii="Arial" w:cs="Arial" w:eastAsia="Arial" w:hAnsi="Arial"/>
                <w:sz w:val="16"/>
                <w:szCs w:val="16"/>
                <w:color w:val="auto"/>
              </w:rPr>
              <w:t>Discount rate</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4.00%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Pr>
          <w:p>
            <w:pPr>
              <w:spacing w:after="0"/>
              <w:rPr>
                <w:sz w:val="18"/>
                <w:szCs w:val="18"/>
                <w:color w:val="auto"/>
              </w:rPr>
            </w:pP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3.50%</w:t>
            </w:r>
          </w:p>
        </w:tc>
      </w:tr>
    </w:tbl>
    <w:p>
      <w:pPr>
        <w:spacing w:after="0" w:line="200" w:lineRule="exact"/>
        <w:rPr>
          <w:sz w:val="20"/>
          <w:szCs w:val="20"/>
          <w:color w:val="auto"/>
        </w:rPr>
      </w:pPr>
    </w:p>
    <w:p>
      <w:pPr>
        <w:spacing w:after="0" w:line="2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discount rates used at December 28, 2019, December 29, 2018, and December 30, 2017, were determined with primary consideration given to the Citigroup Pension Discount and Liability Index adjusted for the timing of expected plan distributions. The Company believes this index reflects a risk-free rate with maturities that are comparable to the timing of the expected payments under the plan.</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contribution for these post-retirement benefit obligations was approximately $0.3 million in fiscal year 2019, $0.3 million in fiscal year 2018, and $0.3 million in fiscal year 2017. The Company expects that its contribution and benefit payments for post-retirement benefit obligations will be approximately $0.3 million for fiscal years 2020, 2021, 2022, 2023, and 2024. For the five years subsequent to fiscal 2024, the aggregate contributions and benefit payments for post-retirement benefit obligations is expected to be approximately $1.0 million. The Company does not pre-fund this plan and as a result there are no plan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ectPr>
          <w:pgSz w:w="11900" w:h="16838" w:orient="portrait"/>
          <w:cols w:equalWidth="0" w:num="1">
            <w:col w:w="11400"/>
          </w:cols>
          <w:pgMar w:left="240" w:top="121" w:right="25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121" w:right="259" w:bottom="1440" w:gutter="0" w:footer="0" w:header="0"/>
          <w:type w:val="continuous"/>
        </w:sectPr>
      </w:pPr>
    </w:p>
    <w:bookmarkStart w:id="74" w:name="page75"/>
    <w:bookmarkEnd w:id="74"/>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also sponsors defined contribution savings plans in the United States and Canada. The U.S. plan covers employees who are at least 21 years of age and have completed one calendar month of service and, if part-time, work a minimum of one thousand hours of service within the one-year period following the commencement of employment or during any subsequent calendar year. The plan provides for a discretionary employer match. The Company's expense for the U.S. defined contribution savings plan totaled approximately $8.0 million, $8.0 million, and $13.9 million for the fiscal years ended December 28, 2019, December 29, 2018, and December 30, 2017, respectively. Expenses related to the Canadian defined contribution savings plan were approximately $0.1 million in fiscal year 2019, $0.1 million in fiscal year 2018, and $0.3 million in fiscal year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For the fiscal year ended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720" w:type="dxa"/>
            <w:vAlign w:val="bottom"/>
            <w:gridSpan w:val="4"/>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30, 2017</w:t>
            </w:r>
          </w:p>
        </w:tc>
      </w:tr>
      <w:tr>
        <w:trPr>
          <w:trHeight w:val="33"/>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6"/>
        </w:trPr>
        <w:tc>
          <w:tcPr>
            <w:tcW w:w="572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Current tax provision:</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37"/>
        </w:trPr>
        <w:tc>
          <w:tcPr>
            <w:tcW w:w="5720" w:type="dxa"/>
            <w:vAlign w:val="bottom"/>
            <w:gridSpan w:val="4"/>
          </w:tcPr>
          <w:p>
            <w:pPr>
              <w:ind w:left="4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50,162</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48,129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117,676</w:t>
            </w: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11,368</w:t>
            </w:r>
          </w:p>
        </w:tc>
      </w:tr>
      <w:tr>
        <w:trPr>
          <w:trHeight w:val="237"/>
        </w:trPr>
        <w:tc>
          <w:tcPr>
            <w:tcW w:w="5720" w:type="dxa"/>
            <w:vAlign w:val="bottom"/>
            <w:gridSpan w:val="4"/>
          </w:tcPr>
          <w:p>
            <w:pPr>
              <w:ind w:left="40"/>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20"/>
                <w:szCs w:val="20"/>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16,740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17,359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14,116</w:t>
            </w:r>
          </w:p>
        </w:tc>
      </w:tr>
      <w:tr>
        <w:trPr>
          <w:trHeight w:val="33"/>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current provision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77,450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143,160</w:t>
            </w: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572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Deferred tax provision (benefit):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37"/>
        </w:trPr>
        <w:tc>
          <w:tcPr>
            <w:tcW w:w="5720" w:type="dxa"/>
            <w:vAlign w:val="bottom"/>
            <w:gridSpan w:val="4"/>
          </w:tcPr>
          <w:p>
            <w:pPr>
              <w:ind w:left="4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(10,775)</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(55,191)</w:t>
            </w: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37"/>
        </w:trPr>
        <w:tc>
          <w:tcPr>
            <w:tcW w:w="5720" w:type="dxa"/>
            <w:vAlign w:val="bottom"/>
            <w:gridSpan w:val="4"/>
          </w:tcPr>
          <w:p>
            <w:pPr>
              <w:ind w:left="40"/>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deferred provision</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(54,936)</w:t>
            </w:r>
          </w:p>
        </w:tc>
      </w:tr>
      <w:tr>
        <w:trPr>
          <w:trHeight w:val="244"/>
        </w:trPr>
        <w:tc>
          <w:tcPr>
            <w:tcW w:w="5720" w:type="dxa"/>
            <w:vAlign w:val="bottom"/>
            <w:gridSpan w:val="4"/>
          </w:tcPr>
          <w:p>
            <w:pPr>
              <w:ind w:left="40"/>
              <w:spacing w:after="0"/>
              <w:rPr>
                <w:sz w:val="20"/>
                <w:szCs w:val="20"/>
                <w:color w:val="auto"/>
              </w:rPr>
            </w:pPr>
            <w:r>
              <w:rPr>
                <w:rFonts w:ascii="Arial" w:cs="Arial" w:eastAsia="Arial" w:hAnsi="Arial"/>
                <w:sz w:val="16"/>
                <w:szCs w:val="16"/>
                <w:color w:val="auto"/>
              </w:rPr>
              <w:t>Total provision</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64,150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73,907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88,224</w:t>
            </w: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foreign portion of the tax position substantially relates to the Company's international operations in Canada, Hong Kong and Mexico in addition to foreign tax withholdings related to the Company's foreign royalty income.</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plans to repatriate undistributed earnings from Hong Kong and has provided for deferred income taxes related to these earnings. Since the current US tax regime taxes foreign earnings in the year earned, taxes associated with repatriation are not material. Deferred income taxes have not been provided for undistributed foreign earnings from Canada or Mexico, or any additional outside basis difference inherent in all foreign entities, as these amounts continue to be indefinitely reinvested in foreign operations. Total undistributed earnings from the Company's subsidiaries in Canada and Mexico amounted to approximately $45 million. Unrecognized deferred tax liability related to undistributed earnings from the Company's subsidiaries in Canada and Mexico is estimated to be approximately $2 million, based on applicable withholding taxes, levels of foreign income previously taxed in the U.S. and applicable foreign tax credit limitations. The company accounts for the additional U.S. income tax on its foreign earnings under Global Intangible Low-Taxed Income ("GILTI") as a period expense in the period in which additional tax is due.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Provisional estimate</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provision for income taxes recognized by the Company during 2017 reflected certain provisional estimates for the accounting of the December 22, 2017 enactment of tax law changes known as the 2017 Act. During the fourth quarter of fiscal 2017, the Company recognized an income tax provisional tax expense of $10.4 million related to the Company's total post-1986 foreign earnings and profits ("E&amp;P") that the Company previously deferred from United States income taxes. During fiscal 2018, the Company completed its calculation of the one-time transition tax for all of its foreign subsidiaries. The adjustment made to this provisional tax expense estimate was not material.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For the fiscal year ended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30, 2017</w:t>
            </w:r>
          </w:p>
        </w:tc>
      </w:tr>
      <w:tr>
        <w:trPr>
          <w:trHeight w:val="33"/>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225,488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325,620</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20"/>
                <w:szCs w:val="20"/>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102,464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95,253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65,452</w:t>
            </w:r>
          </w:p>
        </w:tc>
      </w:tr>
      <w:tr>
        <w:trPr>
          <w:trHeight w:val="33"/>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327,952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391,072</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Rate Reconciliation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Company's effective income tax rate and the federal statutory tax rate is reconciled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For the fiscal year ended</w:t>
            </w:r>
          </w:p>
        </w:tc>
        <w:tc>
          <w:tcPr>
            <w:tcW w:w="190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28, 2019</w:t>
            </w: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29, 2018</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30, 2017</w:t>
            </w:r>
          </w:p>
        </w:tc>
      </w:tr>
      <w:tr>
        <w:trPr>
          <w:trHeight w:val="33"/>
        </w:trPr>
        <w:tc>
          <w:tcPr>
            <w:tcW w:w="55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federal income tax rate</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State income taxes, net of federal income tax benefit</w:t>
            </w:r>
          </w:p>
        </w:tc>
        <w:tc>
          <w:tcPr>
            <w:tcW w:w="188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33"/>
        </w:trPr>
        <w:tc>
          <w:tcPr>
            <w:tcW w:w="5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Impact of foreign operations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Settlement of uncertain tax positions</w:t>
            </w:r>
          </w:p>
        </w:tc>
        <w:tc>
          <w:tcPr>
            <w:tcW w:w="18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from stock-based compensation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Imposition of transition tax on foreign subsidiaries</w:t>
            </w:r>
          </w:p>
        </w:tc>
        <w:tc>
          <w:tcPr>
            <w:tcW w:w="2000" w:type="dxa"/>
            <w:vAlign w:val="bottom"/>
            <w:gridSpan w:val="2"/>
          </w:tcPr>
          <w:p>
            <w:pPr>
              <w:ind w:left="1500"/>
              <w:spacing w:after="0"/>
              <w:rPr>
                <w:sz w:val="20"/>
                <w:szCs w:val="20"/>
                <w:color w:val="auto"/>
              </w:rPr>
            </w:pPr>
            <w:r>
              <w:rPr>
                <w:rFonts w:ascii="Arial" w:cs="Arial" w:eastAsia="Arial" w:hAnsi="Arial"/>
                <w:sz w:val="16"/>
                <w:szCs w:val="16"/>
                <w:color w:val="auto"/>
              </w:rPr>
              <w:t>— %</w:t>
            </w:r>
          </w:p>
        </w:tc>
        <w:tc>
          <w:tcPr>
            <w:tcW w:w="1980" w:type="dxa"/>
            <w:vAlign w:val="bottom"/>
            <w:gridSpan w:val="2"/>
          </w:tcPr>
          <w:p>
            <w:pPr>
              <w:ind w:left="1500"/>
              <w:spacing w:after="0"/>
              <w:rPr>
                <w:sz w:val="20"/>
                <w:szCs w:val="20"/>
                <w:color w:val="auto"/>
              </w:rPr>
            </w:pPr>
            <w:r>
              <w:rPr>
                <w:rFonts w:ascii="Arial" w:cs="Arial" w:eastAsia="Arial" w:hAnsi="Arial"/>
                <w:sz w:val="16"/>
                <w:szCs w:val="16"/>
                <w:color w:val="auto"/>
              </w:rPr>
              <w:t>— %</w:t>
            </w:r>
          </w:p>
        </w:tc>
        <w:tc>
          <w:tcPr>
            <w:tcW w:w="190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33"/>
        </w:trPr>
        <w:tc>
          <w:tcPr>
            <w:tcW w:w="5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Revaluation of deferred taxes</w:t>
            </w:r>
          </w:p>
        </w:tc>
        <w:tc>
          <w:tcPr>
            <w:tcW w:w="200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 %</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44"/>
        </w:trPr>
        <w:tc>
          <w:tcPr>
            <w:tcW w:w="5540" w:type="dxa"/>
            <w:vAlign w:val="bottom"/>
          </w:tcPr>
          <w:p>
            <w:pPr>
              <w:ind w:left="40"/>
              <w:spacing w:after="0"/>
              <w:rPr>
                <w:sz w:val="20"/>
                <w:szCs w:val="20"/>
                <w:color w:val="auto"/>
              </w:rPr>
            </w:pPr>
            <w:r>
              <w:rPr>
                <w:rFonts w:ascii="Arial" w:cs="Arial" w:eastAsia="Arial" w:hAnsi="Arial"/>
                <w:sz w:val="16"/>
                <w:szCs w:val="16"/>
                <w:color w:val="auto"/>
              </w:rPr>
              <w:t>Total</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19.6 %</w:t>
            </w:r>
          </w:p>
        </w:tc>
        <w:tc>
          <w:tcPr>
            <w:tcW w:w="120" w:type="dxa"/>
            <w:vAlign w:val="bottom"/>
          </w:tcPr>
          <w:p>
            <w:pPr>
              <w:spacing w:after="0"/>
              <w:rPr>
                <w:sz w:val="21"/>
                <w:szCs w:val="21"/>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Pr>
          <w:p>
            <w:pPr>
              <w:spacing w:after="0"/>
              <w:rPr>
                <w:sz w:val="21"/>
                <w:szCs w:val="21"/>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22.6 %</w:t>
            </w:r>
          </w:p>
        </w:tc>
      </w:tr>
      <w:tr>
        <w:trPr>
          <w:trHeight w:val="20"/>
        </w:trPr>
        <w:tc>
          <w:tcPr>
            <w:tcW w:w="55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and its subsidiaries file a consolidated United States federal income tax return, as well as separate and combined income tax returns in numerous state and foreign jurisdictions. In most cases, the Company is no longer subject to US tax authority examinations for years prior to fiscal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reflects the Company's calculation of the components of deferred tax assets and liabilities as of December 28, 2019 and December 29,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4"/>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169"/>
        </w:trPr>
        <w:tc>
          <w:tcPr>
            <w:tcW w:w="76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6"/>
                <w:szCs w:val="16"/>
                <w:b w:val="1"/>
                <w:bCs w:val="1"/>
                <w:color w:val="auto"/>
              </w:rPr>
              <w:t>Deferred tax assets:</w:t>
            </w:r>
          </w:p>
        </w:tc>
        <w:tc>
          <w:tcPr>
            <w:tcW w:w="200" w:type="dxa"/>
            <w:vAlign w:val="bottom"/>
            <w:shd w:val="clear" w:color="auto" w:fill="CCEEFF"/>
          </w:tcPr>
          <w:p>
            <w:pPr>
              <w:spacing w:after="0"/>
              <w:rPr>
                <w:sz w:val="14"/>
                <w:szCs w:val="14"/>
                <w:color w:val="auto"/>
              </w:rPr>
            </w:pPr>
          </w:p>
        </w:tc>
        <w:tc>
          <w:tcPr>
            <w:tcW w:w="3560" w:type="dxa"/>
            <w:vAlign w:val="bottom"/>
            <w:gridSpan w:val="4"/>
            <w:shd w:val="clear" w:color="auto" w:fill="CCEEFF"/>
          </w:tcPr>
          <w:p>
            <w:pPr>
              <w:jc w:val="right"/>
              <w:ind w:right="1159"/>
              <w:spacing w:after="0" w:line="155" w:lineRule="exact"/>
              <w:rPr>
                <w:sz w:val="20"/>
                <w:szCs w:val="20"/>
                <w:color w:val="auto"/>
              </w:rPr>
            </w:pPr>
            <w:r>
              <w:rPr>
                <w:rFonts w:ascii="Arial" w:cs="Arial" w:eastAsia="Arial" w:hAnsi="Arial"/>
                <w:sz w:val="16"/>
                <w:szCs w:val="16"/>
                <w:color w:val="auto"/>
              </w:rPr>
              <w:t>Assets (Liabilities)</w:t>
            </w: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CCEEFF"/>
            </w:tcBorders>
            <w:shd w:val="clear" w:color="auto" w:fill="CCEEFF"/>
          </w:tcPr>
          <w:p>
            <w:pPr>
              <w:spacing w:after="0"/>
              <w:rPr>
                <w:sz w:val="5"/>
                <w:szCs w:val="5"/>
                <w:color w:val="auto"/>
              </w:rPr>
            </w:pP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6"/>
                <w:szCs w:val="16"/>
                <w:color w:val="auto"/>
              </w:rPr>
              <w:t>Accounts receivable allowance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3,674</w:t>
            </w:r>
          </w:p>
        </w:tc>
      </w:tr>
      <w:tr>
        <w:trPr>
          <w:trHeight w:val="33"/>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7,785</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10,219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10,672</w:t>
            </w:r>
          </w:p>
        </w:tc>
      </w:tr>
      <w:tr>
        <w:trPr>
          <w:trHeight w:val="33"/>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Equity-based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5,278</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6"/>
                <w:szCs w:val="16"/>
                <w:color w:val="auto"/>
              </w:rPr>
              <w:t>Deferred employee benefits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6,425</w:t>
            </w:r>
          </w:p>
        </w:tc>
      </w:tr>
      <w:tr>
        <w:trPr>
          <w:trHeight w:val="33"/>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Leasing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33,761</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3,699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3,007</w:t>
            </w:r>
          </w:p>
        </w:tc>
      </w:tr>
      <w:tr>
        <w:trPr>
          <w:trHeight w:val="33"/>
        </w:trPr>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70,602</w:t>
            </w:r>
          </w:p>
        </w:tc>
      </w:tr>
      <w:tr>
        <w:trPr>
          <w:trHeight w:val="196"/>
        </w:trPr>
        <w:tc>
          <w:tcPr>
            <w:tcW w:w="7660" w:type="dxa"/>
            <w:vAlign w:val="bottom"/>
            <w:gridSpan w:val="4"/>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(62,898)</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6"/>
                <w:szCs w:val="16"/>
                <w:color w:val="auto"/>
              </w:rPr>
              <w:t>Leasing assets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(149,085)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Tradename and licensing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(89,194)</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(3,774)</w:t>
            </w:r>
          </w:p>
        </w:tc>
      </w:tr>
      <w:tr>
        <w:trPr>
          <w:trHeight w:val="33"/>
        </w:trPr>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r>
      <w:tr>
        <w:trPr>
          <w:trHeight w:val="210"/>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deferred tax asset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(85,264)</w:t>
            </w:r>
          </w:p>
        </w:tc>
      </w:tr>
      <w:tr>
        <w:trPr>
          <w:trHeight w:val="20"/>
        </w:trPr>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6" w:name="page77"/>
    <w:bookmarkEnd w:id="76"/>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4"/>
            <w:shd w:val="clear" w:color="auto" w:fill="CCEEFF"/>
          </w:tcPr>
          <w:p>
            <w:pPr>
              <w:jc w:val="right"/>
              <w:ind w:right="1159"/>
              <w:spacing w:after="0"/>
              <w:rPr>
                <w:sz w:val="20"/>
                <w:szCs w:val="20"/>
                <w:color w:val="auto"/>
              </w:rPr>
            </w:pPr>
            <w:r>
              <w:rPr>
                <w:rFonts w:ascii="Arial" w:cs="Arial" w:eastAsia="Arial" w:hAnsi="Arial"/>
                <w:sz w:val="16"/>
                <w:szCs w:val="16"/>
                <w:color w:val="auto"/>
              </w:rPr>
              <w:t>Assets (Liabilities)</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2,061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2,083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(87,347)</w:t>
            </w:r>
          </w:p>
        </w:tc>
      </w:tr>
      <w:tr>
        <w:trPr>
          <w:trHeight w:val="244"/>
        </w:trPr>
        <w:tc>
          <w:tcPr>
            <w:tcW w:w="7660" w:type="dxa"/>
            <w:vAlign w:val="bottom"/>
          </w:tcPr>
          <w:p>
            <w:pPr>
              <w:ind w:left="40"/>
              <w:spacing w:after="0"/>
              <w:rPr>
                <w:sz w:val="20"/>
                <w:szCs w:val="20"/>
                <w:color w:val="auto"/>
              </w:rPr>
            </w:pPr>
            <w:r>
              <w:rPr>
                <w:rFonts w:ascii="Arial" w:cs="Arial" w:eastAsia="Arial" w:hAnsi="Arial"/>
                <w:sz w:val="16"/>
                <w:szCs w:val="16"/>
                <w:color w:val="auto"/>
              </w:rPr>
              <w:t>Net deferred tax asset (liability)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(72,309)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(85,264)</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During the fourth quarter of fiscal 2017, the Company remeasured certain deferred tax assets and liabilities based on the rates at which they are expected to reverse in the future, which is generally a 21% federal rate. The remeasurement resulted in an income tax benefit of $50.4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beginning and ending amount of unrecognized tax benefits: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3"/>
        </w:trPr>
        <w:tc>
          <w:tcPr>
            <w:tcW w:w="9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10,537</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fiscal 2017</w:t>
            </w:r>
          </w:p>
        </w:tc>
        <w:tc>
          <w:tcPr>
            <w:tcW w:w="6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3,380</w:t>
            </w:r>
          </w:p>
        </w:tc>
      </w:tr>
      <w:tr>
        <w:trPr>
          <w:trHeight w:val="33"/>
        </w:trPr>
        <w:tc>
          <w:tcPr>
            <w:tcW w:w="9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for prior year tax positions</w:t>
            </w: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Reductions for lapse of statute of limitations</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(1,604)</w:t>
            </w:r>
          </w:p>
        </w:tc>
      </w:tr>
      <w:tr>
        <w:trPr>
          <w:trHeight w:val="33"/>
        </w:trPr>
        <w:tc>
          <w:tcPr>
            <w:tcW w:w="9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12,193</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fiscal 2018</w:t>
            </w:r>
          </w:p>
        </w:tc>
        <w:tc>
          <w:tcPr>
            <w:tcW w:w="6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3,350</w:t>
            </w:r>
          </w:p>
        </w:tc>
      </w:tr>
      <w:tr>
        <w:trPr>
          <w:trHeight w:val="33"/>
        </w:trPr>
        <w:tc>
          <w:tcPr>
            <w:tcW w:w="9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for prior year tax positions</w:t>
            </w: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Reductions for lapse of statute of limitations</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(1,867)</w:t>
            </w:r>
          </w:p>
        </w:tc>
      </w:tr>
      <w:tr>
        <w:trPr>
          <w:trHeight w:val="33"/>
        </w:trPr>
        <w:tc>
          <w:tcPr>
            <w:tcW w:w="9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13,917</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fiscal 2019</w:t>
            </w:r>
          </w:p>
        </w:tc>
        <w:tc>
          <w:tcPr>
            <w:tcW w:w="6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2,197</w:t>
            </w:r>
          </w:p>
        </w:tc>
      </w:tr>
      <w:tr>
        <w:trPr>
          <w:trHeight w:val="33"/>
        </w:trPr>
        <w:tc>
          <w:tcPr>
            <w:tcW w:w="9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for lapse of statute of limitations</w:t>
            </w: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r>
      <w:tr>
        <w:trPr>
          <w:trHeight w:val="244"/>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13,923</w:t>
            </w:r>
          </w:p>
        </w:tc>
      </w:tr>
      <w:tr>
        <w:trPr>
          <w:trHeight w:val="20"/>
        </w:trPr>
        <w:tc>
          <w:tcPr>
            <w:tcW w:w="9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 of December 28, 2019, the Company had gross unrecognized tax benefits of approximately $13.9 million, of which $11.9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Included in the reserves for unrecognized tax benefits are approximately $2.1 million of reserves for which the statute of limitations is expected to expire within the next fiscal year. If these tax benefits are ultimately recognized, such recognition, net of federal income taxes, may affect the annual effective tax rate for fiscal 2020 and the effective tax rate in the quarter in which the benefits are recognized.</w:t>
      </w:r>
    </w:p>
    <w:p>
      <w:pPr>
        <w:spacing w:after="0" w:line="14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recognizes interest related to unrecognized tax benefits as a component of interest expense and penalties related to unrecognized tax benefits as a component of income tax expense. During fiscal 2019 and 2018, expense recorded on uncertain tax positions was approximately $0.5 million and $0.8 million, respectively. During fiscal 2017, interest expense recorded on uncertain tax positions was not significant. The Company had accrued interest on uncertain tax positions of approximately $2.3 million and $1.8 million as of December 28, 2019 and December 29, 2018,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Weighted-average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Basic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Dilutive effect of equity awards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Diluted number of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Earnings per share: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net income per common share:</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Income allocated to participating securities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For the 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30,</w:t>
            </w:r>
          </w:p>
        </w:tc>
      </w:tr>
      <w:tr>
        <w:trPr>
          <w:trHeight w:val="210"/>
        </w:trPr>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28, 2019</w:t>
            </w: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December 29, 2018</w:t>
            </w: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01"/>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44,402,438</w:t>
            </w:r>
          </w:p>
        </w:tc>
        <w:tc>
          <w:tcPr>
            <w:tcW w:w="12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46,160,935</w:t>
            </w:r>
          </w:p>
        </w:tc>
        <w:tc>
          <w:tcPr>
            <w:tcW w:w="10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47,593,211</w:t>
            </w:r>
          </w:p>
        </w:tc>
      </w:tr>
      <w:tr>
        <w:trPr>
          <w:trHeight w:val="270"/>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305,514</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487,485</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552,864</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44,707,952</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46,648,420</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48,146,075</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263,802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282,068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302,848</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(2,430)</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(2,148)</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(2,407)</w:t>
            </w:r>
          </w:p>
        </w:tc>
      </w:tr>
    </w:tbl>
    <w:p>
      <w:pPr>
        <w:spacing w:after="0" w:line="13" w:lineRule="exact"/>
        <w:rPr>
          <w:sz w:val="20"/>
          <w:szCs w:val="20"/>
          <w:color w:val="auto"/>
        </w:rPr>
      </w:pPr>
    </w:p>
    <w:p>
      <w:pPr>
        <w:sectPr>
          <w:pgSz w:w="11900" w:h="16838" w:orient="portrait"/>
          <w:cols w:equalWidth="0" w:num="2">
            <w:col w:w="6360" w:space="720"/>
            <w:col w:w="43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261,372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279,920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300,441</w:t>
            </w:r>
          </w:p>
        </w:tc>
      </w:tr>
      <w:tr>
        <w:trPr>
          <w:trHeight w:val="73"/>
        </w:trPr>
        <w:tc>
          <w:tcPr>
            <w:tcW w:w="708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17"/>
        </w:trPr>
        <w:tc>
          <w:tcPr>
            <w:tcW w:w="7080" w:type="dxa"/>
            <w:vAlign w:val="bottom"/>
            <w:tcBorders>
              <w:bottom w:val="single" w:sz="8" w:color="CCEEFF"/>
            </w:tcBorders>
            <w:shd w:val="clear" w:color="auto" w:fill="CCEEFF"/>
          </w:tcPr>
          <w:p>
            <w:pPr>
              <w:ind w:left="360"/>
              <w:spacing w:after="0" w:line="177" w:lineRule="exact"/>
              <w:rPr>
                <w:sz w:val="20"/>
                <w:szCs w:val="20"/>
                <w:color w:val="auto"/>
              </w:rPr>
            </w:pPr>
            <w:r>
              <w:rPr>
                <w:rFonts w:ascii="Arial" w:cs="Arial" w:eastAsia="Arial" w:hAnsi="Arial"/>
                <w:sz w:val="16"/>
                <w:szCs w:val="16"/>
                <w:color w:val="auto"/>
              </w:rPr>
              <w:t>Basic net income per common share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263,802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282,068</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302,848</w:t>
            </w:r>
          </w:p>
        </w:tc>
      </w:tr>
      <w:tr>
        <w:trPr>
          <w:trHeight w:val="33"/>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w:t>
            </w:r>
          </w:p>
        </w:tc>
      </w:tr>
      <w:tr>
        <w:trPr>
          <w:trHeight w:val="217"/>
        </w:trPr>
        <w:tc>
          <w:tcPr>
            <w:tcW w:w="7080" w:type="dxa"/>
            <w:vAlign w:val="bottom"/>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261,383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279,936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300,462</w:t>
            </w:r>
          </w:p>
        </w:tc>
      </w:tr>
      <w:tr>
        <w:trPr>
          <w:trHeight w:val="73"/>
        </w:trPr>
        <w:tc>
          <w:tcPr>
            <w:tcW w:w="708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17"/>
        </w:trPr>
        <w:tc>
          <w:tcPr>
            <w:tcW w:w="7080" w:type="dxa"/>
            <w:vAlign w:val="bottom"/>
            <w:tcBorders>
              <w:bottom w:val="single" w:sz="8" w:color="CCEEFF"/>
            </w:tcBorders>
            <w:shd w:val="clear" w:color="auto" w:fill="CCEEFF"/>
          </w:tcPr>
          <w:p>
            <w:pPr>
              <w:ind w:left="360"/>
              <w:spacing w:after="0" w:line="177" w:lineRule="exact"/>
              <w:rPr>
                <w:sz w:val="20"/>
                <w:szCs w:val="20"/>
                <w:color w:val="auto"/>
              </w:rPr>
            </w:pPr>
            <w:r>
              <w:rPr>
                <w:rFonts w:ascii="Arial" w:cs="Arial" w:eastAsia="Arial" w:hAnsi="Arial"/>
                <w:sz w:val="16"/>
                <w:szCs w:val="16"/>
                <w:color w:val="auto"/>
              </w:rPr>
              <w:t>Diluted net income per common share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Anti-dilutive shares excluded from dilutive earnings per share calculations</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351,777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289,839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629,944</w:t>
            </w:r>
          </w:p>
        </w:tc>
      </w:tr>
    </w:tbl>
    <w:p>
      <w:pPr>
        <w:spacing w:after="0" w:line="27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volume of antidilutive shares is, in part, due to the related unamortized compensation costs.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Company grants shares of its common stock in the form of restricted stock awards to certain key employees under the Company's Amended and Restated Equity Incentive Plan (see Note 11, </w:t>
      </w:r>
      <w:r>
        <w:rPr>
          <w:rFonts w:ascii="Arial" w:cs="Arial" w:eastAsia="Arial" w:hAnsi="Arial"/>
          <w:sz w:val="17"/>
          <w:szCs w:val="17"/>
          <w:i w:val="1"/>
          <w:iCs w:val="1"/>
          <w:color w:val="auto"/>
        </w:rPr>
        <w:t>Stock-based Compensation</w:t>
      </w:r>
      <w:r>
        <w:rPr>
          <w:rFonts w:ascii="Arial" w:cs="Arial" w:eastAsia="Arial" w:hAnsi="Arial"/>
          <w:sz w:val="17"/>
          <w:szCs w:val="17"/>
          <w:color w:val="auto"/>
        </w:rPr>
        <w:t>, to the consolidated financial statements). Prior to vesting of the restricted stock awards, the grant recipients are entitled to receive non-forfeitable cash dividends if the Company's Board of Directors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46" w:lineRule="exact"/>
        <w:rPr>
          <w:sz w:val="20"/>
          <w:szCs w:val="20"/>
          <w:color w:val="auto"/>
        </w:rPr>
      </w:pPr>
    </w:p>
    <w:p>
      <w:pPr>
        <w:ind w:right="520"/>
        <w:spacing w:after="0" w:line="297" w:lineRule="auto"/>
        <w:rPr>
          <w:sz w:val="20"/>
          <w:szCs w:val="20"/>
          <w:color w:val="auto"/>
        </w:rPr>
      </w:pPr>
      <w:r>
        <w:rPr>
          <w:rFonts w:ascii="Arial" w:cs="Arial" w:eastAsia="Arial" w:hAnsi="Arial"/>
          <w:sz w:val="16"/>
          <w:szCs w:val="16"/>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type w:val="continuous"/>
        </w:sectPr>
      </w:pPr>
    </w:p>
    <w:bookmarkStart w:id="78" w:name="page79"/>
    <w:bookmarkEnd w:id="78"/>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segment information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4"/>
          </w:tcPr>
          <w:p>
            <w:pPr>
              <w:ind w:left="560"/>
              <w:spacing w:after="0"/>
              <w:rPr>
                <w:sz w:val="20"/>
                <w:szCs w:val="20"/>
                <w:color w:val="auto"/>
              </w:rPr>
            </w:pPr>
            <w:r>
              <w:rPr>
                <w:rFonts w:ascii="Arial" w:cs="Arial" w:eastAsia="Arial" w:hAnsi="Arial"/>
                <w:sz w:val="16"/>
                <w:szCs w:val="16"/>
                <w:b w:val="1"/>
                <w:bCs w:val="1"/>
                <w:color w:val="auto"/>
              </w:rPr>
              <w:t>For the fiscal year ended</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consolidated</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 of consolidated</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 of consolidated</w:t>
            </w:r>
          </w:p>
        </w:tc>
        <w:tc>
          <w:tcPr>
            <w:tcW w:w="0" w:type="dxa"/>
            <w:vAlign w:val="bottom"/>
          </w:tcPr>
          <w:p>
            <w:pPr>
              <w:spacing w:after="0"/>
              <w:rPr>
                <w:sz w:val="1"/>
                <w:szCs w:val="1"/>
                <w:color w:val="auto"/>
              </w:rPr>
            </w:pPr>
          </w:p>
        </w:tc>
      </w:tr>
      <w:tr>
        <w:trPr>
          <w:trHeight w:val="210"/>
        </w:trPr>
        <w:tc>
          <w:tcPr>
            <w:tcW w:w="1920" w:type="dxa"/>
            <w:vAlign w:val="bottom"/>
            <w:gridSpan w:val="4"/>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28, 2019</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29, 2018</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30, 2017</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2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20" w:type="dxa"/>
            <w:vAlign w:val="bottom"/>
            <w:gridSpan w:val="4"/>
          </w:tcPr>
          <w:p>
            <w:pPr>
              <w:ind w:left="40"/>
              <w:spacing w:after="0"/>
              <w:rPr>
                <w:sz w:val="20"/>
                <w:szCs w:val="20"/>
                <w:color w:val="auto"/>
              </w:rPr>
            </w:pPr>
            <w:r>
              <w:rPr>
                <w:rFonts w:ascii="Arial" w:cs="Arial" w:eastAsia="Arial" w:hAnsi="Arial"/>
                <w:sz w:val="16"/>
                <w:szCs w:val="16"/>
                <w:color w:val="auto"/>
              </w:rPr>
              <w:t>U.S. Retail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1,884,150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1,851,193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1,775,378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U.S. Wholesale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1,205,646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1,180,687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1,209,663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37"/>
        </w:trPr>
        <w:tc>
          <w:tcPr>
            <w:tcW w:w="1920" w:type="dxa"/>
            <w:vAlign w:val="bottom"/>
            <w:gridSpan w:val="4"/>
          </w:tcPr>
          <w:p>
            <w:pPr>
              <w:ind w:left="4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429,490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430,389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415,463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w w:val="98"/>
              </w:rPr>
              <w:t>Total consolidated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3,519,286</w:t>
            </w:r>
          </w:p>
        </w:tc>
        <w:tc>
          <w:tcPr>
            <w:tcW w:w="100" w:type="dxa"/>
            <w:vAlign w:val="bottom"/>
            <w:vMerge w:val="restart"/>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3,462,269</w:t>
            </w:r>
          </w:p>
        </w:tc>
        <w:tc>
          <w:tcPr>
            <w:tcW w:w="100" w:type="dxa"/>
            <w:vAlign w:val="bottom"/>
            <w:vMerge w:val="restart"/>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3,400,504</w:t>
            </w:r>
          </w:p>
        </w:tc>
        <w:tc>
          <w:tcPr>
            <w:tcW w:w="100" w:type="dxa"/>
            <w:vAlign w:val="bottom"/>
            <w:vMerge w:val="restart"/>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sales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6"/>
        </w:trPr>
        <w:tc>
          <w:tcPr>
            <w:tcW w:w="192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Operating income:</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4"/>
              </w:rPr>
              <w:t>net sales</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4"/>
              </w:rPr>
              <w:t>net sales</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640" w:type="dxa"/>
            <w:vAlign w:val="bottom"/>
            <w:tcBorders>
              <w:top w:val="single" w:sz="8" w:color="auto"/>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gridSpan w:val="4"/>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U.S. Retail</w:t>
            </w:r>
            <w:r>
              <w:rPr>
                <w:rFonts w:ascii="Arial" w:cs="Arial" w:eastAsia="Arial" w:hAnsi="Arial"/>
                <w:sz w:val="10"/>
                <w:szCs w:val="10"/>
                <w:color w:val="auto"/>
              </w:rPr>
              <w:t>(2)(3)(5)(8)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225,874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224,784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215,640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70"/>
        </w:trPr>
        <w:tc>
          <w:tcPr>
            <w:tcW w:w="1920" w:type="dxa"/>
            <w:vAlign w:val="bottom"/>
            <w:gridSpan w:val="4"/>
          </w:tcPr>
          <w:p>
            <w:pPr>
              <w:ind w:left="40"/>
              <w:spacing w:after="0"/>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(1)(4)(5)(8)</w:t>
            </w:r>
          </w:p>
        </w:tc>
        <w:tc>
          <w:tcPr>
            <w:tcW w:w="16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212,558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224,194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252,090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70"/>
        </w:trPr>
        <w:tc>
          <w:tcPr>
            <w:tcW w:w="1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International</w:t>
            </w:r>
            <w:r>
              <w:rPr>
                <w:rFonts w:ascii="Arial" w:cs="Arial" w:eastAsia="Arial" w:hAnsi="Arial"/>
                <w:sz w:val="21"/>
                <w:szCs w:val="21"/>
                <w:color w:val="auto"/>
                <w:vertAlign w:val="superscript"/>
              </w:rPr>
              <w:t>(5)(6)(8)</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39,253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46,426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20"/>
        </w:trPr>
        <w:tc>
          <w:tcPr>
            <w:tcW w:w="1920" w:type="dxa"/>
            <w:vAlign w:val="bottom"/>
            <w:gridSpan w:val="4"/>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20" w:type="dxa"/>
            <w:vAlign w:val="bottom"/>
            <w:tcBorders>
              <w:bottom w:val="single" w:sz="8" w:color="CCEEFF"/>
            </w:tcBorders>
            <w:gridSpan w:val="4"/>
          </w:tcPr>
          <w:p>
            <w:pPr>
              <w:ind w:left="40"/>
              <w:spacing w:after="0" w:line="240" w:lineRule="exact"/>
              <w:rPr>
                <w:sz w:val="20"/>
                <w:szCs w:val="20"/>
                <w:color w:val="auto"/>
              </w:rPr>
            </w:pPr>
            <w:r>
              <w:rPr>
                <w:rFonts w:ascii="Arial" w:cs="Arial" w:eastAsia="Arial" w:hAnsi="Arial"/>
                <w:sz w:val="27"/>
                <w:szCs w:val="27"/>
                <w:color w:val="auto"/>
                <w:vertAlign w:val="subscript"/>
              </w:rPr>
              <w:t>expenses</w:t>
            </w:r>
            <w:r>
              <w:rPr>
                <w:rFonts w:ascii="Arial" w:cs="Arial" w:eastAsia="Arial" w:hAnsi="Arial"/>
                <w:sz w:val="10"/>
                <w:szCs w:val="10"/>
                <w:color w:val="auto"/>
              </w:rPr>
              <w:t>(7)(9)(10)</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(103,210)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(96,798)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(94,549)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w w:val="94"/>
              </w:rPr>
              <w:t>Total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371,872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391,433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419,607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Fiscal 2019 includes a $0.6 million recovery claim settlement, related to a customer bankruptcy in fiscal 2018.</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Fiscal 2019 includes a $0.7 million reversal of retail store restructuring costs previously recorded in fiscal 2017</w:t>
      </w:r>
    </w:p>
    <w:p>
      <w:pPr>
        <w:spacing w:after="0" w:line="82" w:lineRule="exact"/>
        <w:rPr>
          <w:rFonts w:ascii="Arial" w:cs="Arial" w:eastAsia="Arial" w:hAnsi="Arial"/>
          <w:sz w:val="14"/>
          <w:szCs w:val="14"/>
          <w:color w:val="auto"/>
        </w:rPr>
      </w:pPr>
    </w:p>
    <w:p>
      <w:pPr>
        <w:ind w:left="980" w:right="340" w:hanging="972"/>
        <w:spacing w:after="0" w:line="273" w:lineRule="auto"/>
        <w:tabs>
          <w:tab w:leader="none" w:pos="494"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Fiscal 2018 includes insurance recovery of approximately $0.4 million associated with unusual storm-related store closures in 2017. Fiscal 2017 includes approximately $2.7 million of expenses related to store restructuring and approximately $12.7 million for provisions for special employee compensation.</w:t>
      </w:r>
    </w:p>
    <w:p>
      <w:pPr>
        <w:spacing w:after="0" w:line="38" w:lineRule="exact"/>
        <w:rPr>
          <w:rFonts w:ascii="Arial" w:cs="Arial" w:eastAsia="Arial" w:hAnsi="Arial"/>
          <w:sz w:val="14"/>
          <w:szCs w:val="14"/>
          <w:color w:val="auto"/>
        </w:rPr>
      </w:pPr>
    </w:p>
    <w:p>
      <w:pPr>
        <w:ind w:left="980" w:right="580" w:hanging="972"/>
        <w:spacing w:after="0" w:line="273" w:lineRule="auto"/>
        <w:tabs>
          <w:tab w:leader="none" w:pos="49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approximately $12.8 million of charges, partially offset by a $1.9 million recovery claim settlement, related to a customer bankruptcy for fiscal 2018. Fiscal 2017 includes approximately $3.3 million for provisions for special employee compensation.</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$1.2 million of certain costs related to inventory acquired from Skip Hop in operating income between U.S. Wholesale, U.S. Retail, and International for fiscal 2017.</w:t>
      </w:r>
    </w:p>
    <w:p>
      <w:pPr>
        <w:spacing w:after="0" w:line="82" w:lineRule="exact"/>
        <w:rPr>
          <w:rFonts w:ascii="Arial" w:cs="Arial" w:eastAsia="Arial" w:hAnsi="Arial"/>
          <w:sz w:val="14"/>
          <w:szCs w:val="14"/>
          <w:color w:val="auto"/>
        </w:rPr>
      </w:pPr>
    </w:p>
    <w:p>
      <w:pPr>
        <w:ind w:left="980" w:right="80" w:hanging="972"/>
        <w:spacing w:after="0" w:line="257" w:lineRule="auto"/>
        <w:tabs>
          <w:tab w:leader="none" w:pos="49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international licensing income. Fiscal 2019 includes a benefit of $2.1 million related to the sale of inventory previously reserved in China. Fiscal 2018 includes approximately $5.3 million in costs associated with changes to the Company's business model in China, which includes inventory and severance charges. Fiscal 2017 includes approximately $2.3 million for provisions for special employee compensation.</w:t>
      </w:r>
    </w:p>
    <w:p>
      <w:pPr>
        <w:spacing w:after="0" w:line="50" w:lineRule="exact"/>
        <w:rPr>
          <w:rFonts w:ascii="Arial" w:cs="Arial" w:eastAsia="Arial" w:hAnsi="Arial"/>
          <w:sz w:val="14"/>
          <w:szCs w:val="14"/>
          <w:color w:val="auto"/>
        </w:rPr>
      </w:pPr>
    </w:p>
    <w:p>
      <w:pPr>
        <w:ind w:left="980" w:right="300" w:hanging="972"/>
        <w:spacing w:after="0" w:line="273" w:lineRule="auto"/>
        <w:tabs>
          <w:tab w:leader="none" w:pos="49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expenses related to incentive compensation, stock-based compensation, executive management, severance and relocation, finance, building occupancy, information technology, certain legal fees, consulting, and audit fees.</w:t>
      </w:r>
    </w:p>
    <w:p>
      <w:pPr>
        <w:spacing w:after="0" w:line="38" w:lineRule="exact"/>
        <w:rPr>
          <w:rFonts w:ascii="Arial" w:cs="Arial" w:eastAsia="Arial" w:hAnsi="Arial"/>
          <w:sz w:val="14"/>
          <w:szCs w:val="14"/>
          <w:color w:val="auto"/>
        </w:rPr>
      </w:pPr>
    </w:p>
    <w:p>
      <w:pPr>
        <w:ind w:left="980" w:right="660" w:hanging="972"/>
        <w:spacing w:after="0" w:line="273" w:lineRule="auto"/>
        <w:tabs>
          <w:tab w:leader="none" w:pos="494"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Fiscal 2019 includes an impairment of the Company's indefinite-lived Skip Hop tradename asset of $19.1 million, $10.5 million, and $1.2 million recorded to the U.S. Wholesale, International, and U.S. Retail segments, respectively.</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Fiscal 2019 includes $1.6 million in charges related to organizational restructuring.</w:t>
      </w:r>
    </w:p>
    <w:p>
      <w:pPr>
        <w:spacing w:after="0" w:line="109" w:lineRule="exact"/>
        <w:rPr>
          <w:rFonts w:ascii="Arial" w:cs="Arial" w:eastAsia="Arial" w:hAnsi="Arial"/>
          <w:sz w:val="14"/>
          <w:szCs w:val="14"/>
          <w:color w:val="auto"/>
        </w:rPr>
      </w:pPr>
    </w:p>
    <w:p>
      <w:pPr>
        <w:ind w:left="740" w:hanging="732"/>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following charges for fiscal 2017:</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For the fiscal year ended</w:t>
            </w:r>
          </w:p>
        </w:tc>
      </w:tr>
      <w:tr>
        <w:trPr>
          <w:trHeight w:val="33"/>
        </w:trPr>
        <w:tc>
          <w:tcPr>
            <w:tcW w:w="9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1"/>
        </w:trPr>
        <w:tc>
          <w:tcPr>
            <w:tcW w:w="916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20"/>
                <w:szCs w:val="20"/>
                <w:color w:val="auto"/>
              </w:rPr>
            </w:pP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30, 2017</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Provisions for special employee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9160" w:type="dxa"/>
            <w:vAlign w:val="bottom"/>
            <w:gridSpan w:val="2"/>
          </w:tcPr>
          <w:p>
            <w:pPr>
              <w:ind w:left="40"/>
              <w:spacing w:after="0"/>
              <w:rPr>
                <w:sz w:val="20"/>
                <w:szCs w:val="20"/>
                <w:color w:val="auto"/>
              </w:rPr>
            </w:pPr>
            <w:r>
              <w:rPr>
                <w:rFonts w:ascii="Arial" w:cs="Arial" w:eastAsia="Arial" w:hAnsi="Arial"/>
                <w:sz w:val="16"/>
                <w:szCs w:val="16"/>
                <w:color w:val="auto"/>
              </w:rPr>
              <w:t>Adjustment to Skip Hop contingent consideration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Direct sourcing initiative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916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19"/>
              <w:spacing w:after="0"/>
              <w:rPr>
                <w:sz w:val="20"/>
                <w:szCs w:val="20"/>
                <w:color w:val="auto"/>
              </w:rPr>
            </w:pPr>
            <w:r>
              <w:rPr>
                <w:rFonts w:ascii="Arial" w:cs="Arial" w:eastAsia="Arial" w:hAnsi="Arial"/>
                <w:sz w:val="16"/>
                <w:szCs w:val="16"/>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 by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inventory by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For the fiscal year ended</w:t>
            </w: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427,387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414,174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U.S. Retail</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87,721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96,241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63,811</w:t>
            </w:r>
          </w:p>
        </w:tc>
      </w:tr>
      <w:tr>
        <w:trPr>
          <w:trHeight w:val="244"/>
        </w:trPr>
        <w:tc>
          <w:tcPr>
            <w:tcW w:w="7660" w:type="dxa"/>
            <w:vAlign w:val="bottom"/>
          </w:tcPr>
          <w:p>
            <w:pPr>
              <w:ind w:left="2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593,987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574,226</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U.S. Wholesale inventories also include inventory produced and warehoused for the U.S. Retail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consolidated net sales by product: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w w:val="96"/>
              </w:rPr>
              <w:t>For the fiscal year ended</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8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29, 2018</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30, 2017</w:t>
            </w:r>
          </w:p>
        </w:tc>
      </w:tr>
      <w:tr>
        <w:trPr>
          <w:trHeight w:val="33"/>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Baby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1,228,905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1,239,009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1,294,404</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Playclothes</w:t>
            </w: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1,362,847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1,303,610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1,239,546</w:t>
            </w: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Sleepwear</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431,961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426,703</w:t>
            </w:r>
          </w:p>
        </w:tc>
      </w:tr>
      <w:tr>
        <w:trPr>
          <w:trHeight w:val="270"/>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w:t>
            </w:r>
          </w:p>
        </w:tc>
        <w:tc>
          <w:tcPr>
            <w:tcW w:w="1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498,993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487,689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439,851</w:t>
            </w:r>
          </w:p>
        </w:tc>
      </w:tr>
      <w:tr>
        <w:trPr>
          <w:trHeight w:val="244"/>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3,519,286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3,462,269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3,400,504</w:t>
            </w:r>
          </w:p>
        </w:tc>
      </w:tr>
    </w:tbl>
    <w:p>
      <w:pPr>
        <w:spacing w:after="0" w:line="8"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product offerings include bedding, outerwear, swimwear, shoes, socks, diaper bags, gift sets, toys, and hair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-98425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international sales principally represent sales to customers in Canada. Such sales were 65.6%, 64.2%, and 64.9% of total international net sales in fiscal 2019, 2018, and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property, plant, and equipment, net, by geographic area: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For the fiscal year ended</w:t>
            </w: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283,371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314,679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36,797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35,758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350,437</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Long-lived assets in the international segment relate principally to Canada. Long-lived assets in Canada were 84.3% and 87.4% of total international long-lived assets at the end of fiscal 2019 and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invests in marketable securities, principally equity based mutual funds, to mitigate the risk associated with the investment return on employee deferrals of compensation. All of the marketable securities are included in Other assets on the accompanying consolidated balance sheets, and their aggregate fair values were approximately $19.7 million and $15.7 million at the end of fiscal 2019 and fiscal 2018, respectively. These investments are classified as Level 1 within the fair value hierarchy. Investments in marketable securities incurred a net gain of approximately $4.0 million for fiscal 2019 and a net loss of approximately $1.0 million for fiscal 2018.</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fair value of the Company's pension plan assets at December 28, 2019 and December 29, 2018, by asset category, are disclosed in Note 12,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 Plans</w:t>
      </w:r>
      <w:r>
        <w:rPr>
          <w:rFonts w:ascii="Arial" w:cs="Arial" w:eastAsia="Arial" w:hAnsi="Arial"/>
          <w:sz w:val="18"/>
          <w:szCs w:val="18"/>
          <w:color w:val="auto"/>
        </w:rPr>
        <w:t>, to the consolidated financial statements.</w:t>
      </w:r>
    </w:p>
    <w:p>
      <w:pPr>
        <w:sectPr>
          <w:pgSz w:w="11900" w:h="16838" w:orient="portrait"/>
          <w:cols w:equalWidth="0" w:num="1">
            <w:col w:w="11420"/>
          </w:cols>
          <w:pgMar w:left="240" w:top="12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80" w:name="page81"/>
    <w:bookmarkEnd w:id="80"/>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Forward Contracts</w:t>
      </w:r>
    </w:p>
    <w:p>
      <w:pPr>
        <w:spacing w:after="0" w:line="9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Fair values of any unsettled foreign exchange forward contracts are calculated by using readily observable market inputs (market-quoted currency exchange rates in effect between the U.S. dollar and the currencies of Canada and Mexico) and are classified as Level 2 within the fair value hierarchy. Any unsettled foreign exchange forward contracts are included in other current assets or other current liabilities on the Company's consolidated balance sheet at the end of each fiscal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2019 and December 29, 2018, there were no open foreign currency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gains and losses on foreign currency contracts were not material for fiscal 2019, 2018, and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28, 2019, the fair value of the Company's $100.0 million in borrowings under its secured revolving credit facility approximated carrying value.</w:t>
      </w:r>
    </w:p>
    <w:p>
      <w:pPr>
        <w:spacing w:after="0" w:line="13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fair value of the Company's senior notes at December 28, 2019 was approximately $538.4 million. The fair value of these senior notes with a notional value and carrying value (gross of debt issuance costs) of $500 million was estimated using a quoted price as provided in the secondary market, which considers the Company's credit risk and market related conditions, and is therefore within Level 2 of the fair value hierarchy.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Goodwill and indefinite-lived intangible assets are tested annually or if a triggering event occurs that indicates an impairment loss may have been incurred using fair value measurements with unobservable inputs (Level 3).</w:t>
      </w:r>
    </w:p>
    <w:p>
      <w:pPr>
        <w:spacing w:after="0" w:line="13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Company's Skip Hop business has experienced lower than expected actual and projected sales and profitability due to lower domestic demand, including the loss of a significant customer (Toys "R" Us), lower international demand and higher product costs primarily driven by tariffs imposed on products sourced from China. As a result, the Company conducted an interim impairment assessment in the third quarter of fiscal 2019 on the value of the Company's indefinite-lived Skip Hop tradename asset that was recorded in connection with the acquisition of Skip Hop Holdings, Inc. in February 2017. Based on this assessment, a charge of $19.1 million, $10.5 million, and $1.2 million was recorded on our indefinite-lived Skip Hop tradename asset in the U.S. Wholesale, International, and U.S. Retail segments, respectively, to reflect the impairment of the value ascribed to the indefinite-lived Skip Hop tradename asset. The carrying value of the Company's indefinite-lived Skip Hop tradename asset after the impairment charge was $26.0 million. See Note 7,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for further details on the impairment charge and valuation methodologies.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CURRENT AND LONG-TERM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either fiscal year)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employee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16,421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and deferred rent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19,120</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23,269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17,415</w:t>
            </w:r>
          </w:p>
        </w:tc>
      </w:tr>
      <w:tr>
        <w:trPr>
          <w:trHeight w:val="33"/>
        </w:trPr>
        <w:tc>
          <w:tcPr>
            <w:tcW w:w="7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either fiscal year)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28, 2019</w:t>
            </w: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29, 2018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lease incentives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3"/>
            <w:shd w:val="clear" w:color="auto" w:fill="CCEEFF"/>
          </w:tcPr>
          <w:p>
            <w:pPr>
              <w:ind w:left="1380"/>
              <w:spacing w:after="0"/>
              <w:rPr>
                <w:sz w:val="20"/>
                <w:szCs w:val="20"/>
                <w:color w:val="auto"/>
              </w:rPr>
            </w:pPr>
            <w:r>
              <w:rPr>
                <w:rFonts w:ascii="Arial" w:cs="Arial" w:eastAsia="Arial" w:hAnsi="Arial"/>
                <w:sz w:val="16"/>
                <w:szCs w:val="16"/>
                <w:color w:val="auto"/>
              </w:rPr>
              <w:t>—   $</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72,345</w:t>
            </w:r>
          </w:p>
        </w:tc>
      </w:tr>
      <w:tr>
        <w:trPr>
          <w:trHeight w:val="33"/>
        </w:trPr>
        <w:tc>
          <w:tcPr>
            <w:tcW w:w="7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1" w:name="page82"/>
    <w:bookmarkEnd w:id="81"/>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UNAUDITED QUARTERLY FINANCIAL DATA</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experiences seasonal fluctuations in its sales and profitability due to the timing of certain holidays and key retail shopping periods, typically resulting in lower sales and gross profit in the first half of its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unaudited summarized financial data by quarter for the fiscal years ended December 28, 2019 and December 29, 2018 is presented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 except per share data)</w:t>
            </w:r>
          </w:p>
        </w:tc>
        <w:tc>
          <w:tcPr>
            <w:tcW w:w="22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 1</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 2</w:t>
            </w:r>
          </w:p>
        </w:tc>
        <w:tc>
          <w:tcPr>
            <w:tcW w:w="2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Quarter 3</w:t>
            </w:r>
          </w:p>
        </w:tc>
        <w:tc>
          <w:tcPr>
            <w:tcW w:w="220" w:type="dxa"/>
            <w:vAlign w:val="bottom"/>
          </w:tcPr>
          <w:p>
            <w:pPr>
              <w:spacing w:after="0"/>
              <w:rPr>
                <w:sz w:val="18"/>
                <w:szCs w:val="18"/>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Quarter 4</w:t>
            </w:r>
          </w:p>
        </w:tc>
      </w:tr>
      <w:tr>
        <w:trPr>
          <w:trHeight w:val="33"/>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Fiscal 2019:</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4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sales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741,057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734,384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943,322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1,100,523</w:t>
            </w: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322,996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467,476</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Royalty income,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8,544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9,635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9,192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7,266</w:t>
            </w: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263,652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311,975</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Intangible asset impairment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162,767</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34,466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43,937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60,252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125,147</w:t>
            </w: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Basic net income per common share</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Diluted net income per common share</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0.97</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16"/>
        </w:trPr>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582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2018:</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755,786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1,086,379</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332,477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309,958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387,450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467,598</w:t>
            </w: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Royalty income,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10,357</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280,162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263,343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294,117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307,358</w:t>
            </w: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170,597</w:t>
            </w:r>
          </w:p>
        </w:tc>
      </w:tr>
      <w:tr>
        <w:trPr>
          <w:trHeight w:val="237"/>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42,469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37,268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71,770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130,561</w:t>
            </w: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Basic net income per common share</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311"/>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Diluted net income per common share</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2.83</w:t>
            </w:r>
          </w:p>
        </w:tc>
      </w:tr>
    </w:tbl>
    <w:p>
      <w:pPr>
        <w:ind w:left="500" w:hanging="492"/>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May not be additive to the net income per common share amounts for the fiscal year due to the calculation provision of ASC 260, </w:t>
      </w:r>
      <w:r>
        <w:rPr>
          <w:rFonts w:ascii="Arial" w:cs="Arial" w:eastAsia="Arial" w:hAnsi="Arial"/>
          <w:sz w:val="14"/>
          <w:szCs w:val="14"/>
          <w:i w:val="1"/>
          <w:iCs w:val="1"/>
          <w:color w:val="auto"/>
        </w:rPr>
        <w:t>Earnings Per Share</w:t>
      </w:r>
      <w:r>
        <w:rPr>
          <w:rFonts w:ascii="Arial" w:cs="Arial" w:eastAsia="Arial" w:hAnsi="Arial"/>
          <w:sz w:val="14"/>
          <w:szCs w:val="14"/>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ind w:left="52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116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December 28,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9" w:lineRule="exact"/>
        <w:rPr>
          <w:sz w:val="20"/>
          <w:szCs w:val="20"/>
          <w:color w:val="auto"/>
        </w:rPr>
      </w:pPr>
    </w:p>
    <w:p>
      <w:pPr>
        <w:ind w:left="660" w:right="4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35"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Management, including our Chief Executive Officer and Chief Financial Officer, assessed the effectiveness of the Company's internal control over financial reporting as of December 28, 2019. In making this assessment, management used the criteria set forth by the Committee of Sponsoring Organizations of the Treadway Commission ("COSO")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this assessment, management has concluded that the Company's internal control over financial reporting was effective as of December 28, 2019.</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effectiveness of Carter's, Inc. and its subsidiaries' internal control over financial reporting as of December 28, 2019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fourth quarter of fiscal 2019 that have materially affected, or are reasonably likely to materially affect, the Company's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1" w:right="279" w:bottom="1440" w:gutter="0" w:footer="0" w:header="0"/>
        </w:sectPr>
      </w:pPr>
    </w:p>
    <w:bookmarkStart w:id="83" w:name="page84"/>
    <w:bookmarkEnd w:id="83"/>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called for by Item 10 is incorporated herein by reference to the definitive proxy statement relating to the Annual Meeting of Stockholders of Carter's, Inc. scheduled to be held on May 14, 2020. We intend to file such definitive proxy statement with the SEC pursuant to Regulation 14A within 120 days after the end of the fiscal year covered by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11 is incorporated herein by reference to the definitive proxy statement referenced above in Item 10.</w:t>
      </w:r>
    </w:p>
    <w:p>
      <w:pPr>
        <w:spacing w:after="0" w:line="181"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equity compensation plan as of our most recent fiscal year end: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remaining available for</w:t>
            </w: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 to be</w:t>
            </w:r>
          </w:p>
        </w:tc>
        <w:tc>
          <w:tcPr>
            <w:tcW w:w="12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Weighted-average exercise</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future issuance under equity</w:t>
            </w: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5"/>
              </w:rPr>
              <w:t>issued upon exercise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price of outstanding</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compensation plans</w:t>
            </w: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8"/>
              </w:rPr>
              <w:t>outstanding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options, warrants, and</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(excluding securities</w:t>
            </w:r>
          </w:p>
        </w:tc>
      </w:tr>
      <w:tr>
        <w:trPr>
          <w:trHeight w:val="176"/>
        </w:trPr>
        <w:tc>
          <w:tcPr>
            <w:tcW w:w="52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Plan Category</w:t>
            </w:r>
          </w:p>
        </w:tc>
        <w:tc>
          <w:tcPr>
            <w:tcW w:w="19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warrants, and rights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center"/>
              <w:ind w:right="79"/>
              <w:spacing w:after="0" w:line="176" w:lineRule="exact"/>
              <w:rPr>
                <w:sz w:val="20"/>
                <w:szCs w:val="20"/>
                <w:color w:val="auto"/>
              </w:rPr>
            </w:pPr>
            <w:r>
              <w:rPr>
                <w:rFonts w:ascii="Arial" w:cs="Arial" w:eastAsia="Arial" w:hAnsi="Arial"/>
                <w:sz w:val="16"/>
                <w:szCs w:val="16"/>
                <w:b w:val="1"/>
                <w:bCs w:val="1"/>
                <w:color w:val="auto"/>
                <w:w w:val="89"/>
              </w:rPr>
              <w:t>rights</w:t>
            </w: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reflected in first column)</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top w:val="single" w:sz="8" w:color="auto"/>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1"/>
                <w:szCs w:val="21"/>
                <w:color w:val="auto"/>
                <w:vertAlign w:val="superscript"/>
              </w:rPr>
              <w:t>(*)</w:t>
            </w:r>
          </w:p>
        </w:tc>
        <w:tc>
          <w:tcPr>
            <w:tcW w:w="1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1,128,607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78.78</w:t>
            </w:r>
          </w:p>
        </w:tc>
        <w:tc>
          <w:tcPr>
            <w:tcW w:w="21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3,430,375</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1,128,607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78.78</w:t>
            </w:r>
          </w:p>
        </w:tc>
        <w:tc>
          <w:tcPr>
            <w:tcW w:w="214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3,430,375</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stock options that are outstanding or that are available for future issuance pursuant to the Carter's, Inc. Amended and Restated Equity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called for by Item 12 is incorporated herein by reference to the definitive proxy statement referenced above in Item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13 is incorporated herein by reference to the definitive proxy statement referenced above in Item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80" w:type="dxa"/>
            <w:vAlign w:val="bottom"/>
            <w:gridSpan w:val="15"/>
          </w:tcPr>
          <w:p>
            <w:pPr>
              <w:spacing w:after="0"/>
              <w:rPr>
                <w:sz w:val="20"/>
                <w:szCs w:val="20"/>
                <w:color w:val="auto"/>
              </w:rPr>
            </w:pPr>
            <w:r>
              <w:rPr>
                <w:rFonts w:ascii="Arial" w:cs="Arial" w:eastAsia="Arial" w:hAnsi="Arial"/>
                <w:sz w:val="18"/>
                <w:szCs w:val="18"/>
                <w:b w:val="1"/>
                <w:bCs w:val="1"/>
                <w:color w:val="auto"/>
              </w:rPr>
              <w:t>PART IV</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1040" w:type="dxa"/>
            <w:vAlign w:val="bottom"/>
            <w:gridSpan w:val="26"/>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(A)</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5"/>
              </w:rPr>
              <w:t>Page</w:t>
            </w:r>
          </w:p>
        </w:tc>
        <w:tc>
          <w:tcPr>
            <w:tcW w:w="80" w:type="dxa"/>
            <w:vAlign w:val="bottom"/>
            <w:gridSpan w:val="3"/>
          </w:tcPr>
          <w:p>
            <w:pPr>
              <w:spacing w:after="0"/>
              <w:rPr>
                <w:sz w:val="24"/>
                <w:szCs w:val="24"/>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1"/>
                <w:szCs w:val="21"/>
                <w:color w:val="auto"/>
              </w:rPr>
            </w:pPr>
          </w:p>
        </w:tc>
        <w:tc>
          <w:tcPr>
            <w:tcW w:w="33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Financial Statements filed as part of this report</w:t>
              </w:r>
            </w:hyperlink>
          </w:p>
        </w:tc>
        <w:tc>
          <w:tcPr>
            <w:tcW w:w="5680" w:type="dxa"/>
            <w:vAlign w:val="bottom"/>
            <w:gridSpan w:val="15"/>
          </w:tcPr>
          <w:p>
            <w:pPr>
              <w:spacing w:after="0"/>
              <w:rPr>
                <w:sz w:val="21"/>
                <w:szCs w:val="21"/>
                <w:color w:val="auto"/>
              </w:rPr>
            </w:pPr>
          </w:p>
        </w:tc>
        <w:tc>
          <w:tcPr>
            <w:tcW w:w="180" w:type="dxa"/>
            <w:vAlign w:val="bottom"/>
            <w:tcBorders>
              <w:bottom w:val="single" w:sz="8" w:color="0000FF"/>
            </w:tcBorders>
            <w:gridSpan w:val="2"/>
          </w:tcPr>
          <w:p>
            <w:pPr>
              <w:jc w:val="cente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38</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Report of Independent Registered Public Accounting Firm</w:t>
              </w:r>
            </w:hyperlink>
          </w:p>
        </w:tc>
        <w:tc>
          <w:tcPr>
            <w:tcW w:w="4840" w:type="dxa"/>
            <w:vAlign w:val="bottom"/>
            <w:gridSpan w:val="13"/>
          </w:tcPr>
          <w:p>
            <w:pPr>
              <w:spacing w:after="0"/>
              <w:rPr>
                <w:sz w:val="21"/>
                <w:szCs w:val="21"/>
                <w:color w:val="auto"/>
              </w:rPr>
            </w:pPr>
          </w:p>
        </w:tc>
        <w:tc>
          <w:tcPr>
            <w:tcW w:w="180" w:type="dxa"/>
            <w:vAlign w:val="bottom"/>
            <w:tcBorders>
              <w:bottom w:val="single" w:sz="8" w:color="0000FF"/>
            </w:tcBorders>
            <w:gridSpan w:val="2"/>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39</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3"/>
          </w:tcPr>
          <w:p>
            <w:pPr>
              <w:spacing w:after="0"/>
              <w:rPr>
                <w:sz w:val="20"/>
                <w:szCs w:val="20"/>
                <w:color w:val="auto"/>
              </w:rPr>
            </w:pPr>
            <w:r>
              <w:rPr>
                <w:rFonts w:ascii="Arial" w:cs="Arial" w:eastAsia="Arial" w:hAnsi="Arial"/>
                <w:sz w:val="18"/>
                <w:szCs w:val="18"/>
                <w:color w:val="0000FF"/>
              </w:rPr>
              <w:t>Consolidated Balance Sheets at December 28, 2019 and December 29, 2018</w:t>
            </w:r>
          </w:p>
        </w:tc>
        <w:tc>
          <w:tcPr>
            <w:tcW w:w="180" w:type="dxa"/>
            <w:vAlign w:val="bottom"/>
            <w:gridSpan w:val="2"/>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3"/>
          </w:tcPr>
          <w:p>
            <w:pPr>
              <w:spacing w:after="0"/>
              <w:rPr>
                <w:sz w:val="20"/>
                <w:szCs w:val="20"/>
                <w:color w:val="auto"/>
              </w:rPr>
            </w:pPr>
            <w:r>
              <w:rPr>
                <w:rFonts w:ascii="Arial" w:cs="Arial" w:eastAsia="Arial" w:hAnsi="Arial"/>
                <w:sz w:val="18"/>
                <w:szCs w:val="18"/>
                <w:color w:val="0000FF"/>
                <w:w w:val="92"/>
              </w:rPr>
              <w:t>Consolidated Statements of Operations for the fiscal years ended December 28, 2019, December 29, 2018, and December</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30, 2017</w:t>
            </w: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line="196"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3"/>
          </w:tcPr>
          <w:p>
            <w:pPr>
              <w:spacing w:after="0"/>
              <w:rPr>
                <w:sz w:val="20"/>
                <w:szCs w:val="20"/>
                <w:color w:val="auto"/>
              </w:rPr>
            </w:pPr>
            <w:r>
              <w:rPr>
                <w:rFonts w:ascii="Arial" w:cs="Arial" w:eastAsia="Arial" w:hAnsi="Arial"/>
                <w:sz w:val="18"/>
                <w:szCs w:val="18"/>
                <w:color w:val="0000FF"/>
                <w:w w:val="94"/>
              </w:rPr>
              <w:t>Consolidated Statements of Comprehensive Income for the fiscal years ended December 28, 2019, December 29, 2018,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8"/>
              </w:rPr>
              <w:t>and December 30, 2017</w:t>
            </w:r>
          </w:p>
        </w:tc>
        <w:tc>
          <w:tcPr>
            <w:tcW w:w="6880" w:type="dxa"/>
            <w:vAlign w:val="bottom"/>
            <w:tcBorders>
              <w:top w:val="single" w:sz="8" w:color="0000FF"/>
            </w:tcBorders>
            <w:gridSpan w:val="13"/>
          </w:tcPr>
          <w:p>
            <w:pPr>
              <w:spacing w:after="0"/>
              <w:rPr>
                <w:sz w:val="17"/>
                <w:szCs w:val="17"/>
                <w:color w:val="auto"/>
              </w:rPr>
            </w:pPr>
          </w:p>
        </w:tc>
        <w:tc>
          <w:tcPr>
            <w:tcW w:w="460" w:type="dxa"/>
            <w:vAlign w:val="bottom"/>
            <w:gridSpan w:val="8"/>
          </w:tcPr>
          <w:p>
            <w:pPr>
              <w:spacing w:after="0"/>
              <w:rPr>
                <w:sz w:val="17"/>
                <w:szCs w:val="17"/>
                <w:color w:val="auto"/>
              </w:rPr>
            </w:pPr>
          </w:p>
        </w:tc>
        <w:tc>
          <w:tcPr>
            <w:tcW w:w="180" w:type="dxa"/>
            <w:vAlign w:val="bottom"/>
            <w:tcBorders>
              <w:bottom w:val="single" w:sz="8" w:color="0000FF"/>
            </w:tcBorders>
            <w:gridSpan w:val="2"/>
          </w:tcPr>
          <w:p>
            <w:pPr>
              <w:jc w:val="center"/>
              <w:spacing w:after="0" w:line="19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43</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3"/>
          </w:tcPr>
          <w:p>
            <w:pPr>
              <w:spacing w:after="0"/>
              <w:rPr>
                <w:sz w:val="20"/>
                <w:szCs w:val="20"/>
                <w:color w:val="auto"/>
              </w:rPr>
            </w:pPr>
            <w:r>
              <w:rPr>
                <w:rFonts w:ascii="Arial" w:cs="Arial" w:eastAsia="Arial" w:hAnsi="Arial"/>
                <w:sz w:val="18"/>
                <w:szCs w:val="18"/>
                <w:color w:val="0000FF"/>
                <w:w w:val="91"/>
              </w:rPr>
              <w:t>Consolidated Statements of Cash Flows for the fiscal years ended December 28, 2019, December 29, 2018, and December</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30, 2017</w:t>
            </w: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line="19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3"/>
          </w:tcPr>
          <w:p>
            <w:pPr>
              <w:spacing w:after="0"/>
              <w:rPr>
                <w:sz w:val="20"/>
                <w:szCs w:val="20"/>
                <w:color w:val="auto"/>
              </w:rPr>
            </w:pPr>
            <w:r>
              <w:rPr>
                <w:rFonts w:ascii="Arial" w:cs="Arial" w:eastAsia="Arial" w:hAnsi="Arial"/>
                <w:sz w:val="18"/>
                <w:szCs w:val="18"/>
                <w:color w:val="0000FF"/>
                <w:w w:val="92"/>
              </w:rPr>
              <w:t>Consolidated Statements of Changes in Stockholders' Equity for the fiscal years ended December 28, 2019, December 29,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8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2018, and December 30, 2017</w:t>
            </w:r>
          </w:p>
        </w:tc>
        <w:tc>
          <w:tcPr>
            <w:tcW w:w="280" w:type="dxa"/>
            <w:vAlign w:val="bottom"/>
            <w:gridSpan w:val="6"/>
          </w:tcPr>
          <w:p>
            <w:pPr>
              <w:spacing w:after="0"/>
              <w:rPr>
                <w:sz w:val="17"/>
                <w:szCs w:val="17"/>
                <w:color w:val="auto"/>
              </w:rPr>
            </w:pPr>
          </w:p>
        </w:tc>
        <w:tc>
          <w:tcPr>
            <w:tcW w:w="180" w:type="dxa"/>
            <w:vAlign w:val="bottom"/>
            <w:gridSpan w:val="2"/>
          </w:tcPr>
          <w:p>
            <w:pPr>
              <w:jc w:val="center"/>
              <w:spacing w:after="0" w:line="19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45</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60" w:type="dxa"/>
            <w:vAlign w:val="bottom"/>
            <w:gridSpan w:val="2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Notes to Consolidated Financial Statements</w:t>
              </w:r>
            </w:hyperlink>
          </w:p>
        </w:tc>
        <w:tc>
          <w:tcPr>
            <w:tcW w:w="180" w:type="dxa"/>
            <w:vAlign w:val="bottom"/>
            <w:gridSpan w:val="2"/>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91"/>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31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Financial Statement Schedules: None</w:t>
            </w:r>
          </w:p>
        </w:tc>
        <w:tc>
          <w:tcPr>
            <w:tcW w:w="5920" w:type="dxa"/>
            <w:vAlign w:val="bottom"/>
            <w:gridSpan w:val="16"/>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9"/>
        </w:trPr>
        <w:tc>
          <w:tcPr>
            <w:tcW w:w="4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(B)</w:t>
            </w:r>
          </w:p>
        </w:tc>
        <w:tc>
          <w:tcPr>
            <w:tcW w:w="9060" w:type="dxa"/>
            <w:vAlign w:val="bottom"/>
            <w:gridSpan w:val="23"/>
          </w:tcPr>
          <w:p>
            <w:pPr>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w w:val="93"/>
              </w:rPr>
              <w:t>Exhibit Number</w:t>
            </w:r>
          </w:p>
        </w:tc>
        <w:tc>
          <w:tcPr>
            <w:tcW w:w="680" w:type="dxa"/>
            <w:vAlign w:val="bottom"/>
          </w:tcPr>
          <w:p>
            <w:pPr>
              <w:spacing w:after="0"/>
              <w:rPr>
                <w:sz w:val="19"/>
                <w:szCs w:val="19"/>
                <w:color w:val="auto"/>
              </w:rPr>
            </w:pPr>
          </w:p>
        </w:tc>
        <w:tc>
          <w:tcPr>
            <w:tcW w:w="9060" w:type="dxa"/>
            <w:vAlign w:val="bottom"/>
            <w:gridSpan w:val="23"/>
          </w:tcPr>
          <w:p>
            <w:pPr>
              <w:spacing w:after="0"/>
              <w:rPr>
                <w:sz w:val="20"/>
                <w:szCs w:val="20"/>
                <w:color w:val="auto"/>
              </w:rPr>
            </w:pPr>
            <w:r>
              <w:rPr>
                <w:rFonts w:ascii="Arial" w:cs="Arial" w:eastAsia="Arial" w:hAnsi="Arial"/>
                <w:sz w:val="18"/>
                <w:szCs w:val="18"/>
                <w:b w:val="1"/>
                <w:bCs w:val="1"/>
                <w:color w:val="auto"/>
              </w:rPr>
              <w:t>Description of Exhibits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1"/>
                <w:szCs w:val="21"/>
                <w:color w:val="auto"/>
              </w:rPr>
            </w:pPr>
          </w:p>
        </w:tc>
        <w:tc>
          <w:tcPr>
            <w:tcW w:w="9420" w:type="dxa"/>
            <w:vAlign w:val="bottom"/>
            <w:gridSpan w:val="29"/>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Certificate of Incorporation of Carter's, Inc., as amended on May 22, 2017 (incorporated by reference to Exhibit 3.1 of Carter's,</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Inc.'s Current Report on Form 8-K filed on May 23, 2017).</w:t>
              </w:r>
            </w:hyperlink>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1"/>
                <w:szCs w:val="21"/>
                <w:color w:val="auto"/>
              </w:rPr>
            </w:pPr>
          </w:p>
        </w:tc>
        <w:tc>
          <w:tcPr>
            <w:tcW w:w="8860" w:type="dxa"/>
            <w:vAlign w:val="bottom"/>
            <w:tcBorders>
              <w:bottom w:val="single" w:sz="8" w:color="0000FF"/>
            </w:tcBorders>
            <w:gridSpan w:val="19"/>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Amended and Restated By-laws of Carter's, Inc., as amended on May 22, 2017 (incorporated by reference to Exhibit 3.2 of</w:t>
              </w:r>
            </w:hyperlink>
          </w:p>
        </w:tc>
        <w:tc>
          <w:tcPr>
            <w:tcW w:w="200" w:type="dxa"/>
            <w:vAlign w:val="bottom"/>
            <w:gridSpan w:val="4"/>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23"/>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Carter's, Inc.'s Current Report on Form 8-K filed on May 23, 2017).</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1"/>
                <w:szCs w:val="21"/>
                <w:color w:val="auto"/>
              </w:rPr>
            </w:pPr>
          </w:p>
        </w:tc>
        <w:tc>
          <w:tcPr>
            <w:tcW w:w="9040" w:type="dxa"/>
            <w:vAlign w:val="bottom"/>
            <w:tcBorders>
              <w:bottom w:val="single" w:sz="8" w:color="0000FF"/>
            </w:tcBorders>
            <w:gridSpan w:val="22"/>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Specimen Certificate of Common Stock (incorporated by reference to Exhibit 4.1 of Carter's, Inc.'s Registration Statement on</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Form S-1A (No. 333-98679) filed on October 10, 2003).</w:t>
              </w:r>
            </w:hyperlink>
          </w:p>
        </w:tc>
        <w:tc>
          <w:tcPr>
            <w:tcW w:w="498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1"/>
                <w:szCs w:val="21"/>
                <w:color w:val="auto"/>
              </w:rPr>
            </w:pPr>
          </w:p>
        </w:tc>
        <w:tc>
          <w:tcPr>
            <w:tcW w:w="9420" w:type="dxa"/>
            <w:vAlign w:val="bottom"/>
            <w:gridSpan w:val="29"/>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Indenture, dated March 14, 2019, by and among The William Carter Company, certain guarantors from time to time party thereto</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20" w:type="dxa"/>
            <w:vAlign w:val="bottom"/>
            <w:gridSpan w:val="29"/>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and Wells Fargo Bank, National Association, as Trustee (incorporated by reference to Exhibit 4.1 of Carter's, Inc.'s Current Report</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on Form 8-K filed on March 14, 2019).</w:t>
              </w:r>
            </w:hyperlink>
          </w:p>
        </w:tc>
        <w:tc>
          <w:tcPr>
            <w:tcW w:w="6220" w:type="dxa"/>
            <w:vAlign w:val="bottom"/>
            <w:tcBorders>
              <w:top w:val="single" w:sz="8" w:color="0000FF"/>
            </w:tcBorders>
            <w:gridSpan w:val="17"/>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4.2.1</w:t>
            </w:r>
          </w:p>
        </w:tc>
        <w:tc>
          <w:tcPr>
            <w:tcW w:w="680" w:type="dxa"/>
            <w:vAlign w:val="bottom"/>
          </w:tcPr>
          <w:p>
            <w:pPr>
              <w:spacing w:after="0"/>
              <w:rPr>
                <w:sz w:val="24"/>
                <w:szCs w:val="24"/>
                <w:color w:val="auto"/>
              </w:rPr>
            </w:pPr>
          </w:p>
        </w:tc>
        <w:tc>
          <w:tcPr>
            <w:tcW w:w="9060" w:type="dxa"/>
            <w:vAlign w:val="bottom"/>
            <w:gridSpan w:val="23"/>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5.625% Senior Notes due 2027 (included in Exhibits 4.2).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4800" w:type="dxa"/>
            <w:vAlign w:val="bottom"/>
            <w:tcBorders>
              <w:top w:val="single" w:sz="8" w:color="0000FF"/>
            </w:tcBorders>
            <w:gridSpan w:val="1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Description of Securities</w:t>
              </w:r>
            </w:hyperlink>
          </w:p>
        </w:tc>
        <w:tc>
          <w:tcPr>
            <w:tcW w:w="426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7040" w:type="dxa"/>
            <w:vAlign w:val="bottom"/>
            <w:gridSpan w:val="1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1"/>
                <w:szCs w:val="21"/>
                <w:color w:val="auto"/>
              </w:rPr>
            </w:pPr>
          </w:p>
        </w:tc>
        <w:tc>
          <w:tcPr>
            <w:tcW w:w="9240" w:type="dxa"/>
            <w:vAlign w:val="bottom"/>
            <w:tcBorders>
              <w:bottom w:val="single" w:sz="8" w:color="0000FF"/>
            </w:tcBorders>
            <w:gridSpan w:val="25"/>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Fourth Amended and Restated Credit Agreement, dated as of August 25, 2017, by and among The William Carter Company, as</w:t>
              </w:r>
            </w:hyperlink>
          </w:p>
        </w:tc>
        <w:tc>
          <w:tcPr>
            <w:tcW w:w="180" w:type="dxa"/>
            <w:vAlign w:val="bottom"/>
            <w:gridSpan w:val="4"/>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2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U.S. Borrower, The Genuine Canadian Corp., as Canadian Borrower, Carter's Holdings B.V., as Dutch Borrower, JPMorgan Chase</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980" w:type="dxa"/>
            <w:vAlign w:val="bottom"/>
            <w:tcBorders>
              <w:bottom w:val="single" w:sz="8" w:color="0000FF"/>
            </w:tcBorders>
            <w:gridSpan w:val="20"/>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Bank, N.A., as Administrative Agent, U.S. Dollar Facility Swing Line Lender, U.S. Dollar Facility L/C Issuer and Collateral</w:t>
              </w:r>
            </w:hyperlink>
          </w:p>
        </w:tc>
        <w:tc>
          <w:tcPr>
            <w:tcW w:w="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Agent, JPMorgan Chase Bank, N.A., Toronto Branch, as Canadian Agent, a Multicurrency Facility Swing Line Lender and a</w:t>
              </w:r>
            </w:hyperlink>
          </w:p>
        </w:tc>
        <w:tc>
          <w:tcPr>
            <w:tcW w:w="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23"/>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Multicurrency Facility L/C Issuer, J.P. Morgan Europe Limited, as European Agent, JPMorgan Chase Bank, N.A., London</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20" w:type="dxa"/>
            <w:vAlign w:val="bottom"/>
            <w:gridSpan w:val="18"/>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80" w:type="dxa"/>
            <w:vAlign w:val="bottom"/>
            <w:tcBorders>
              <w:bottom w:val="single" w:sz="8" w:color="0000FF"/>
            </w:tcBorders>
            <w:gridSpan w:val="27"/>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Branch, as a Multicurrency Facility Swing Line Lender and a Multicurrency Facility L/C Issuer, Bank of America, N.A. and Bank</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20" w:type="dxa"/>
            <w:vAlign w:val="bottom"/>
            <w:gridSpan w:val="29"/>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of Montreal, as Co-Syndication Agents, JPMorgan Chase Bank, N.A., Merrill Lynch, Pierce, Fenner &amp; Smith Incorporated and</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BMO Capital Markets Corp., as Joint Lead Arrangers and Bookrunners, Branch Banking &amp; Trust Company, HSBC Securities</w:t>
              </w:r>
            </w:hyperlink>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3" w:lineRule="exact"/>
        <w:rPr>
          <w:sz w:val="20"/>
          <w:szCs w:val="20"/>
          <w:color w:val="auto"/>
        </w:rPr>
      </w:pPr>
    </w:p>
    <w:p>
      <w:pPr>
        <w:ind w:left="1980" w:right="40"/>
        <w:spacing w:after="0" w:line="264"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(USA) Inc., Royal Bank of Canada, SunTrust Bank, U.S. Bank National Association and Wells Fargo Bank, National Association,</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as Co-Documentation Agents and certain other lenders party thereto (incorporated by reference to Exhibit 10.1 of Carter's, Inc.'s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Current Report on Form 8-K filed on August 31, 2017).</w:t>
        </w:r>
      </w:hyperlink>
    </w:p>
    <w:p>
      <w:pPr>
        <w:spacing w:after="0" w:line="20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37" w:right="259" w:bottom="1440" w:gutter="0" w:footer="0" w:header="0"/>
        </w:sectPr>
      </w:pPr>
    </w:p>
    <w:bookmarkStart w:id="85" w:name="page86"/>
    <w:bookmarkEnd w:id="85"/>
    <w:tbl>
      <w:tblPr>
        <w:tblLayout w:type="fixed"/>
        <w:tblInd w:w="4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Arial" w:cs="Arial" w:eastAsia="Arial" w:hAnsi="Arial"/>
                <w:sz w:val="18"/>
                <w:szCs w:val="18"/>
                <w:color w:val="auto"/>
              </w:rPr>
              <w:t>10.1.1</w:t>
            </w:r>
          </w:p>
        </w:tc>
        <w:tc>
          <w:tcPr>
            <w:tcW w:w="8620" w:type="dxa"/>
            <w:vAlign w:val="bottom"/>
            <w:tcBorders>
              <w:bottom w:val="single" w:sz="8" w:color="0000FF"/>
            </w:tcBorders>
            <w:gridSpan w:val="15"/>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Amendment No. 1, dated as of September 21, 2018, to the Fourth Amended and Restated Credit Agreement dated as of</w:t>
              </w:r>
            </w:hyperlink>
          </w:p>
        </w:tc>
        <w:tc>
          <w:tcPr>
            <w:tcW w:w="720" w:type="dxa"/>
            <w:vAlign w:val="bottom"/>
            <w:gridSpan w:val="11"/>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9340" w:type="dxa"/>
            <w:vAlign w:val="bottom"/>
            <w:gridSpan w:val="26"/>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August 25, 2017, by and among The William Carter Company, as U.S. Borrower, The Genuine Canadian Corp., as Canadian</w:t>
              </w:r>
            </w:hyperlink>
          </w:p>
        </w:tc>
      </w:tr>
      <w:tr>
        <w:trPr>
          <w:trHeight w:val="20"/>
        </w:trPr>
        <w:tc>
          <w:tcPr>
            <w:tcW w:w="19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2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Borrower, Carter's Holdings B.V., as Dutch Borrower, JPMorgan Chase Bank, N.A., as Administrative Agent, Collateral Agent,</w:t>
              </w:r>
            </w:hyperlink>
          </w:p>
        </w:tc>
        <w:tc>
          <w:tcPr>
            <w:tcW w:w="140" w:type="dxa"/>
            <w:vAlign w:val="bottom"/>
            <w:gridSpan w:val="5"/>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9340" w:type="dxa"/>
            <w:vAlign w:val="bottom"/>
            <w:gridSpan w:val="26"/>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U.S. Dollar Facility Swing Line Lender and U.S. Dollar Facility L/C Issuer, JPMorgan Chase Bank, N.A., Toronto Branch, as</w:t>
              </w:r>
            </w:hyperlink>
          </w:p>
        </w:tc>
      </w:tr>
      <w:tr>
        <w:trPr>
          <w:trHeight w:val="196"/>
        </w:trPr>
        <w:tc>
          <w:tcPr>
            <w:tcW w:w="194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Canadian Agent, a Multicurrency Facility Swing Line Lender and a Multicurrency Facility L/C Issuer, J.P. Morgan Europe</w:t>
              </w:r>
            </w:hyperlink>
          </w:p>
        </w:tc>
        <w:tc>
          <w:tcPr>
            <w:tcW w:w="300" w:type="dxa"/>
            <w:vAlign w:val="bottom"/>
            <w:tcBorders>
              <w:top w:val="single" w:sz="8" w:color="0000FF"/>
            </w:tcBorders>
            <w:gridSpan w:val="3"/>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93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Limited, as European Agent, JPMorgan Chase Bank, N.A., London Branch, as a Multicurrency Facility Swing Line Lender and a</w:t>
              </w:r>
            </w:hyperlink>
          </w:p>
        </w:tc>
        <w:tc>
          <w:tcPr>
            <w:tcW w:w="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9340" w:type="dxa"/>
            <w:vAlign w:val="bottom"/>
            <w:gridSpan w:val="26"/>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Multicurrency Facility L/C Issuer, each lender from time to time party thereto and the other parties party thereto (incorporated by</w:t>
              </w:r>
            </w:hyperlink>
          </w:p>
        </w:tc>
      </w:tr>
      <w:tr>
        <w:trPr>
          <w:trHeight w:val="196"/>
        </w:trPr>
        <w:tc>
          <w:tcPr>
            <w:tcW w:w="1940" w:type="dxa"/>
            <w:vAlign w:val="bottom"/>
          </w:tcPr>
          <w:p>
            <w:pPr>
              <w:spacing w:after="0"/>
              <w:rPr>
                <w:sz w:val="17"/>
                <w:szCs w:val="17"/>
                <w:color w:val="auto"/>
              </w:rPr>
            </w:pPr>
          </w:p>
        </w:tc>
        <w:tc>
          <w:tcPr>
            <w:tcW w:w="73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reference to Exhibit 10.1 of Carter's, Inc.'s Current Report on Form 8-K filed on September 26, 2018).</w:t>
              </w:r>
            </w:hyperlink>
          </w:p>
        </w:tc>
        <w:tc>
          <w:tcPr>
            <w:tcW w:w="194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10.2 *</w:t>
            </w:r>
          </w:p>
        </w:tc>
        <w:tc>
          <w:tcPr>
            <w:tcW w:w="8900" w:type="dxa"/>
            <w:vAlign w:val="bottom"/>
            <w:tcBorders>
              <w:bottom w:val="single" w:sz="8" w:color="0000FF"/>
            </w:tcBorders>
            <w:gridSpan w:val="18"/>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Form of Severance Agreement entered into from time to time between The William Carter Company and executive officers</w:t>
              </w:r>
            </w:hyperlink>
          </w:p>
        </w:tc>
        <w:tc>
          <w:tcPr>
            <w:tcW w:w="440" w:type="dxa"/>
            <w:vAlign w:val="bottom"/>
            <w:gridSpan w:val="8"/>
          </w:tcPr>
          <w:p>
            <w:pPr>
              <w:spacing w:after="0"/>
              <w:rPr>
                <w:sz w:val="21"/>
                <w:szCs w:val="21"/>
                <w:color w:val="auto"/>
              </w:rPr>
            </w:pPr>
          </w:p>
        </w:tc>
      </w:tr>
      <w:tr>
        <w:trPr>
          <w:trHeight w:val="196"/>
        </w:trPr>
        <w:tc>
          <w:tcPr>
            <w:tcW w:w="1940" w:type="dxa"/>
            <w:vAlign w:val="bottom"/>
          </w:tcPr>
          <w:p>
            <w:pPr>
              <w:spacing w:after="0"/>
              <w:rPr>
                <w:sz w:val="17"/>
                <w:szCs w:val="17"/>
                <w:color w:val="auto"/>
              </w:rPr>
            </w:pPr>
          </w:p>
        </w:tc>
        <w:tc>
          <w:tcPr>
            <w:tcW w:w="86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(incorporated by reference to Exhibit 10.2 of Carter's Inc.'s Quarterly Report on Form 10-Q filed on October 29, 2015).</w:t>
              </w:r>
            </w:hyperlink>
          </w:p>
        </w:tc>
        <w:tc>
          <w:tcPr>
            <w:tcW w:w="740" w:type="dxa"/>
            <w:vAlign w:val="bottom"/>
            <w:gridSpan w:val="12"/>
          </w:tcPr>
          <w:p>
            <w:pPr>
              <w:spacing w:after="0"/>
              <w:rPr>
                <w:sz w:val="17"/>
                <w:szCs w:val="17"/>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10.3 *</w:t>
            </w:r>
          </w:p>
        </w:tc>
        <w:tc>
          <w:tcPr>
            <w:tcW w:w="9260" w:type="dxa"/>
            <w:vAlign w:val="bottom"/>
            <w:tcBorders>
              <w:bottom w:val="single" w:sz="8" w:color="0000FF"/>
            </w:tcBorders>
            <w:gridSpan w:val="22"/>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Amended and Restated Equity Incentive Plan (incorporated by reference to Appendix B of Carter's, Inc.'s Schedule 14A filed on</w:t>
              </w:r>
            </w:hyperlink>
          </w:p>
        </w:tc>
        <w:tc>
          <w:tcPr>
            <w:tcW w:w="80" w:type="dxa"/>
            <w:vAlign w:val="bottom"/>
            <w:gridSpan w:val="4"/>
          </w:tcPr>
          <w:p>
            <w:pPr>
              <w:spacing w:after="0"/>
              <w:rPr>
                <w:sz w:val="21"/>
                <w:szCs w:val="21"/>
                <w:color w:val="auto"/>
              </w:rPr>
            </w:pPr>
          </w:p>
        </w:tc>
      </w:tr>
      <w:tr>
        <w:trPr>
          <w:trHeight w:val="196"/>
        </w:trPr>
        <w:tc>
          <w:tcPr>
            <w:tcW w:w="1940" w:type="dxa"/>
            <w:vAlign w:val="bottom"/>
          </w:tcPr>
          <w:p>
            <w:pPr>
              <w:spacing w:after="0"/>
              <w:rPr>
                <w:sz w:val="17"/>
                <w:szCs w:val="17"/>
                <w:color w:val="auto"/>
              </w:rPr>
            </w:pPr>
          </w:p>
        </w:tc>
        <w:tc>
          <w:tcPr>
            <w:tcW w:w="9340" w:type="dxa"/>
            <w:vAlign w:val="bottom"/>
            <w:gridSpan w:val="26"/>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April 4, 2018).</w:t>
              </w:r>
            </w:hyperlink>
          </w:p>
        </w:tc>
      </w:tr>
      <w:tr>
        <w:trPr>
          <w:trHeight w:val="20"/>
        </w:trPr>
        <w:tc>
          <w:tcPr>
            <w:tcW w:w="19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601"/>
        </w:trPr>
        <w:tc>
          <w:tcPr>
            <w:tcW w:w="1940" w:type="dxa"/>
            <w:vAlign w:val="bottom"/>
          </w:tcPr>
          <w:p>
            <w:pPr>
              <w:spacing w:after="0"/>
              <w:rPr>
                <w:sz w:val="20"/>
                <w:szCs w:val="20"/>
                <w:color w:val="auto"/>
              </w:rPr>
            </w:pPr>
            <w:r>
              <w:rPr>
                <w:rFonts w:ascii="Arial" w:cs="Arial" w:eastAsia="Arial" w:hAnsi="Arial"/>
                <w:sz w:val="18"/>
                <w:szCs w:val="18"/>
                <w:color w:val="auto"/>
              </w:rPr>
              <w:t>10.4 *</w:t>
            </w:r>
          </w:p>
        </w:tc>
        <w:tc>
          <w:tcPr>
            <w:tcW w:w="9340" w:type="dxa"/>
            <w:vAlign w:val="bottom"/>
            <w:gridSpan w:val="26"/>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Amended and Restated Annual Incentive Compensation Plan (incorporated by reference to Appendix C of Carter's, Inc.'s</w:t>
              </w:r>
            </w:hyperlink>
          </w:p>
        </w:tc>
      </w:tr>
      <w:tr>
        <w:trPr>
          <w:trHeight w:val="196"/>
        </w:trPr>
        <w:tc>
          <w:tcPr>
            <w:tcW w:w="1940" w:type="dxa"/>
            <w:vAlign w:val="bottom"/>
          </w:tcPr>
          <w:p>
            <w:pPr>
              <w:spacing w:after="0"/>
              <w:rPr>
                <w:sz w:val="17"/>
                <w:szCs w:val="17"/>
                <w:color w:val="auto"/>
              </w:rPr>
            </w:pPr>
          </w:p>
        </w:tc>
        <w:tc>
          <w:tcPr>
            <w:tcW w:w="87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Schedule 14A filed on March 31, 2016).</w:t>
              </w:r>
            </w:hyperlink>
          </w:p>
        </w:tc>
        <w:tc>
          <w:tcPr>
            <w:tcW w:w="620" w:type="dxa"/>
            <w:vAlign w:val="bottom"/>
            <w:gridSpan w:val="10"/>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10.5 *</w:t>
            </w:r>
          </w:p>
        </w:tc>
        <w:tc>
          <w:tcPr>
            <w:tcW w:w="9340" w:type="dxa"/>
            <w:vAlign w:val="bottom"/>
            <w:gridSpan w:val="26"/>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The William Carter Company Severance Plan (Amended and Restated Effective January 1, 2020).</w:t>
              </w:r>
            </w:hyperlink>
          </w:p>
        </w:tc>
      </w:tr>
      <w:tr>
        <w:trPr>
          <w:trHeight w:val="20"/>
        </w:trPr>
        <w:tc>
          <w:tcPr>
            <w:tcW w:w="19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10.6 *</w:t>
            </w:r>
          </w:p>
        </w:tc>
        <w:tc>
          <w:tcPr>
            <w:tcW w:w="9340" w:type="dxa"/>
            <w:vAlign w:val="bottom"/>
            <w:tcBorders>
              <w:bottom w:val="single" w:sz="8" w:color="0000FF"/>
            </w:tcBorders>
            <w:gridSpan w:val="26"/>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The William Carter Company Deferred Compensation Plan, dated as of November 10, 2010 (incorporated by reference to Exhibit</w:t>
              </w:r>
            </w:hyperlink>
          </w:p>
        </w:tc>
      </w:tr>
      <w:tr>
        <w:trPr>
          <w:trHeight w:val="196"/>
        </w:trPr>
        <w:tc>
          <w:tcPr>
            <w:tcW w:w="1940" w:type="dxa"/>
            <w:vAlign w:val="bottom"/>
          </w:tcPr>
          <w:p>
            <w:pPr>
              <w:spacing w:after="0"/>
              <w:rPr>
                <w:sz w:val="17"/>
                <w:szCs w:val="17"/>
                <w:color w:val="auto"/>
              </w:rPr>
            </w:pPr>
          </w:p>
        </w:tc>
        <w:tc>
          <w:tcPr>
            <w:tcW w:w="9340" w:type="dxa"/>
            <w:vAlign w:val="bottom"/>
            <w:gridSpan w:val="26"/>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of Carter's, Inc.'s Annual Report on Form 10-K filed on March 2, 2011).</w:t>
              </w:r>
            </w:hyperlink>
          </w:p>
        </w:tc>
      </w:tr>
      <w:tr>
        <w:trPr>
          <w:trHeight w:val="20"/>
        </w:trPr>
        <w:tc>
          <w:tcPr>
            <w:tcW w:w="19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66"/>
        </w:trPr>
        <w:tc>
          <w:tcPr>
            <w:tcW w:w="1940" w:type="dxa"/>
            <w:vAlign w:val="bottom"/>
          </w:tcPr>
          <w:p>
            <w:pPr>
              <w:spacing w:after="0"/>
              <w:rPr>
                <w:sz w:val="20"/>
                <w:szCs w:val="20"/>
                <w:color w:val="auto"/>
              </w:rPr>
            </w:pPr>
            <w:r>
              <w:rPr>
                <w:rFonts w:ascii="Arial" w:cs="Arial" w:eastAsia="Arial" w:hAnsi="Arial"/>
                <w:sz w:val="18"/>
                <w:szCs w:val="18"/>
                <w:color w:val="auto"/>
              </w:rPr>
              <w:t>10.7</w:t>
            </w:r>
          </w:p>
        </w:tc>
        <w:tc>
          <w:tcPr>
            <w:tcW w:w="9280" w:type="dxa"/>
            <w:vAlign w:val="bottom"/>
            <w:tcBorders>
              <w:bottom w:val="single" w:sz="8" w:color="0000FF"/>
            </w:tcBorders>
            <w:gridSpan w:val="23"/>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Lease Agreement dated March 29, 2012, between The William Carter Company and Duke Secured Financing 2009-1 ALZ, LLC</w:t>
              </w:r>
            </w:hyperlink>
          </w:p>
        </w:tc>
        <w:tc>
          <w:tcPr>
            <w:tcW w:w="60" w:type="dxa"/>
            <w:vAlign w:val="bottom"/>
            <w:gridSpan w:val="3"/>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9340" w:type="dxa"/>
            <w:vAlign w:val="bottom"/>
            <w:gridSpan w:val="26"/>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(incorporated by reference to Exhibit 10.21 of Carter's, Inc.'s Quarterly Report on Form 10-Q filed on April 27, 2012).</w:t>
              </w:r>
            </w:hyperlink>
          </w:p>
        </w:tc>
      </w:tr>
      <w:tr>
        <w:trPr>
          <w:trHeight w:val="20"/>
        </w:trPr>
        <w:tc>
          <w:tcPr>
            <w:tcW w:w="19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66"/>
        </w:trPr>
        <w:tc>
          <w:tcPr>
            <w:tcW w:w="1940" w:type="dxa"/>
            <w:vAlign w:val="bottom"/>
          </w:tcPr>
          <w:p>
            <w:pPr>
              <w:spacing w:after="0"/>
              <w:rPr>
                <w:sz w:val="20"/>
                <w:szCs w:val="20"/>
                <w:color w:val="auto"/>
              </w:rPr>
            </w:pPr>
            <w:r>
              <w:rPr>
                <w:rFonts w:ascii="Arial" w:cs="Arial" w:eastAsia="Arial" w:hAnsi="Arial"/>
                <w:sz w:val="18"/>
                <w:szCs w:val="18"/>
                <w:color w:val="auto"/>
              </w:rPr>
              <w:t>10.8</w:t>
            </w:r>
          </w:p>
        </w:tc>
        <w:tc>
          <w:tcPr>
            <w:tcW w:w="9340" w:type="dxa"/>
            <w:vAlign w:val="bottom"/>
            <w:gridSpan w:val="26"/>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Lease Agreement dated December 14, 2012, between The William Carter Company and Phipps Tower Associates, LLC</w:t>
              </w:r>
            </w:hyperlink>
          </w:p>
        </w:tc>
      </w:tr>
      <w:tr>
        <w:trPr>
          <w:trHeight w:val="196"/>
        </w:trPr>
        <w:tc>
          <w:tcPr>
            <w:tcW w:w="1940" w:type="dxa"/>
            <w:vAlign w:val="bottom"/>
          </w:tcPr>
          <w:p>
            <w:pPr>
              <w:spacing w:after="0"/>
              <w:rPr>
                <w:sz w:val="17"/>
                <w:szCs w:val="17"/>
                <w:color w:val="auto"/>
              </w:rPr>
            </w:pPr>
          </w:p>
        </w:tc>
        <w:tc>
          <w:tcPr>
            <w:tcW w:w="8620" w:type="dxa"/>
            <w:vAlign w:val="bottom"/>
            <w:tcBorders>
              <w:top w:val="single" w:sz="8" w:color="0000FF"/>
            </w:tcBorders>
            <w:gridSpan w:val="15"/>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(incorporated by reference to Exhibit 10.1 of Carter's, Inc.'s Current Report on Form 8-K filed on December 14, 2012).</w:t>
              </w:r>
            </w:hyperlink>
          </w:p>
        </w:tc>
        <w:tc>
          <w:tcPr>
            <w:tcW w:w="720" w:type="dxa"/>
            <w:vAlign w:val="bottom"/>
            <w:gridSpan w:val="11"/>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10.8.1</w:t>
            </w:r>
          </w:p>
        </w:tc>
        <w:tc>
          <w:tcPr>
            <w:tcW w:w="8980" w:type="dxa"/>
            <w:vAlign w:val="bottom"/>
            <w:tcBorders>
              <w:bottom w:val="single" w:sz="8" w:color="0000FF"/>
            </w:tcBorders>
            <w:gridSpan w:val="19"/>
          </w:tcPr>
          <w:p>
            <w:pPr>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Second Amendment to the Lease Agreement dated June 17, 2013, between The William Carter Company and Phipps Tower</w:t>
              </w:r>
            </w:hyperlink>
          </w:p>
        </w:tc>
        <w:tc>
          <w:tcPr>
            <w:tcW w:w="360" w:type="dxa"/>
            <w:vAlign w:val="bottom"/>
            <w:gridSpan w:val="7"/>
          </w:tcPr>
          <w:p>
            <w:pPr>
              <w:spacing w:after="0"/>
              <w:rPr>
                <w:sz w:val="21"/>
                <w:szCs w:val="21"/>
                <w:color w:val="auto"/>
              </w:rPr>
            </w:pPr>
          </w:p>
        </w:tc>
      </w:tr>
      <w:tr>
        <w:trPr>
          <w:trHeight w:val="196"/>
        </w:trPr>
        <w:tc>
          <w:tcPr>
            <w:tcW w:w="1940" w:type="dxa"/>
            <w:vAlign w:val="bottom"/>
          </w:tcPr>
          <w:p>
            <w:pPr>
              <w:spacing w:after="0"/>
              <w:rPr>
                <w:sz w:val="17"/>
                <w:szCs w:val="17"/>
                <w:color w:val="auto"/>
              </w:rPr>
            </w:pPr>
          </w:p>
        </w:tc>
        <w:tc>
          <w:tcPr>
            <w:tcW w:w="9340" w:type="dxa"/>
            <w:vAlign w:val="bottom"/>
            <w:gridSpan w:val="26"/>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Associates, LLC (incorporated by reference to Exhibit 10.19 of Carter's, Inc.'s Quarterly Report on Form 10-Q filed on October</w:t>
              </w:r>
            </w:hyperlink>
          </w:p>
        </w:tc>
      </w:tr>
      <w:tr>
        <w:trPr>
          <w:trHeight w:val="196"/>
        </w:trPr>
        <w:tc>
          <w:tcPr>
            <w:tcW w:w="19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24, 2013).</w:t>
              </w:r>
            </w:hyperlink>
          </w:p>
        </w:tc>
        <w:tc>
          <w:tcPr>
            <w:tcW w:w="3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21</w:t>
            </w:r>
          </w:p>
        </w:tc>
        <w:tc>
          <w:tcPr>
            <w:tcW w:w="204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Subsidiaries of Carter's, Inc.</w:t>
              </w:r>
            </w:hyperlink>
          </w:p>
        </w:tc>
        <w:tc>
          <w:tcPr>
            <w:tcW w:w="7300" w:type="dxa"/>
            <w:vAlign w:val="bottom"/>
            <w:gridSpan w:val="22"/>
          </w:tcPr>
          <w:p>
            <w:pPr>
              <w:spacing w:after="0"/>
              <w:rPr>
                <w:sz w:val="21"/>
                <w:szCs w:val="2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23</w:t>
            </w:r>
          </w:p>
        </w:tc>
        <w:tc>
          <w:tcPr>
            <w:tcW w:w="9340" w:type="dxa"/>
            <w:vAlign w:val="bottom"/>
            <w:gridSpan w:val="2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Consent of Independent Registered Public Accounting Firm.</w:t>
              </w:r>
            </w:hyperlink>
          </w:p>
        </w:tc>
      </w:tr>
      <w:tr>
        <w:trPr>
          <w:trHeight w:val="20"/>
        </w:trPr>
        <w:tc>
          <w:tcPr>
            <w:tcW w:w="19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18"/>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31.1</w:t>
            </w:r>
          </w:p>
        </w:tc>
        <w:tc>
          <w:tcPr>
            <w:tcW w:w="46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Rule 13a-15(e)/15d-15(e) and 13a-15(f)/15d-15(f) Certification.</w:t>
              </w:r>
            </w:hyperlink>
          </w:p>
        </w:tc>
        <w:tc>
          <w:tcPr>
            <w:tcW w:w="4700" w:type="dxa"/>
            <w:vAlign w:val="bottom"/>
            <w:gridSpan w:val="18"/>
          </w:tcPr>
          <w:p>
            <w:pPr>
              <w:spacing w:after="0"/>
              <w:rPr>
                <w:sz w:val="21"/>
                <w:szCs w:val="2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31.2</w:t>
            </w:r>
          </w:p>
        </w:tc>
        <w:tc>
          <w:tcPr>
            <w:tcW w:w="462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Rule 13a-15(e)/15d-15(e) and 13a-15(f)/15d-15(f) Certification.</w:t>
              </w:r>
            </w:hyperlink>
          </w:p>
        </w:tc>
        <w:tc>
          <w:tcPr>
            <w:tcW w:w="4720" w:type="dxa"/>
            <w:vAlign w:val="bottom"/>
            <w:gridSpan w:val="19"/>
          </w:tcPr>
          <w:p>
            <w:pPr>
              <w:spacing w:after="0"/>
              <w:rPr>
                <w:sz w:val="21"/>
                <w:szCs w:val="2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32</w:t>
            </w:r>
          </w:p>
        </w:tc>
        <w:tc>
          <w:tcPr>
            <w:tcW w:w="9340" w:type="dxa"/>
            <w:vAlign w:val="bottom"/>
            <w:gridSpan w:val="26"/>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Section 1350 Certification.</w:t>
              </w:r>
            </w:hyperlink>
          </w:p>
        </w:tc>
      </w:tr>
      <w:tr>
        <w:trPr>
          <w:trHeight w:val="20"/>
        </w:trPr>
        <w:tc>
          <w:tcPr>
            <w:tcW w:w="19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400" w:type="dxa"/>
            <w:vAlign w:val="bottom"/>
            <w:gridSpan w:val="23"/>
          </w:tcPr>
          <w:p>
            <w:pPr>
              <w:spacing w:after="0" w:line="20" w:lineRule="exact"/>
              <w:rPr>
                <w:sz w:val="1"/>
                <w:szCs w:val="1"/>
                <w:color w:val="auto"/>
              </w:rPr>
            </w:pPr>
          </w:p>
        </w:tc>
      </w:tr>
      <w:tr>
        <w:trPr>
          <w:trHeight w:val="276"/>
        </w:trPr>
        <w:tc>
          <w:tcPr>
            <w:tcW w:w="1940" w:type="dxa"/>
            <w:vAlign w:val="bottom"/>
          </w:tcPr>
          <w:p>
            <w:pPr>
              <w:spacing w:after="0"/>
              <w:rPr>
                <w:sz w:val="24"/>
                <w:szCs w:val="24"/>
                <w:color w:val="auto"/>
              </w:rPr>
            </w:pPr>
          </w:p>
        </w:tc>
        <w:tc>
          <w:tcPr>
            <w:tcW w:w="9340" w:type="dxa"/>
            <w:vAlign w:val="bottom"/>
            <w:gridSpan w:val="26"/>
          </w:tcPr>
          <w:p>
            <w:pPr>
              <w:spacing w:after="0"/>
              <w:rPr>
                <w:sz w:val="20"/>
                <w:szCs w:val="20"/>
                <w:color w:val="auto"/>
              </w:rPr>
            </w:pPr>
            <w:r>
              <w:rPr>
                <w:rFonts w:ascii="Arial" w:cs="Arial" w:eastAsia="Arial" w:hAnsi="Arial"/>
                <w:sz w:val="18"/>
                <w:szCs w:val="18"/>
                <w:color w:val="auto"/>
                <w:w w:val="97"/>
              </w:rPr>
              <w:t>XBRL Instance Document - the instant document does not appear in the Interactive Data File because its XBRL tags are</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Exhibit No. (101).INS</w:t>
            </w:r>
          </w:p>
        </w:tc>
        <w:tc>
          <w:tcPr>
            <w:tcW w:w="9340" w:type="dxa"/>
            <w:vAlign w:val="bottom"/>
            <w:gridSpan w:val="2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Exhibit No. (101).SCH</w:t>
            </w:r>
          </w:p>
        </w:tc>
        <w:tc>
          <w:tcPr>
            <w:tcW w:w="934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Exhibit No. (101).CAL</w:t>
            </w:r>
          </w:p>
        </w:tc>
        <w:tc>
          <w:tcPr>
            <w:tcW w:w="934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Exhibit No. (101).DEF</w:t>
            </w:r>
          </w:p>
        </w:tc>
        <w:tc>
          <w:tcPr>
            <w:tcW w:w="934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Exhibit No. (101).LAB</w:t>
            </w:r>
          </w:p>
        </w:tc>
        <w:tc>
          <w:tcPr>
            <w:tcW w:w="934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Exhibit No. (101).PRE</w:t>
            </w:r>
          </w:p>
        </w:tc>
        <w:tc>
          <w:tcPr>
            <w:tcW w:w="934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Exhibit No. 104</w:t>
            </w:r>
          </w:p>
        </w:tc>
        <w:tc>
          <w:tcPr>
            <w:tcW w:w="9340" w:type="dxa"/>
            <w:vAlign w:val="bottom"/>
            <w:gridSpan w:val="26"/>
          </w:tcPr>
          <w:p>
            <w:pPr>
              <w:spacing w:after="0"/>
              <w:rPr>
                <w:sz w:val="20"/>
                <w:szCs w:val="20"/>
                <w:color w:val="auto"/>
              </w:rPr>
            </w:pPr>
            <w:r>
              <w:rPr>
                <w:rFonts w:ascii="Arial" w:cs="Arial" w:eastAsia="Arial" w:hAnsi="Arial"/>
                <w:sz w:val="18"/>
                <w:szCs w:val="18"/>
                <w:color w:val="auto"/>
              </w:rPr>
              <w:t>The cover page from this Current Report on Form 10-K formatted as Inline XBRL</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486"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337" w:right="1440" w:bottom="1440" w:gutter="0" w:footer="0" w:header="0"/>
        </w:sectPr>
      </w:pPr>
    </w:p>
    <w:bookmarkStart w:id="87" w:name="page88"/>
    <w:bookmarkEnd w:id="87"/>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their behalf by the undersigned, thereunto duly authorized.</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CARTER'S, INC.</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31750</wp:posOffset>
            </wp:positionV>
            <wp:extent cx="3679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1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89"/>
              </w:rPr>
              <w:t>Name</w:t>
            </w:r>
          </w:p>
        </w:tc>
        <w:tc>
          <w:tcPr>
            <w:tcW w:w="4200" w:type="dxa"/>
            <w:vAlign w:val="bottom"/>
            <w:gridSpan w:val="3"/>
          </w:tcPr>
          <w:p>
            <w:pPr>
              <w:ind w:left="2340"/>
              <w:spacing w:after="0"/>
              <w:rPr>
                <w:sz w:val="20"/>
                <w:szCs w:val="20"/>
                <w:color w:val="auto"/>
              </w:rPr>
            </w:pPr>
            <w:r>
              <w:rPr>
                <w:rFonts w:ascii="Arial" w:cs="Arial" w:eastAsia="Arial" w:hAnsi="Arial"/>
                <w:sz w:val="18"/>
                <w:szCs w:val="18"/>
                <w:b w:val="1"/>
                <w:bCs w:val="1"/>
                <w:color w:val="auto"/>
              </w:rPr>
              <w:t>Title</w:t>
            </w:r>
          </w:p>
        </w:tc>
        <w:tc>
          <w:tcPr>
            <w:tcW w:w="16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r>
      <w:tr>
        <w:trPr>
          <w:trHeight w:val="20"/>
        </w:trPr>
        <w:tc>
          <w:tcPr>
            <w:tcW w:w="1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723"/>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7"/>
              </w:rPr>
              <w:t>/s/ MICHAEL D. CASEY</w:t>
            </w: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Chairman and Chief Executive Officer</w:t>
            </w:r>
          </w:p>
        </w:tc>
        <w:tc>
          <w:tcPr>
            <w:tcW w:w="2720" w:type="dxa"/>
            <w:vAlign w:val="bottom"/>
            <w:gridSpan w:val="3"/>
          </w:tcPr>
          <w:p>
            <w:pPr>
              <w:ind w:left="1400"/>
              <w:spacing w:after="0"/>
              <w:rPr>
                <w:sz w:val="20"/>
                <w:szCs w:val="20"/>
                <w:color w:val="auto"/>
              </w:rPr>
            </w:pPr>
            <w:r>
              <w:rPr>
                <w:rFonts w:ascii="Arial" w:cs="Arial" w:eastAsia="Arial" w:hAnsi="Arial"/>
                <w:sz w:val="18"/>
                <w:szCs w:val="18"/>
                <w:color w:val="auto"/>
                <w:w w:val="88"/>
              </w:rPr>
              <w:t>February 24, 2020</w:t>
            </w:r>
          </w:p>
        </w:tc>
      </w:tr>
      <w:tr>
        <w:trPr>
          <w:trHeight w:val="27"/>
        </w:trPr>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7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Michael D. Casey</w:t>
            </w: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4"/>
              </w:rPr>
              <w:t>/s/ RICHARD F. WESTENBERGER</w:t>
            </w:r>
          </w:p>
        </w:tc>
        <w:tc>
          <w:tcPr>
            <w:tcW w:w="47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200" w:type="dxa"/>
            <w:vAlign w:val="bottom"/>
          </w:tcPr>
          <w:p>
            <w:pPr>
              <w:ind w:left="88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87"/>
              </w:rPr>
              <w:t>Richard F. Westenberger</w:t>
            </w:r>
          </w:p>
        </w:tc>
        <w:tc>
          <w:tcPr>
            <w:tcW w:w="4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6"/>
              </w:rPr>
              <w:t>/s/ HALI BORENSTEIN</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3"/>
              </w:rPr>
              <w:t>Hali Borenstein</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9"/>
              </w:rPr>
              <w:t>/s/ AMY WOODS BRINKLEY</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5"/>
              </w:rPr>
              <w:t>Amy Woods Brinkley</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6"/>
              </w:rPr>
              <w:t>/s/ GIUSEPPINA BUONFANTINO</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1"/>
              </w:rPr>
              <w:t>Giuseppina Buonfantino</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6"/>
              </w:rPr>
              <w:t>/s/ A. BRUCE CLEVERLY</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4"/>
              </w:rPr>
              <w:t>A. Bruce Cleverly</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240" w:top="33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240" w:top="333" w:right="41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4"/>
              </w:rPr>
              <w:t>/s/ JEVIN S. EAGLE</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88"/>
              </w:rPr>
              <w:t>Jevin S. Eagle</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3"/>
              </w:rPr>
              <w:t>/s/ MARK P. HIPP</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2"/>
              </w:rPr>
              <w:t>Mark P. Hipp</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7"/>
              </w:rPr>
              <w:t>/s/ WILLIAM J. MONTGORIS</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5"/>
              </w:rPr>
              <w:t>William J. Montgoris</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7"/>
              </w:rPr>
              <w:t>/s/ RICHARD A. NOLL</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6"/>
              </w:rPr>
              <w:t>Richard A. Noll</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3"/>
              </w:rPr>
              <w:t>/s/ GRETCHEN W. PRICE</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89"/>
              </w:rPr>
              <w:t>Gretchen W. Price</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6"/>
              </w:rPr>
              <w:t>/s/ DAVID PULVER</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4"/>
              </w:rPr>
              <w:t>David Pulver</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7"/>
              </w:rPr>
              <w:t>/s/ THOMAS E. WHIDDON</w:t>
            </w:r>
          </w:p>
        </w:tc>
        <w:tc>
          <w:tcPr>
            <w:tcW w:w="3100" w:type="dxa"/>
            <w:vAlign w:val="bottom"/>
          </w:tcPr>
          <w:p>
            <w:pPr>
              <w:ind w:left="2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24, 2020</w:t>
            </w:r>
          </w:p>
        </w:tc>
      </w:tr>
      <w:tr>
        <w:trPr>
          <w:trHeight w:val="27"/>
        </w:trPr>
        <w:tc>
          <w:tcPr>
            <w:tcW w:w="376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37"/>
        </w:trPr>
        <w:tc>
          <w:tcPr>
            <w:tcW w:w="3760" w:type="dxa"/>
            <w:vAlign w:val="bottom"/>
          </w:tcPr>
          <w:p>
            <w:pPr>
              <w:jc w:val="center"/>
              <w:spacing w:after="0"/>
              <w:rPr>
                <w:sz w:val="20"/>
                <w:szCs w:val="20"/>
                <w:color w:val="auto"/>
              </w:rPr>
            </w:pPr>
            <w:r>
              <w:rPr>
                <w:rFonts w:ascii="Arial" w:cs="Arial" w:eastAsia="Arial" w:hAnsi="Arial"/>
                <w:sz w:val="18"/>
                <w:szCs w:val="18"/>
                <w:color w:val="auto"/>
                <w:w w:val="91"/>
              </w:rPr>
              <w:t>Thomas E. Whiddon</w:t>
            </w:r>
          </w:p>
        </w:tc>
        <w:tc>
          <w:tcPr>
            <w:tcW w:w="31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680"/>
          </w:cols>
          <w:pgMar w:left="600" w:top="503" w:right="6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4.3</w:t>
      </w:r>
    </w:p>
    <w:p>
      <w:pPr>
        <w:spacing w:after="0" w:line="21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Description of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Carter’s, Inc.’s (the “Company”) authorized capital stock of consists of:</w:t>
      </w:r>
    </w:p>
    <w:p>
      <w:pPr>
        <w:spacing w:after="0" w:line="18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150,000,000 shares of Common Stock, $.01 par value per share (“Common Stock”);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100,000 shares of Preferred Stock, $.01 par value per share (“Preferred Stock”).</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as required by applicable law, all shares of Common Stock have the same rights and privileges and rank equally, share ratably and are identical in all respects as to all matters, including, without limitation, those described below:</w:t>
      </w:r>
    </w:p>
    <w:p>
      <w:pPr>
        <w:spacing w:after="0" w:line="13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u w:val="single" w:color="auto"/>
          <w:color w:val="auto"/>
        </w:rPr>
        <w:t>A. General</w:t>
      </w:r>
      <w:r>
        <w:rPr>
          <w:rFonts w:ascii="Arial" w:cs="Arial" w:eastAsia="Arial" w:hAnsi="Arial"/>
          <w:sz w:val="16"/>
          <w:szCs w:val="16"/>
          <w:color w:val="auto"/>
        </w:rPr>
        <w:t>. The voting, dividend and liquidation rights of the holders of the Common Stock are subject to and qualified by the rights of the holders of the Preferred Stock (as discussed below) of any series as may be designated by the Board of Directors upon issuance of any such Preferred Stock. The holders of the Common Stock do not have preemptive rights to subscribe for any shares of any class of stock of the Company, whether now or hereafter authorized.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Voting</w:t>
      </w:r>
      <w:r>
        <w:rPr>
          <w:rFonts w:ascii="Arial" w:cs="Arial" w:eastAsia="Arial" w:hAnsi="Arial"/>
          <w:sz w:val="18"/>
          <w:szCs w:val="18"/>
          <w:color w:val="auto"/>
        </w:rPr>
        <w:t>. Each share of Common Stock is entitled to one vote. There is no cumulative voting.</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 Number</w:t>
      </w:r>
      <w:r>
        <w:rPr>
          <w:rFonts w:ascii="Arial" w:cs="Arial" w:eastAsia="Arial" w:hAnsi="Arial"/>
          <w:sz w:val="18"/>
          <w:szCs w:val="18"/>
          <w:color w:val="auto"/>
        </w:rPr>
        <w:t>. The number of authorized shares of Common Stock may be increased or decreased (but not below the number of shares thereof then outstanding) by the affirmative vote of the holders of a majority of the stock of the Company entitled to vote, irrespective of the provisions of Section 242(b)(2) of the Delaware General Corporate Law (“DGCL”).</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 Dividends</w:t>
      </w:r>
      <w:r>
        <w:rPr>
          <w:rFonts w:ascii="Arial" w:cs="Arial" w:eastAsia="Arial" w:hAnsi="Arial"/>
          <w:sz w:val="16"/>
          <w:szCs w:val="16"/>
          <w:color w:val="auto"/>
        </w:rPr>
        <w:t>. Dividends may be declared and paid on the Common Stock from funds lawfully available as and when determined by the Board of Directors.</w:t>
      </w:r>
    </w:p>
    <w:p>
      <w:pPr>
        <w:spacing w:after="0" w:line="2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E. Liquidation</w:t>
      </w:r>
      <w:r>
        <w:rPr>
          <w:rFonts w:ascii="Arial" w:cs="Arial" w:eastAsia="Arial" w:hAnsi="Arial"/>
          <w:sz w:val="17"/>
          <w:szCs w:val="17"/>
          <w:color w:val="auto"/>
        </w:rPr>
        <w:t>. Upon the dissolution or liquidation of the Company, whether voluntary or involuntary, holders of Common Stock will be entitled to receive all assets of the Company available for distribution to its stockholders, subject to any preferential rights of any then outstanding Preferred Stock.</w:t>
      </w:r>
    </w:p>
    <w:p>
      <w:pPr>
        <w:spacing w:after="0" w:line="10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F. Anti-Takeover Provisions</w:t>
      </w:r>
      <w:r>
        <w:rPr>
          <w:rFonts w:ascii="Arial" w:cs="Arial" w:eastAsia="Arial" w:hAnsi="Arial"/>
          <w:sz w:val="18"/>
          <w:szCs w:val="18"/>
          <w:color w:val="auto"/>
        </w:rPr>
        <w:t>. The section below titled “Anti-Takeover Provisions” is incorporated herein by reference. Pursuant to the Company’s certificate of incorporation, the Company has elected not to be governed by Section 203 of the DGCL.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 Listing</w:t>
      </w:r>
      <w:r>
        <w:rPr>
          <w:rFonts w:ascii="Arial" w:cs="Arial" w:eastAsia="Arial" w:hAnsi="Arial"/>
          <w:sz w:val="18"/>
          <w:szCs w:val="18"/>
          <w:color w:val="auto"/>
        </w:rPr>
        <w:t>. The Company’s Common Stock is listed on the New York Stock Exchange under the symbol “CRI”.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Pursuant to the Company’s certificate of incorporation, Preferred Stock may be issued from time to time in one or more series, each of such series to have such terms as stated or expressed in the certificate of incorporation, and in the resolution or resolutions providing for the issue of such series adopted by the Board of Directors.</w:t>
      </w:r>
    </w:p>
    <w:p>
      <w:pPr>
        <w:spacing w:after="0" w:line="14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Any shares of Preferred Stock which may be redeemed, purchased or acquired by the Company may be reissued except as otherwise provided by law or the certificate of incorporation. Different series of Preferred Stock will not be construed to constitute different classes of shares for the purposes of voting by classes unless expressly provided in the resolution or resolutions providing for the issue of such series adopted by the Board of Directors.</w:t>
      </w:r>
    </w:p>
    <w:p>
      <w:pPr>
        <w:spacing w:after="0" w:line="10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each series of Preferred Stock, the Company’s certificate of incorporation authorizes the Board of Directors to determine and fix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may be stated in resolutions adopted by the Board of Directors, all to the full extent now or hereafter permitted by the DGCL.</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Except as otherwise provided in the certificate of incorporation, no vote of the holders of the Preferred Stock or Common Stock will be a prerequisite to the designation or issuance of any shares of any series of the Preferred Stock authorized by and complying with the conditions of the certificate of incorporation, the right to have such vote being expressly waived by all present and future holders of the capital stock of the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ectPr>
          <w:pgSz w:w="11900" w:h="16838" w:orient="portrait"/>
          <w:cols w:equalWidth="0" w:num="1">
            <w:col w:w="11420"/>
          </w:cols>
          <w:pgMar w:left="240" w:top="557" w:right="239" w:bottom="1440" w:gutter="0" w:footer="0" w:header="0"/>
        </w:sectPr>
      </w:pPr>
    </w:p>
    <w:bookmarkStart w:id="90" w:name="page91"/>
    <w:bookmarkEnd w:id="90"/>
    <w:p>
      <w:pPr>
        <w:ind w:right="80"/>
        <w:spacing w:after="0" w:line="277" w:lineRule="auto"/>
        <w:rPr>
          <w:sz w:val="20"/>
          <w:szCs w:val="20"/>
          <w:color w:val="auto"/>
        </w:rPr>
      </w:pPr>
      <w:r>
        <w:rPr>
          <w:rFonts w:ascii="Arial" w:cs="Arial" w:eastAsia="Arial" w:hAnsi="Arial"/>
          <w:sz w:val="18"/>
          <w:szCs w:val="18"/>
          <w:color w:val="auto"/>
        </w:rPr>
        <w:t>Below is a summary of provisions of the Company’s certificate of incorporation and bylaws that could have the effect of delaying, deferring, or discouraging another person from acquiring control of the Company.</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u w:val="single" w:color="auto"/>
          <w:color w:val="auto"/>
        </w:rPr>
        <w:t>A. Board of Directors Vacancies</w:t>
      </w:r>
      <w:r>
        <w:rPr>
          <w:rFonts w:ascii="Arial" w:cs="Arial" w:eastAsia="Arial" w:hAnsi="Arial"/>
          <w:sz w:val="17"/>
          <w:szCs w:val="17"/>
          <w:color w:val="auto"/>
        </w:rPr>
        <w:t>. The Company’s bylaws authorize only the Company’s Board of Directors to fill vacant directorships, including newly created seats. In addition, the number of directors constituting the Company’s Board of Directors is permitted to be set only by a resolution adopted by a majority vote of the Company’s entire Board of Directors. These provisions would prevent a stockholder from increasing the size of the Company’s Board of Directors and then gaining control of the Company’s Board of Directors by filling the resulting vacancies with its own nominees. This makes it more difficult to change the composition of the Company’s Board of Directors but promotes continuity of management.</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B. Advance Notice Requirements for Stockholder Proposals</w:t>
      </w:r>
      <w:r>
        <w:rPr>
          <w:rFonts w:ascii="Arial" w:cs="Arial" w:eastAsia="Arial" w:hAnsi="Arial"/>
          <w:sz w:val="18"/>
          <w:szCs w:val="18"/>
          <w:color w:val="auto"/>
        </w:rPr>
        <w:t>. The Company’s bylaws provide advance notice procedures for stockholders seeking to bring business before the Company’s annual meeting of stockholders. The Company’s bylaws also specify certain requirements regarding the form and content of a stockholder’s notice. These provisions might preclude the Company’s stockholders from bringing matters before the Company’s annual meeting of stockholders or from making nominations for directors at the Company’s annual meeting of stockholders if the proper procedures are not followed. These provisions might also discourage or deter a potential acquirer from conducting a solicitation of proxies to elect the acquirer’s own slate of directors or otherwise attempting to obtain control of the Company.</w:t>
      </w:r>
    </w:p>
    <w:p>
      <w:pPr>
        <w:spacing w:after="0" w:line="1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C. No Cumulative Voting</w:t>
      </w:r>
      <w:r>
        <w:rPr>
          <w:rFonts w:ascii="Arial" w:cs="Arial" w:eastAsia="Arial" w:hAnsi="Arial"/>
          <w:sz w:val="18"/>
          <w:szCs w:val="18"/>
          <w:color w:val="auto"/>
        </w:rPr>
        <w:t>. The DGCL provides that stockholders are not entitled to the right to cumulate votes in the election of directors unless a corporation’s certificate of incorporation provides otherwise. The Company’s certificate of incorporation and restated bylaws will not provide for cumulative voting.</w:t>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u w:val="single" w:color="auto"/>
          <w:color w:val="auto"/>
        </w:rPr>
        <w:t>D. Issuance of Undesignated Preferred Stock</w:t>
      </w:r>
      <w:r>
        <w:rPr>
          <w:rFonts w:ascii="Arial" w:cs="Arial" w:eastAsia="Arial" w:hAnsi="Arial"/>
          <w:sz w:val="17"/>
          <w:szCs w:val="17"/>
          <w:color w:val="auto"/>
        </w:rPr>
        <w:t>. The Company’s Board of Directors has the authority, without further action by the stockholders, to issue up to 100,000 shares of undesignated Preferred Stock with rights and preferences, including voting rights, designated from time to time by the Company’s Board of Directors. The existence of authorized but unissued shares of Preferred Stock enables the Company’s Board of Directors to render more difficult or to discourage an attempt to obtain control of us by means of a merger, tender offer, proxy contest, or other means.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E. Choice of Forum</w:t>
      </w:r>
      <w:r>
        <w:rPr>
          <w:rFonts w:ascii="Arial" w:cs="Arial" w:eastAsia="Arial" w:hAnsi="Arial"/>
          <w:sz w:val="17"/>
          <w:szCs w:val="17"/>
          <w:color w:val="auto"/>
        </w:rPr>
        <w:t>. The Company’s bylaws provide that, unless the Company consents in writing to the selection of an alternative forum, the Court of Chancery of the State of Delaware will, to the fullest extent permitted by law, be the sole and exclusive forum for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DGCL, the certificate of incorporation or the bylaws or (iv) any action asserting a claim governed by the internal affairs doctrine, in each case subject to said Court of Chancery having personal jurisdiction over the indispensable parties named as defendants therein.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ectPr>
          <w:pgSz w:w="11900" w:h="16838" w:orient="portrait"/>
          <w:cols w:equalWidth="0" w:num="1">
            <w:col w:w="11400"/>
          </w:cols>
          <w:pgMar w:left="240" w:top="557" w:right="25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WILLIAM CARTER COMPANY</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Amended and Restated Effective January 1, 2020</w:t>
      </w:r>
    </w:p>
    <w:p>
      <w:pPr>
        <w:sectPr>
          <w:pgSz w:w="11900" w:h="16838" w:orient="portrait"/>
          <w:cols w:equalWidth="0" w:num="1">
            <w:col w:w="10220"/>
          </w:cols>
          <w:pgMar w:left="1440" w:top="558" w:right="239" w:bottom="1440" w:gutter="0" w:footer="0" w:header="0"/>
        </w:sectPr>
      </w:pPr>
    </w:p>
    <w:bookmarkStart w:id="92" w:name="page93"/>
    <w:bookmarkEnd w:id="92"/>
    <w:p>
      <w:pPr>
        <w:ind w:left="7080"/>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2"/>
          <w:szCs w:val="22"/>
          <w:b w:val="1"/>
          <w:bCs w:val="1"/>
          <w:u w:val="single" w:color="auto"/>
          <w:color w:val="auto"/>
        </w:rPr>
        <w:t>PURPOSE AND TERM OF PLAN</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b w:val="1"/>
          <w:bCs w:val="1"/>
          <w:u w:val="single" w:color="auto"/>
          <w:color w:val="auto"/>
        </w:rPr>
        <w:t>Purpose of the Plan</w:t>
      </w:r>
      <w:r>
        <w:rPr>
          <w:rFonts w:ascii="Arial" w:cs="Arial" w:eastAsia="Arial" w:hAnsi="Arial"/>
          <w:sz w:val="19"/>
          <w:szCs w:val="19"/>
          <w:color w:val="auto"/>
        </w:rPr>
        <w:t>. The William Carter Company Severance Plan (the “Plan”), as set forth herein, is intended to ease financial hardships which may be experienced by certain eligible employees of The William Carter Company (“</w:t>
      </w:r>
      <w:r>
        <w:rPr>
          <w:rFonts w:ascii="Arial" w:cs="Arial" w:eastAsia="Arial" w:hAnsi="Arial"/>
          <w:sz w:val="19"/>
          <w:szCs w:val="19"/>
          <w:u w:val="single" w:color="auto"/>
          <w:color w:val="auto"/>
        </w:rPr>
        <w:t>Sponsor</w:t>
      </w:r>
      <w:r>
        <w:rPr>
          <w:rFonts w:ascii="Arial" w:cs="Arial" w:eastAsia="Arial" w:hAnsi="Arial"/>
          <w:sz w:val="19"/>
          <w:szCs w:val="19"/>
          <w:color w:val="auto"/>
        </w:rPr>
        <w:t>”) whose employment is terminated involuntarily. Any benefit awarded under the Plan is intended to be an unemployment benefit. The Plan is not intended to be an “employee pension benefit plan” or “pension plan” as those terms are defined in Section 3(2) of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Rather, the Plan is intended to constitute a “severance pay arrangement” within the meaning of Section 3(2)(B)(i) of ERISA and is further intended to be and shall be administered and maintained as an unfunded “employee welfare benefit plan” as such term is defined in Section 3(1) of ERISA. No employee or participant shall have a vested right to any benefits under the Plan. The benefits paid by the Plan are not intended as deferred compensation; and it is intended that any benefit paid under the Plan be excluded from the benefit-generating or contribution-generating base of any tax-qualified or nonqualified deferred compensation plan or arrangement sponsored or maintained by the Sponsor, unless the documents setting forth such plan or arrangement specifically state otherwise.</w:t>
      </w:r>
    </w:p>
    <w:p>
      <w:pPr>
        <w:spacing w:after="0" w:line="200" w:lineRule="exact"/>
        <w:rPr>
          <w:sz w:val="20"/>
          <w:szCs w:val="20"/>
          <w:color w:val="auto"/>
        </w:rPr>
      </w:pPr>
    </w:p>
    <w:p>
      <w:pPr>
        <w:spacing w:after="0" w:line="21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b w:val="1"/>
          <w:bCs w:val="1"/>
          <w:u w:val="single" w:color="auto"/>
          <w:color w:val="auto"/>
        </w:rPr>
        <w:t>Term of the Plan</w:t>
      </w:r>
      <w:r>
        <w:rPr>
          <w:rFonts w:ascii="Arial" w:cs="Arial" w:eastAsia="Arial" w:hAnsi="Arial"/>
          <w:sz w:val="22"/>
          <w:szCs w:val="22"/>
          <w:color w:val="auto"/>
        </w:rPr>
        <w:t>. The Plan will continue until The William Carter Company, acting in its sole discretion, elects to amend, modify, or terminate the Plan.</w:t>
      </w:r>
    </w:p>
    <w:p>
      <w:pPr>
        <w:spacing w:after="0" w:line="162"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ind w:left="69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the Plan, the following terms have the meanings specified or referenced below.</w:t>
      </w:r>
    </w:p>
    <w:p>
      <w:pPr>
        <w:spacing w:after="0" w:line="22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 wholly-owned, direct or indirect, subsidiary of the Sponsor.</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Section 2.02. “</w:t>
      </w:r>
      <w:r>
        <w:rPr>
          <w:rFonts w:ascii="Arial" w:cs="Arial" w:eastAsia="Arial" w:hAnsi="Arial"/>
          <w:sz w:val="19"/>
          <w:szCs w:val="19"/>
          <w:u w:val="single" w:color="auto"/>
          <w:color w:val="auto"/>
        </w:rPr>
        <w:t>Base Pay</w:t>
      </w:r>
      <w:r>
        <w:rPr>
          <w:rFonts w:ascii="Arial" w:cs="Arial" w:eastAsia="Arial" w:hAnsi="Arial"/>
          <w:sz w:val="19"/>
          <w:szCs w:val="19"/>
          <w:color w:val="auto"/>
        </w:rPr>
        <w:t>” means the current base salary or wages paid to an Employee, on an annualized basis, as of the Employee’s Employment Termination Date. Base Pay shall not include: performance, incentive or other bonuses; commissions; overtime; shift premiums; the Sponsor contributions to Social Security; benefits payable under or the Sponsor contributions to any retirement or other plan of deferred compensation; or the value of any fringe benefits provided by the Sponsor.</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Section 2.03. “</w:t>
      </w:r>
      <w:r>
        <w:rPr>
          <w:rFonts w:ascii="Arial" w:cs="Arial" w:eastAsia="Arial" w:hAnsi="Arial"/>
          <w:sz w:val="22"/>
          <w:szCs w:val="22"/>
          <w:u w:val="single" w:color="auto"/>
          <w:color w:val="auto"/>
        </w:rPr>
        <w:t>Benefit</w:t>
      </w:r>
      <w:r>
        <w:rPr>
          <w:rFonts w:ascii="Arial" w:cs="Arial" w:eastAsia="Arial" w:hAnsi="Arial"/>
          <w:sz w:val="22"/>
          <w:szCs w:val="22"/>
          <w:color w:val="auto"/>
        </w:rPr>
        <w:t>” means the amount, if any, that a Participant is entitled to receive pursuant to the applicable Appendix(ices) to the Plan as in effect from time to time.</w:t>
      </w:r>
    </w:p>
    <w:p>
      <w:pPr>
        <w:spacing w:after="0" w:line="17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William Carter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8" w:right="239" w:bottom="1440" w:gutter="0" w:footer="0" w:header="0"/>
        </w:sectPr>
      </w:pPr>
    </w:p>
    <w:bookmarkStart w:id="93" w:name="page94"/>
    <w:bookmarkEnd w:id="93"/>
    <w:p>
      <w:pPr>
        <w:ind w:left="660"/>
        <w:spacing w:after="0"/>
        <w:tabs>
          <w:tab w:leader="none" w:pos="198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occurrence of any of the following events:</w:t>
      </w:r>
    </w:p>
    <w:p>
      <w:pPr>
        <w:spacing w:after="0" w:line="220" w:lineRule="exact"/>
        <w:rPr>
          <w:sz w:val="20"/>
          <w:szCs w:val="20"/>
          <w:color w:val="auto"/>
        </w:rPr>
      </w:pPr>
    </w:p>
    <w:p>
      <w:pPr>
        <w:ind w:right="120" w:firstLine="656"/>
        <w:spacing w:after="0" w:line="292" w:lineRule="auto"/>
        <w:tabs>
          <w:tab w:leader="none" w:pos="1104" w:val="left"/>
        </w:tabs>
        <w:numPr>
          <w:ilvl w:val="0"/>
          <w:numId w:val="40"/>
        </w:numPr>
        <w:rPr>
          <w:rFonts w:ascii="Arial" w:cs="Arial" w:eastAsia="Arial" w:hAnsi="Arial"/>
          <w:sz w:val="19"/>
          <w:szCs w:val="19"/>
          <w:color w:val="auto"/>
        </w:rPr>
      </w:pPr>
      <w:r>
        <w:rPr>
          <w:rFonts w:ascii="Arial" w:cs="Arial" w:eastAsia="Arial" w:hAnsi="Arial"/>
          <w:sz w:val="19"/>
          <w:szCs w:val="19"/>
          <w:color w:val="auto"/>
        </w:rPr>
        <w:t>One Person (or more than one Person acting as a group) acquires (other than from The William Carter Company) Beneficial Ownership of stock of The William Carter Company that, together with the stock held by such Person or group, constitutes more than 50% of the total fair market value or total voting power of the stock of The William Carter Company; provided, that, a Change in Control shall not occur if any Person (or more than one Person acting as a group) owns more than 50% of the total fair market value or total voting power of The William Carter Company stock and acquires additional stock; provided, further, that (1) any acquisition by The William Carter Company, or (2) any acquisition by an employee benefit plan (or related trust) sponsored or maintained by The William Carter Company or an Affiliate shall be excluded;</w:t>
      </w:r>
    </w:p>
    <w:p>
      <w:pPr>
        <w:spacing w:after="0" w:line="151" w:lineRule="exact"/>
        <w:rPr>
          <w:rFonts w:ascii="Arial" w:cs="Arial" w:eastAsia="Arial" w:hAnsi="Arial"/>
          <w:sz w:val="19"/>
          <w:szCs w:val="19"/>
          <w:color w:val="auto"/>
        </w:rPr>
      </w:pPr>
    </w:p>
    <w:p>
      <w:pPr>
        <w:jc w:val="both"/>
        <w:ind w:right="240" w:firstLine="656"/>
        <w:spacing w:after="0" w:line="297" w:lineRule="auto"/>
        <w:tabs>
          <w:tab w:leader="none" w:pos="1116" w:val="left"/>
        </w:tabs>
        <w:numPr>
          <w:ilvl w:val="0"/>
          <w:numId w:val="40"/>
        </w:numPr>
        <w:rPr>
          <w:rFonts w:ascii="Arial" w:cs="Arial" w:eastAsia="Arial" w:hAnsi="Arial"/>
          <w:sz w:val="19"/>
          <w:szCs w:val="19"/>
          <w:color w:val="auto"/>
        </w:rPr>
      </w:pPr>
      <w:r>
        <w:rPr>
          <w:rFonts w:ascii="Arial" w:cs="Arial" w:eastAsia="Arial" w:hAnsi="Arial"/>
          <w:sz w:val="19"/>
          <w:szCs w:val="19"/>
          <w:color w:val="auto"/>
        </w:rPr>
        <w:t>One Person (or more than one Person acting as a group) acquires (or has acquired during the twelve-month period ending on the date of the most recent acquisition), other than from The William Carter Company, Beneficial Ownership of The William Carter Company's stock possessing 50% or more of the total voting power of the stock of The William Carter Company; provided, that (1) any acquisition by The William Carter Company, or (2) any acquisition by an employee benefit plan (or related trust) sponsored or maintained by The William Carter Company or an Affiliate shall be excluded; or</w:t>
      </w:r>
    </w:p>
    <w:p>
      <w:pPr>
        <w:spacing w:after="0" w:line="147" w:lineRule="exact"/>
        <w:rPr>
          <w:rFonts w:ascii="Arial" w:cs="Arial" w:eastAsia="Arial" w:hAnsi="Arial"/>
          <w:sz w:val="19"/>
          <w:szCs w:val="19"/>
          <w:color w:val="auto"/>
        </w:rPr>
      </w:pPr>
    </w:p>
    <w:p>
      <w:pPr>
        <w:ind w:firstLine="656"/>
        <w:spacing w:after="0" w:line="250" w:lineRule="auto"/>
        <w:tabs>
          <w:tab w:leader="none" w:pos="1104" w:val="left"/>
        </w:tabs>
        <w:numPr>
          <w:ilvl w:val="0"/>
          <w:numId w:val="40"/>
        </w:numPr>
        <w:rPr>
          <w:rFonts w:ascii="Arial" w:cs="Arial" w:eastAsia="Arial" w:hAnsi="Arial"/>
          <w:sz w:val="22"/>
          <w:szCs w:val="22"/>
          <w:color w:val="auto"/>
        </w:rPr>
      </w:pPr>
      <w:r>
        <w:rPr>
          <w:rFonts w:ascii="Arial" w:cs="Arial" w:eastAsia="Arial" w:hAnsi="Arial"/>
          <w:sz w:val="22"/>
          <w:szCs w:val="22"/>
          <w:color w:val="auto"/>
        </w:rPr>
        <w:t>One Person (or more than one Person acting as a group), acquires (or has acquired during the twelve-month period ending on the date of the most recent acquisition) assets from The William Carter Company that have a total gross fair market value equal to or more than 50% of the total gross fair market value of all of the assets of The William Carter Company immediately before such acquisition(s).</w:t>
      </w:r>
    </w:p>
    <w:p>
      <w:pPr>
        <w:spacing w:after="0" w:line="188"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A Change in Control will be deemed to occur: (i) with respect to a Change in Control pursuant to subparagraph (a) above, on the date that any Person or group first becomes the Beneficial Owner, directly or indirectly, of stock representing more than 50% of the combined voting power of The William Carter Company’s then-outstanding stock entitled generally to vote for the election of directors; and (ii) with respect to a Change in Control pursuant to subparagraph (b) or (c) above, on the date the applicable transaction closes.</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has the meaning ascribed to it in Rule 13d-3 and Rule 13d-5 under the Securities and Exchange Act of 1934, as amended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 "Beneficial Ownership" has a corresponding meaning.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ascribed to it in Section 13(d)(3) of the Exchange Act.</w:t>
      </w:r>
    </w:p>
    <w:p>
      <w:pPr>
        <w:spacing w:after="0" w:line="22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 as amended.</w:t>
      </w:r>
    </w:p>
    <w:p>
      <w:pPr>
        <w:spacing w:after="0" w:line="22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Covered Termination</w:t>
      </w:r>
      <w:r>
        <w:rPr>
          <w:rFonts w:ascii="Arial" w:cs="Arial" w:eastAsia="Arial" w:hAnsi="Arial"/>
          <w:sz w:val="19"/>
          <w:szCs w:val="19"/>
          <w:color w:val="auto"/>
        </w:rPr>
        <w:t>” means an involuntary termination event provided in Section 3.02.</w:t>
      </w:r>
    </w:p>
    <w:p>
      <w:pPr>
        <w:sectPr>
          <w:pgSz w:w="11900" w:h="16838" w:orient="portrait"/>
          <w:cols w:equalWidth="0" w:num="1">
            <w:col w:w="11420"/>
          </w:cols>
          <w:pgMar w:left="240" w:top="1252" w:right="239" w:bottom="1440" w:gutter="0" w:footer="0" w:header="0"/>
        </w:sectPr>
      </w:pPr>
    </w:p>
    <w:bookmarkStart w:id="94" w:name="page95"/>
    <w:bookmarkEnd w:id="94"/>
    <w:p>
      <w:pPr>
        <w:spacing w:after="0" w:line="200" w:lineRule="exact"/>
        <w:rPr>
          <w:sz w:val="20"/>
          <w:szCs w:val="20"/>
          <w:color w:val="auto"/>
        </w:rPr>
      </w:pPr>
    </w:p>
    <w:p>
      <w:pPr>
        <w:spacing w:after="0" w:line="34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Disqualifying Event</w:t>
      </w:r>
      <w:r>
        <w:rPr>
          <w:rFonts w:ascii="Arial" w:cs="Arial" w:eastAsia="Arial" w:hAnsi="Arial"/>
          <w:sz w:val="19"/>
          <w:szCs w:val="19"/>
          <w:color w:val="auto"/>
        </w:rPr>
        <w:t>” means a termination of employment with the Sponsor resulting from the Employee’s:</w:t>
      </w:r>
    </w:p>
    <w:p>
      <w:pPr>
        <w:spacing w:after="0" w:line="22" w:lineRule="exact"/>
        <w:rPr>
          <w:sz w:val="20"/>
          <w:szCs w:val="20"/>
          <w:color w:val="auto"/>
        </w:rPr>
      </w:pPr>
    </w:p>
    <w:p>
      <w:pPr>
        <w:jc w:val="both"/>
        <w:ind w:firstLine="8"/>
        <w:spacing w:after="0" w:line="285" w:lineRule="auto"/>
        <w:tabs>
          <w:tab w:leader="none" w:pos="323" w:val="left"/>
        </w:tabs>
        <w:numPr>
          <w:ilvl w:val="0"/>
          <w:numId w:val="41"/>
        </w:numPr>
        <w:rPr>
          <w:rFonts w:ascii="Arial" w:cs="Arial" w:eastAsia="Arial" w:hAnsi="Arial"/>
          <w:sz w:val="19"/>
          <w:szCs w:val="19"/>
          <w:color w:val="auto"/>
        </w:rPr>
      </w:pPr>
      <w:r>
        <w:rPr>
          <w:rFonts w:ascii="Arial" w:cs="Arial" w:eastAsia="Arial" w:hAnsi="Arial"/>
          <w:sz w:val="19"/>
          <w:szCs w:val="19"/>
          <w:color w:val="auto"/>
        </w:rPr>
        <w:t>voluntary cessation of employment, including retirement (except as provided in Section 3.02); (b) failure to return to work following an approved leave of absence; (c) failure to meet job performance expectations; (d) unauthorized disclosure of proprietary information or trade secrets, or violation of any confidentiality or similar agreement signed by the Employee; (e) unauthorized disclosure of customer or vendor or prospective customer or vendor information developed by the Sponsor and/or an Affiliate; (f) attempts to recruit an employee of the Sponsor or an Affiliate to the service of another, or to interfere with the relationship between the Sponsor or an Affiliate and any such employee; (g) publication or other utterance of disparaging remarks intended to have, or having, the effect of damaging the reputation of the Sponsor or an Affiliate or casting aspersions on the quality of services or products provided by the Sponsor or an Affiliate (other than testimony compelled by order of a court of other governmental body of competent jurisdiction or actions otherwise protected by applicable law); (h) acts of dishonesty; (i) violation of any policies, procedures, code of ethics and/or any other rules established by the Sponsor from time to time; (j) engagement in criminal conduct; (k) violation of any laws, rules and/or regulations that are applicable to the Sponsor or an Affiliate, or other misconduct that is likely to be harmful to the business or reputation of the Sponsor or an Affiliate; (l) disability; or (m) death.</w:t>
      </w:r>
    </w:p>
    <w:p>
      <w:pPr>
        <w:spacing w:after="0" w:line="164"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 employee of the Sponsor eligible to participate in the Plan in accordance with Article</w:t>
      </w:r>
    </w:p>
    <w:p>
      <w:pPr>
        <w:spacing w:after="0" w:line="22" w:lineRule="exact"/>
        <w:rPr>
          <w:sz w:val="20"/>
          <w:szCs w:val="20"/>
          <w:color w:val="auto"/>
        </w:rPr>
      </w:pPr>
    </w:p>
    <w:p>
      <w:pPr>
        <w:jc w:val="both"/>
        <w:ind w:firstLine="8"/>
        <w:spacing w:after="0" w:line="262" w:lineRule="auto"/>
        <w:tabs>
          <w:tab w:leader="none" w:pos="247" w:val="left"/>
        </w:tabs>
        <w:numPr>
          <w:ilvl w:val="0"/>
          <w:numId w:val="42"/>
        </w:numPr>
        <w:rPr>
          <w:rFonts w:ascii="Arial" w:cs="Arial" w:eastAsia="Arial" w:hAnsi="Arial"/>
          <w:sz w:val="21"/>
          <w:szCs w:val="21"/>
          <w:color w:val="auto"/>
        </w:rPr>
      </w:pPr>
      <w:r>
        <w:rPr>
          <w:rFonts w:ascii="Arial" w:cs="Arial" w:eastAsia="Arial" w:hAnsi="Arial"/>
          <w:sz w:val="21"/>
          <w:szCs w:val="21"/>
          <w:color w:val="auto"/>
        </w:rPr>
        <w:t>Notwithstanding any provision in the Plan to the contrary, any individual not treated as an employee by the Sponsor on its payroll records is excluded from participation in the Plan during any period of such classification, even if a court or an administrative agency later determines that such individual was an employee for all or a portion of such period.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2.10. “</w:t>
      </w:r>
      <w:r>
        <w:rPr>
          <w:rFonts w:ascii="Arial" w:cs="Arial" w:eastAsia="Arial" w:hAnsi="Arial"/>
          <w:sz w:val="22"/>
          <w:szCs w:val="22"/>
          <w:u w:val="single" w:color="auto"/>
          <w:color w:val="auto"/>
        </w:rPr>
        <w:t>Employment Termination Date</w:t>
      </w:r>
      <w:r>
        <w:rPr>
          <w:rFonts w:ascii="Arial" w:cs="Arial" w:eastAsia="Arial" w:hAnsi="Arial"/>
          <w:sz w:val="22"/>
          <w:szCs w:val="22"/>
          <w:color w:val="auto"/>
        </w:rPr>
        <w:t>” means the date on which the employment relationship between the Employee and the Sponsor is involuntarily terminated. An employment relationship shall be considered to be involuntarily terminated for the purposes of the Plan if, and only if, the termination is for one or more of the reasons identified in Section 3.02 and not due to a Disqualifying Event.</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Section 2.12. “</w:t>
      </w:r>
      <w:r>
        <w:rPr>
          <w:rFonts w:ascii="Arial" w:cs="Arial" w:eastAsia="Arial" w:hAnsi="Arial"/>
          <w:sz w:val="19"/>
          <w:szCs w:val="19"/>
          <w:u w:val="single" w:color="auto"/>
          <w:color w:val="auto"/>
        </w:rPr>
        <w:t>Named Fiduciary</w:t>
      </w:r>
      <w:r>
        <w:rPr>
          <w:rFonts w:ascii="Arial" w:cs="Arial" w:eastAsia="Arial" w:hAnsi="Arial"/>
          <w:sz w:val="19"/>
          <w:szCs w:val="19"/>
          <w:color w:val="auto"/>
        </w:rPr>
        <w:t>” means The William Carter Company and the Plan Administrator. Each Named Fiduciary shall have only those particular powers, duties, responsibilities and obligations as are specifically given such Named Fiduciary under the Plan or applicable law. Any Named Fiduciary, if so appointed, may perform in more than one fiduciary capacity.</w:t>
      </w:r>
    </w:p>
    <w:p>
      <w:pPr>
        <w:spacing w:after="0" w:line="13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any of the individuals described in Section 3.01.</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2.14. “</w:t>
      </w:r>
      <w:r>
        <w:rPr>
          <w:rFonts w:ascii="Arial" w:cs="Arial" w:eastAsia="Arial" w:hAnsi="Arial"/>
          <w:sz w:val="22"/>
          <w:szCs w:val="22"/>
          <w:u w:val="single" w:color="auto"/>
          <w:color w:val="auto"/>
        </w:rPr>
        <w:t>Plan</w:t>
      </w:r>
      <w:r>
        <w:rPr>
          <w:rFonts w:ascii="Arial" w:cs="Arial" w:eastAsia="Arial" w:hAnsi="Arial"/>
          <w:sz w:val="22"/>
          <w:szCs w:val="22"/>
          <w:color w:val="auto"/>
        </w:rPr>
        <w:t>” means The William Carter Company Severance Plan as stated herein and as it may be amended from time to time. The Plan as amended and restated herein, supersedes any prior version of the Plan. Nothing contained herein is intended, and shall not be construed, to require any change to any offer of severance benefits made prior to January 1, 2020. The Plan was originally effective as of March 1, 2009.</w:t>
      </w:r>
    </w:p>
    <w:p>
      <w:pPr>
        <w:sectPr>
          <w:pgSz w:w="11900" w:h="16838" w:orient="portrait"/>
          <w:cols w:equalWidth="0" w:num="1">
            <w:col w:w="11420"/>
          </w:cols>
          <w:pgMar w:left="240" w:top="1440" w:right="239" w:bottom="1440" w:gutter="0" w:footer="0" w:header="0"/>
        </w:sectPr>
      </w:pPr>
    </w:p>
    <w:bookmarkStart w:id="95" w:name="page96"/>
    <w:bookmarkEnd w:id="95"/>
    <w:p>
      <w:pPr>
        <w:jc w:val="both"/>
        <w:ind w:firstLine="648"/>
        <w:spacing w:after="0" w:line="253" w:lineRule="auto"/>
        <w:rPr>
          <w:sz w:val="20"/>
          <w:szCs w:val="20"/>
          <w:color w:val="auto"/>
        </w:rPr>
      </w:pPr>
      <w:r>
        <w:rPr>
          <w:rFonts w:ascii="Arial" w:cs="Arial" w:eastAsia="Arial" w:hAnsi="Arial"/>
          <w:sz w:val="22"/>
          <w:szCs w:val="22"/>
          <w:color w:val="auto"/>
        </w:rPr>
        <w:t>Section 2.15. “</w:t>
      </w:r>
      <w:r>
        <w:rPr>
          <w:rFonts w:ascii="Arial" w:cs="Arial" w:eastAsia="Arial" w:hAnsi="Arial"/>
          <w:sz w:val="22"/>
          <w:szCs w:val="22"/>
          <w:u w:val="single" w:color="auto"/>
          <w:color w:val="auto"/>
        </w:rPr>
        <w:t>Plan Administrator</w:t>
      </w:r>
      <w:r>
        <w:rPr>
          <w:rFonts w:ascii="Arial" w:cs="Arial" w:eastAsia="Arial" w:hAnsi="Arial"/>
          <w:sz w:val="22"/>
          <w:szCs w:val="22"/>
          <w:color w:val="auto"/>
        </w:rPr>
        <w:t>” means the Senior Vice President of Human Resources of The William Carter Company or another designee(s) appointed by The William Carter Company to serve as the Plan Administrator, or, in the absence of any such appointment, The William Carter Company.</w:t>
      </w:r>
    </w:p>
    <w:p>
      <w:pPr>
        <w:spacing w:after="0" w:line="18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period commencing each January 1 and ending on the following December 31.</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2.17. “</w:t>
      </w:r>
      <w:r>
        <w:rPr>
          <w:rFonts w:ascii="Arial" w:cs="Arial" w:eastAsia="Arial" w:hAnsi="Arial"/>
          <w:sz w:val="22"/>
          <w:szCs w:val="22"/>
          <w:u w:val="single" w:color="auto"/>
          <w:color w:val="auto"/>
        </w:rPr>
        <w:t>Sponsor</w:t>
      </w:r>
      <w:r>
        <w:rPr>
          <w:rFonts w:ascii="Arial" w:cs="Arial" w:eastAsia="Arial" w:hAnsi="Arial"/>
          <w:sz w:val="22"/>
          <w:szCs w:val="22"/>
          <w:color w:val="auto"/>
        </w:rPr>
        <w:t>” means The William Carter Company. The term “Sponsor” shall also include any Affiliate or successor to The William Carter Company if such successor adopts the Plan with the consent of The William Carter Company; provided, however, that The William Carter Company (and any successor) shall have the exclusive power and discretion to amend, modify, or terminate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2.18. “</w:t>
      </w:r>
      <w:r>
        <w:rPr>
          <w:rFonts w:ascii="Arial" w:cs="Arial" w:eastAsia="Arial" w:hAnsi="Arial"/>
          <w:sz w:val="22"/>
          <w:szCs w:val="22"/>
          <w:u w:val="single" w:color="auto"/>
          <w:color w:val="auto"/>
        </w:rPr>
        <w:t>Terminated Employee</w:t>
      </w:r>
      <w:r>
        <w:rPr>
          <w:rFonts w:ascii="Arial" w:cs="Arial" w:eastAsia="Arial" w:hAnsi="Arial"/>
          <w:sz w:val="22"/>
          <w:szCs w:val="22"/>
          <w:color w:val="auto"/>
        </w:rPr>
        <w:t>” means a former Employee who has experienced an involuntary termination within the meaning of Section 2.10.</w:t>
      </w:r>
    </w:p>
    <w:p>
      <w:pPr>
        <w:spacing w:after="0" w:line="169"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22"/>
          <w:szCs w:val="22"/>
          <w:b w:val="1"/>
          <w:bCs w:val="1"/>
          <w:color w:val="auto"/>
        </w:rPr>
        <w:t>PARTICIPATION</w:t>
      </w:r>
    </w:p>
    <w:p>
      <w:pPr>
        <w:spacing w:after="0" w:line="28" w:lineRule="exact"/>
        <w:rPr>
          <w:sz w:val="20"/>
          <w:szCs w:val="20"/>
          <w:color w:val="auto"/>
        </w:rPr>
      </w:pPr>
    </w:p>
    <w:p>
      <w:pPr>
        <w:ind w:left="5560"/>
        <w:spacing w:after="0"/>
        <w:rPr>
          <w:sz w:val="20"/>
          <w:szCs w:val="20"/>
          <w:color w:val="auto"/>
        </w:rPr>
      </w:pPr>
      <w:r>
        <w:rPr>
          <w:rFonts w:ascii="Arial" w:cs="Arial" w:eastAsia="Arial" w:hAnsi="Arial"/>
          <w:sz w:val="22"/>
          <w:szCs w:val="22"/>
          <w:b w:val="1"/>
          <w:bCs w:val="1"/>
          <w:u w:val="single" w:color="auto"/>
          <w:color w:val="auto"/>
        </w:rPr>
        <w:t>AND ELIGIBILITY FOR BENEFITS</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b w:val="1"/>
          <w:bCs w:val="1"/>
          <w:u w:val="single" w:color="auto"/>
          <w:color w:val="auto"/>
        </w:rPr>
        <w:t>Plan Participants</w:t>
      </w:r>
      <w:r>
        <w:rPr>
          <w:rFonts w:ascii="Arial" w:cs="Arial" w:eastAsia="Arial" w:hAnsi="Arial"/>
          <w:sz w:val="19"/>
          <w:szCs w:val="19"/>
          <w:color w:val="auto"/>
        </w:rPr>
        <w:t>. An Employee shall be eligible to participate in the Plan upon completion of at least six (6) months of continuous service with the Sponsor and/or an Affiliate following the Employee’s most recent hire date and satisfaction of all the other participation requirements stated in the Plan. Employees who are (a) classified as temporary, occasional, on-call, or seasonal in the Sponsor’s employment records, (b) covered by a collective bargaining agreement (unless such agreement specifically provides for participation in the Plan), (c) employed pursuant to a written employment agreement and/or another written agreement that provides for severance benefits (unless such agreement specifically provides for participation in the Plan), or</w:t>
      </w:r>
    </w:p>
    <w:p>
      <w:pPr>
        <w:spacing w:after="0" w:line="1" w:lineRule="exact"/>
        <w:rPr>
          <w:sz w:val="20"/>
          <w:szCs w:val="20"/>
          <w:color w:val="auto"/>
        </w:rPr>
      </w:pPr>
    </w:p>
    <w:p>
      <w:pPr>
        <w:jc w:val="both"/>
        <w:ind w:firstLine="8"/>
        <w:spacing w:after="0" w:line="244" w:lineRule="auto"/>
        <w:tabs>
          <w:tab w:leader="none" w:pos="323"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 a residents of the United States, shall not be eligible to participate in the Plan. For the avoidance of doubt, the severance benefits, if any, to which an Employee who is employed pursuant to a written employment agreement and/or another written agreement that provides for severance benefits, shall be determined solely in accordance with the terms of such employment and/or severance agreement.</w:t>
      </w:r>
    </w:p>
    <w:p>
      <w:pPr>
        <w:spacing w:after="0" w:line="190"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b w:val="1"/>
          <w:bCs w:val="1"/>
          <w:u w:val="single" w:color="auto"/>
          <w:color w:val="auto"/>
        </w:rPr>
        <w:t>Covered Termination</w:t>
      </w:r>
      <w:r>
        <w:rPr>
          <w:rFonts w:ascii="Arial" w:cs="Arial" w:eastAsia="Arial" w:hAnsi="Arial"/>
          <w:sz w:val="19"/>
          <w:szCs w:val="19"/>
          <w:color w:val="auto"/>
        </w:rPr>
        <w:t>. The Employee must be involuntarily terminated due to one of the following events to be eligible for the Plan: (a) a permanent shutdown or closing of a facility with no offer to transfer or with an offer to transfer made, but not accepted by the Employee, (b) a sale of a facility to an unrelated entity with no offer to transfer, (c) a merger, sale or other similar corporate transaction involving all or a part of the Sponsor’s business or assets with no offer to transfer, or (d) the Employee’s job position is eliminated without available reassignment. A Covered Termination also includes a voluntary termination when the Employee declines a transfer or relocation to a principal work location that is more than thirty-five (35) miles</w:t>
      </w:r>
    </w:p>
    <w:p>
      <w:pPr>
        <w:sectPr>
          <w:pgSz w:w="11900" w:h="16838" w:orient="portrait"/>
          <w:cols w:equalWidth="0" w:num="1">
            <w:col w:w="11420"/>
          </w:cols>
          <w:pgMar w:left="240" w:top="1036" w:right="239" w:bottom="1440" w:gutter="0" w:footer="0" w:header="0"/>
        </w:sectPr>
      </w:pPr>
    </w:p>
    <w:bookmarkStart w:id="96" w:name="page97"/>
    <w:bookmarkEnd w:id="96"/>
    <w:p>
      <w:pPr>
        <w:jc w:val="both"/>
        <w:ind w:right="20"/>
        <w:spacing w:after="0" w:line="263" w:lineRule="auto"/>
        <w:rPr>
          <w:sz w:val="20"/>
          <w:szCs w:val="20"/>
          <w:color w:val="auto"/>
        </w:rPr>
      </w:pPr>
      <w:r>
        <w:rPr>
          <w:rFonts w:ascii="Arial" w:cs="Arial" w:eastAsia="Arial" w:hAnsi="Arial"/>
          <w:sz w:val="22"/>
          <w:szCs w:val="22"/>
          <w:color w:val="auto"/>
        </w:rPr>
        <w:t>from the Employee’s current principal work location. An otherwise eligible Employee must remain in the employ of the Sponsor until the Employment Termination Date specified for such Employee by the Sponsor.</w:t>
      </w:r>
    </w:p>
    <w:p>
      <w:pPr>
        <w:spacing w:after="0" w:line="209"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b w:val="1"/>
          <w:bCs w:val="1"/>
          <w:u w:val="single" w:color="auto"/>
          <w:color w:val="auto"/>
        </w:rPr>
        <w:t>Execution of a General Release</w:t>
      </w:r>
      <w:r>
        <w:rPr>
          <w:rFonts w:ascii="Arial" w:cs="Arial" w:eastAsia="Arial" w:hAnsi="Arial"/>
          <w:sz w:val="19"/>
          <w:szCs w:val="19"/>
          <w:color w:val="auto"/>
        </w:rPr>
        <w:t>. In order to be eligible to receive any Benefits under the Plan, the Terminated Employee must execute a general release of claims in such form(s) as is in effect from time to time for similarly situated employees and as is required by the Sponsor (the “</w:t>
      </w:r>
      <w:r>
        <w:rPr>
          <w:rFonts w:ascii="Arial" w:cs="Arial" w:eastAsia="Arial" w:hAnsi="Arial"/>
          <w:sz w:val="19"/>
          <w:szCs w:val="19"/>
          <w:u w:val="single" w:color="auto"/>
          <w:color w:val="auto"/>
        </w:rPr>
        <w:t>Release Agreement</w:t>
      </w:r>
      <w:r>
        <w:rPr>
          <w:rFonts w:ascii="Arial" w:cs="Arial" w:eastAsia="Arial" w:hAnsi="Arial"/>
          <w:sz w:val="19"/>
          <w:szCs w:val="19"/>
          <w:color w:val="auto"/>
        </w:rPr>
        <w:t>”) and must not revoke the Release Agreement, if such an option is provided in the Release Agreement. The Release Agreement must become effective by the sixtieth (60</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Employee’s Employment Termination Date. The Release Agreement shall, among other things, release the Sponsor, the Affiliates and Carter’s, Inc. and each of their respective directors, officers, employees, agents, successors and assigns, from any and all claims that an Employee has or may have against the Sponsor, the Affiliates and Carter’s, Inc. and each of their respective directors, officers, employees, benefits plans, agents, successors and assigns. The Release Agreement may also include confidentiality provisions protecting the Sponsor’s, the Affiliates’ and Carter’s, Inc.’s confidential and proprietary information as determined by the Sponsor from time to time in its discretion. Different forms of the Release Agreement may be used from one facility or one business unit to another, from one state to another, and from one Participant to another, as determined by the Sponsor in its sole discretion. If the Release Agreement has not been executed, delivered and become irrevocable on or before the sixtieth (60th) day following the Employee’s Employment Termination Date, any and rights to Benefits under the Plan shall be forfeited.</w:t>
      </w:r>
    </w:p>
    <w:p>
      <w:pPr>
        <w:spacing w:after="0" w:line="200" w:lineRule="exact"/>
        <w:rPr>
          <w:sz w:val="20"/>
          <w:szCs w:val="20"/>
          <w:color w:val="auto"/>
        </w:rPr>
      </w:pPr>
    </w:p>
    <w:p>
      <w:pPr>
        <w:spacing w:after="0" w:line="21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b w:val="1"/>
          <w:bCs w:val="1"/>
          <w:u w:val="single" w:color="auto"/>
          <w:color w:val="auto"/>
        </w:rPr>
        <w:t>Additional Conditions</w:t>
      </w:r>
      <w:r>
        <w:rPr>
          <w:rFonts w:ascii="Arial" w:cs="Arial" w:eastAsia="Arial" w:hAnsi="Arial"/>
          <w:sz w:val="22"/>
          <w:szCs w:val="22"/>
          <w:color w:val="auto"/>
        </w:rPr>
        <w:t>. In order to be eligible to receive any Benefits under the Plan, a Terminated Employee must return all of the Sponsor’s and Affiliate’s property, including, but not limited to, keys, credit cards, documents, records, identification cards, office equipment, portable computers, mobile telephones, pagers, hand held electronic devices, and parking cards to the Sponsor and Affiliate, as applicable, on the last day of employment and execute all documents necessary to assign to the Sponsor or Affiliate, as applicable, all rights to inventions, patents, or other intellectual property belonging to the Sponsor or Affiliate.</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a Terminated Employee is not eligible for Benefits or payments under the Plan if the Terminated Employee has outstanding debts to the Sponsor or an Affiliate or debts for which the Sponsor or an Affiliate may be held responsible. However, if the Terminated Employee makes arrangements satisfactory to the Sponsor or an Affiliate, as applicable, to repay any such outstanding debts, a Plan payment may be made.</w:t>
      </w:r>
    </w:p>
    <w:p>
      <w:pPr>
        <w:spacing w:after="0" w:line="182" w:lineRule="exact"/>
        <w:rPr>
          <w:sz w:val="20"/>
          <w:szCs w:val="20"/>
          <w:color w:val="auto"/>
        </w:rPr>
      </w:pPr>
    </w:p>
    <w:p>
      <w:pPr>
        <w:jc w:val="center"/>
        <w:ind w:left="3240"/>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ind w:left="3240"/>
        <w:spacing w:after="0"/>
        <w:rPr>
          <w:sz w:val="20"/>
          <w:szCs w:val="20"/>
          <w:color w:val="auto"/>
        </w:rPr>
      </w:pPr>
      <w:r>
        <w:rPr>
          <w:rFonts w:ascii="Arial" w:cs="Arial" w:eastAsia="Arial" w:hAnsi="Arial"/>
          <w:sz w:val="22"/>
          <w:szCs w:val="22"/>
          <w:b w:val="1"/>
          <w:bCs w:val="1"/>
          <w:u w:val="single" w:color="auto"/>
          <w:color w:val="auto"/>
        </w:rPr>
        <w:t>THE PLAN ADMINISTRATOR</w:t>
      </w:r>
    </w:p>
    <w:p>
      <w:pPr>
        <w:spacing w:after="0" w:line="26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b w:val="1"/>
          <w:bCs w:val="1"/>
          <w:u w:val="single" w:color="auto"/>
          <w:color w:val="auto"/>
        </w:rPr>
        <w:t>Authority and Duties</w:t>
      </w:r>
      <w:r>
        <w:rPr>
          <w:rFonts w:ascii="Arial" w:cs="Arial" w:eastAsia="Arial" w:hAnsi="Arial"/>
          <w:sz w:val="21"/>
          <w:szCs w:val="21"/>
          <w:color w:val="auto"/>
        </w:rPr>
        <w:t>. It shall be the duty of the Plan Administrator, on the basis of information supplied to it by the Sponsor, to determine the eligibility of each Terminated Employee to participate in the Plan, to calculate the Benefit to be paid to each Terminated Employee who has been selected by the Sponsor to receive a severance pay award pursuant to Article 3, and to determine the manner and time of payment of the Benefit. The</w:t>
      </w:r>
    </w:p>
    <w:p>
      <w:pPr>
        <w:sectPr>
          <w:pgSz w:w="11900" w:h="16838" w:orient="portrait"/>
          <w:cols w:equalWidth="0" w:num="1">
            <w:col w:w="11420"/>
          </w:cols>
          <w:pgMar w:left="240" w:top="564" w:right="239" w:bottom="1440" w:gutter="0" w:footer="0" w:header="0"/>
        </w:sectPr>
      </w:pPr>
    </w:p>
    <w:bookmarkStart w:id="97" w:name="page98"/>
    <w:bookmarkEnd w:id="97"/>
    <w:p>
      <w:pPr>
        <w:spacing w:after="0"/>
        <w:rPr>
          <w:sz w:val="20"/>
          <w:szCs w:val="20"/>
          <w:color w:val="auto"/>
        </w:rPr>
      </w:pPr>
      <w:r>
        <w:rPr>
          <w:rFonts w:ascii="Arial" w:cs="Arial" w:eastAsia="Arial" w:hAnsi="Arial"/>
          <w:sz w:val="21"/>
          <w:szCs w:val="21"/>
          <w:color w:val="auto"/>
        </w:rPr>
        <w:t>Sponsor or an Affiliate shall make such payments as are certified to it by the Plan Administrator to be due to Participants.</w:t>
      </w:r>
    </w:p>
    <w:p>
      <w:pPr>
        <w:spacing w:after="0" w:line="27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Plan Administrator shall have the full discretionary power and authority to construe, interpret and administer the Plan, to make Plan and Benefit eligibility determinations, to correct deficiencies in the Plan, and to supply omissions. All decisions, actions and interpretations of the Plan Administrator shall be final, binding and conclusive upon all interested parties, subject only to determinations by individuals appointed by the Board to review denied claims for Benefits.</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b w:val="1"/>
          <w:bCs w:val="1"/>
          <w:u w:val="single" w:color="auto"/>
          <w:color w:val="auto"/>
        </w:rPr>
        <w:t>Records, Reporting and Disclosure</w:t>
      </w:r>
      <w:r>
        <w:rPr>
          <w:rFonts w:ascii="Arial" w:cs="Arial" w:eastAsia="Arial" w:hAnsi="Arial"/>
          <w:sz w:val="19"/>
          <w:szCs w:val="19"/>
          <w:color w:val="auto"/>
        </w:rPr>
        <w:t>. The Plan Administrator shall keep all individual and group records relating to Participants and all other records necessary for the proper operation of the Plan. Such records shall be made available to the Sponsor and to each Participant for examination during business hours, except that a Participant shall examine only such records as pertain exclusively to the examining Participant and to the Plan. The Plan Administrator shall prepare and shall file as required by law or regulation all reports, forms, documents and other items required by ERISA, the Code, and every other relevant statute, each as amended, and all regulations thereunder (except that the Sponsor or an Affiliate, as payor of the Benefits, shall prepare and distribute to the proper recipients all forms relating to withholding of income or wage taxes, Social Security contributions, and other amounts which may similarly reportable).</w:t>
      </w:r>
    </w:p>
    <w:p>
      <w:pPr>
        <w:spacing w:after="0" w:line="150" w:lineRule="exact"/>
        <w:rPr>
          <w:sz w:val="20"/>
          <w:szCs w:val="20"/>
          <w:color w:val="auto"/>
        </w:rPr>
      </w:pPr>
    </w:p>
    <w:p>
      <w:pPr>
        <w:ind w:left="6720"/>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AMENDMENT AND TERMINATION</w:t>
      </w:r>
    </w:p>
    <w:p>
      <w:pPr>
        <w:spacing w:after="0" w:line="26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b w:val="1"/>
          <w:bCs w:val="1"/>
          <w:u w:val="single" w:color="auto"/>
          <w:color w:val="auto"/>
        </w:rPr>
        <w:t>Amendment, Modification or Termination</w:t>
      </w:r>
      <w:r>
        <w:rPr>
          <w:rFonts w:ascii="Arial" w:cs="Arial" w:eastAsia="Arial" w:hAnsi="Arial"/>
          <w:sz w:val="22"/>
          <w:szCs w:val="22"/>
          <w:color w:val="auto"/>
        </w:rPr>
        <w:t>. The William Carter Company (and any successor) reserves the exclusive right, at any time and from time to time, to amend, modify or terminate the Plan, including amendment or modification of any Appendices hereto, in whole or in part, for any reason, and without either the consent of or the prior notification to any Participant; provided, however, no amendment shall reduce the Benefit of any Employee whose Release Agreement has become effective and who has complied with other conditions for participation in the Plan. The William Carter Company has delegated its authority and power hereunder to its Chief Executive Officer. The William Carter Company retains the right to rescind any such delegation in whole or in part.</w:t>
      </w:r>
    </w:p>
    <w:p>
      <w:pPr>
        <w:spacing w:after="0" w:line="190" w:lineRule="exact"/>
        <w:rPr>
          <w:sz w:val="20"/>
          <w:szCs w:val="20"/>
          <w:color w:val="auto"/>
        </w:rPr>
      </w:pPr>
    </w:p>
    <w:p>
      <w:pPr>
        <w:ind w:left="6440"/>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ind w:left="5240"/>
        <w:spacing w:after="0"/>
        <w:rPr>
          <w:sz w:val="20"/>
          <w:szCs w:val="20"/>
          <w:color w:val="auto"/>
        </w:rPr>
      </w:pPr>
      <w:r>
        <w:rPr>
          <w:rFonts w:ascii="Arial" w:cs="Arial" w:eastAsia="Arial" w:hAnsi="Arial"/>
          <w:sz w:val="22"/>
          <w:szCs w:val="22"/>
          <w:b w:val="1"/>
          <w:bCs w:val="1"/>
          <w:u w:val="single" w:color="auto"/>
          <w:color w:val="auto"/>
        </w:rPr>
        <w:t>DUTIES OF SPONSOR AND AFFILIATES</w:t>
      </w:r>
    </w:p>
    <w:p>
      <w:pPr>
        <w:spacing w:after="0" w:line="260" w:lineRule="exact"/>
        <w:rPr>
          <w:sz w:val="20"/>
          <w:szCs w:val="20"/>
          <w:color w:val="auto"/>
        </w:rPr>
      </w:pPr>
    </w:p>
    <w:p>
      <w:pPr>
        <w:ind w:right="280" w:firstLine="1297"/>
        <w:spacing w:after="0" w:line="256"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b w:val="1"/>
          <w:bCs w:val="1"/>
          <w:u w:val="single" w:color="auto"/>
          <w:color w:val="auto"/>
        </w:rPr>
        <w:t>Records</w:t>
      </w:r>
      <w:r>
        <w:rPr>
          <w:rFonts w:ascii="Arial" w:cs="Arial" w:eastAsia="Arial" w:hAnsi="Arial"/>
          <w:sz w:val="22"/>
          <w:szCs w:val="22"/>
          <w:color w:val="auto"/>
        </w:rPr>
        <w:t>. The Sponsor and Affiliates shall supply to the Plan Administrator all records and information necessary to the performance of the Plan Administrator’s duties. Such records shall be conclusive for all purposes of this Plan.</w:t>
      </w:r>
    </w:p>
    <w:p>
      <w:pPr>
        <w:spacing w:after="0" w:line="217" w:lineRule="exact"/>
        <w:rPr>
          <w:sz w:val="20"/>
          <w:szCs w:val="20"/>
          <w:color w:val="auto"/>
        </w:rPr>
      </w:pPr>
    </w:p>
    <w:p>
      <w:pPr>
        <w:ind w:right="360" w:firstLine="1297"/>
        <w:spacing w:after="0" w:line="269"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b w:val="1"/>
          <w:bCs w:val="1"/>
          <w:u w:val="single" w:color="auto"/>
          <w:color w:val="auto"/>
        </w:rPr>
        <w:t>Payment</w:t>
      </w:r>
      <w:r>
        <w:rPr>
          <w:rFonts w:ascii="Arial" w:cs="Arial" w:eastAsia="Arial" w:hAnsi="Arial"/>
          <w:sz w:val="22"/>
          <w:szCs w:val="22"/>
          <w:color w:val="auto"/>
        </w:rPr>
        <w:t>. The Sponsor and Affiliates shall make payments from its general assets to Participants formerly in its employ in accordance with the terms of the Plan, as directed by the Plan Administrator.</w:t>
      </w:r>
    </w:p>
    <w:p>
      <w:pPr>
        <w:sectPr>
          <w:pgSz w:w="11900" w:h="16838" w:orient="portrait"/>
          <w:cols w:equalWidth="0" w:num="1">
            <w:col w:w="11420"/>
          </w:cols>
          <w:pgMar w:left="240" w:top="564" w:right="239" w:bottom="1440" w:gutter="0" w:footer="0" w:header="0"/>
        </w:sectPr>
      </w:pPr>
    </w:p>
    <w:bookmarkStart w:id="98" w:name="page99"/>
    <w:bookmarkEnd w:id="98"/>
    <w:p>
      <w:pPr>
        <w:ind w:left="6660"/>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2"/>
          <w:szCs w:val="22"/>
          <w:b w:val="1"/>
          <w:bCs w:val="1"/>
          <w:u w:val="single" w:color="auto"/>
          <w:color w:val="auto"/>
        </w:rPr>
        <w:t>CLAIMS PROCEDURES</w:t>
      </w:r>
    </w:p>
    <w:p>
      <w:pPr>
        <w:spacing w:after="0" w:line="260" w:lineRule="exact"/>
        <w:rPr>
          <w:sz w:val="20"/>
          <w:szCs w:val="20"/>
          <w:color w:val="auto"/>
        </w:rPr>
      </w:pPr>
    </w:p>
    <w:p>
      <w:pPr>
        <w:ind w:right="60" w:firstLine="1297"/>
        <w:spacing w:after="0" w:line="286"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b w:val="1"/>
          <w:bCs w:val="1"/>
          <w:u w:val="single" w:color="auto"/>
          <w:color w:val="auto"/>
        </w:rPr>
        <w:t>Application for Benefits</w:t>
      </w:r>
      <w:r>
        <w:rPr>
          <w:rFonts w:ascii="Arial" w:cs="Arial" w:eastAsia="Arial" w:hAnsi="Arial"/>
          <w:sz w:val="19"/>
          <w:szCs w:val="19"/>
          <w:color w:val="auto"/>
        </w:rPr>
        <w:t>. This Section 7.01 shall apply for any claims for Benefits or an eligibility determination. Unless specifically provided otherwise by applicable law, a claim for Benefits or an eligibility determination under this Plan must be made within one (1) year after the Terminated Employee’ Employment Termination Date that gives rise to the claim or the initial eligibility date asserted in the claim, respectively. It is the responsibility of the Terminated Employee or the Terminated Employee’s authorized representative, as applicable, to make sure this requirement is met. If a written claim is not filed by the applicable deadline and in the proper manner, the claim shall expire and be automatically denied if it is subsequently filed.</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A request for Benefits is a “claim” subject to these procedures only if it is filed by the Employee or Terminated Employee, as applicable, or the Employee or Terminated Employee’s authorized representative (collectively the “</w:t>
      </w:r>
      <w:r>
        <w:rPr>
          <w:rFonts w:ascii="Arial" w:cs="Arial" w:eastAsia="Arial" w:hAnsi="Arial"/>
          <w:sz w:val="22"/>
          <w:szCs w:val="22"/>
          <w:u w:val="single" w:color="auto"/>
          <w:color w:val="auto"/>
        </w:rPr>
        <w:t>Claimant</w:t>
      </w:r>
      <w:r>
        <w:rPr>
          <w:rFonts w:ascii="Arial" w:cs="Arial" w:eastAsia="Arial" w:hAnsi="Arial"/>
          <w:sz w:val="22"/>
          <w:szCs w:val="22"/>
          <w:color w:val="auto"/>
        </w:rPr>
        <w:t>”) in accordance with the Plan’s claim filing guidelines provided in this Article 7. Claims must be filed in writing with the Plan Administrator. A casual inquiry about Benefits or the circumstances under which Benefits might be paid under the Plan is not a “claim” under these rules, unless it is determined that the inquiry is an attempt to file a claim. If a claim is received, but there is not enough information to process the claim, the Claimant will be given a reasonable opportunity to provide the missing information.The Claimant may designate an authorized representative if written notice of such designation is provided to the Plan Administrator identifying such authorized representative.</w:t>
      </w:r>
    </w:p>
    <w:p>
      <w:pPr>
        <w:spacing w:after="0" w:line="202" w:lineRule="exact"/>
        <w:rPr>
          <w:sz w:val="20"/>
          <w:szCs w:val="20"/>
          <w:color w:val="auto"/>
        </w:rPr>
      </w:pPr>
    </w:p>
    <w:p>
      <w:pPr>
        <w:jc w:val="both"/>
        <w:ind w:firstLine="656"/>
        <w:spacing w:after="0" w:line="291" w:lineRule="auto"/>
        <w:tabs>
          <w:tab w:leader="none" w:pos="1172"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Timing of Notice of Claim</w:t>
      </w:r>
      <w:r>
        <w:rPr>
          <w:rFonts w:ascii="Arial" w:cs="Arial" w:eastAsia="Arial" w:hAnsi="Arial"/>
          <w:sz w:val="19"/>
          <w:szCs w:val="19"/>
          <w:color w:val="auto"/>
        </w:rPr>
        <w:t>. The Plan Administrator shall notify the Claimant of any adverse Benefit determination within ninety (90) days after receipt of the claim. This period may be extended one time by the Plan Administrator for up to ninety</w:t>
      </w:r>
    </w:p>
    <w:p>
      <w:pPr>
        <w:spacing w:after="0" w:line="1" w:lineRule="exact"/>
        <w:rPr>
          <w:rFonts w:ascii="Arial" w:cs="Arial" w:eastAsia="Arial" w:hAnsi="Arial"/>
          <w:sz w:val="19"/>
          <w:szCs w:val="19"/>
          <w:color w:val="auto"/>
        </w:rPr>
      </w:pPr>
    </w:p>
    <w:p>
      <w:pPr>
        <w:jc w:val="both"/>
        <w:ind w:right="20" w:firstLine="8"/>
        <w:spacing w:after="0" w:line="262" w:lineRule="auto"/>
        <w:tabs>
          <w:tab w:leader="none" w:pos="442" w:val="left"/>
        </w:tabs>
        <w:numPr>
          <w:ilvl w:val="0"/>
          <w:numId w:val="45"/>
        </w:numPr>
        <w:rPr>
          <w:rFonts w:ascii="Arial" w:cs="Arial" w:eastAsia="Arial" w:hAnsi="Arial"/>
          <w:sz w:val="21"/>
          <w:szCs w:val="21"/>
          <w:color w:val="auto"/>
        </w:rPr>
      </w:pPr>
      <w:r>
        <w:rPr>
          <w:rFonts w:ascii="Arial" w:cs="Arial" w:eastAsia="Arial" w:hAnsi="Arial"/>
          <w:sz w:val="21"/>
          <w:szCs w:val="21"/>
          <w:color w:val="auto"/>
        </w:rPr>
        <w:t>days, provided that the Plan Administrator both determines that such an extension is necessary due to matters beyond the control of the Plan and notifies the Claimant, prior to the expiration of the initial ninety (90) day period, of the circumstances requiring the extension of time and the date by which the Plan Administrator expects to render a decision.</w:t>
      </w:r>
    </w:p>
    <w:p>
      <w:pPr>
        <w:spacing w:after="0" w:line="177" w:lineRule="exact"/>
        <w:rPr>
          <w:rFonts w:ascii="Arial" w:cs="Arial" w:eastAsia="Arial" w:hAnsi="Arial"/>
          <w:sz w:val="21"/>
          <w:szCs w:val="21"/>
          <w:color w:val="auto"/>
        </w:rPr>
      </w:pPr>
    </w:p>
    <w:p>
      <w:pPr>
        <w:jc w:val="both"/>
        <w:ind w:firstLine="656"/>
        <w:spacing w:after="0" w:line="248" w:lineRule="auto"/>
        <w:tabs>
          <w:tab w:leader="none" w:pos="1157"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Content of Denied Claim</w:t>
      </w:r>
      <w:r>
        <w:rPr>
          <w:rFonts w:ascii="Arial" w:cs="Arial" w:eastAsia="Arial" w:hAnsi="Arial"/>
          <w:sz w:val="22"/>
          <w:szCs w:val="22"/>
          <w:color w:val="auto"/>
        </w:rPr>
        <w:t>. If a claim is wholly or partially denied, the Plan Administrator shall provide the Claimant with a written notice identifying (1) the reason or reasons for such denial, (2) the pertinent Plan provisions on which the denial is based, (3) any material or information needed to grant the claim and an explanation of why the additional information is necessary, and (4) an explanation of the steps that the Claimant must take if he or she wishes to appeal the denial including a statement that the Claimant may bring a civil action under ERISA.</w:t>
      </w:r>
    </w:p>
    <w:p>
      <w:pPr>
        <w:spacing w:after="0" w:line="186"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b w:val="1"/>
          <w:bCs w:val="1"/>
          <w:u w:val="single" w:color="auto"/>
          <w:color w:val="auto"/>
        </w:rPr>
        <w:t>Appeals of Denied Claims for Benefits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74" w:lineRule="auto"/>
        <w:tabs>
          <w:tab w:leader="none" w:pos="1847"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a Claimant wishes to appeal the denial of a claim, the Claimant shall file a written appeal with the Plan Administrator on or before the sixtieth (60</w:t>
      </w:r>
      <w:r>
        <w:rPr>
          <w:rFonts w:ascii="Arial" w:cs="Arial" w:eastAsia="Arial" w:hAnsi="Arial"/>
          <w:sz w:val="25"/>
          <w:szCs w:val="25"/>
          <w:color w:val="auto"/>
          <w:vertAlign w:val="superscript"/>
        </w:rPr>
        <w:t>th</w:t>
      </w:r>
      <w:r>
        <w:rPr>
          <w:rFonts w:ascii="Arial" w:cs="Arial" w:eastAsia="Arial" w:hAnsi="Arial"/>
          <w:sz w:val="19"/>
          <w:szCs w:val="19"/>
          <w:color w:val="auto"/>
        </w:rPr>
        <w:t>) day after the Claimant receives the Plan Administrator’s written notice that the claim has been wholly or partially denied. The written appeal shall identify both the grounds and specific Plan provisions upon which the</w:t>
      </w:r>
    </w:p>
    <w:p>
      <w:pPr>
        <w:sectPr>
          <w:pgSz w:w="11900" w:h="16838" w:orient="portrait"/>
          <w:cols w:equalWidth="0" w:num="1">
            <w:col w:w="11420"/>
          </w:cols>
          <w:pgMar w:left="240" w:top="1030" w:right="239" w:bottom="1440" w:gutter="0" w:footer="0" w:header="0"/>
        </w:sectPr>
      </w:pPr>
    </w:p>
    <w:bookmarkStart w:id="99" w:name="page100"/>
    <w:bookmarkEnd w:id="99"/>
    <w:p>
      <w:pPr>
        <w:ind w:left="660"/>
        <w:spacing w:after="0" w:line="263" w:lineRule="auto"/>
        <w:rPr>
          <w:sz w:val="20"/>
          <w:szCs w:val="20"/>
          <w:color w:val="auto"/>
        </w:rPr>
      </w:pPr>
      <w:r>
        <w:rPr>
          <w:rFonts w:ascii="Arial" w:cs="Arial" w:eastAsia="Arial" w:hAnsi="Arial"/>
          <w:sz w:val="22"/>
          <w:szCs w:val="22"/>
          <w:color w:val="auto"/>
        </w:rPr>
        <w:t>appeal is based, and include all material supporting the Claimant’s appeal. The Claimant shall lose the right to appeal if the appeal is not timely made.</w:t>
      </w:r>
    </w:p>
    <w:p>
      <w:pPr>
        <w:spacing w:after="0" w:line="215" w:lineRule="exact"/>
        <w:rPr>
          <w:sz w:val="20"/>
          <w:szCs w:val="20"/>
          <w:color w:val="auto"/>
        </w:rPr>
      </w:pPr>
    </w:p>
    <w:p>
      <w:pPr>
        <w:jc w:val="both"/>
        <w:ind w:left="660" w:firstLine="1293"/>
        <w:spacing w:after="0" w:line="248" w:lineRule="auto"/>
        <w:tabs>
          <w:tab w:leader="none" w:pos="2523"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Claimant shall be provided, upon request and free of charge, documents and other information relevant to his or her claim. A written appeal may also include any comments, statements or documents that the Claimant may desire to provide. The Plan Administrator shall consider the merits of the Claimant’s written presentations, the merits of any facts or evidence in support of the denial of Benefits, and such other facts and circumstances as the Plan Administrator may deem relevant.</w:t>
      </w:r>
    </w:p>
    <w:p>
      <w:pPr>
        <w:spacing w:after="0" w:line="232" w:lineRule="exact"/>
        <w:rPr>
          <w:rFonts w:ascii="Arial" w:cs="Arial" w:eastAsia="Arial" w:hAnsi="Arial"/>
          <w:sz w:val="22"/>
          <w:szCs w:val="22"/>
          <w:color w:val="auto"/>
        </w:rPr>
      </w:pPr>
    </w:p>
    <w:p>
      <w:pPr>
        <w:jc w:val="both"/>
        <w:ind w:left="660" w:firstLine="1293"/>
        <w:spacing w:after="0" w:line="312" w:lineRule="auto"/>
        <w:tabs>
          <w:tab w:leader="none" w:pos="2479"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Plan Administrator shall ordinarily rule on an appeal within sixty (60) days. However, if special circumstances require an extension and the Plan Administrator furnishes the Claimant with a written extension notice during the initial period, the Plan Administrator may take up to one hundred twenty (120) days to rule on an appeal.</w:t>
      </w:r>
    </w:p>
    <w:p>
      <w:pPr>
        <w:spacing w:after="0" w:line="174" w:lineRule="exact"/>
        <w:rPr>
          <w:rFonts w:ascii="Arial" w:cs="Arial" w:eastAsia="Arial" w:hAnsi="Arial"/>
          <w:sz w:val="19"/>
          <w:szCs w:val="19"/>
          <w:color w:val="auto"/>
        </w:rPr>
      </w:pPr>
    </w:p>
    <w:p>
      <w:pPr>
        <w:jc w:val="both"/>
        <w:ind w:left="660" w:firstLine="1293"/>
        <w:spacing w:after="0" w:line="291" w:lineRule="auto"/>
        <w:tabs>
          <w:tab w:leader="none" w:pos="2519"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an appeal is wholly or partially denied, the Plan Administrator shall provide the Claimant with a notice identifying (1) the reason or reasons for such denial, (2) the pertinent Plan provisions on which the denial is based,</w:t>
      </w:r>
    </w:p>
    <w:p>
      <w:pPr>
        <w:spacing w:after="0" w:line="1" w:lineRule="exact"/>
        <w:rPr>
          <w:rFonts w:ascii="Arial" w:cs="Arial" w:eastAsia="Arial" w:hAnsi="Arial"/>
          <w:sz w:val="19"/>
          <w:szCs w:val="19"/>
          <w:color w:val="auto"/>
        </w:rPr>
      </w:pPr>
    </w:p>
    <w:p>
      <w:pPr>
        <w:jc w:val="both"/>
        <w:ind w:left="660" w:hanging="4"/>
        <w:spacing w:after="0" w:line="295" w:lineRule="auto"/>
        <w:tabs>
          <w:tab w:leader="none" w:pos="972"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statement that the Claimant is entitled to receive, upon request and free of charge, reasonable access to, and copies of, all documents, records, and other information relevant to the Claimant’s claim for Benefits, and (4) a statement describing the Claimant’s right to bring an action under section 502(a) of ERISA within one (1) year following the date of the final decision on appeal. The determination rendered by the Plan Administrator shall be binding upon all parties.</w:t>
      </w:r>
    </w:p>
    <w:p>
      <w:pPr>
        <w:spacing w:after="0" w:line="185" w:lineRule="exact"/>
        <w:rPr>
          <w:sz w:val="20"/>
          <w:szCs w:val="20"/>
          <w:color w:val="auto"/>
        </w:rPr>
      </w:pPr>
    </w:p>
    <w:p>
      <w:pPr>
        <w:jc w:val="both"/>
        <w:ind w:left="660" w:firstLine="1297"/>
        <w:spacing w:after="0" w:line="252"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b w:val="1"/>
          <w:bCs w:val="1"/>
          <w:u w:val="single" w:color="auto"/>
          <w:color w:val="auto"/>
        </w:rPr>
        <w:t>Eligibility Determinations</w:t>
      </w:r>
      <w:r>
        <w:rPr>
          <w:rFonts w:ascii="Arial" w:cs="Arial" w:eastAsia="Arial" w:hAnsi="Arial"/>
          <w:sz w:val="22"/>
          <w:szCs w:val="22"/>
          <w:color w:val="auto"/>
        </w:rPr>
        <w:t>. Eligibility determinations shall be made by the Sponsor in accordance with the claims procedures provided in this Article 7 or such other non-discriminatory procedures as the Sponsor may adopt from time to time. An “eligibility determination” is a request for a determination as to whether the Claimant is eligible to participate in the Plan.</w:t>
      </w:r>
    </w:p>
    <w:p>
      <w:pPr>
        <w:spacing w:after="0" w:line="221" w:lineRule="exact"/>
        <w:rPr>
          <w:sz w:val="20"/>
          <w:szCs w:val="20"/>
          <w:color w:val="auto"/>
        </w:rPr>
      </w:pPr>
    </w:p>
    <w:p>
      <w:pPr>
        <w:jc w:val="center"/>
        <w:ind w:left="2600"/>
        <w:spacing w:after="0"/>
        <w:rPr>
          <w:sz w:val="20"/>
          <w:szCs w:val="20"/>
          <w:color w:val="auto"/>
        </w:rPr>
      </w:pPr>
      <w:r>
        <w:rPr>
          <w:rFonts w:ascii="Arial" w:cs="Arial" w:eastAsia="Arial" w:hAnsi="Arial"/>
          <w:sz w:val="22"/>
          <w:szCs w:val="22"/>
          <w:b w:val="1"/>
          <w:bCs w:val="1"/>
          <w:color w:val="auto"/>
        </w:rPr>
        <w:t>ARTICLE 8</w:t>
      </w:r>
    </w:p>
    <w:p>
      <w:pPr>
        <w:spacing w:after="0" w:line="260" w:lineRule="exact"/>
        <w:rPr>
          <w:sz w:val="20"/>
          <w:szCs w:val="20"/>
          <w:color w:val="auto"/>
        </w:rPr>
      </w:pPr>
    </w:p>
    <w:p>
      <w:pPr>
        <w:ind w:left="60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60" w:lineRule="exact"/>
        <w:rPr>
          <w:sz w:val="20"/>
          <w:szCs w:val="20"/>
          <w:color w:val="auto"/>
        </w:rPr>
      </w:pPr>
    </w:p>
    <w:p>
      <w:pPr>
        <w:ind w:right="120" w:firstLine="1297"/>
        <w:spacing w:after="0" w:line="259"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b w:val="1"/>
          <w:bCs w:val="1"/>
          <w:u w:val="single" w:color="auto"/>
          <w:color w:val="auto"/>
        </w:rPr>
        <w:t>Other Benefits</w:t>
      </w:r>
      <w:r>
        <w:rPr>
          <w:rFonts w:ascii="Arial" w:cs="Arial" w:eastAsia="Arial" w:hAnsi="Arial"/>
          <w:sz w:val="21"/>
          <w:szCs w:val="21"/>
          <w:color w:val="auto"/>
        </w:rPr>
        <w:t>. An Employee who is covered under any group medical, dental and vision plans sponsored by the Sponsor or an Affiliate on his or her Employment Termination Date will be eligible to continue such coverage as required under the Consolidated Omnibus Reconciliation Act of 1985 (“</w:t>
      </w:r>
      <w:r>
        <w:rPr>
          <w:rFonts w:ascii="Arial" w:cs="Arial" w:eastAsia="Arial" w:hAnsi="Arial"/>
          <w:sz w:val="21"/>
          <w:szCs w:val="21"/>
          <w:u w:val="single" w:color="auto"/>
          <w:color w:val="auto"/>
        </w:rPr>
        <w:t>COBRA</w:t>
      </w:r>
      <w:r>
        <w:rPr>
          <w:rFonts w:ascii="Arial" w:cs="Arial" w:eastAsia="Arial" w:hAnsi="Arial"/>
          <w:sz w:val="21"/>
          <w:szCs w:val="21"/>
          <w:color w:val="auto"/>
        </w:rPr>
        <w:t>”). All of the terms and conditions of the medical, dental and vision plans maintained by the Sponsor or an Affiliate, as amended from time to time, and the related COBRA procedures shall apply to each such Employee and his or her eligible dependents. Nothing in the Plan is intended to amend such plans and/or related COBRA procedures, or limit it any way, the Sponsor’s or an Affiliate’s, as applicable, power and authority to amend or terminate such plans in whole or in part at any time with or without notice (except as otherwise required by law). All other benefits will cease on the Employee’s Employment Termination Date or on the date provided by the plan document for such benefits as in effect from time to time.</w:t>
      </w:r>
    </w:p>
    <w:p>
      <w:pPr>
        <w:sectPr>
          <w:pgSz w:w="11900" w:h="16838" w:orient="portrait"/>
          <w:cols w:equalWidth="0" w:num="1">
            <w:col w:w="11420"/>
          </w:cols>
          <w:pgMar w:left="240" w:top="1077" w:right="2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b w:val="1"/>
          <w:bCs w:val="1"/>
          <w:u w:val="single" w:color="auto"/>
          <w:color w:val="auto"/>
        </w:rPr>
        <w:t>Tax Treatment</w:t>
      </w:r>
      <w:r>
        <w:rPr>
          <w:rFonts w:ascii="Arial" w:cs="Arial" w:eastAsia="Arial" w:hAnsi="Arial"/>
          <w:sz w:val="19"/>
          <w:szCs w:val="19"/>
          <w:color w:val="auto"/>
        </w:rPr>
        <w:t>. The Benefit payable hereunder shall be subject to required federal, state and local income and employment tax and withholdings. The Sponsor makes no representations as to any particular tax outcome.</w:t>
      </w:r>
    </w:p>
    <w:p>
      <w:pPr>
        <w:spacing w:after="0" w:line="9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b w:val="1"/>
          <w:bCs w:val="1"/>
          <w:u w:val="single" w:color="auto"/>
          <w:color w:val="auto"/>
        </w:rPr>
        <w:t>Mistaken Payments</w:t>
      </w:r>
      <w:r>
        <w:rPr>
          <w:rFonts w:ascii="Arial" w:cs="Arial" w:eastAsia="Arial" w:hAnsi="Arial"/>
          <w:sz w:val="22"/>
          <w:szCs w:val="22"/>
          <w:color w:val="auto"/>
        </w:rPr>
        <w:t>. Any Employee or Terminated Employee who receives a severance payment, or portion thereof, made due to a mistake of fact or law, shall be required to immediately return to the Plan Administrator all amounts received.</w:t>
      </w:r>
    </w:p>
    <w:p>
      <w:pPr>
        <w:spacing w:after="0" w:line="17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b w:val="1"/>
          <w:bCs w:val="1"/>
          <w:u w:val="single" w:color="auto"/>
          <w:color w:val="auto"/>
        </w:rPr>
        <w:t>Effect on At-Will Employment Relationship and on Other Benefits</w:t>
      </w:r>
      <w:r>
        <w:rPr>
          <w:rFonts w:ascii="Arial" w:cs="Arial" w:eastAsia="Arial" w:hAnsi="Arial"/>
          <w:sz w:val="19"/>
          <w:szCs w:val="19"/>
          <w:color w:val="auto"/>
        </w:rPr>
        <w:t>. Neither the Plan, nor any of its provisions, alters the at-will employment relationship between Employee and the Sponsor or an Affiliate. In addition, there shall not be drawn from the continued provision by the Sponsor or an Affiliate of any Benefit hereunder any implication of continued employment or of any continued right to accrue vacation days, paid holidays, paid sick days or other similar benefits normally associated with employment for any part of the period during or in respect of which a Benefit is payable under the Plan.</w:t>
      </w:r>
    </w:p>
    <w:p>
      <w:pPr>
        <w:spacing w:after="0" w:line="143"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b w:val="1"/>
          <w:bCs w:val="1"/>
          <w:u w:val="single" w:color="auto"/>
          <w:color w:val="auto"/>
        </w:rPr>
        <w:t>Benefits as Consideration for Waivers, Covenants and Releases</w:t>
      </w:r>
      <w:r>
        <w:rPr>
          <w:rFonts w:ascii="Arial" w:cs="Arial" w:eastAsia="Arial" w:hAnsi="Arial"/>
          <w:sz w:val="19"/>
          <w:szCs w:val="19"/>
          <w:color w:val="auto"/>
        </w:rPr>
        <w:t>. The Benefit provided hereunder, where applicable, shall constitute consideration for the Release Agreement that a Terminated Employee is required to provide to the Sponsor or an Affiliate relating to prior employment by the Sponsor or an Affiliate. The Benefit provided hereunder, where applicable, shall also constitute consideration for any waiver by the Terminated Employee, whether full or partial, and whether absolute or conditional, of any rights, claims, entitlement to relief or damages, or entitlement to seek imposition upon the Sponsor or an Affiliate of penalties, in connection with any contract, express or implied, or under any statute, regulation, rule, order, or similar promulgation by a governmental or quasi-governmental entity to the fullest extent permitted by law. In addition, the Benefit provided hereunder, where applicable, shall constitute consideration for any covenants or agreements contained in the Release Agreement executed by the Terminated Employee in connection with this Plan.</w:t>
      </w:r>
    </w:p>
    <w:p>
      <w:pPr>
        <w:spacing w:after="0" w:line="14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b w:val="1"/>
          <w:bCs w:val="1"/>
          <w:u w:val="single" w:color="auto"/>
          <w:color w:val="auto"/>
        </w:rPr>
        <w:t>Non-alienation of Benefits</w:t>
      </w:r>
      <w:r>
        <w:rPr>
          <w:rFonts w:ascii="Arial" w:cs="Arial" w:eastAsia="Arial" w:hAnsi="Arial"/>
          <w:sz w:val="19"/>
          <w:szCs w:val="19"/>
          <w:color w:val="auto"/>
        </w:rPr>
        <w:t>.</w:t>
      </w:r>
    </w:p>
    <w:p>
      <w:pPr>
        <w:spacing w:after="0" w:line="226" w:lineRule="exact"/>
        <w:rPr>
          <w:sz w:val="20"/>
          <w:szCs w:val="20"/>
          <w:color w:val="auto"/>
        </w:rPr>
      </w:pPr>
    </w:p>
    <w:p>
      <w:pPr>
        <w:jc w:val="both"/>
        <w:ind w:firstLine="1953"/>
        <w:spacing w:after="0" w:line="297" w:lineRule="auto"/>
        <w:tabs>
          <w:tab w:leader="none" w:pos="2455"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Except as provided in Subsection (b) of this Section 8.06, none of the payments, Benefits or rights of any Participant shall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No Participant shall have the right to alienate, anticipate, commute, pledge, encumber or assign any Benefit or any of the payments which he or she may expect to receive, contingently or otherwise, under the Plan.</w:t>
      </w:r>
    </w:p>
    <w:p>
      <w:pPr>
        <w:spacing w:after="0" w:line="187" w:lineRule="exact"/>
        <w:rPr>
          <w:rFonts w:ascii="Arial" w:cs="Arial" w:eastAsia="Arial" w:hAnsi="Arial"/>
          <w:sz w:val="19"/>
          <w:szCs w:val="19"/>
          <w:color w:val="auto"/>
        </w:rPr>
      </w:pPr>
    </w:p>
    <w:p>
      <w:pPr>
        <w:ind w:left="2480" w:hanging="527"/>
        <w:spacing w:after="0"/>
        <w:tabs>
          <w:tab w:leader="none" w:pos="24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Notwithstanding the provisions of Subsection (a) of this Section 8.06, any Benefit hereunder shall be</w:t>
      </w:r>
    </w:p>
    <w:p>
      <w:pPr>
        <w:spacing w:after="0" w:line="56"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subject to: (1) offset by any claims of the Sponsor or an Affiliate against the Participant; (2) tax liens imposed thereon; and (3) the terms of any valid court order attaching thereto.</w:t>
      </w:r>
    </w:p>
    <w:p>
      <w:pPr>
        <w:sectPr>
          <w:pgSz w:w="11900" w:h="16838" w:orient="portrait"/>
          <w:cols w:equalWidth="0" w:num="1">
            <w:col w:w="11420"/>
          </w:cols>
          <w:pgMar w:left="240" w:top="1440" w:right="239" w:bottom="1440" w:gutter="0" w:footer="0" w:header="0"/>
        </w:sectPr>
      </w:pPr>
    </w:p>
    <w:bookmarkStart w:id="101" w:name="page102"/>
    <w:bookmarkEnd w:id="101"/>
    <w:p>
      <w:pPr>
        <w:jc w:val="both"/>
        <w:ind w:firstLine="1297"/>
        <w:spacing w:after="0" w:line="256"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b w:val="1"/>
          <w:bCs w:val="1"/>
          <w:u w:val="single" w:color="auto"/>
          <w:color w:val="auto"/>
        </w:rPr>
        <w:t>Severability of Provisions</w:t>
      </w:r>
      <w:r>
        <w:rPr>
          <w:rFonts w:ascii="Arial" w:cs="Arial" w:eastAsia="Arial" w:hAnsi="Arial"/>
          <w:sz w:val="22"/>
          <w:szCs w:val="22"/>
          <w:color w:val="auto"/>
        </w:rPr>
        <w:t>. If any provision of the Plan shall be held invalid or unenforceable, such invalidity or unenforceability shall not affect any other provisions hereof, and the Plan shall be construed and enforced as if such provisions had not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 w:firstLine="1297"/>
        <w:spacing w:after="0" w:line="252"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b w:val="1"/>
          <w:bCs w:val="1"/>
          <w:u w:val="single" w:color="auto"/>
          <w:color w:val="auto"/>
        </w:rPr>
        <w:t>Heirs, Assigns, and Personal Representatives</w:t>
      </w:r>
      <w:r>
        <w:rPr>
          <w:rFonts w:ascii="Arial" w:cs="Arial" w:eastAsia="Arial" w:hAnsi="Arial"/>
          <w:sz w:val="22"/>
          <w:szCs w:val="22"/>
          <w:color w:val="auto"/>
        </w:rPr>
        <w:t>. The Plan shall be binding upon the heirs, executors, administrators, successors and assigns of the parties, including each Participant, present and future (except that no successor to a Sponsor shall be considered a “Sponsor” under the Plan unless that successor adopts the Plan with the written consent of The William Carter Company).</w:t>
      </w:r>
    </w:p>
    <w:p>
      <w:pPr>
        <w:spacing w:after="0" w:line="221" w:lineRule="exact"/>
        <w:rPr>
          <w:sz w:val="20"/>
          <w:szCs w:val="20"/>
          <w:color w:val="auto"/>
        </w:rPr>
      </w:pPr>
    </w:p>
    <w:p>
      <w:pPr>
        <w:ind w:right="940" w:firstLine="1297"/>
        <w:spacing w:after="0" w:line="350"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b w:val="1"/>
          <w:bCs w:val="1"/>
          <w:u w:val="single" w:color="auto"/>
          <w:color w:val="auto"/>
        </w:rPr>
        <w:t>Headings and Captions</w:t>
      </w:r>
      <w:r>
        <w:rPr>
          <w:rFonts w:ascii="Arial" w:cs="Arial" w:eastAsia="Arial" w:hAnsi="Arial"/>
          <w:sz w:val="19"/>
          <w:szCs w:val="19"/>
          <w:color w:val="auto"/>
        </w:rPr>
        <w:t>. The headings and captions herein are provided for reference and convenience only, shall not be considered part of the Plan, and shall not be employed in the construction of the Plan.</w:t>
      </w:r>
    </w:p>
    <w:p>
      <w:pPr>
        <w:spacing w:after="0" w:line="133" w:lineRule="exact"/>
        <w:rPr>
          <w:sz w:val="20"/>
          <w:szCs w:val="20"/>
          <w:color w:val="auto"/>
        </w:rPr>
      </w:pPr>
    </w:p>
    <w:p>
      <w:pPr>
        <w:jc w:val="both"/>
        <w:ind w:right="100" w:firstLine="1297"/>
        <w:spacing w:after="0" w:line="256"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b w:val="1"/>
          <w:bCs w:val="1"/>
          <w:u w:val="single" w:color="auto"/>
          <w:color w:val="auto"/>
        </w:rPr>
        <w:t>Gender and Number</w:t>
      </w:r>
      <w:r>
        <w:rPr>
          <w:rFonts w:ascii="Arial" w:cs="Arial" w:eastAsia="Arial" w:hAnsi="Arial"/>
          <w:sz w:val="22"/>
          <w:szCs w:val="22"/>
          <w:color w:val="auto"/>
        </w:rPr>
        <w:t>. Except where clearly indicated otherwise by context, the masculine form of any word shall include the feminine and the neuter, the feminine form shall include the masculine and the neuter, the singular form shall include the plural, and the plural form shall include the singular.</w:t>
      </w:r>
    </w:p>
    <w:p>
      <w:pPr>
        <w:spacing w:after="0" w:line="217" w:lineRule="exact"/>
        <w:rPr>
          <w:sz w:val="20"/>
          <w:szCs w:val="20"/>
          <w:color w:val="auto"/>
        </w:rPr>
      </w:pPr>
    </w:p>
    <w:p>
      <w:pPr>
        <w:ind w:right="20" w:firstLine="1297"/>
        <w:spacing w:after="0" w:line="315"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b w:val="1"/>
          <w:bCs w:val="1"/>
          <w:u w:val="single" w:color="auto"/>
          <w:color w:val="auto"/>
        </w:rPr>
        <w:t>Unfunded Plan</w:t>
      </w:r>
      <w:r>
        <w:rPr>
          <w:rFonts w:ascii="Arial" w:cs="Arial" w:eastAsia="Arial" w:hAnsi="Arial"/>
          <w:sz w:val="19"/>
          <w:szCs w:val="19"/>
          <w:color w:val="auto"/>
        </w:rPr>
        <w:t>. The Plan is unfunded and no Participant is required to make any contributions to the Plan. The Sponsor will pay the entire cost of all Benefits solely from its general assets. No Participant shall have any right to, or interest in, any assets of the Sponsor or an Affiliate which may be applied to the payment of a Benefit hereunder.</w:t>
      </w:r>
    </w:p>
    <w:p>
      <w:pPr>
        <w:spacing w:after="0" w:line="166" w:lineRule="exact"/>
        <w:rPr>
          <w:sz w:val="20"/>
          <w:szCs w:val="20"/>
          <w:color w:val="auto"/>
        </w:rPr>
      </w:pPr>
    </w:p>
    <w:p>
      <w:pPr>
        <w:ind w:right="80" w:firstLine="1297"/>
        <w:spacing w:after="0" w:line="261" w:lineRule="auto"/>
        <w:rPr>
          <w:sz w:val="20"/>
          <w:szCs w:val="20"/>
          <w:color w:val="auto"/>
        </w:rPr>
      </w:pPr>
      <w:r>
        <w:rPr>
          <w:rFonts w:ascii="Arial" w:cs="Arial" w:eastAsia="Arial" w:hAnsi="Arial"/>
          <w:sz w:val="21"/>
          <w:szCs w:val="21"/>
          <w:color w:val="auto"/>
        </w:rPr>
        <w:t xml:space="preserve">Section 8.12. </w:t>
      </w:r>
      <w:r>
        <w:rPr>
          <w:rFonts w:ascii="Arial" w:cs="Arial" w:eastAsia="Arial" w:hAnsi="Arial"/>
          <w:sz w:val="21"/>
          <w:szCs w:val="21"/>
          <w:b w:val="1"/>
          <w:bCs w:val="1"/>
          <w:u w:val="single" w:color="auto"/>
          <w:color w:val="auto"/>
        </w:rPr>
        <w:t>Appendices</w:t>
      </w:r>
      <w:r>
        <w:rPr>
          <w:rFonts w:ascii="Arial" w:cs="Arial" w:eastAsia="Arial" w:hAnsi="Arial"/>
          <w:sz w:val="21"/>
          <w:szCs w:val="21"/>
          <w:color w:val="auto"/>
        </w:rPr>
        <w:t>. From time to time, The William Carter Company may elect to append provisions of limited duration to the Plan to govern what The William Carter Company determines to be special circumstances governing certain Employees. Each such Appendix, during the period stipulated therein, shall be deemed a part of the Plan and fully incorporated herein. Except as otherwise stated in any such Appendix applicable to any Employee or Terminated Employee, the rights of such Employee or Terminated Employee as stated in such Appendix shall supersede the rights provided under the Plan, the Benefit provided under such Appendix shall be in lieu of comparable or stipulated Benefits otherwise provided under the Plan, and there shall be no duplication of Benefits.</w:t>
      </w:r>
    </w:p>
    <w:p>
      <w:pPr>
        <w:spacing w:after="0" w:line="215" w:lineRule="exact"/>
        <w:rPr>
          <w:sz w:val="20"/>
          <w:szCs w:val="20"/>
          <w:color w:val="auto"/>
        </w:rPr>
      </w:pPr>
    </w:p>
    <w:p>
      <w:pPr>
        <w:ind w:right="80" w:firstLine="1297"/>
        <w:spacing w:after="0" w:line="259" w:lineRule="auto"/>
        <w:rPr>
          <w:sz w:val="20"/>
          <w:szCs w:val="20"/>
          <w:color w:val="auto"/>
        </w:rPr>
      </w:pPr>
      <w:r>
        <w:rPr>
          <w:rFonts w:ascii="Arial" w:cs="Arial" w:eastAsia="Arial" w:hAnsi="Arial"/>
          <w:sz w:val="21"/>
          <w:szCs w:val="21"/>
          <w:color w:val="auto"/>
        </w:rPr>
        <w:t xml:space="preserve">Section 8.13. </w:t>
      </w:r>
      <w:r>
        <w:rPr>
          <w:rFonts w:ascii="Arial" w:cs="Arial" w:eastAsia="Arial" w:hAnsi="Arial"/>
          <w:sz w:val="21"/>
          <w:szCs w:val="21"/>
          <w:b w:val="1"/>
          <w:bCs w:val="1"/>
          <w:u w:val="single" w:color="auto"/>
          <w:color w:val="auto"/>
        </w:rPr>
        <w:t>Notice Requirements</w:t>
      </w:r>
      <w:r>
        <w:rPr>
          <w:rFonts w:ascii="Arial" w:cs="Arial" w:eastAsia="Arial" w:hAnsi="Arial"/>
          <w:sz w:val="21"/>
          <w:szCs w:val="21"/>
          <w:color w:val="auto"/>
        </w:rPr>
        <w:t>. To the extent that any federal, state or local laws, including, without limitation, the Worker Adjustment and Retraining Notification Act and so-called “plant closing” laws, require the Sponsor to give advance notice or make a payment of any kind (hereinafter “</w:t>
      </w:r>
      <w:r>
        <w:rPr>
          <w:rFonts w:ascii="Arial" w:cs="Arial" w:eastAsia="Arial" w:hAnsi="Arial"/>
          <w:sz w:val="21"/>
          <w:szCs w:val="21"/>
          <w:u w:val="single" w:color="auto"/>
          <w:color w:val="auto"/>
        </w:rPr>
        <w:t>Notice</w:t>
      </w:r>
      <w:r>
        <w:rPr>
          <w:rFonts w:ascii="Arial" w:cs="Arial" w:eastAsia="Arial" w:hAnsi="Arial"/>
          <w:sz w:val="21"/>
          <w:szCs w:val="21"/>
          <w:color w:val="auto"/>
        </w:rPr>
        <w:t>” or “</w:t>
      </w:r>
      <w:r>
        <w:rPr>
          <w:rFonts w:ascii="Arial" w:cs="Arial" w:eastAsia="Arial" w:hAnsi="Arial"/>
          <w:sz w:val="21"/>
          <w:szCs w:val="21"/>
          <w:u w:val="single" w:color="auto"/>
          <w:color w:val="auto"/>
        </w:rPr>
        <w:t>Statutory Payment</w:t>
      </w:r>
      <w:r>
        <w:rPr>
          <w:rFonts w:ascii="Arial" w:cs="Arial" w:eastAsia="Arial" w:hAnsi="Arial"/>
          <w:sz w:val="21"/>
          <w:szCs w:val="21"/>
          <w:color w:val="auto"/>
        </w:rPr>
        <w:t>” as the case may be) to a Participant because of that Participant’s involuntary termination, the severance Benefits paid under this Plan are intended to satisfy any such Statutory Payment obligation, and the Plan Administrator shall so construe and implement the terms of the Plan. If, however, severance pay under the Plan is totally offset by any Statutory Payment, the Sponsor, in its sole discretion, may pay the Terminated Employee an amount determined from time to time as consideration for the Release Agreement. Notwithstanding the foregoing, if applicable law requires otherwise, severance Benefits paid to a Participant under this Plan will be paid in addition to any Statutory Payment due to the Participant, to the extent required.</w:t>
      </w:r>
    </w:p>
    <w:p>
      <w:pPr>
        <w:sectPr>
          <w:pgSz w:w="11900" w:h="16838" w:orient="portrait"/>
          <w:cols w:equalWidth="0" w:num="1">
            <w:col w:w="11420"/>
          </w:cols>
          <w:pgMar w:left="240" w:top="558" w:right="239" w:bottom="1440" w:gutter="0" w:footer="0" w:header="0"/>
        </w:sectPr>
      </w:pPr>
    </w:p>
    <w:bookmarkStart w:id="102" w:name="page103"/>
    <w:bookmarkEnd w:id="102"/>
    <w:p>
      <w:pPr>
        <w:ind w:right="500" w:firstLine="1297"/>
        <w:spacing w:after="0" w:line="269" w:lineRule="auto"/>
        <w:rPr>
          <w:sz w:val="20"/>
          <w:szCs w:val="20"/>
          <w:color w:val="auto"/>
        </w:rPr>
      </w:pPr>
      <w:r>
        <w:rPr>
          <w:rFonts w:ascii="Arial" w:cs="Arial" w:eastAsia="Arial" w:hAnsi="Arial"/>
          <w:sz w:val="22"/>
          <w:szCs w:val="22"/>
          <w:color w:val="auto"/>
        </w:rPr>
        <w:t xml:space="preserve">Section 8.14. </w:t>
      </w:r>
      <w:r>
        <w:rPr>
          <w:rFonts w:ascii="Arial" w:cs="Arial" w:eastAsia="Arial" w:hAnsi="Arial"/>
          <w:sz w:val="22"/>
          <w:szCs w:val="22"/>
          <w:b w:val="1"/>
          <w:bCs w:val="1"/>
          <w:u w:val="single" w:color="auto"/>
          <w:color w:val="auto"/>
        </w:rPr>
        <w:t>Lost Payees</w:t>
      </w:r>
      <w:r>
        <w:rPr>
          <w:rFonts w:ascii="Arial" w:cs="Arial" w:eastAsia="Arial" w:hAnsi="Arial"/>
          <w:sz w:val="22"/>
          <w:szCs w:val="22"/>
          <w:color w:val="auto"/>
        </w:rPr>
        <w:t>. A Benefit shall be deemed forfeited if the Plan Administrator is unable to locate a Participant to whom a Benefit is otherwise due.</w:t>
      </w:r>
    </w:p>
    <w:p>
      <w:pPr>
        <w:spacing w:after="0" w:line="203" w:lineRule="exact"/>
        <w:rPr>
          <w:sz w:val="20"/>
          <w:szCs w:val="20"/>
          <w:color w:val="auto"/>
        </w:rPr>
      </w:pPr>
    </w:p>
    <w:p>
      <w:pPr>
        <w:ind w:right="200" w:firstLine="1297"/>
        <w:spacing w:after="0" w:line="293" w:lineRule="auto"/>
        <w:rPr>
          <w:sz w:val="20"/>
          <w:szCs w:val="20"/>
          <w:color w:val="auto"/>
        </w:rPr>
      </w:pPr>
      <w:r>
        <w:rPr>
          <w:rFonts w:ascii="Arial" w:cs="Arial" w:eastAsia="Arial" w:hAnsi="Arial"/>
          <w:sz w:val="21"/>
          <w:szCs w:val="21"/>
          <w:color w:val="auto"/>
        </w:rPr>
        <w:t xml:space="preserve">Section 8.15. </w:t>
      </w:r>
      <w:r>
        <w:rPr>
          <w:rFonts w:ascii="Arial" w:cs="Arial" w:eastAsia="Arial" w:hAnsi="Arial"/>
          <w:sz w:val="21"/>
          <w:szCs w:val="21"/>
          <w:b w:val="1"/>
          <w:bCs w:val="1"/>
          <w:u w:val="single" w:color="auto"/>
          <w:color w:val="auto"/>
        </w:rPr>
        <w:t>Controlling Law</w:t>
      </w:r>
      <w:r>
        <w:rPr>
          <w:rFonts w:ascii="Arial" w:cs="Arial" w:eastAsia="Arial" w:hAnsi="Arial"/>
          <w:sz w:val="21"/>
          <w:szCs w:val="21"/>
          <w:color w:val="auto"/>
        </w:rPr>
        <w:t>. The Plan shall be construed and enforced according to federal law. To the extent not preempted by federal law, such issue shall be resolved in accordance with the laws of the State of Georgia.</w:t>
      </w:r>
    </w:p>
    <w:p>
      <w:pPr>
        <w:spacing w:after="0" w:line="180"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color w:val="auto"/>
        </w:rPr>
        <w:t xml:space="preserve">Section 8.16 </w:t>
      </w:r>
      <w:r>
        <w:rPr>
          <w:rFonts w:ascii="Arial" w:cs="Arial" w:eastAsia="Arial" w:hAnsi="Arial"/>
          <w:sz w:val="19"/>
          <w:szCs w:val="19"/>
          <w:b w:val="1"/>
          <w:bCs w:val="1"/>
          <w:u w:val="single" w:color="auto"/>
          <w:color w:val="auto"/>
        </w:rPr>
        <w:t>409A Compliance</w:t>
      </w:r>
      <w:r>
        <w:rPr>
          <w:rFonts w:ascii="Arial" w:cs="Arial" w:eastAsia="Arial" w:hAnsi="Arial"/>
          <w:sz w:val="19"/>
          <w:szCs w:val="19"/>
          <w:color w:val="auto"/>
        </w:rPr>
        <w:t>. It is the Sponsor's intent that amounts paid under this Plan will not constitute "deferred compensation" as that term is defined under Section 409A of the Code, and the regulations thereunder. Thus, all applicable exclusions and exceptions under Treas. Reg. 1.409A-1 shall be applied to the fullest extent possible. Without limiting the generality of the preceding sentences, the short-term deferral exemption under Treas. Reg. 1.409A-1(b)(4), and the exemption for involuntary terminations under separation pay plans under Treas. Reg. 1.409A-1(b)(9)(iii) shall be applied to the fullest extent possible. To the extent the exemption for involuntary terminations under separation pay plans applies, the severance payment shall be paid no later than the last day of the second calendar year following the calendar year in which the involuntary termination occurs. Each payment of severance Benefits shall be treated as a separate payment and not a single payment for all purposes of Section 409A of the Code. If any amount paid under this Plan is determined to be "deferred compensation" within the meaning of Section 409A of the Code, and compliance with one or more of the provisions of this Plan causes or results in a violation of Section 409A of the Code, then such provision shall be interpreted or reformed in the manner necessary to achieve compliance with Section 409A of the Code, including but not limited to, the imposition of a six-month delay in payment to any "specified employee" (as defined in Treas. Reg. 1.409A-1(i)) following such specified employee's date of termination which entitles him or her to a payment under this Plan. All references to a termination of employment (or other similar language) in the Plan shall be interpreted to only mean a "separation from service" under Section 409A of the Code, as applicable. Notwithstanding the foregoing, the Sponsor makes no representations that the payments and Benefits provided under the Plan comply with Section 409A of the Code and in no event shall the Sponsor or any Affiliate be liable for all or any portion of any taxes, penalties, interest or other expenses that may be incurred by a Participant on account of non-compliance with Section 409A of the Code.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[Remainder of page intentionally left blank.]</w:t>
      </w:r>
    </w:p>
    <w:p>
      <w:pPr>
        <w:sectPr>
          <w:pgSz w:w="11900" w:h="16838" w:orient="portrait"/>
          <w:cols w:equalWidth="0" w:num="1">
            <w:col w:w="11420"/>
          </w:cols>
          <w:pgMar w:left="240" w:top="558" w:right="2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IN WITNESS WHEREOF, and as evidence of the adoption of the Plan, The William Carter Company has caused the same to be executed by its duly authorized officer this 3rd day of February, 2020 to be effective as of January 1, 2020.</w:t>
      </w: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William Carter Company</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Scott F. Duggan___________________</w:t>
      </w:r>
    </w:p>
    <w:p>
      <w:pPr>
        <w:spacing w:after="0" w:line="22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Scott F. Duggan</w:t>
      </w:r>
    </w:p>
    <w:p>
      <w:pPr>
        <w:spacing w:after="0" w:line="233"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Corporate &amp; Legal Affairs, General Counsel</w:t>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William Carter Company Severance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January 1,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Benefits for Salaried Exempt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Non-Exempt and Hourly Employees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(Effective January 1, 2020)</w:t>
      </w:r>
    </w:p>
    <w:p>
      <w:pPr>
        <w:spacing w:after="0" w:line="169" w:lineRule="exact"/>
        <w:rPr>
          <w:sz w:val="20"/>
          <w:szCs w:val="20"/>
          <w:color w:val="auto"/>
        </w:rPr>
      </w:pPr>
    </w:p>
    <w:p>
      <w:pPr>
        <w:ind w:left="660" w:firstLine="648"/>
        <w:spacing w:after="0" w:line="233" w:lineRule="auto"/>
        <w:rPr>
          <w:sz w:val="20"/>
          <w:szCs w:val="20"/>
          <w:color w:val="auto"/>
        </w:rPr>
      </w:pPr>
      <w:r>
        <w:rPr>
          <w:rFonts w:ascii="Arial" w:cs="Arial" w:eastAsia="Arial" w:hAnsi="Arial"/>
          <w:sz w:val="18"/>
          <w:szCs w:val="18"/>
          <w:color w:val="auto"/>
        </w:rPr>
        <w:t xml:space="preserve">Section A1 </w:t>
      </w:r>
      <w:r>
        <w:rPr>
          <w:rFonts w:ascii="Arial" w:cs="Arial" w:eastAsia="Arial" w:hAnsi="Arial"/>
          <w:sz w:val="21"/>
          <w:szCs w:val="21"/>
          <w:b w:val="1"/>
          <w:bCs w:val="1"/>
          <w:u w:val="single" w:color="auto"/>
          <w:color w:val="auto"/>
        </w:rPr>
        <w:t>Amount of Severance Benefit</w:t>
      </w:r>
      <w:r>
        <w:rPr>
          <w:rFonts w:ascii="Arial" w:cs="Arial" w:eastAsia="Arial" w:hAnsi="Arial"/>
          <w:sz w:val="21"/>
          <w:szCs w:val="21"/>
          <w:color w:val="auto"/>
        </w:rPr>
        <w:t>. A Terminated Employee who has satisfied the requirements</w:t>
      </w:r>
      <w:r>
        <w:rPr>
          <w:rFonts w:ascii="Arial" w:cs="Arial" w:eastAsia="Arial" w:hAnsi="Arial"/>
          <w:sz w:val="18"/>
          <w:szCs w:val="18"/>
          <w:color w:val="auto"/>
        </w:rPr>
        <w:t xml:space="preserve"> </w:t>
      </w:r>
      <w:r>
        <w:rPr>
          <w:rFonts w:ascii="Arial" w:cs="Arial" w:eastAsia="Arial" w:hAnsi="Arial"/>
          <w:sz w:val="21"/>
          <w:szCs w:val="21"/>
          <w:color w:val="auto"/>
        </w:rPr>
        <w:t>of Article 3 of the Plan shall be entitled to receive the following Benefits, as determined by the Plan Administrator:</w:t>
      </w:r>
    </w:p>
    <w:p>
      <w:pPr>
        <w:spacing w:after="0" w:line="1" w:lineRule="exact"/>
        <w:rPr>
          <w:sz w:val="20"/>
          <w:szCs w:val="20"/>
          <w:color w:val="auto"/>
        </w:rPr>
      </w:pPr>
    </w:p>
    <w:p>
      <w:pPr>
        <w:jc w:val="both"/>
        <w:ind w:firstLine="1305"/>
        <w:spacing w:after="0" w:line="209" w:lineRule="auto"/>
        <w:tabs>
          <w:tab w:leader="none" w:pos="2144" w:val="left"/>
        </w:tabs>
        <w:numPr>
          <w:ilvl w:val="1"/>
          <w:numId w:val="50"/>
        </w:numPr>
        <w:rPr>
          <w:rFonts w:ascii="Arial" w:cs="Arial" w:eastAsia="Arial" w:hAnsi="Arial"/>
          <w:sz w:val="18"/>
          <w:szCs w:val="18"/>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Severance pay will be based on the following factors: (1) years of continuous service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Terminated Employee’s most recent hire date with the Sponsor and/or an Affiliate as of his or her Employment Termination Date, (2) classification, and (3) OshKosh B’Gosh, Inc. employment as of July 14, 2005.</w:t>
      </w:r>
    </w:p>
    <w:p>
      <w:pPr>
        <w:jc w:val="both"/>
        <w:ind w:right="20" w:firstLine="1305"/>
        <w:spacing w:after="0" w:line="242" w:lineRule="auto"/>
        <w:tabs>
          <w:tab w:leader="none" w:pos="2155" w:val="left"/>
        </w:tabs>
        <w:numPr>
          <w:ilvl w:val="1"/>
          <w:numId w:val="50"/>
        </w:numPr>
        <w:rPr>
          <w:rFonts w:ascii="Arial" w:cs="Arial" w:eastAsia="Arial" w:hAnsi="Arial"/>
          <w:sz w:val="16"/>
          <w:szCs w:val="16"/>
          <w:color w:val="auto"/>
        </w:rPr>
      </w:pPr>
      <w:r>
        <w:rPr>
          <w:rFonts w:ascii="Arial" w:cs="Arial" w:eastAsia="Arial" w:hAnsi="Arial"/>
          <w:sz w:val="19"/>
          <w:szCs w:val="19"/>
          <w:b w:val="1"/>
          <w:bCs w:val="1"/>
          <w:u w:val="single" w:color="auto"/>
          <w:color w:val="auto"/>
        </w:rPr>
        <w:t>Years of Continuous Service</w:t>
      </w:r>
      <w:r>
        <w:rPr>
          <w:rFonts w:ascii="Arial" w:cs="Arial" w:eastAsia="Arial" w:hAnsi="Arial"/>
          <w:sz w:val="19"/>
          <w:szCs w:val="19"/>
          <w:color w:val="auto"/>
        </w:rPr>
        <w:t>. Each Terminated Employee shall receive credit for one “year of continuous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service” for each twelve (12) month period of continuous employment with the Sponsor from such Terminated Employee’s most recent hire date as of his or her Employment Termination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Terminated Employee with at least six</w:t>
      </w:r>
    </w:p>
    <w:p>
      <w:pPr>
        <w:jc w:val="both"/>
        <w:ind w:firstLine="8"/>
        <w:spacing w:after="0" w:line="237" w:lineRule="auto"/>
        <w:tabs>
          <w:tab w:leader="none" w:pos="317" w:val="left"/>
        </w:tabs>
        <w:numPr>
          <w:ilvl w:val="0"/>
          <w:numId w:val="51"/>
        </w:numPr>
        <w:rPr>
          <w:rFonts w:ascii="Arial" w:cs="Arial" w:eastAsia="Arial" w:hAnsi="Arial"/>
          <w:sz w:val="19"/>
          <w:szCs w:val="19"/>
          <w:color w:val="auto"/>
        </w:rPr>
      </w:pPr>
      <w:r>
        <w:rPr>
          <w:rFonts w:ascii="Arial" w:cs="Arial" w:eastAsia="Arial" w:hAnsi="Arial"/>
          <w:sz w:val="19"/>
          <w:szCs w:val="19"/>
          <w:color w:val="auto"/>
        </w:rPr>
        <w:t>months of continuous service, but less than twelve (12) months of continuous service, with the Sponsor from such Terminated Employee’s most recent hire date as of his or her Employment Termination Date shall receive credit for one year of continuous service solely for purposes of calculating severance benefits under the Plan. Except as provided in the immediately preceding sentence (for a Terminated Employee with at least six (6) months of continuous service, but less than twelve (12) months of continuous service, with the Sponsor from such Terminated Employee’s most recent hire date as of his or her Employment Termination Date), any period of employment which is less than twelve (12) months shall not be considered for any other purpose.</w:t>
      </w:r>
    </w:p>
    <w:p>
      <w:pPr>
        <w:spacing w:after="0" w:line="1" w:lineRule="exact"/>
        <w:rPr>
          <w:rFonts w:ascii="Arial" w:cs="Arial" w:eastAsia="Arial" w:hAnsi="Arial"/>
          <w:sz w:val="19"/>
          <w:szCs w:val="19"/>
          <w:color w:val="auto"/>
        </w:rPr>
      </w:pPr>
    </w:p>
    <w:p>
      <w:pPr>
        <w:ind w:firstLine="1305"/>
        <w:spacing w:after="0" w:line="224"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22"/>
          <w:szCs w:val="22"/>
          <w:b w:val="1"/>
          <w:bCs w:val="1"/>
          <w:u w:val="single" w:color="auto"/>
          <w:color w:val="auto"/>
        </w:rPr>
        <w:t>Classifications</w:t>
      </w:r>
      <w:r>
        <w:rPr>
          <w:rFonts w:ascii="Arial" w:cs="Arial" w:eastAsia="Arial" w:hAnsi="Arial"/>
          <w:sz w:val="22"/>
          <w:szCs w:val="22"/>
          <w:color w:val="auto"/>
        </w:rPr>
        <w:t>. The Terminated Employee’s classification at his or her Employment Termination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determine the amount of the severance Benefit as follows:</w:t>
      </w:r>
    </w:p>
    <w:p>
      <w:pPr>
        <w:jc w:val="both"/>
        <w:ind w:left="2600" w:hanging="647"/>
        <w:spacing w:after="0" w:line="255" w:lineRule="auto"/>
        <w:tabs>
          <w:tab w:leader="none" w:pos="2600" w:val="left"/>
        </w:tabs>
        <w:numPr>
          <w:ilvl w:val="2"/>
          <w:numId w:val="51"/>
        </w:numPr>
        <w:rPr>
          <w:rFonts w:ascii="Arial" w:cs="Arial" w:eastAsia="Arial" w:hAnsi="Arial"/>
          <w:sz w:val="17"/>
          <w:szCs w:val="17"/>
          <w:color w:val="auto"/>
        </w:rPr>
      </w:pPr>
      <w:r>
        <w:rPr>
          <w:rFonts w:ascii="Arial" w:cs="Arial" w:eastAsia="Arial" w:hAnsi="Arial"/>
          <w:sz w:val="21"/>
          <w:szCs w:val="21"/>
          <w:u w:val="single" w:color="auto"/>
          <w:color w:val="auto"/>
        </w:rPr>
        <w:t>Salaried Exempt Employees</w:t>
      </w:r>
      <w:r>
        <w:rPr>
          <w:rFonts w:ascii="Arial" w:cs="Arial" w:eastAsia="Arial" w:hAnsi="Arial"/>
          <w:sz w:val="21"/>
          <w:szCs w:val="21"/>
          <w:color w:val="auto"/>
        </w:rPr>
        <w:t>. Salaried exempt employees will receive one (1) week of severance pay for each year of continuous service (based on the Employee’s most recent date of hire), with a minimum Benefit of two (2) weeks of severance pay and a maximum Benefit of twenty-six (26) weeks of severance pay. A week of severance pay is calculated by dividing the Employee’s Base Pay by fifty-two (52) weeks. In the case of a Change in Control, the twenty-six (26) weeks maximum Benefit shall be extended to fifty-two (52) weeks if a Covered Termination occurs within two (2) calendar years of the Change in Control.</w:t>
      </w:r>
    </w:p>
    <w:p>
      <w:pPr>
        <w:jc w:val="both"/>
        <w:ind w:left="2600" w:hanging="647"/>
        <w:spacing w:after="0" w:line="302" w:lineRule="auto"/>
        <w:tabs>
          <w:tab w:leader="none" w:pos="2600" w:val="left"/>
        </w:tabs>
        <w:numPr>
          <w:ilvl w:val="2"/>
          <w:numId w:val="51"/>
        </w:numPr>
        <w:rPr>
          <w:rFonts w:ascii="Arial" w:cs="Arial" w:eastAsia="Arial" w:hAnsi="Arial"/>
          <w:sz w:val="16"/>
          <w:szCs w:val="16"/>
          <w:color w:val="auto"/>
        </w:rPr>
      </w:pPr>
      <w:r>
        <w:rPr>
          <w:rFonts w:ascii="Arial" w:cs="Arial" w:eastAsia="Arial" w:hAnsi="Arial"/>
          <w:sz w:val="19"/>
          <w:szCs w:val="19"/>
          <w:u w:val="single" w:color="auto"/>
          <w:color w:val="auto"/>
        </w:rPr>
        <w:t>Non-exempt and Hourly Employees</w:t>
      </w:r>
      <w:r>
        <w:rPr>
          <w:rFonts w:ascii="Arial" w:cs="Arial" w:eastAsia="Arial" w:hAnsi="Arial"/>
          <w:sz w:val="19"/>
          <w:szCs w:val="19"/>
          <w:color w:val="auto"/>
        </w:rPr>
        <w:t>. Non-exempt and hourly employees will receive one (1) week of severance pay for each year of continuous service (based on the Employee’s most recent date of hire), with a minimum Benefit of one (1) week of severance pay and a maximum Benefit of eight (8) weeks</w:t>
      </w:r>
    </w:p>
    <w:p>
      <w:pPr>
        <w:sectPr>
          <w:pgSz w:w="11900" w:h="16838" w:orient="portrait"/>
          <w:cols w:equalWidth="0" w:num="1">
            <w:col w:w="11420"/>
          </w:cols>
          <w:pgMar w:left="240" w:top="1440" w:right="239" w:bottom="1440" w:gutter="0" w:footer="0" w:header="0"/>
        </w:sectPr>
      </w:pPr>
    </w:p>
    <w:bookmarkStart w:id="105" w:name="page106"/>
    <w:bookmarkEnd w:id="105"/>
    <w:p>
      <w:pPr>
        <w:ind w:left="2600"/>
        <w:spacing w:after="0" w:line="232" w:lineRule="auto"/>
        <w:rPr>
          <w:sz w:val="20"/>
          <w:szCs w:val="20"/>
          <w:color w:val="auto"/>
        </w:rPr>
      </w:pPr>
      <w:r>
        <w:rPr>
          <w:rFonts w:ascii="Arial" w:cs="Arial" w:eastAsia="Arial" w:hAnsi="Arial"/>
          <w:sz w:val="22"/>
          <w:szCs w:val="22"/>
          <w:color w:val="auto"/>
        </w:rPr>
        <w:t>of severance pay. A week of severance pay is based on the standard hours per week, excluding overtime, bonuses or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firstLine="1953"/>
        <w:spacing w:after="0" w:line="253" w:lineRule="auto"/>
        <w:tabs>
          <w:tab w:leader="none" w:pos="2335" w:val="left"/>
        </w:tabs>
        <w:numPr>
          <w:ilvl w:val="0"/>
          <w:numId w:val="52"/>
        </w:numPr>
        <w:rPr>
          <w:rFonts w:ascii="Arial" w:cs="Arial" w:eastAsia="Arial" w:hAnsi="Arial"/>
          <w:sz w:val="18"/>
          <w:szCs w:val="18"/>
          <w:color w:val="auto"/>
        </w:rPr>
      </w:pPr>
      <w:r>
        <w:rPr>
          <w:rFonts w:ascii="Arial" w:cs="Arial" w:eastAsia="Arial" w:hAnsi="Arial"/>
          <w:sz w:val="22"/>
          <w:szCs w:val="22"/>
          <w:b w:val="1"/>
          <w:bCs w:val="1"/>
          <w:u w:val="single" w:color="auto"/>
          <w:color w:val="auto"/>
        </w:rPr>
        <w:t>Certain OshKosh B’Gosh Employees</w:t>
      </w:r>
      <w:r>
        <w:rPr>
          <w:rFonts w:ascii="Arial" w:cs="Arial" w:eastAsia="Arial" w:hAnsi="Arial"/>
          <w:sz w:val="22"/>
          <w:szCs w:val="22"/>
          <w:color w:val="auto"/>
        </w:rPr>
        <w:t>. Employees who were employed by OshKosh B’Gosh, Inc. as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July 14, 2005 will be eligible to elect optional severance pay and outplacement assistance computed on the basis of the Employee’s job status, base wages, and years of service as of July 14, 2008. </w:t>
      </w:r>
      <w:r>
        <w:rPr>
          <w:rFonts w:ascii="Arial" w:cs="Arial" w:eastAsia="Arial" w:hAnsi="Arial"/>
          <w:sz w:val="22"/>
          <w:szCs w:val="22"/>
          <w:u w:val="single" w:color="auto"/>
          <w:color w:val="auto"/>
        </w:rPr>
        <w:t>Appendix B</w:t>
      </w:r>
      <w:r>
        <w:rPr>
          <w:rFonts w:ascii="Arial" w:cs="Arial" w:eastAsia="Arial" w:hAnsi="Arial"/>
          <w:sz w:val="22"/>
          <w:szCs w:val="22"/>
          <w:color w:val="auto"/>
        </w:rPr>
        <w:t xml:space="preserve"> includes the schedule for optional severance pay and outplacement assistance for these Employees. Employees of retail stores shall not be eligible for the optional severance pay and outplacement assistance benefits.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1"/>
          <w:szCs w:val="21"/>
          <w:color w:val="auto"/>
        </w:rPr>
        <w:t xml:space="preserve">Section A2 </w:t>
      </w:r>
      <w:r>
        <w:rPr>
          <w:rFonts w:ascii="Arial" w:cs="Arial" w:eastAsia="Arial" w:hAnsi="Arial"/>
          <w:sz w:val="21"/>
          <w:szCs w:val="21"/>
          <w:b w:val="1"/>
          <w:bCs w:val="1"/>
          <w:u w:val="single" w:color="auto"/>
          <w:color w:val="auto"/>
        </w:rPr>
        <w:t>Method of Payment</w:t>
      </w:r>
      <w:r>
        <w:rPr>
          <w:rFonts w:ascii="Arial" w:cs="Arial" w:eastAsia="Arial" w:hAnsi="Arial"/>
          <w:sz w:val="21"/>
          <w:szCs w:val="21"/>
          <w:color w:val="auto"/>
        </w:rPr>
        <w:t>. A Participant’s severance Benefit shall be paid after all of the conditions for payment under the Plan have been fully satisfied and will be paid as salary or wage continuation payments according to the Sponsor’s normal payroll practices in substantially equal installments until the severance is fully paid. Severance Benefits will commence within sixty (60) days of the Employee’s Employment Termination Date if the Release Agreement executed by the Employee becomes fully effective and non-revocable by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Employee’s Employment Termination Date, provided that if such sixty (60) day period spans two calendar years, the payments will commence in the second calendar year. The William Carter Company may elect, in its sole discretion, to make severance payments as a lump sum payment subject to the requirements of Section 409A of the Code, as applicable.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A3 </w:t>
      </w:r>
      <w:r>
        <w:rPr>
          <w:rFonts w:ascii="Arial" w:cs="Arial" w:eastAsia="Arial" w:hAnsi="Arial"/>
          <w:sz w:val="22"/>
          <w:szCs w:val="22"/>
          <w:b w:val="1"/>
          <w:bCs w:val="1"/>
          <w:u w:val="single" w:color="auto"/>
          <w:color w:val="auto"/>
        </w:rPr>
        <w:t>Cessation Repayment/Offset of Benefit Payments</w:t>
      </w:r>
      <w:r>
        <w:rPr>
          <w:rFonts w:ascii="Arial" w:cs="Arial" w:eastAsia="Arial" w:hAnsi="Arial"/>
          <w:sz w:val="22"/>
          <w:szCs w:val="22"/>
          <w:color w:val="auto"/>
        </w:rPr>
        <w:t>. A Participant shall cease to participate in the Plan, and all Benefit payments shall cease, upon the occurrence of the earliest of:</w:t>
      </w:r>
    </w:p>
    <w:p>
      <w:pPr>
        <w:spacing w:after="0" w:line="209" w:lineRule="exact"/>
        <w:rPr>
          <w:sz w:val="20"/>
          <w:szCs w:val="20"/>
          <w:color w:val="auto"/>
        </w:rPr>
      </w:pPr>
    </w:p>
    <w:p>
      <w:pPr>
        <w:ind w:left="1760" w:hanging="455"/>
        <w:spacing w:after="0"/>
        <w:tabs>
          <w:tab w:leader="none" w:pos="1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Completion of the payment to the Participant of the entitled Benefit under Section A1;</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179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Termination by the Plan Administrator of the Terminated Employee’s right to be a Participant upon discovery of the occurrence of a Disqualifying Event within the meaning of Section 2.08 of the Plan, whether or not such discovery occurs before or after the Employment Termination Date;</w:t>
      </w:r>
    </w:p>
    <w:p>
      <w:pPr>
        <w:spacing w:after="0" w:line="226" w:lineRule="exact"/>
        <w:rPr>
          <w:rFonts w:ascii="Arial" w:cs="Arial" w:eastAsia="Arial" w:hAnsi="Arial"/>
          <w:sz w:val="22"/>
          <w:szCs w:val="22"/>
          <w:color w:val="auto"/>
        </w:rPr>
      </w:pPr>
    </w:p>
    <w:p>
      <w:pPr>
        <w:ind w:right="20" w:firstLine="1305"/>
        <w:spacing w:after="0" w:line="263" w:lineRule="auto"/>
        <w:tabs>
          <w:tab w:leader="none" w:pos="175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termination of the Plan, or such amendment or modification of the Plan that would exclude the Terminated Employee from participation in the Plan;</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1773"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violation by the Terminated Employee of any of the provisions of this Plan, of any provisions contained in the Release Agreement executed by the Terminated Employee, or of any provision in any other agreement between the Terminated Employee and the Sponsor or an Affiliate including, but not limited to, obligations with respect to trade secrets and confidential information; or</w:t>
      </w:r>
    </w:p>
    <w:p>
      <w:pPr>
        <w:spacing w:after="0" w:line="228" w:lineRule="exact"/>
        <w:rPr>
          <w:rFonts w:ascii="Arial" w:cs="Arial" w:eastAsia="Arial" w:hAnsi="Arial"/>
          <w:sz w:val="22"/>
          <w:szCs w:val="22"/>
          <w:color w:val="auto"/>
        </w:rPr>
      </w:pPr>
    </w:p>
    <w:p>
      <w:pPr>
        <w:ind w:right="20" w:firstLine="1305"/>
        <w:spacing w:after="0" w:line="263" w:lineRule="auto"/>
        <w:tabs>
          <w:tab w:leader="none" w:pos="19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Terminated Employee accepts reemployment by the Sponsor or an Affiliate before the end of the severance period, in any position.</w:t>
      </w:r>
    </w:p>
    <w:p>
      <w:pPr>
        <w:sectPr>
          <w:pgSz w:w="11900" w:h="16838" w:orient="portrait"/>
          <w:cols w:equalWidth="0" w:num="1">
            <w:col w:w="11420"/>
          </w:cols>
          <w:pgMar w:left="240" w:top="537" w:right="2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case of an event described in subsection (b) or (d), the Sponsor may, in its discretion, require the Terminated Employee to repay any and all severance Benefits paid to such Terminated Employee under the terms of this Plan. If required, the Terminated Employee shall immediately repay the severance Benefits to the Plan Administrator.</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Section A4 </w:t>
      </w:r>
      <w:r>
        <w:rPr>
          <w:rFonts w:ascii="Arial" w:cs="Arial" w:eastAsia="Arial" w:hAnsi="Arial"/>
          <w:sz w:val="21"/>
          <w:szCs w:val="21"/>
          <w:b w:val="1"/>
          <w:bCs w:val="1"/>
          <w:u w:val="single" w:color="auto"/>
          <w:color w:val="auto"/>
        </w:rPr>
        <w:t>Payment Upon Death</w:t>
      </w:r>
      <w:r>
        <w:rPr>
          <w:rFonts w:ascii="Arial" w:cs="Arial" w:eastAsia="Arial" w:hAnsi="Arial"/>
          <w:sz w:val="21"/>
          <w:szCs w:val="21"/>
          <w:color w:val="auto"/>
        </w:rPr>
        <w:t>. If a Participant dies before Benefit payments under the Plan have been completed, the remaining Benefit payments shall be paid to Participant’s designated beneficiary in a lump sum amount as soon as administratively practicable following the date the Sponsor receives notice of the Participant’s death, but no later than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year following the year in which the death occurs. A Participant’s designated beneficiary for the severance Benefit under this Plan shall be determined by using the same beneficiary designated by the Participant to receive benefits under the first of the following plans with a named beneficiary: (1) Carter’s, Inc. 401(k) Savings Plan, (2) Basic Life Insurance Plan, (3) Supplemental Life Insurance Plan, (4) Business Travel Accident Plan (Basic AD&amp;D), and (5) Supplemental Accidental Death &amp; Dismemberment Plan. In the event there is no valid designated beneficiary election form on file with the Sponsor under any of the named plans at the time of the Participant’s death, any Benefit payments remaining to be paid to the Participant under the Plan shall be paid to the Participant’s estate.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320"/>
        <w:spacing w:after="0"/>
        <w:tabs>
          <w:tab w:leader="none" w:pos="7580" w:val="left"/>
          <w:tab w:leader="none" w:pos="788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color w:val="auto"/>
        </w:rPr>
        <w:t>*</w:t>
        <w:tab/>
        <w:t>*</w:t>
      </w:r>
    </w:p>
    <w:p>
      <w:pPr>
        <w:sectPr>
          <w:pgSz w:w="11900" w:h="16838" w:orient="portrait"/>
          <w:cols w:equalWidth="0" w:num="1">
            <w:col w:w="11420"/>
          </w:cols>
          <w:pgMar w:left="240" w:top="1440" w:right="2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60"/>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To the William Carter Company Severance Plan</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(Amended and Restated Effective January 1, 2020)</w:t>
      </w:r>
    </w:p>
    <w:p>
      <w:pPr>
        <w:spacing w:after="0" w:line="2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Optional Severance Pay and Benefits for Certain Employees</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Employed by OshKosh B’Gosh, Inc. as of July 14, 2005</w:t>
      </w:r>
    </w:p>
    <w:p>
      <w:pPr>
        <w:spacing w:after="0" w:line="4" w:lineRule="exact"/>
        <w:rPr>
          <w:sz w:val="20"/>
          <w:szCs w:val="20"/>
          <w:color w:val="auto"/>
        </w:rPr>
      </w:pPr>
    </w:p>
    <w:p>
      <w:pPr>
        <w:ind w:left="5840"/>
        <w:spacing w:after="0"/>
        <w:rPr>
          <w:sz w:val="20"/>
          <w:szCs w:val="20"/>
          <w:color w:val="auto"/>
        </w:rPr>
      </w:pPr>
      <w:r>
        <w:rPr>
          <w:rFonts w:ascii="Arial" w:cs="Arial" w:eastAsia="Arial" w:hAnsi="Arial"/>
          <w:sz w:val="22"/>
          <w:szCs w:val="22"/>
          <w:b w:val="1"/>
          <w:bCs w:val="1"/>
          <w:u w:val="single" w:color="auto"/>
          <w:color w:val="auto"/>
        </w:rPr>
        <w:t>Effective January 1, 2020</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Employees who were employed with OshKosh B’Gosh, Inc. as of July 14, 2005, and who are eligible for severance Benefits due to a Covered Termination may elect to receive either (a) severance pay and Benefits under The William Carter Company Severance Plan or (b) severance pay and outplacement assistance calculated by using the employee’s job status, base wages, and years of service as of July 14, 2008, in accordance with the following schedule. Employees of retail stores are specifically excluded.</w:t>
      </w:r>
    </w:p>
    <w:p>
      <w:pPr>
        <w:spacing w:after="0" w:line="266" w:lineRule="exact"/>
        <w:rPr>
          <w:sz w:val="20"/>
          <w:szCs w:val="20"/>
          <w:color w:val="auto"/>
        </w:rPr>
      </w:pPr>
    </w:p>
    <w:tbl>
      <w:tblPr>
        <w:tblLayout w:type="fixed"/>
        <w:tblInd w:w="370" w:type="dxa"/>
        <w:tblCellMar>
          <w:top w:w="0" w:type="dxa"/>
          <w:left w:w="0" w:type="dxa"/>
          <w:bottom w:w="0" w:type="dxa"/>
          <w:right w:w="0" w:type="dxa"/>
        </w:tblCellMar>
      </w:tblPr>
      <w:tr>
        <w:trPr>
          <w:trHeight w:val="238"/>
        </w:trPr>
        <w:tc>
          <w:tcPr>
            <w:tcW w:w="4520" w:type="dxa"/>
            <w:vAlign w:val="bottom"/>
            <w:tcBorders>
              <w:top w:val="single" w:sz="8" w:color="auto"/>
              <w:left w:val="single" w:sz="8" w:color="auto"/>
              <w:right w:val="single" w:sz="8" w:color="auto"/>
            </w:tcBorders>
          </w:tcPr>
          <w:p>
            <w:pPr>
              <w:spacing w:after="0"/>
              <w:rPr>
                <w:sz w:val="20"/>
                <w:szCs w:val="20"/>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Formula (Weeks of</w:t>
            </w:r>
          </w:p>
        </w:tc>
        <w:tc>
          <w:tcPr>
            <w:tcW w:w="96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spacing w:after="0"/>
              <w:rPr>
                <w:sz w:val="20"/>
                <w:szCs w:val="20"/>
                <w:color w:val="auto"/>
              </w:rPr>
            </w:pPr>
          </w:p>
        </w:tc>
        <w:tc>
          <w:tcPr>
            <w:tcW w:w="1900" w:type="dxa"/>
            <w:vAlign w:val="bottom"/>
            <w:tcBorders>
              <w:top w:val="single" w:sz="8" w:color="auto"/>
              <w:right w:val="single" w:sz="8" w:color="auto"/>
            </w:tcBorders>
          </w:tcPr>
          <w:p>
            <w:pPr>
              <w:spacing w:after="0"/>
              <w:rPr>
                <w:sz w:val="20"/>
                <w:szCs w:val="20"/>
                <w:color w:val="auto"/>
              </w:rPr>
            </w:pPr>
          </w:p>
        </w:tc>
      </w:tr>
      <w:tr>
        <w:trPr>
          <w:trHeight w:val="216"/>
        </w:trPr>
        <w:tc>
          <w:tcPr>
            <w:tcW w:w="45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Severance per year of</w:t>
            </w: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4"/>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Status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service as of July 14, 2008)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Min Wks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 Wks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Outplacement (# days)</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Nonexempt Employees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Exempt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Managers (not bonus eligible)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Directors or Bonus Eligible Managers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90</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VP/ VP</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90</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40"/>
        <w:spacing w:after="0"/>
        <w:tabs>
          <w:tab w:leader="none" w:pos="7900" w:val="left"/>
          <w:tab w:leader="none" w:pos="8200" w:val="left"/>
        </w:tabs>
        <w:rPr>
          <w:sz w:val="20"/>
          <w:szCs w:val="20"/>
          <w:color w:val="auto"/>
        </w:rPr>
      </w:pPr>
      <w:r>
        <w:rPr>
          <w:rFonts w:ascii="Arial" w:cs="Arial" w:eastAsia="Arial" w:hAnsi="Arial"/>
          <w:sz w:val="22"/>
          <w:szCs w:val="22"/>
          <w:color w:val="auto"/>
        </w:rPr>
        <w:t>*</w:t>
        <w:tab/>
        <w:t>*</w:t>
        <w:tab/>
        <w:t>*</w:t>
      </w:r>
    </w:p>
    <w:p>
      <w:pPr>
        <w:sectPr>
          <w:pgSz w:w="11900" w:h="16838" w:orient="portrait"/>
          <w:cols w:equalWidth="0" w:num="1">
            <w:col w:w="11420"/>
          </w:cols>
          <w:pgMar w:left="240" w:top="144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Carter's,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William Carter Company is incorporated in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OshKosh B'Gosh, Inc. is incorporated in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Carter's Retail, Inc. is incorporated in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TWCC Product Development and Sales, Inc. is incorporated in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Carter's Giftcard Company, Inc. is incorporated in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Skip Hop Holdings, Inc. is incorporated in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Skip Hop, Inc. is incorporated in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Carter's Holdings B.V. is formed in 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Genuine Canadian Corp. is incorporated in Ontario,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Carter's Global Sourcing Limited is formed in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Carter's Shanghai Trading Co., Ltd is formed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Carter's Shanghai Business Information Consulting Co., Ltd is formed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Skip Hop (Shenzhen) Trading Company Limited is formed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Skip Hop UK Limited is formed in England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Carter's Mexico LLC is incorporated in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Industrias Bunny Baby, S.A. de C.V. is formed in Mexico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Operacion Efficaz,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82" w:right="239" w:bottom="1440" w:gutter="0" w:footer="0" w:header="0"/>
        </w:sectPr>
      </w:pPr>
    </w:p>
    <w:bookmarkStart w:id="109" w:name="page110"/>
    <w:bookmarkEnd w:id="109"/>
    <w:p>
      <w:pPr>
        <w:ind w:left="6500"/>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333-177724, 333-168446, 333-125306, and 333-225144) of Carter's, Inc. of our report dated February 24, 2020 relating to the financial statements and the effectiveness of internal control over financial reporting, which appears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55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February 24,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February 24, 2020</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Each of the undersigned in the capacity indicated hereby certifies that, to his knowledge, this Annual Report on Form 10-K for the fiscal year ended December 28, 2019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60"/>
        <w:spacing w:after="0"/>
        <w:tabs>
          <w:tab w:leader="none" w:pos="6580" w:val="left"/>
        </w:tabs>
        <w:rPr>
          <w:sz w:val="20"/>
          <w:szCs w:val="20"/>
          <w:color w:val="auto"/>
        </w:rPr>
      </w:pPr>
      <w:r>
        <w:rPr>
          <w:rFonts w:ascii="Arial" w:cs="Arial" w:eastAsia="Arial" w:hAnsi="Arial"/>
          <w:sz w:val="18"/>
          <w:szCs w:val="18"/>
          <w:color w:val="auto"/>
        </w:rPr>
        <w:t>February 24,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60"/>
        <w:spacing w:after="0"/>
        <w:tabs>
          <w:tab w:leader="none" w:pos="6180" w:val="left"/>
        </w:tabs>
        <w:rPr>
          <w:sz w:val="20"/>
          <w:szCs w:val="20"/>
          <w:color w:val="auto"/>
        </w:rPr>
      </w:pPr>
      <w:r>
        <w:rPr>
          <w:rFonts w:ascii="Arial" w:cs="Arial" w:eastAsia="Arial" w:hAnsi="Arial"/>
          <w:sz w:val="18"/>
          <w:szCs w:val="18"/>
          <w:color w:val="auto"/>
        </w:rPr>
        <w:t>February 24, 2020</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lvl w:ilvl="1">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805"/>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lowerRoman"/>
      <w:start w:val="1"/>
    </w:lvl>
  </w:abstractNum>
  <w:abstractNum w:abstractNumId="25">
    <w:nsid w:val="580BD78F"/>
    <w:multiLevelType w:val="hybridMultilevel"/>
    <w:lvl w:ilvl="0">
      <w:lvlJc w:val="left"/>
      <w:lvlText w:val="(%1)"/>
      <w:numFmt w:val="lowerRoman"/>
      <w:start w:val="6"/>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decimal"/>
      <w:start w:val="3"/>
    </w:lvl>
  </w:abstractNum>
  <w:abstractNum w:abstractNumId="42">
    <w:nsid w:val="684A481A"/>
    <w:multiLevelType w:val="hybridMultilevel"/>
    <w:lvl w:ilvl="0">
      <w:lvlJc w:val="left"/>
      <w:lvlText w:val="(%1)"/>
      <w:numFmt w:val="lowerLetter"/>
      <w:start w:val="4"/>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90"/>
    </w:lvl>
    <w:lvl w:ilvl="1">
      <w:lvlJc w:val="left"/>
      <w:lvlText w:val="(%2)"/>
      <w:numFmt w:val="lowerLetter"/>
      <w:start w:val="2"/>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decimal"/>
      <w:start w:val="1"/>
    </w:lvl>
    <w:lvl w:ilvl="1">
      <w:lvlJc w:val="left"/>
      <w:lvlText w:val="(%2)"/>
      <w:numFmt w:val="lowerLetter"/>
      <w:start w:val="2"/>
    </w:lvl>
  </w:abstractNum>
  <w:abstractNum w:abstractNumId="47">
    <w:nsid w:val="79A1DEAA"/>
    <w:multiLevelType w:val="hybridMultilevel"/>
    <w:lvl w:ilvl="0">
      <w:lvlJc w:val="left"/>
      <w:lvlText w:val="(%1)"/>
      <w:numFmt w:val="decimal"/>
      <w:start w:val="3"/>
    </w:lvl>
    <w:lvl w:ilvl="1">
      <w:lvlJc w:val="left"/>
      <w:lvlText w:val="%2"/>
      <w:numFmt w:val="lowerLetter"/>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0">
    <w:nsid w:val="70C6A529"/>
    <w:multiLevelType w:val="hybridMultilevel"/>
    <w:lvl w:ilvl="0">
      <w:lvlJc w:val="left"/>
      <w:lvlText w:val="(%1)"/>
      <w:numFmt w:val="decimal"/>
      <w:start w:val="6"/>
    </w:lvl>
    <w:lvl w:ilvl="1">
      <w:lvlJc w:val="left"/>
      <w:lvlText w:val="(%2)"/>
      <w:numFmt w:val="lowerLetter"/>
      <w:start w:val="3"/>
    </w:lvl>
    <w:lvl w:ilvl="2">
      <w:lvlJc w:val="left"/>
      <w:lvlText w:val="(%3)"/>
      <w:numFmt w:val="decimal"/>
      <w:start w:val="1"/>
    </w:lvl>
  </w:abstractNum>
  <w:abstractNum w:abstractNumId="51">
    <w:nsid w:val="520EEDD1"/>
    <w:multiLevelType w:val="hybridMultilevel"/>
    <w:lvl w:ilvl="0">
      <w:lvlJc w:val="left"/>
      <w:lvlText w:val="(%1)"/>
      <w:numFmt w:val="lowerLetter"/>
      <w:start w:val="4"/>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43" Type="http://schemas.openxmlformats.org/officeDocument/2006/relationships/hyperlink" Target="http://www.sec.gov/Archives/edgar/data/1060822/000119312517179483/d400342dex31.htm" TargetMode="External"/><Relationship Id="rId44" Type="http://schemas.openxmlformats.org/officeDocument/2006/relationships/hyperlink" Target="http://www.sec.gov/Archives/edgar/data/1060822/000119312517179483/d400342dex32.htm" TargetMode="External"/><Relationship Id="rId45" Type="http://schemas.openxmlformats.org/officeDocument/2006/relationships/hyperlink" Target="http://www.sec.gov/Archives/edgar/data/1060822/000104746903033160/a2120070zex-4_1.txt" TargetMode="External"/><Relationship Id="rId46" Type="http://schemas.openxmlformats.org/officeDocument/2006/relationships/hyperlink" Target="http://www.sec.gov/Archives/edgar/data/1060822/000119312519074908/d718900dex41.htm" TargetMode="External"/><Relationship Id="rId47" Type="http://schemas.openxmlformats.org/officeDocument/2006/relationships/hyperlink" Target="http://www.sec.gov/Archives/edgar/data/1060822/000119312517273645/d428481dex101.htm" TargetMode="External"/><Relationship Id="rId48" Type="http://schemas.openxmlformats.org/officeDocument/2006/relationships/hyperlink" Target="http://www.sec.gov/Archives/edgar/data/1060822/000119312518283958/d629122dex101.htm" TargetMode="External"/><Relationship Id="rId49" Type="http://schemas.openxmlformats.org/officeDocument/2006/relationships/hyperlink" Target="http://www.sec.gov/Archives/edgar/data/1060822/000106082215000029/cri-20151003exh102.htm" TargetMode="External"/><Relationship Id="rId50" Type="http://schemas.openxmlformats.org/officeDocument/2006/relationships/hyperlink" Target="http://www.sec.gov/Archives/edgar/data/1060822/000119312518107509/d483958ddef14a.htm#toc483958_22" TargetMode="External"/><Relationship Id="rId51" Type="http://schemas.openxmlformats.org/officeDocument/2006/relationships/hyperlink" Target="http://www.sec.gov/Archives/edgar/data/1060822/000119312516526057/d149556ddef14a.htm#toc149556_23" TargetMode="External"/><Relationship Id="rId52" Type="http://schemas.openxmlformats.org/officeDocument/2006/relationships/hyperlink" Target="http://www.sec.gov/Archives/edgar/data/1060822/000106082211000006/ex10_20.htm" TargetMode="External"/><Relationship Id="rId53" Type="http://schemas.openxmlformats.org/officeDocument/2006/relationships/hyperlink" Target="http://www.sec.gov/Archives/edgar/data/1060822/000106082212000017/cri-2012331exh1021.htm" TargetMode="External"/><Relationship Id="rId54" Type="http://schemas.openxmlformats.org/officeDocument/2006/relationships/hyperlink" Target="http://www.sec.gov/Archives/edgar/data/1060822/000106082212000036/exhibit101.htm" TargetMode="External"/><Relationship Id="rId55" Type="http://schemas.openxmlformats.org/officeDocument/2006/relationships/hyperlink" Target="http://www.sec.gov/Archives/edgar/data/1060822/000106082213000034/a1019phippstowerlease-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2020-02-24T15:57:06Z</dcterms:created>
  <dcterms:modified xsi:type="dcterms:W3CDTF">2020-02-24T15:57:06Z</dcterms:modified>
</cp:coreProperties>
</file>